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79403B">
      <w:pPr>
        <w:spacing w:line="440" w:lineRule="exact"/>
        <w:rPr>
          <w:rFonts w:cs="Times New Roman"/>
          <w:color w:val="auto"/>
          <w:szCs w:val="24"/>
          <w:highlight w:val="none"/>
        </w:rPr>
      </w:pPr>
      <w:bookmarkStart w:id="0" w:name="_Toc152045511"/>
      <w:bookmarkStart w:id="1" w:name="_Toc152042287"/>
      <w:bookmarkStart w:id="2" w:name="_Toc179632527"/>
      <w:bookmarkStart w:id="3" w:name="_Toc144974479"/>
      <w:bookmarkStart w:id="4" w:name="OLE_LINK3"/>
      <w:bookmarkStart w:id="5" w:name="OLE_LINK5"/>
      <w:bookmarkStart w:id="6" w:name="OLE_LINK4"/>
      <w:bookmarkStart w:id="7" w:name="OLE_LINK2"/>
      <w:bookmarkStart w:id="8" w:name="OLE_LINK1"/>
    </w:p>
    <w:p w14:paraId="2CA1DBFF">
      <w:pPr>
        <w:spacing w:after="120"/>
        <w:ind w:left="420" w:leftChars="200" w:firstLine="420" w:firstLineChars="200"/>
        <w:rPr>
          <w:rFonts w:cs="Times New Roman"/>
          <w:color w:val="auto"/>
          <w:szCs w:val="24"/>
          <w:highlight w:val="none"/>
        </w:rPr>
      </w:pPr>
    </w:p>
    <w:p w14:paraId="7B3831E2">
      <w:pPr>
        <w:adjustRightInd w:val="0"/>
        <w:snapToGrid w:val="0"/>
        <w:jc w:val="center"/>
        <w:rPr>
          <w:rFonts w:ascii="宋体" w:hAnsi="宋体" w:cs="宋体"/>
          <w:color w:val="auto"/>
          <w:szCs w:val="21"/>
          <w:highlight w:val="none"/>
        </w:rPr>
      </w:pPr>
      <w:r>
        <w:rPr>
          <w:rFonts w:hint="eastAsia" w:ascii="宋体" w:hAnsi="宋体" w:cs="宋体"/>
          <w:b/>
          <w:color w:val="auto"/>
          <w:sz w:val="52"/>
          <w:szCs w:val="52"/>
          <w:highlight w:val="none"/>
        </w:rPr>
        <w:t>滁州铜鑫矿业有限责任公司尾矿库闭库工程第三方测绘服务</w:t>
      </w:r>
    </w:p>
    <w:p w14:paraId="35DEA862">
      <w:pPr>
        <w:adjustRightInd w:val="0"/>
        <w:snapToGrid w:val="0"/>
        <w:jc w:val="center"/>
        <w:rPr>
          <w:rFonts w:ascii="宋体" w:hAnsi="宋体" w:cs="宋体"/>
          <w:b/>
          <w:bCs/>
          <w:color w:val="auto"/>
          <w:sz w:val="98"/>
          <w:szCs w:val="24"/>
          <w:highlight w:val="none"/>
        </w:rPr>
      </w:pPr>
    </w:p>
    <w:p w14:paraId="39EE860D">
      <w:pPr>
        <w:adjustRightInd w:val="0"/>
        <w:snapToGrid w:val="0"/>
        <w:spacing w:line="360" w:lineRule="auto"/>
        <w:jc w:val="center"/>
        <w:rPr>
          <w:rFonts w:ascii="宋体" w:hAnsi="宋体" w:cs="宋体"/>
          <w:b/>
          <w:bCs/>
          <w:color w:val="auto"/>
          <w:sz w:val="72"/>
          <w:szCs w:val="72"/>
          <w:highlight w:val="none"/>
        </w:rPr>
      </w:pPr>
      <w:r>
        <w:rPr>
          <w:rFonts w:hint="eastAsia" w:ascii="宋体" w:hAnsi="宋体" w:cs="宋体"/>
          <w:b/>
          <w:bCs/>
          <w:color w:val="auto"/>
          <w:sz w:val="98"/>
          <w:szCs w:val="24"/>
          <w:highlight w:val="none"/>
        </w:rPr>
        <w:t>招 标 文 件</w:t>
      </w:r>
    </w:p>
    <w:p w14:paraId="0E998162">
      <w:pPr>
        <w:adjustRightInd w:val="0"/>
        <w:snapToGrid w:val="0"/>
        <w:spacing w:line="360" w:lineRule="auto"/>
        <w:jc w:val="center"/>
        <w:rPr>
          <w:rFonts w:ascii="宋体" w:hAnsi="宋体" w:cs="宋体"/>
          <w:color w:val="auto"/>
          <w:sz w:val="30"/>
          <w:szCs w:val="30"/>
          <w:highlight w:val="none"/>
        </w:rPr>
      </w:pPr>
      <w:r>
        <w:rPr>
          <w:rFonts w:hint="eastAsia" w:ascii="宋体" w:hAnsi="宋体" w:cs="宋体"/>
          <w:b/>
          <w:color w:val="auto"/>
          <w:sz w:val="32"/>
          <w:szCs w:val="24"/>
          <w:highlight w:val="none"/>
        </w:rPr>
        <w:t>（公开招标）</w:t>
      </w:r>
    </w:p>
    <w:p w14:paraId="32054C38">
      <w:pPr>
        <w:adjustRightInd w:val="0"/>
        <w:snapToGrid w:val="0"/>
        <w:spacing w:line="360" w:lineRule="auto"/>
        <w:jc w:val="center"/>
        <w:rPr>
          <w:rFonts w:ascii="宋体" w:hAnsi="宋体" w:cs="宋体"/>
          <w:b/>
          <w:color w:val="auto"/>
          <w:sz w:val="32"/>
          <w:szCs w:val="24"/>
          <w:highlight w:val="none"/>
        </w:rPr>
      </w:pPr>
    </w:p>
    <w:p w14:paraId="1049BBFD">
      <w:pPr>
        <w:jc w:val="center"/>
        <w:rPr>
          <w:rFonts w:ascii="宋体" w:hAnsi="宋体" w:cs="宋体"/>
          <w:color w:val="auto"/>
          <w:sz w:val="72"/>
          <w:szCs w:val="72"/>
          <w:highlight w:val="none"/>
        </w:rPr>
      </w:pPr>
    </w:p>
    <w:p w14:paraId="77BDA2DC">
      <w:pPr>
        <w:ind w:firstLine="437"/>
        <w:rPr>
          <w:rFonts w:ascii="宋体" w:hAnsi="宋体" w:cs="宋体"/>
          <w:color w:val="auto"/>
          <w:szCs w:val="21"/>
          <w:highlight w:val="none"/>
        </w:rPr>
      </w:pPr>
    </w:p>
    <w:p w14:paraId="411DDCD7">
      <w:pPr>
        <w:rPr>
          <w:rFonts w:cs="Times New Roman"/>
          <w:color w:val="auto"/>
          <w:szCs w:val="24"/>
          <w:highlight w:val="none"/>
        </w:rPr>
      </w:pPr>
    </w:p>
    <w:p w14:paraId="31ADF4F4">
      <w:pPr>
        <w:rPr>
          <w:rFonts w:cs="Times New Roman"/>
          <w:color w:val="auto"/>
          <w:szCs w:val="24"/>
          <w:highlight w:val="none"/>
        </w:rPr>
      </w:pPr>
    </w:p>
    <w:p w14:paraId="799B0E1A">
      <w:pPr>
        <w:adjustRightInd w:val="0"/>
        <w:snapToGrid w:val="0"/>
        <w:ind w:firstLine="437"/>
        <w:rPr>
          <w:rFonts w:ascii="宋体" w:hAnsi="宋体" w:cs="宋体"/>
          <w:color w:val="auto"/>
          <w:szCs w:val="21"/>
          <w:highlight w:val="none"/>
        </w:rPr>
      </w:pPr>
    </w:p>
    <w:p w14:paraId="4C78F700">
      <w:pPr>
        <w:adjustRightInd w:val="0"/>
        <w:snapToGrid w:val="0"/>
        <w:jc w:val="center"/>
        <w:outlineLvl w:val="0"/>
        <w:rPr>
          <w:rFonts w:ascii="宋体" w:hAnsi="宋体" w:cs="宋体"/>
          <w:b/>
          <w:color w:val="auto"/>
          <w:sz w:val="32"/>
          <w:szCs w:val="24"/>
          <w:highlight w:val="none"/>
          <w:u w:val="thick"/>
        </w:rPr>
      </w:pPr>
      <w:bookmarkStart w:id="9" w:name="_Toc30751"/>
      <w:bookmarkStart w:id="10" w:name="_Toc18161"/>
      <w:bookmarkStart w:id="11" w:name="_Toc3897"/>
      <w:bookmarkStart w:id="12" w:name="_Toc1731"/>
      <w:bookmarkStart w:id="13" w:name="_Toc2824"/>
      <w:bookmarkStart w:id="14" w:name="_Toc23005"/>
      <w:r>
        <w:rPr>
          <w:rFonts w:hint="eastAsia" w:ascii="宋体" w:hAnsi="宋体" w:cs="宋体"/>
          <w:b/>
          <w:color w:val="auto"/>
          <w:spacing w:val="30"/>
          <w:sz w:val="32"/>
          <w:szCs w:val="32"/>
          <w:highlight w:val="none"/>
        </w:rPr>
        <w:t>招标人:</w:t>
      </w:r>
      <w:r>
        <w:rPr>
          <w:rFonts w:hint="eastAsia" w:ascii="宋体" w:hAnsi="宋体" w:cs="宋体"/>
          <w:b/>
          <w:color w:val="auto"/>
          <w:sz w:val="32"/>
          <w:szCs w:val="24"/>
          <w:highlight w:val="none"/>
          <w:u w:val="thick"/>
        </w:rPr>
        <w:t>滁州铜鑫矿业有限责任公司（盖章）</w:t>
      </w:r>
      <w:bookmarkEnd w:id="9"/>
      <w:bookmarkEnd w:id="10"/>
      <w:bookmarkEnd w:id="11"/>
      <w:bookmarkEnd w:id="12"/>
      <w:bookmarkEnd w:id="13"/>
      <w:bookmarkEnd w:id="14"/>
    </w:p>
    <w:p w14:paraId="57A8A912">
      <w:pPr>
        <w:adjustRightInd w:val="0"/>
        <w:snapToGrid w:val="0"/>
        <w:jc w:val="center"/>
        <w:rPr>
          <w:rFonts w:ascii="宋体" w:hAnsi="宋体" w:cs="宋体"/>
          <w:b/>
          <w:color w:val="auto"/>
          <w:spacing w:val="20"/>
          <w:sz w:val="32"/>
          <w:szCs w:val="24"/>
          <w:highlight w:val="none"/>
        </w:rPr>
      </w:pPr>
    </w:p>
    <w:p w14:paraId="7C6AEADB">
      <w:pPr>
        <w:spacing w:after="120"/>
        <w:jc w:val="center"/>
        <w:rPr>
          <w:rFonts w:cs="Times New Roman"/>
          <w:color w:val="auto"/>
          <w:szCs w:val="24"/>
          <w:highlight w:val="none"/>
        </w:rPr>
      </w:pPr>
    </w:p>
    <w:p w14:paraId="2CC0D32A">
      <w:pPr>
        <w:adjustRightInd w:val="0"/>
        <w:snapToGrid w:val="0"/>
        <w:jc w:val="center"/>
        <w:rPr>
          <w:rFonts w:ascii="宋体" w:hAnsi="宋体" w:cs="宋体"/>
          <w:b/>
          <w:color w:val="auto"/>
          <w:sz w:val="32"/>
          <w:szCs w:val="24"/>
          <w:highlight w:val="none"/>
          <w:u w:val="thick"/>
        </w:rPr>
      </w:pPr>
      <w:r>
        <w:rPr>
          <w:rFonts w:hint="eastAsia" w:ascii="宋体" w:hAnsi="宋体" w:cs="宋体"/>
          <w:b/>
          <w:color w:val="auto"/>
          <w:spacing w:val="-17"/>
          <w:sz w:val="32"/>
          <w:szCs w:val="24"/>
          <w:highlight w:val="none"/>
        </w:rPr>
        <w:t xml:space="preserve">招标代理机构: </w:t>
      </w:r>
      <w:r>
        <w:rPr>
          <w:rFonts w:hint="eastAsia" w:ascii="宋体" w:hAnsi="宋体" w:cs="宋体"/>
          <w:b/>
          <w:color w:val="auto"/>
          <w:sz w:val="32"/>
          <w:szCs w:val="24"/>
          <w:highlight w:val="none"/>
          <w:u w:val="thick"/>
        </w:rPr>
        <w:t>滁州市城投工程咨询管理有限公司（盖章）</w:t>
      </w:r>
    </w:p>
    <w:p w14:paraId="7C71B29E">
      <w:pPr>
        <w:adjustRightInd w:val="0"/>
        <w:snapToGrid w:val="0"/>
        <w:jc w:val="center"/>
        <w:rPr>
          <w:rFonts w:ascii="宋体" w:hAnsi="宋体" w:cs="宋体"/>
          <w:color w:val="auto"/>
          <w:spacing w:val="20"/>
          <w:sz w:val="32"/>
          <w:szCs w:val="24"/>
          <w:highlight w:val="none"/>
          <w:u w:val="single"/>
        </w:rPr>
      </w:pPr>
    </w:p>
    <w:p w14:paraId="30DE58BA">
      <w:pPr>
        <w:spacing w:after="120"/>
        <w:jc w:val="center"/>
        <w:rPr>
          <w:rFonts w:cs="Times New Roman"/>
          <w:color w:val="auto"/>
          <w:szCs w:val="24"/>
          <w:highlight w:val="none"/>
        </w:rPr>
      </w:pPr>
    </w:p>
    <w:p w14:paraId="5CFE9ED3">
      <w:pPr>
        <w:jc w:val="center"/>
        <w:rPr>
          <w:rFonts w:hint="default" w:ascii="宋体" w:hAnsi="宋体" w:eastAsia="宋体" w:cs="宋体"/>
          <w:color w:val="auto"/>
          <w:sz w:val="32"/>
          <w:szCs w:val="32"/>
          <w:highlight w:val="none"/>
          <w:lang w:val="en-US" w:eastAsia="zh-CN"/>
        </w:rPr>
      </w:pPr>
      <w:r>
        <w:rPr>
          <w:rFonts w:hint="eastAsia" w:ascii="宋体" w:hAnsi="宋体" w:cs="宋体"/>
          <w:b/>
          <w:color w:val="auto"/>
          <w:spacing w:val="20"/>
          <w:sz w:val="32"/>
          <w:szCs w:val="24"/>
          <w:highlight w:val="none"/>
        </w:rPr>
        <w:t>发布日期:</w:t>
      </w:r>
      <w:r>
        <w:rPr>
          <w:rFonts w:hint="eastAsia" w:ascii="宋体" w:hAnsi="宋体" w:cs="宋体"/>
          <w:b/>
          <w:color w:val="auto"/>
          <w:sz w:val="32"/>
          <w:szCs w:val="24"/>
          <w:highlight w:val="none"/>
          <w:u w:val="thick"/>
        </w:rPr>
        <w:t>2026年</w:t>
      </w:r>
      <w:r>
        <w:rPr>
          <w:rFonts w:hint="eastAsia" w:ascii="宋体" w:hAnsi="宋体" w:cs="宋体"/>
          <w:b/>
          <w:color w:val="auto"/>
          <w:sz w:val="32"/>
          <w:szCs w:val="24"/>
          <w:highlight w:val="none"/>
          <w:u w:val="thick"/>
          <w:lang w:val="en-US" w:eastAsia="zh-CN"/>
        </w:rPr>
        <w:t>2</w:t>
      </w:r>
      <w:r>
        <w:rPr>
          <w:rFonts w:hint="eastAsia" w:ascii="宋体" w:hAnsi="宋体" w:cs="宋体"/>
          <w:b/>
          <w:color w:val="auto"/>
          <w:sz w:val="32"/>
          <w:szCs w:val="24"/>
          <w:highlight w:val="none"/>
          <w:u w:val="thick"/>
        </w:rPr>
        <w:t>月</w:t>
      </w:r>
      <w:r>
        <w:rPr>
          <w:rFonts w:hint="eastAsia" w:ascii="宋体" w:hAnsi="宋体" w:cs="宋体"/>
          <w:b/>
          <w:color w:val="auto"/>
          <w:sz w:val="32"/>
          <w:szCs w:val="24"/>
          <w:highlight w:val="none"/>
          <w:u w:val="thick"/>
          <w:lang w:val="en-US" w:eastAsia="zh-CN"/>
        </w:rPr>
        <w:t>10日</w:t>
      </w:r>
    </w:p>
    <w:p w14:paraId="2F1FFAE4">
      <w:pPr>
        <w:spacing w:after="120"/>
        <w:ind w:left="420" w:leftChars="200" w:firstLine="420" w:firstLineChars="200"/>
        <w:rPr>
          <w:rFonts w:cs="Times New Roman"/>
          <w:color w:val="auto"/>
          <w:szCs w:val="24"/>
          <w:highlight w:val="none"/>
        </w:rPr>
      </w:pPr>
    </w:p>
    <w:p w14:paraId="78E8C86D">
      <w:pPr>
        <w:widowControl/>
        <w:jc w:val="left"/>
        <w:rPr>
          <w:rFonts w:ascii="Cambria" w:hAnsi="Cambria" w:cs="Times New Roman"/>
          <w:b/>
          <w:bCs/>
          <w:color w:val="auto"/>
          <w:kern w:val="0"/>
          <w:sz w:val="52"/>
          <w:szCs w:val="28"/>
          <w:highlight w:val="none"/>
          <w:lang w:val="zh-CN"/>
        </w:rPr>
        <w:sectPr>
          <w:pgSz w:w="11911" w:h="16838"/>
          <w:pgMar w:top="1134" w:right="1417" w:bottom="1134" w:left="1417" w:header="0" w:footer="833" w:gutter="0"/>
          <w:pgNumType w:start="1"/>
          <w:cols w:space="720" w:num="1"/>
        </w:sectPr>
      </w:pPr>
    </w:p>
    <w:p w14:paraId="155E085E">
      <w:pPr>
        <w:keepNext/>
        <w:keepLines/>
        <w:pageBreakBefore/>
        <w:widowControl/>
        <w:kinsoku/>
        <w:wordWrap/>
        <w:overflowPunct/>
        <w:topLinePunct w:val="0"/>
        <w:autoSpaceDE/>
        <w:autoSpaceDN/>
        <w:bidi w:val="0"/>
        <w:adjustRightInd w:val="0"/>
        <w:snapToGrid w:val="0"/>
        <w:spacing w:before="0" w:beforeLines="100"/>
        <w:ind w:right="210" w:rightChars="100"/>
        <w:jc w:val="center"/>
        <w:textAlignment w:val="auto"/>
        <w:rPr>
          <w:rFonts w:ascii="Cambria" w:hAnsi="Cambria" w:cs="Times New Roman"/>
          <w:b/>
          <w:bCs/>
          <w:color w:val="auto"/>
          <w:kern w:val="0"/>
          <w:sz w:val="52"/>
          <w:szCs w:val="28"/>
          <w:highlight w:val="none"/>
        </w:rPr>
      </w:pPr>
      <w:r>
        <w:rPr>
          <w:rFonts w:hint="eastAsia" w:ascii="Cambria" w:hAnsi="Cambria" w:cs="Times New Roman"/>
          <w:b/>
          <w:bCs/>
          <w:color w:val="auto"/>
          <w:kern w:val="0"/>
          <w:sz w:val="52"/>
          <w:szCs w:val="28"/>
          <w:highlight w:val="none"/>
          <w:lang w:val="zh-CN"/>
        </w:rPr>
        <w:t>目</w:t>
      </w:r>
      <w:r>
        <w:rPr>
          <w:rFonts w:ascii="Cambria" w:hAnsi="Cambria" w:cs="Times New Roman"/>
          <w:b/>
          <w:bCs/>
          <w:color w:val="auto"/>
          <w:kern w:val="0"/>
          <w:sz w:val="52"/>
          <w:szCs w:val="28"/>
          <w:highlight w:val="none"/>
          <w:lang w:val="zh-CN"/>
        </w:rPr>
        <w:t xml:space="preserve">  </w:t>
      </w:r>
      <w:r>
        <w:rPr>
          <w:rFonts w:hint="eastAsia" w:ascii="Cambria" w:hAnsi="Cambria" w:cs="Times New Roman"/>
          <w:b/>
          <w:bCs/>
          <w:color w:val="auto"/>
          <w:kern w:val="0"/>
          <w:sz w:val="52"/>
          <w:szCs w:val="28"/>
          <w:highlight w:val="none"/>
          <w:lang w:val="zh-CN"/>
        </w:rPr>
        <w:t>录</w:t>
      </w:r>
    </w:p>
    <w:p w14:paraId="5373C0E9">
      <w:pPr>
        <w:tabs>
          <w:tab w:val="right" w:leader="dot" w:pos="9077"/>
        </w:tabs>
        <w:spacing w:before="120" w:after="120" w:line="360" w:lineRule="auto"/>
        <w:jc w:val="left"/>
        <w:rPr>
          <w:rFonts w:cs="Times New Roman"/>
          <w:b/>
          <w:bCs/>
          <w:caps/>
          <w:color w:val="auto"/>
          <w:sz w:val="24"/>
          <w:szCs w:val="24"/>
          <w:highlight w:val="none"/>
        </w:rPr>
      </w:pPr>
      <w:r>
        <w:rPr>
          <w:rFonts w:cs="Times New Roman"/>
          <w:b/>
          <w:bCs/>
          <w:caps/>
          <w:color w:val="auto"/>
          <w:sz w:val="20"/>
          <w:highlight w:val="none"/>
        </w:rPr>
        <w:fldChar w:fldCharType="begin"/>
      </w:r>
      <w:r>
        <w:rPr>
          <w:rFonts w:cs="Times New Roman"/>
          <w:b/>
          <w:bCs/>
          <w:caps/>
          <w:color w:val="auto"/>
          <w:sz w:val="24"/>
          <w:szCs w:val="24"/>
          <w:highlight w:val="none"/>
        </w:rPr>
        <w:instrText xml:space="preserve"> TOC \o "1-3" \h \z \u </w:instrText>
      </w:r>
      <w:r>
        <w:rPr>
          <w:rFonts w:cs="Times New Roman"/>
          <w:b/>
          <w:bCs/>
          <w:caps/>
          <w:color w:val="auto"/>
          <w:sz w:val="20"/>
          <w:highlight w:val="none"/>
        </w:rPr>
        <w:fldChar w:fldCharType="separate"/>
      </w:r>
      <w:r>
        <w:rPr>
          <w:color w:val="auto"/>
          <w:highlight w:val="none"/>
        </w:rPr>
        <w:fldChar w:fldCharType="begin"/>
      </w:r>
      <w:r>
        <w:rPr>
          <w:color w:val="auto"/>
          <w:highlight w:val="none"/>
        </w:rPr>
        <w:instrText xml:space="preserve"> HYPERLINK "file:///C:\\Users\\Administrator\\Desktop\\滁州铜鑫矿业有限责任公司尾矿库闭库工程测绘服务招标文件.doc" \l "_Toc16415" </w:instrText>
      </w:r>
      <w:r>
        <w:rPr>
          <w:color w:val="auto"/>
          <w:highlight w:val="none"/>
        </w:rPr>
        <w:fldChar w:fldCharType="separate"/>
      </w:r>
      <w:r>
        <w:rPr>
          <w:rFonts w:hint="eastAsia" w:cs="Times New Roman"/>
          <w:b/>
          <w:bCs/>
          <w:caps/>
          <w:color w:val="auto"/>
          <w:sz w:val="24"/>
          <w:szCs w:val="24"/>
          <w:highlight w:val="none"/>
        </w:rPr>
        <w:t>第一章</w:t>
      </w:r>
      <w:r>
        <w:rPr>
          <w:rFonts w:cs="Times New Roman"/>
          <w:b/>
          <w:bCs/>
          <w:caps/>
          <w:color w:val="auto"/>
          <w:sz w:val="24"/>
          <w:szCs w:val="24"/>
          <w:highlight w:val="none"/>
        </w:rPr>
        <w:t xml:space="preserve">  </w:t>
      </w:r>
      <w:r>
        <w:rPr>
          <w:rFonts w:hint="eastAsia" w:cs="Times New Roman"/>
          <w:b/>
          <w:bCs/>
          <w:caps/>
          <w:color w:val="auto"/>
          <w:sz w:val="24"/>
          <w:szCs w:val="24"/>
          <w:highlight w:val="none"/>
        </w:rPr>
        <w:t>招标公告</w:t>
      </w:r>
      <w:r>
        <w:rPr>
          <w:rFonts w:cs="Times New Roman"/>
          <w:b/>
          <w:bCs/>
          <w:caps/>
          <w:color w:val="auto"/>
          <w:sz w:val="24"/>
          <w:szCs w:val="24"/>
          <w:highlight w:val="none"/>
        </w:rPr>
        <w:tab/>
      </w:r>
      <w:r>
        <w:rPr>
          <w:rFonts w:cs="Times New Roman"/>
          <w:b/>
          <w:bCs/>
          <w:caps/>
          <w:color w:val="auto"/>
          <w:sz w:val="20"/>
          <w:highlight w:val="none"/>
        </w:rPr>
        <w:fldChar w:fldCharType="begin"/>
      </w:r>
      <w:r>
        <w:rPr>
          <w:rFonts w:cs="Times New Roman"/>
          <w:b/>
          <w:bCs/>
          <w:caps/>
          <w:color w:val="auto"/>
          <w:sz w:val="24"/>
          <w:szCs w:val="24"/>
          <w:highlight w:val="none"/>
        </w:rPr>
        <w:instrText xml:space="preserve"> PAGEREF _Toc16415 \h </w:instrText>
      </w:r>
      <w:r>
        <w:rPr>
          <w:rFonts w:cs="Times New Roman"/>
          <w:b/>
          <w:bCs/>
          <w:caps/>
          <w:color w:val="auto"/>
          <w:sz w:val="20"/>
          <w:highlight w:val="none"/>
        </w:rPr>
        <w:fldChar w:fldCharType="separate"/>
      </w:r>
      <w:r>
        <w:rPr>
          <w:rFonts w:cs="Times New Roman"/>
          <w:b/>
          <w:bCs/>
          <w:caps/>
          <w:color w:val="auto"/>
          <w:sz w:val="24"/>
          <w:szCs w:val="24"/>
          <w:highlight w:val="none"/>
        </w:rPr>
        <w:t>1</w:t>
      </w:r>
      <w:r>
        <w:rPr>
          <w:rFonts w:cs="Times New Roman"/>
          <w:b/>
          <w:bCs/>
          <w:caps/>
          <w:color w:val="auto"/>
          <w:sz w:val="20"/>
          <w:highlight w:val="none"/>
        </w:rPr>
        <w:fldChar w:fldCharType="end"/>
      </w:r>
      <w:r>
        <w:rPr>
          <w:rFonts w:cs="Times New Roman"/>
          <w:b/>
          <w:bCs/>
          <w:caps/>
          <w:color w:val="auto"/>
          <w:sz w:val="20"/>
          <w:highlight w:val="none"/>
        </w:rPr>
        <w:fldChar w:fldCharType="end"/>
      </w:r>
    </w:p>
    <w:p w14:paraId="1ABC7E6B">
      <w:pPr>
        <w:tabs>
          <w:tab w:val="right" w:leader="dot" w:pos="9077"/>
        </w:tabs>
        <w:spacing w:before="120" w:after="120" w:line="360" w:lineRule="auto"/>
        <w:jc w:val="left"/>
        <w:rPr>
          <w:rFonts w:cs="Times New Roman"/>
          <w:b/>
          <w:bCs/>
          <w:caps/>
          <w:color w:val="auto"/>
          <w:sz w:val="24"/>
          <w:szCs w:val="24"/>
          <w:highlight w:val="none"/>
        </w:rPr>
      </w:pPr>
      <w:r>
        <w:rPr>
          <w:color w:val="auto"/>
          <w:highlight w:val="none"/>
        </w:rPr>
        <w:fldChar w:fldCharType="begin"/>
      </w:r>
      <w:r>
        <w:rPr>
          <w:color w:val="auto"/>
          <w:highlight w:val="none"/>
        </w:rPr>
        <w:instrText xml:space="preserve"> HYPERLINK "file:///C:\\Users\\Administrator\\Desktop\\滁州铜鑫矿业有限责任公司尾矿库闭库工程测绘服务招标文件.doc" \l "_Toc31141" </w:instrText>
      </w:r>
      <w:r>
        <w:rPr>
          <w:color w:val="auto"/>
          <w:highlight w:val="none"/>
        </w:rPr>
        <w:fldChar w:fldCharType="separate"/>
      </w:r>
      <w:r>
        <w:rPr>
          <w:rFonts w:hint="eastAsia" w:cs="Times New Roman"/>
          <w:b/>
          <w:bCs/>
          <w:caps/>
          <w:color w:val="auto"/>
          <w:sz w:val="24"/>
          <w:szCs w:val="24"/>
          <w:highlight w:val="none"/>
        </w:rPr>
        <w:t>第二章</w:t>
      </w:r>
      <w:r>
        <w:rPr>
          <w:rFonts w:cs="Times New Roman"/>
          <w:b/>
          <w:bCs/>
          <w:caps/>
          <w:color w:val="auto"/>
          <w:sz w:val="24"/>
          <w:szCs w:val="24"/>
          <w:highlight w:val="none"/>
        </w:rPr>
        <w:t xml:space="preserve">  </w:t>
      </w:r>
      <w:r>
        <w:rPr>
          <w:rFonts w:hint="eastAsia" w:cs="Times New Roman"/>
          <w:b/>
          <w:bCs/>
          <w:caps/>
          <w:color w:val="auto"/>
          <w:sz w:val="24"/>
          <w:szCs w:val="24"/>
          <w:highlight w:val="none"/>
        </w:rPr>
        <w:t>投标人须知</w:t>
      </w:r>
      <w:r>
        <w:rPr>
          <w:rFonts w:cs="Times New Roman"/>
          <w:b/>
          <w:bCs/>
          <w:caps/>
          <w:color w:val="auto"/>
          <w:sz w:val="24"/>
          <w:szCs w:val="24"/>
          <w:highlight w:val="none"/>
        </w:rPr>
        <w:tab/>
      </w:r>
      <w:r>
        <w:rPr>
          <w:rFonts w:cs="Times New Roman"/>
          <w:b/>
          <w:bCs/>
          <w:caps/>
          <w:color w:val="auto"/>
          <w:sz w:val="20"/>
          <w:highlight w:val="none"/>
        </w:rPr>
        <w:fldChar w:fldCharType="begin"/>
      </w:r>
      <w:r>
        <w:rPr>
          <w:rFonts w:cs="Times New Roman"/>
          <w:b/>
          <w:bCs/>
          <w:caps/>
          <w:color w:val="auto"/>
          <w:sz w:val="24"/>
          <w:szCs w:val="24"/>
          <w:highlight w:val="none"/>
        </w:rPr>
        <w:instrText xml:space="preserve"> PAGEREF _Toc31141 \h </w:instrText>
      </w:r>
      <w:r>
        <w:rPr>
          <w:rFonts w:cs="Times New Roman"/>
          <w:b/>
          <w:bCs/>
          <w:caps/>
          <w:color w:val="auto"/>
          <w:sz w:val="20"/>
          <w:highlight w:val="none"/>
        </w:rPr>
        <w:fldChar w:fldCharType="separate"/>
      </w:r>
      <w:r>
        <w:rPr>
          <w:rFonts w:cs="Times New Roman"/>
          <w:b/>
          <w:bCs/>
          <w:caps/>
          <w:color w:val="auto"/>
          <w:sz w:val="24"/>
          <w:szCs w:val="24"/>
          <w:highlight w:val="none"/>
        </w:rPr>
        <w:t>4</w:t>
      </w:r>
      <w:r>
        <w:rPr>
          <w:rFonts w:cs="Times New Roman"/>
          <w:b/>
          <w:bCs/>
          <w:caps/>
          <w:color w:val="auto"/>
          <w:sz w:val="20"/>
          <w:highlight w:val="none"/>
        </w:rPr>
        <w:fldChar w:fldCharType="end"/>
      </w:r>
      <w:r>
        <w:rPr>
          <w:rFonts w:cs="Times New Roman"/>
          <w:b/>
          <w:bCs/>
          <w:caps/>
          <w:color w:val="auto"/>
          <w:sz w:val="20"/>
          <w:highlight w:val="none"/>
        </w:rPr>
        <w:fldChar w:fldCharType="end"/>
      </w:r>
    </w:p>
    <w:p w14:paraId="4C4A8532">
      <w:pPr>
        <w:tabs>
          <w:tab w:val="right" w:leader="dot" w:pos="9077"/>
        </w:tabs>
        <w:spacing w:before="120" w:after="120" w:line="360" w:lineRule="auto"/>
        <w:jc w:val="left"/>
        <w:rPr>
          <w:rFonts w:cs="Times New Roman"/>
          <w:b/>
          <w:bCs/>
          <w:caps/>
          <w:color w:val="auto"/>
          <w:sz w:val="24"/>
          <w:szCs w:val="24"/>
          <w:highlight w:val="none"/>
        </w:rPr>
      </w:pPr>
      <w:r>
        <w:rPr>
          <w:color w:val="auto"/>
          <w:highlight w:val="none"/>
        </w:rPr>
        <w:fldChar w:fldCharType="begin"/>
      </w:r>
      <w:r>
        <w:rPr>
          <w:color w:val="auto"/>
          <w:highlight w:val="none"/>
        </w:rPr>
        <w:instrText xml:space="preserve"> HYPERLINK "file:///C:\\Users\\Administrator\\Desktop\\滁州铜鑫矿业有限责任公司尾矿库闭库工程测绘服务招标文件.doc" \l "_Toc17360" </w:instrText>
      </w:r>
      <w:r>
        <w:rPr>
          <w:color w:val="auto"/>
          <w:highlight w:val="none"/>
        </w:rPr>
        <w:fldChar w:fldCharType="separate"/>
      </w:r>
      <w:r>
        <w:rPr>
          <w:rFonts w:hint="eastAsia" w:cs="Times New Roman"/>
          <w:b/>
          <w:bCs/>
          <w:caps/>
          <w:color w:val="auto"/>
          <w:sz w:val="24"/>
          <w:szCs w:val="24"/>
          <w:highlight w:val="none"/>
        </w:rPr>
        <w:t>第三章</w:t>
      </w:r>
      <w:r>
        <w:rPr>
          <w:rFonts w:cs="Times New Roman"/>
          <w:b/>
          <w:bCs/>
          <w:caps/>
          <w:color w:val="auto"/>
          <w:sz w:val="24"/>
          <w:szCs w:val="24"/>
          <w:highlight w:val="none"/>
        </w:rPr>
        <w:t xml:space="preserve">  </w:t>
      </w:r>
      <w:r>
        <w:rPr>
          <w:rFonts w:hint="eastAsia" w:cs="Times New Roman"/>
          <w:b/>
          <w:bCs/>
          <w:caps/>
          <w:color w:val="auto"/>
          <w:sz w:val="24"/>
          <w:szCs w:val="24"/>
          <w:highlight w:val="none"/>
        </w:rPr>
        <w:t>资格审查办法</w:t>
      </w:r>
      <w:r>
        <w:rPr>
          <w:rFonts w:cs="Times New Roman"/>
          <w:b/>
          <w:bCs/>
          <w:caps/>
          <w:color w:val="auto"/>
          <w:sz w:val="24"/>
          <w:szCs w:val="24"/>
          <w:highlight w:val="none"/>
        </w:rPr>
        <w:tab/>
      </w:r>
      <w:r>
        <w:rPr>
          <w:rFonts w:cs="Times New Roman"/>
          <w:b/>
          <w:bCs/>
          <w:caps/>
          <w:color w:val="auto"/>
          <w:sz w:val="20"/>
          <w:highlight w:val="none"/>
        </w:rPr>
        <w:fldChar w:fldCharType="begin"/>
      </w:r>
      <w:r>
        <w:rPr>
          <w:rFonts w:cs="Times New Roman"/>
          <w:b/>
          <w:bCs/>
          <w:caps/>
          <w:color w:val="auto"/>
          <w:sz w:val="24"/>
          <w:szCs w:val="24"/>
          <w:highlight w:val="none"/>
        </w:rPr>
        <w:instrText xml:space="preserve"> PAGEREF _Toc17360 \h </w:instrText>
      </w:r>
      <w:r>
        <w:rPr>
          <w:rFonts w:cs="Times New Roman"/>
          <w:b/>
          <w:bCs/>
          <w:caps/>
          <w:color w:val="auto"/>
          <w:sz w:val="20"/>
          <w:highlight w:val="none"/>
        </w:rPr>
        <w:fldChar w:fldCharType="separate"/>
      </w:r>
      <w:r>
        <w:rPr>
          <w:rFonts w:cs="Times New Roman"/>
          <w:b/>
          <w:bCs/>
          <w:caps/>
          <w:color w:val="auto"/>
          <w:sz w:val="24"/>
          <w:szCs w:val="24"/>
          <w:highlight w:val="none"/>
        </w:rPr>
        <w:t>19</w:t>
      </w:r>
      <w:r>
        <w:rPr>
          <w:rFonts w:cs="Times New Roman"/>
          <w:b/>
          <w:bCs/>
          <w:caps/>
          <w:color w:val="auto"/>
          <w:sz w:val="20"/>
          <w:highlight w:val="none"/>
        </w:rPr>
        <w:fldChar w:fldCharType="end"/>
      </w:r>
      <w:r>
        <w:rPr>
          <w:rFonts w:cs="Times New Roman"/>
          <w:b/>
          <w:bCs/>
          <w:caps/>
          <w:color w:val="auto"/>
          <w:sz w:val="20"/>
          <w:highlight w:val="none"/>
        </w:rPr>
        <w:fldChar w:fldCharType="end"/>
      </w:r>
    </w:p>
    <w:p w14:paraId="61E49D16">
      <w:pPr>
        <w:tabs>
          <w:tab w:val="right" w:leader="dot" w:pos="9077"/>
        </w:tabs>
        <w:spacing w:before="120" w:after="120" w:line="360" w:lineRule="auto"/>
        <w:jc w:val="left"/>
        <w:rPr>
          <w:rFonts w:cs="Times New Roman"/>
          <w:b/>
          <w:bCs/>
          <w:caps/>
          <w:color w:val="auto"/>
          <w:sz w:val="24"/>
          <w:szCs w:val="24"/>
          <w:highlight w:val="none"/>
        </w:rPr>
      </w:pPr>
      <w:r>
        <w:rPr>
          <w:color w:val="auto"/>
          <w:highlight w:val="none"/>
        </w:rPr>
        <w:fldChar w:fldCharType="begin"/>
      </w:r>
      <w:r>
        <w:rPr>
          <w:color w:val="auto"/>
          <w:highlight w:val="none"/>
        </w:rPr>
        <w:instrText xml:space="preserve"> HYPERLINK "file:///C:\\Users\\Administrator\\Desktop\\滁州铜鑫矿业有限责任公司尾矿库闭库工程测绘服务招标文件.doc" \l "_Toc4500" </w:instrText>
      </w:r>
      <w:r>
        <w:rPr>
          <w:color w:val="auto"/>
          <w:highlight w:val="none"/>
        </w:rPr>
        <w:fldChar w:fldCharType="separate"/>
      </w:r>
      <w:r>
        <w:rPr>
          <w:rFonts w:hint="eastAsia" w:cs="Times New Roman"/>
          <w:b/>
          <w:bCs/>
          <w:caps/>
          <w:color w:val="auto"/>
          <w:sz w:val="24"/>
          <w:szCs w:val="24"/>
          <w:highlight w:val="none"/>
        </w:rPr>
        <w:t>第四章</w:t>
      </w:r>
      <w:r>
        <w:rPr>
          <w:rFonts w:cs="Times New Roman"/>
          <w:b/>
          <w:bCs/>
          <w:caps/>
          <w:color w:val="auto"/>
          <w:sz w:val="24"/>
          <w:szCs w:val="24"/>
          <w:highlight w:val="none"/>
        </w:rPr>
        <w:t xml:space="preserve">  </w:t>
      </w:r>
      <w:r>
        <w:rPr>
          <w:rFonts w:hint="eastAsia" w:cs="Times New Roman"/>
          <w:b/>
          <w:bCs/>
          <w:caps/>
          <w:color w:val="auto"/>
          <w:sz w:val="24"/>
          <w:szCs w:val="24"/>
          <w:highlight w:val="none"/>
        </w:rPr>
        <w:t>评标办法</w:t>
      </w:r>
      <w:r>
        <w:rPr>
          <w:rFonts w:cs="Times New Roman"/>
          <w:b/>
          <w:bCs/>
          <w:caps/>
          <w:color w:val="auto"/>
          <w:sz w:val="24"/>
          <w:szCs w:val="24"/>
          <w:highlight w:val="none"/>
        </w:rPr>
        <w:tab/>
      </w:r>
      <w:r>
        <w:rPr>
          <w:rFonts w:cs="Times New Roman"/>
          <w:b/>
          <w:bCs/>
          <w:caps/>
          <w:color w:val="auto"/>
          <w:sz w:val="20"/>
          <w:highlight w:val="none"/>
        </w:rPr>
        <w:fldChar w:fldCharType="begin"/>
      </w:r>
      <w:r>
        <w:rPr>
          <w:rFonts w:cs="Times New Roman"/>
          <w:b/>
          <w:bCs/>
          <w:caps/>
          <w:color w:val="auto"/>
          <w:sz w:val="24"/>
          <w:szCs w:val="24"/>
          <w:highlight w:val="none"/>
        </w:rPr>
        <w:instrText xml:space="preserve"> PAGEREF _Toc4500 \h </w:instrText>
      </w:r>
      <w:r>
        <w:rPr>
          <w:rFonts w:cs="Times New Roman"/>
          <w:b/>
          <w:bCs/>
          <w:caps/>
          <w:color w:val="auto"/>
          <w:sz w:val="20"/>
          <w:highlight w:val="none"/>
        </w:rPr>
        <w:fldChar w:fldCharType="separate"/>
      </w:r>
      <w:r>
        <w:rPr>
          <w:rFonts w:cs="Times New Roman"/>
          <w:b/>
          <w:bCs/>
          <w:caps/>
          <w:color w:val="auto"/>
          <w:sz w:val="24"/>
          <w:szCs w:val="24"/>
          <w:highlight w:val="none"/>
        </w:rPr>
        <w:t>21</w:t>
      </w:r>
      <w:r>
        <w:rPr>
          <w:rFonts w:cs="Times New Roman"/>
          <w:b/>
          <w:bCs/>
          <w:caps/>
          <w:color w:val="auto"/>
          <w:sz w:val="20"/>
          <w:highlight w:val="none"/>
        </w:rPr>
        <w:fldChar w:fldCharType="end"/>
      </w:r>
      <w:r>
        <w:rPr>
          <w:rFonts w:cs="Times New Roman"/>
          <w:b/>
          <w:bCs/>
          <w:caps/>
          <w:color w:val="auto"/>
          <w:sz w:val="20"/>
          <w:highlight w:val="none"/>
        </w:rPr>
        <w:fldChar w:fldCharType="end"/>
      </w:r>
    </w:p>
    <w:p w14:paraId="1A6B519A">
      <w:pPr>
        <w:tabs>
          <w:tab w:val="right" w:leader="dot" w:pos="9077"/>
        </w:tabs>
        <w:spacing w:before="120" w:after="120" w:line="360" w:lineRule="auto"/>
        <w:jc w:val="left"/>
        <w:rPr>
          <w:rFonts w:cs="Times New Roman"/>
          <w:b/>
          <w:bCs/>
          <w:caps/>
          <w:color w:val="auto"/>
          <w:sz w:val="24"/>
          <w:szCs w:val="24"/>
          <w:highlight w:val="none"/>
        </w:rPr>
      </w:pPr>
      <w:r>
        <w:rPr>
          <w:color w:val="auto"/>
          <w:highlight w:val="none"/>
        </w:rPr>
        <w:fldChar w:fldCharType="begin"/>
      </w:r>
      <w:r>
        <w:rPr>
          <w:color w:val="auto"/>
          <w:highlight w:val="none"/>
        </w:rPr>
        <w:instrText xml:space="preserve"> HYPERLINK "file:///C:\\Users\\Administrator\\Desktop\\滁州铜鑫矿业有限责任公司尾矿库闭库工程测绘服务招标文件.doc" \l "_Toc27608" </w:instrText>
      </w:r>
      <w:r>
        <w:rPr>
          <w:color w:val="auto"/>
          <w:highlight w:val="none"/>
        </w:rPr>
        <w:fldChar w:fldCharType="separate"/>
      </w:r>
      <w:r>
        <w:rPr>
          <w:rFonts w:hint="eastAsia" w:cs="Times New Roman"/>
          <w:b/>
          <w:bCs/>
          <w:caps/>
          <w:color w:val="auto"/>
          <w:sz w:val="24"/>
          <w:szCs w:val="24"/>
          <w:highlight w:val="none"/>
        </w:rPr>
        <w:t>第五章</w:t>
      </w:r>
      <w:r>
        <w:rPr>
          <w:rFonts w:cs="Times New Roman"/>
          <w:b/>
          <w:bCs/>
          <w:caps/>
          <w:color w:val="auto"/>
          <w:sz w:val="24"/>
          <w:szCs w:val="24"/>
          <w:highlight w:val="none"/>
        </w:rPr>
        <w:t xml:space="preserve">  </w:t>
      </w:r>
      <w:r>
        <w:rPr>
          <w:rFonts w:hint="eastAsia" w:cs="Times New Roman"/>
          <w:b/>
          <w:bCs/>
          <w:caps/>
          <w:color w:val="auto"/>
          <w:sz w:val="24"/>
          <w:szCs w:val="24"/>
          <w:highlight w:val="none"/>
        </w:rPr>
        <w:t>合同条款及格式</w:t>
      </w:r>
      <w:r>
        <w:rPr>
          <w:rFonts w:cs="Times New Roman"/>
          <w:b/>
          <w:bCs/>
          <w:caps/>
          <w:color w:val="auto"/>
          <w:sz w:val="24"/>
          <w:szCs w:val="24"/>
          <w:highlight w:val="none"/>
        </w:rPr>
        <w:tab/>
      </w:r>
      <w:r>
        <w:rPr>
          <w:rFonts w:cs="Times New Roman"/>
          <w:b/>
          <w:bCs/>
          <w:caps/>
          <w:color w:val="auto"/>
          <w:sz w:val="20"/>
          <w:highlight w:val="none"/>
        </w:rPr>
        <w:fldChar w:fldCharType="begin"/>
      </w:r>
      <w:r>
        <w:rPr>
          <w:rFonts w:cs="Times New Roman"/>
          <w:b/>
          <w:bCs/>
          <w:caps/>
          <w:color w:val="auto"/>
          <w:sz w:val="24"/>
          <w:szCs w:val="24"/>
          <w:highlight w:val="none"/>
        </w:rPr>
        <w:instrText xml:space="preserve"> PAGEREF _Toc27608 \h </w:instrText>
      </w:r>
      <w:r>
        <w:rPr>
          <w:rFonts w:cs="Times New Roman"/>
          <w:b/>
          <w:bCs/>
          <w:caps/>
          <w:color w:val="auto"/>
          <w:sz w:val="20"/>
          <w:highlight w:val="none"/>
        </w:rPr>
        <w:fldChar w:fldCharType="separate"/>
      </w:r>
      <w:r>
        <w:rPr>
          <w:rFonts w:cs="Times New Roman"/>
          <w:b/>
          <w:bCs/>
          <w:caps/>
          <w:color w:val="auto"/>
          <w:sz w:val="24"/>
          <w:szCs w:val="24"/>
          <w:highlight w:val="none"/>
        </w:rPr>
        <w:t>28</w:t>
      </w:r>
      <w:r>
        <w:rPr>
          <w:rFonts w:cs="Times New Roman"/>
          <w:b/>
          <w:bCs/>
          <w:caps/>
          <w:color w:val="auto"/>
          <w:sz w:val="20"/>
          <w:highlight w:val="none"/>
        </w:rPr>
        <w:fldChar w:fldCharType="end"/>
      </w:r>
      <w:r>
        <w:rPr>
          <w:rFonts w:cs="Times New Roman"/>
          <w:b/>
          <w:bCs/>
          <w:caps/>
          <w:color w:val="auto"/>
          <w:sz w:val="20"/>
          <w:highlight w:val="none"/>
        </w:rPr>
        <w:fldChar w:fldCharType="end"/>
      </w:r>
    </w:p>
    <w:p w14:paraId="2226370C">
      <w:pPr>
        <w:tabs>
          <w:tab w:val="right" w:leader="dot" w:pos="9077"/>
        </w:tabs>
        <w:spacing w:before="120" w:after="120" w:line="360" w:lineRule="auto"/>
        <w:jc w:val="left"/>
        <w:rPr>
          <w:rFonts w:cs="Times New Roman"/>
          <w:b/>
          <w:bCs/>
          <w:caps/>
          <w:color w:val="auto"/>
          <w:sz w:val="24"/>
          <w:szCs w:val="24"/>
          <w:highlight w:val="none"/>
        </w:rPr>
      </w:pPr>
      <w:r>
        <w:rPr>
          <w:color w:val="auto"/>
          <w:highlight w:val="none"/>
        </w:rPr>
        <w:fldChar w:fldCharType="begin"/>
      </w:r>
      <w:r>
        <w:rPr>
          <w:color w:val="auto"/>
          <w:highlight w:val="none"/>
        </w:rPr>
        <w:instrText xml:space="preserve"> HYPERLINK "file:///C:\\Users\\Administrator\\Desktop\\滁州铜鑫矿业有限责任公司尾矿库闭库工程测绘服务招标文件.doc" \l "_Toc14273" </w:instrText>
      </w:r>
      <w:r>
        <w:rPr>
          <w:color w:val="auto"/>
          <w:highlight w:val="none"/>
        </w:rPr>
        <w:fldChar w:fldCharType="separate"/>
      </w:r>
      <w:r>
        <w:rPr>
          <w:rFonts w:hint="eastAsia" w:ascii="宋体" w:hAnsi="宋体" w:cs="宋体"/>
          <w:b/>
          <w:bCs/>
          <w:caps/>
          <w:color w:val="auto"/>
          <w:sz w:val="24"/>
          <w:szCs w:val="24"/>
          <w:highlight w:val="none"/>
        </w:rPr>
        <w:t>第六章  图  纸</w:t>
      </w:r>
      <w:r>
        <w:rPr>
          <w:rFonts w:cs="Times New Roman"/>
          <w:b/>
          <w:bCs/>
          <w:caps/>
          <w:color w:val="auto"/>
          <w:sz w:val="24"/>
          <w:szCs w:val="24"/>
          <w:highlight w:val="none"/>
        </w:rPr>
        <w:tab/>
      </w:r>
      <w:r>
        <w:rPr>
          <w:rFonts w:cs="Times New Roman"/>
          <w:b/>
          <w:bCs/>
          <w:caps/>
          <w:color w:val="auto"/>
          <w:sz w:val="20"/>
          <w:highlight w:val="none"/>
        </w:rPr>
        <w:fldChar w:fldCharType="begin"/>
      </w:r>
      <w:r>
        <w:rPr>
          <w:rFonts w:cs="Times New Roman"/>
          <w:b/>
          <w:bCs/>
          <w:caps/>
          <w:color w:val="auto"/>
          <w:sz w:val="24"/>
          <w:szCs w:val="24"/>
          <w:highlight w:val="none"/>
        </w:rPr>
        <w:instrText xml:space="preserve"> PAGEREF _Toc14273 \h </w:instrText>
      </w:r>
      <w:r>
        <w:rPr>
          <w:rFonts w:cs="Times New Roman"/>
          <w:b/>
          <w:bCs/>
          <w:caps/>
          <w:color w:val="auto"/>
          <w:sz w:val="20"/>
          <w:highlight w:val="none"/>
        </w:rPr>
        <w:fldChar w:fldCharType="separate"/>
      </w:r>
      <w:r>
        <w:rPr>
          <w:rFonts w:cs="Times New Roman"/>
          <w:b/>
          <w:bCs/>
          <w:caps/>
          <w:color w:val="auto"/>
          <w:sz w:val="24"/>
          <w:szCs w:val="24"/>
          <w:highlight w:val="none"/>
        </w:rPr>
        <w:t>29</w:t>
      </w:r>
      <w:r>
        <w:rPr>
          <w:rFonts w:cs="Times New Roman"/>
          <w:b/>
          <w:bCs/>
          <w:caps/>
          <w:color w:val="auto"/>
          <w:sz w:val="20"/>
          <w:highlight w:val="none"/>
        </w:rPr>
        <w:fldChar w:fldCharType="end"/>
      </w:r>
      <w:r>
        <w:rPr>
          <w:rFonts w:cs="Times New Roman"/>
          <w:b/>
          <w:bCs/>
          <w:caps/>
          <w:color w:val="auto"/>
          <w:sz w:val="20"/>
          <w:highlight w:val="none"/>
        </w:rPr>
        <w:fldChar w:fldCharType="end"/>
      </w:r>
    </w:p>
    <w:p w14:paraId="2F1A8062">
      <w:pPr>
        <w:tabs>
          <w:tab w:val="right" w:leader="dot" w:pos="9077"/>
        </w:tabs>
        <w:spacing w:before="120" w:after="120" w:line="360" w:lineRule="auto"/>
        <w:jc w:val="left"/>
        <w:rPr>
          <w:rFonts w:cs="Times New Roman"/>
          <w:b/>
          <w:bCs/>
          <w:caps/>
          <w:color w:val="auto"/>
          <w:sz w:val="24"/>
          <w:szCs w:val="24"/>
          <w:highlight w:val="none"/>
        </w:rPr>
      </w:pPr>
      <w:r>
        <w:rPr>
          <w:color w:val="auto"/>
          <w:highlight w:val="none"/>
        </w:rPr>
        <w:fldChar w:fldCharType="begin"/>
      </w:r>
      <w:r>
        <w:rPr>
          <w:color w:val="auto"/>
          <w:highlight w:val="none"/>
        </w:rPr>
        <w:instrText xml:space="preserve"> HYPERLINK "file:///C:\\Users\\Administrator\\Desktop\\滁州铜鑫矿业有限责任公司尾矿库闭库工程测绘服务招标文件.doc" \l "_Toc925" </w:instrText>
      </w:r>
      <w:r>
        <w:rPr>
          <w:color w:val="auto"/>
          <w:highlight w:val="none"/>
        </w:rPr>
        <w:fldChar w:fldCharType="separate"/>
      </w:r>
      <w:r>
        <w:rPr>
          <w:rFonts w:hint="eastAsia" w:cs="Times New Roman"/>
          <w:b/>
          <w:bCs/>
          <w:caps/>
          <w:color w:val="auto"/>
          <w:sz w:val="24"/>
          <w:szCs w:val="24"/>
          <w:highlight w:val="none"/>
        </w:rPr>
        <w:t>第七章</w:t>
      </w:r>
      <w:r>
        <w:rPr>
          <w:rFonts w:cs="Times New Roman"/>
          <w:b/>
          <w:bCs/>
          <w:caps/>
          <w:color w:val="auto"/>
          <w:sz w:val="24"/>
          <w:szCs w:val="24"/>
          <w:highlight w:val="none"/>
        </w:rPr>
        <w:t xml:space="preserve">  </w:t>
      </w:r>
      <w:r>
        <w:rPr>
          <w:rFonts w:hint="eastAsia" w:cs="Times New Roman"/>
          <w:b/>
          <w:bCs/>
          <w:caps/>
          <w:color w:val="auto"/>
          <w:sz w:val="24"/>
          <w:szCs w:val="24"/>
          <w:highlight w:val="none"/>
        </w:rPr>
        <w:t>委托人要求</w:t>
      </w:r>
      <w:r>
        <w:rPr>
          <w:rFonts w:cs="Times New Roman"/>
          <w:b/>
          <w:bCs/>
          <w:caps/>
          <w:color w:val="auto"/>
          <w:sz w:val="24"/>
          <w:szCs w:val="24"/>
          <w:highlight w:val="none"/>
        </w:rPr>
        <w:tab/>
      </w:r>
      <w:r>
        <w:rPr>
          <w:rFonts w:cs="Times New Roman"/>
          <w:b/>
          <w:bCs/>
          <w:caps/>
          <w:color w:val="auto"/>
          <w:sz w:val="20"/>
          <w:highlight w:val="none"/>
        </w:rPr>
        <w:fldChar w:fldCharType="begin"/>
      </w:r>
      <w:r>
        <w:rPr>
          <w:rFonts w:cs="Times New Roman"/>
          <w:b/>
          <w:bCs/>
          <w:caps/>
          <w:color w:val="auto"/>
          <w:sz w:val="24"/>
          <w:szCs w:val="24"/>
          <w:highlight w:val="none"/>
        </w:rPr>
        <w:instrText xml:space="preserve"> PAGEREF _Toc925 \h </w:instrText>
      </w:r>
      <w:r>
        <w:rPr>
          <w:rFonts w:cs="Times New Roman"/>
          <w:b/>
          <w:bCs/>
          <w:caps/>
          <w:color w:val="auto"/>
          <w:sz w:val="20"/>
          <w:highlight w:val="none"/>
        </w:rPr>
        <w:fldChar w:fldCharType="separate"/>
      </w:r>
      <w:r>
        <w:rPr>
          <w:rFonts w:cs="Times New Roman"/>
          <w:b/>
          <w:bCs/>
          <w:caps/>
          <w:color w:val="auto"/>
          <w:sz w:val="24"/>
          <w:szCs w:val="24"/>
          <w:highlight w:val="none"/>
        </w:rPr>
        <w:t>30</w:t>
      </w:r>
      <w:r>
        <w:rPr>
          <w:rFonts w:cs="Times New Roman"/>
          <w:b/>
          <w:bCs/>
          <w:caps/>
          <w:color w:val="auto"/>
          <w:sz w:val="20"/>
          <w:highlight w:val="none"/>
        </w:rPr>
        <w:fldChar w:fldCharType="end"/>
      </w:r>
      <w:r>
        <w:rPr>
          <w:rFonts w:cs="Times New Roman"/>
          <w:b/>
          <w:bCs/>
          <w:caps/>
          <w:color w:val="auto"/>
          <w:sz w:val="20"/>
          <w:highlight w:val="none"/>
        </w:rPr>
        <w:fldChar w:fldCharType="end"/>
      </w:r>
    </w:p>
    <w:p w14:paraId="26BBEBD9">
      <w:pPr>
        <w:tabs>
          <w:tab w:val="right" w:leader="dot" w:pos="9077"/>
        </w:tabs>
        <w:spacing w:before="120" w:after="120" w:line="360" w:lineRule="auto"/>
        <w:jc w:val="left"/>
        <w:rPr>
          <w:rFonts w:cs="Times New Roman"/>
          <w:b/>
          <w:bCs/>
          <w:caps/>
          <w:color w:val="auto"/>
          <w:sz w:val="24"/>
          <w:szCs w:val="24"/>
          <w:highlight w:val="none"/>
        </w:rPr>
      </w:pPr>
      <w:r>
        <w:rPr>
          <w:color w:val="auto"/>
          <w:highlight w:val="none"/>
        </w:rPr>
        <w:fldChar w:fldCharType="begin"/>
      </w:r>
      <w:r>
        <w:rPr>
          <w:color w:val="auto"/>
          <w:highlight w:val="none"/>
        </w:rPr>
        <w:instrText xml:space="preserve"> HYPERLINK "file:///C:\\Users\\Administrator\\Desktop\\滁州铜鑫矿业有限责任公司尾矿库闭库工程测绘服务招标文件.doc" \l "_Toc30130" </w:instrText>
      </w:r>
      <w:r>
        <w:rPr>
          <w:color w:val="auto"/>
          <w:highlight w:val="none"/>
        </w:rPr>
        <w:fldChar w:fldCharType="separate"/>
      </w:r>
      <w:r>
        <w:rPr>
          <w:rFonts w:hint="eastAsia" w:cs="Times New Roman"/>
          <w:b/>
          <w:bCs/>
          <w:caps/>
          <w:color w:val="auto"/>
          <w:sz w:val="24"/>
          <w:szCs w:val="24"/>
          <w:highlight w:val="none"/>
        </w:rPr>
        <w:t>第八章</w:t>
      </w:r>
      <w:r>
        <w:rPr>
          <w:rFonts w:cs="Times New Roman"/>
          <w:b/>
          <w:bCs/>
          <w:caps/>
          <w:color w:val="auto"/>
          <w:sz w:val="24"/>
          <w:szCs w:val="24"/>
          <w:highlight w:val="none"/>
        </w:rPr>
        <w:t xml:space="preserve">  </w:t>
      </w:r>
      <w:r>
        <w:rPr>
          <w:rFonts w:hint="eastAsia" w:cs="Times New Roman"/>
          <w:b/>
          <w:bCs/>
          <w:caps/>
          <w:color w:val="auto"/>
          <w:sz w:val="24"/>
          <w:szCs w:val="24"/>
          <w:highlight w:val="none"/>
        </w:rPr>
        <w:t>投标文件格式</w:t>
      </w:r>
      <w:r>
        <w:rPr>
          <w:rFonts w:cs="Times New Roman"/>
          <w:b/>
          <w:bCs/>
          <w:caps/>
          <w:color w:val="auto"/>
          <w:sz w:val="24"/>
          <w:szCs w:val="24"/>
          <w:highlight w:val="none"/>
        </w:rPr>
        <w:tab/>
      </w:r>
      <w:r>
        <w:rPr>
          <w:rFonts w:cs="Times New Roman"/>
          <w:b/>
          <w:bCs/>
          <w:caps/>
          <w:color w:val="auto"/>
          <w:sz w:val="20"/>
          <w:highlight w:val="none"/>
        </w:rPr>
        <w:fldChar w:fldCharType="begin"/>
      </w:r>
      <w:r>
        <w:rPr>
          <w:rFonts w:cs="Times New Roman"/>
          <w:b/>
          <w:bCs/>
          <w:caps/>
          <w:color w:val="auto"/>
          <w:sz w:val="24"/>
          <w:szCs w:val="24"/>
          <w:highlight w:val="none"/>
        </w:rPr>
        <w:instrText xml:space="preserve"> PAGEREF _Toc30130 \h </w:instrText>
      </w:r>
      <w:r>
        <w:rPr>
          <w:rFonts w:cs="Times New Roman"/>
          <w:b/>
          <w:bCs/>
          <w:caps/>
          <w:color w:val="auto"/>
          <w:sz w:val="20"/>
          <w:highlight w:val="none"/>
        </w:rPr>
        <w:fldChar w:fldCharType="separate"/>
      </w:r>
      <w:r>
        <w:rPr>
          <w:rFonts w:cs="Times New Roman"/>
          <w:b/>
          <w:bCs/>
          <w:caps/>
          <w:color w:val="auto"/>
          <w:sz w:val="24"/>
          <w:szCs w:val="24"/>
          <w:highlight w:val="none"/>
        </w:rPr>
        <w:t>31</w:t>
      </w:r>
      <w:r>
        <w:rPr>
          <w:rFonts w:cs="Times New Roman"/>
          <w:b/>
          <w:bCs/>
          <w:caps/>
          <w:color w:val="auto"/>
          <w:sz w:val="20"/>
          <w:highlight w:val="none"/>
        </w:rPr>
        <w:fldChar w:fldCharType="end"/>
      </w:r>
      <w:r>
        <w:rPr>
          <w:rFonts w:cs="Times New Roman"/>
          <w:b/>
          <w:bCs/>
          <w:caps/>
          <w:color w:val="auto"/>
          <w:sz w:val="20"/>
          <w:highlight w:val="none"/>
        </w:rPr>
        <w:fldChar w:fldCharType="end"/>
      </w:r>
    </w:p>
    <w:p w14:paraId="125398CF">
      <w:pPr>
        <w:tabs>
          <w:tab w:val="right" w:leader="dot" w:pos="9077"/>
        </w:tabs>
        <w:spacing w:before="120" w:after="120" w:line="360" w:lineRule="auto"/>
        <w:jc w:val="left"/>
        <w:rPr>
          <w:rFonts w:cs="Times New Roman"/>
          <w:b/>
          <w:bCs/>
          <w:caps/>
          <w:color w:val="auto"/>
          <w:sz w:val="24"/>
          <w:szCs w:val="24"/>
          <w:highlight w:val="none"/>
        </w:rPr>
      </w:pPr>
      <w:r>
        <w:rPr>
          <w:color w:val="auto"/>
          <w:highlight w:val="none"/>
        </w:rPr>
        <w:fldChar w:fldCharType="begin"/>
      </w:r>
      <w:r>
        <w:rPr>
          <w:color w:val="auto"/>
          <w:highlight w:val="none"/>
        </w:rPr>
        <w:instrText xml:space="preserve"> HYPERLINK "file:///C:\\Users\\Administrator\\Desktop\\滁州铜鑫矿业有限责任公司尾矿库闭库工程测绘服务招标文件.doc" \l "_Toc8147" </w:instrText>
      </w:r>
      <w:r>
        <w:rPr>
          <w:color w:val="auto"/>
          <w:highlight w:val="none"/>
        </w:rPr>
        <w:fldChar w:fldCharType="separate"/>
      </w:r>
      <w:r>
        <w:rPr>
          <w:rFonts w:hint="eastAsia" w:eastAsia="黑体" w:cs="Times New Roman"/>
          <w:b/>
          <w:bCs/>
          <w:caps/>
          <w:color w:val="auto"/>
          <w:sz w:val="24"/>
          <w:szCs w:val="24"/>
          <w:highlight w:val="none"/>
        </w:rPr>
        <w:t>第九章</w:t>
      </w:r>
      <w:r>
        <w:rPr>
          <w:rFonts w:eastAsia="黑体" w:cs="Times New Roman"/>
          <w:b/>
          <w:bCs/>
          <w:caps/>
          <w:color w:val="auto"/>
          <w:sz w:val="24"/>
          <w:szCs w:val="24"/>
          <w:highlight w:val="none"/>
        </w:rPr>
        <w:t xml:space="preserve">  </w:t>
      </w:r>
      <w:r>
        <w:rPr>
          <w:rFonts w:hint="eastAsia" w:eastAsia="黑体" w:cs="Times New Roman"/>
          <w:b/>
          <w:bCs/>
          <w:caps/>
          <w:color w:val="auto"/>
          <w:sz w:val="24"/>
          <w:szCs w:val="24"/>
          <w:highlight w:val="none"/>
        </w:rPr>
        <w:t>招标人、招标代理机构对本招标文件的确认</w:t>
      </w:r>
      <w:r>
        <w:rPr>
          <w:rFonts w:cs="Times New Roman"/>
          <w:b/>
          <w:bCs/>
          <w:caps/>
          <w:color w:val="auto"/>
          <w:sz w:val="24"/>
          <w:szCs w:val="24"/>
          <w:highlight w:val="none"/>
        </w:rPr>
        <w:tab/>
      </w:r>
      <w:r>
        <w:rPr>
          <w:rFonts w:cs="Times New Roman"/>
          <w:b/>
          <w:bCs/>
          <w:caps/>
          <w:color w:val="auto"/>
          <w:sz w:val="20"/>
          <w:highlight w:val="none"/>
        </w:rPr>
        <w:fldChar w:fldCharType="begin"/>
      </w:r>
      <w:r>
        <w:rPr>
          <w:rFonts w:cs="Times New Roman"/>
          <w:b/>
          <w:bCs/>
          <w:caps/>
          <w:color w:val="auto"/>
          <w:sz w:val="24"/>
          <w:szCs w:val="24"/>
          <w:highlight w:val="none"/>
        </w:rPr>
        <w:instrText xml:space="preserve"> PAGEREF _Toc8147 \h </w:instrText>
      </w:r>
      <w:r>
        <w:rPr>
          <w:rFonts w:cs="Times New Roman"/>
          <w:b/>
          <w:bCs/>
          <w:caps/>
          <w:color w:val="auto"/>
          <w:sz w:val="20"/>
          <w:highlight w:val="none"/>
        </w:rPr>
        <w:fldChar w:fldCharType="separate"/>
      </w:r>
      <w:r>
        <w:rPr>
          <w:rFonts w:cs="Times New Roman"/>
          <w:b/>
          <w:bCs/>
          <w:caps/>
          <w:color w:val="auto"/>
          <w:sz w:val="24"/>
          <w:szCs w:val="24"/>
          <w:highlight w:val="none"/>
        </w:rPr>
        <w:t>39</w:t>
      </w:r>
      <w:r>
        <w:rPr>
          <w:rFonts w:cs="Times New Roman"/>
          <w:b/>
          <w:bCs/>
          <w:caps/>
          <w:color w:val="auto"/>
          <w:sz w:val="20"/>
          <w:highlight w:val="none"/>
        </w:rPr>
        <w:fldChar w:fldCharType="end"/>
      </w:r>
      <w:r>
        <w:rPr>
          <w:rFonts w:cs="Times New Roman"/>
          <w:b/>
          <w:bCs/>
          <w:caps/>
          <w:color w:val="auto"/>
          <w:sz w:val="20"/>
          <w:highlight w:val="none"/>
        </w:rPr>
        <w:fldChar w:fldCharType="end"/>
      </w:r>
    </w:p>
    <w:p w14:paraId="2C1A00C9">
      <w:pPr>
        <w:widowControl/>
        <w:spacing w:line="360" w:lineRule="auto"/>
        <w:jc w:val="left"/>
        <w:rPr>
          <w:rFonts w:cs="Times New Roman"/>
          <w:b/>
          <w:bCs/>
          <w:color w:val="auto"/>
          <w:kern w:val="44"/>
          <w:sz w:val="24"/>
          <w:szCs w:val="24"/>
          <w:highlight w:val="none"/>
          <w:lang w:val="zh-CN"/>
        </w:rPr>
        <w:sectPr>
          <w:pgSz w:w="11911" w:h="16838"/>
          <w:pgMar w:top="1134" w:right="1417" w:bottom="1134" w:left="1417" w:header="0" w:footer="833" w:gutter="0"/>
          <w:cols w:space="720" w:num="1"/>
        </w:sectPr>
      </w:pPr>
    </w:p>
    <w:p w14:paraId="7C9CF2B6">
      <w:pPr>
        <w:keepNext/>
        <w:keepLines/>
        <w:pageBreakBefore/>
        <w:spacing w:line="360" w:lineRule="auto"/>
        <w:jc w:val="center"/>
        <w:outlineLvl w:val="0"/>
        <w:rPr>
          <w:rFonts w:cs="Times New Roman"/>
          <w:b/>
          <w:bCs/>
          <w:color w:val="auto"/>
          <w:kern w:val="44"/>
          <w:sz w:val="44"/>
          <w:szCs w:val="44"/>
          <w:highlight w:val="none"/>
          <w:lang w:val="zh-CN"/>
        </w:rPr>
      </w:pPr>
      <w:r>
        <w:rPr>
          <w:rFonts w:cs="Times New Roman"/>
          <w:b/>
          <w:bCs/>
          <w:color w:val="auto"/>
          <w:kern w:val="44"/>
          <w:sz w:val="44"/>
          <w:szCs w:val="44"/>
          <w:highlight w:val="none"/>
        </w:rPr>
        <w:fldChar w:fldCharType="end"/>
      </w:r>
      <w:bookmarkStart w:id="15" w:name="_Toc16415"/>
      <w:r>
        <w:rPr>
          <w:rFonts w:hint="eastAsia" w:cs="Times New Roman"/>
          <w:b/>
          <w:bCs/>
          <w:color w:val="auto"/>
          <w:kern w:val="44"/>
          <w:sz w:val="44"/>
          <w:szCs w:val="44"/>
          <w:highlight w:val="none"/>
        </w:rPr>
        <w:t>第一章</w:t>
      </w:r>
      <w:r>
        <w:rPr>
          <w:rFonts w:cs="Times New Roman"/>
          <w:b/>
          <w:bCs/>
          <w:color w:val="auto"/>
          <w:kern w:val="44"/>
          <w:sz w:val="44"/>
          <w:szCs w:val="44"/>
          <w:highlight w:val="none"/>
        </w:rPr>
        <w:t xml:space="preserve">  </w:t>
      </w:r>
      <w:r>
        <w:rPr>
          <w:rFonts w:hint="eastAsia" w:cs="Times New Roman"/>
          <w:b/>
          <w:bCs/>
          <w:color w:val="auto"/>
          <w:kern w:val="44"/>
          <w:sz w:val="44"/>
          <w:szCs w:val="44"/>
          <w:highlight w:val="none"/>
        </w:rPr>
        <w:t>招标公告</w:t>
      </w:r>
      <w:bookmarkEnd w:id="15"/>
    </w:p>
    <w:p w14:paraId="2C182C33">
      <w:pPr>
        <w:spacing w:after="120" w:line="440" w:lineRule="exact"/>
        <w:ind w:firstLine="630" w:firstLineChars="196"/>
        <w:jc w:val="center"/>
        <w:rPr>
          <w:rFonts w:ascii="宋体" w:hAnsi="宋体" w:cs="宋体"/>
          <w:b/>
          <w:color w:val="auto"/>
          <w:sz w:val="32"/>
          <w:szCs w:val="24"/>
          <w:highlight w:val="none"/>
        </w:rPr>
      </w:pPr>
      <w:r>
        <w:rPr>
          <w:rFonts w:hint="eastAsia" w:ascii="宋体" w:hAnsi="宋体" w:cs="宋体"/>
          <w:b/>
          <w:color w:val="auto"/>
          <w:sz w:val="32"/>
          <w:szCs w:val="24"/>
          <w:highlight w:val="none"/>
        </w:rPr>
        <w:t>滁州铜鑫矿业有限责任公司尾矿库闭库工程第三方测绘服务招标公告信息（电子招标投标）</w:t>
      </w:r>
    </w:p>
    <w:bookmarkEnd w:id="0"/>
    <w:bookmarkEnd w:id="1"/>
    <w:bookmarkEnd w:id="2"/>
    <w:bookmarkEnd w:id="3"/>
    <w:tbl>
      <w:tblPr>
        <w:tblStyle w:val="25"/>
        <w:tblW w:w="102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1"/>
        <w:gridCol w:w="675"/>
        <w:gridCol w:w="2444"/>
        <w:gridCol w:w="7"/>
        <w:gridCol w:w="308"/>
        <w:gridCol w:w="2340"/>
        <w:gridCol w:w="3000"/>
      </w:tblGrid>
      <w:tr w14:paraId="0E970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47" w:type="dxa"/>
            <w:gridSpan w:val="2"/>
            <w:tcBorders>
              <w:top w:val="single" w:color="auto" w:sz="4" w:space="0"/>
              <w:left w:val="single" w:color="auto" w:sz="4" w:space="0"/>
              <w:bottom w:val="single" w:color="auto" w:sz="4" w:space="0"/>
              <w:right w:val="single" w:color="auto" w:sz="4" w:space="0"/>
            </w:tcBorders>
            <w:vAlign w:val="center"/>
          </w:tcPr>
          <w:p w14:paraId="36647293">
            <w:pPr>
              <w:adjustRightInd w:val="0"/>
              <w:snapToGrid w:val="0"/>
              <w:spacing w:line="440" w:lineRule="exact"/>
              <w:jc w:val="center"/>
              <w:rPr>
                <w:rFonts w:ascii="宋体" w:hAnsi="宋体" w:cs="宋体"/>
                <w:bCs/>
                <w:color w:val="auto"/>
                <w:szCs w:val="21"/>
                <w:highlight w:val="none"/>
              </w:rPr>
            </w:pPr>
            <w:bookmarkStart w:id="16" w:name="_Toc179632544"/>
            <w:bookmarkStart w:id="17" w:name="_Toc247085687"/>
            <w:bookmarkStart w:id="18" w:name="_Toc246996173"/>
            <w:bookmarkStart w:id="19" w:name="_Toc144974495"/>
            <w:bookmarkStart w:id="20" w:name="_Toc152045527"/>
            <w:bookmarkStart w:id="21" w:name="_Toc246996916"/>
            <w:bookmarkStart w:id="22" w:name="_Toc15058844"/>
            <w:bookmarkStart w:id="23" w:name="_Toc324404813"/>
            <w:bookmarkStart w:id="24" w:name="_Toc60061431"/>
            <w:bookmarkStart w:id="25" w:name="_Toc506107267"/>
            <w:bookmarkStart w:id="26" w:name="_Toc152042303"/>
            <w:r>
              <w:rPr>
                <w:rFonts w:hint="eastAsia" w:ascii="宋体" w:hAnsi="宋体" w:cs="宋体"/>
                <w:color w:val="auto"/>
                <w:szCs w:val="21"/>
                <w:highlight w:val="none"/>
              </w:rPr>
              <w:t>招标</w:t>
            </w:r>
            <w:r>
              <w:rPr>
                <w:rFonts w:hint="eastAsia" w:ascii="宋体" w:hAnsi="宋体" w:cs="宋体"/>
                <w:bCs/>
                <w:color w:val="auto"/>
                <w:szCs w:val="21"/>
                <w:highlight w:val="none"/>
              </w:rPr>
              <w:t>项目</w:t>
            </w:r>
            <w:r>
              <w:rPr>
                <w:rFonts w:hint="eastAsia" w:ascii="宋体" w:hAnsi="宋体" w:cs="宋体"/>
                <w:color w:val="auto"/>
                <w:kern w:val="0"/>
                <w:szCs w:val="21"/>
                <w:highlight w:val="none"/>
              </w:rPr>
              <w:t>名称</w:t>
            </w:r>
          </w:p>
        </w:tc>
        <w:tc>
          <w:tcPr>
            <w:tcW w:w="8099" w:type="dxa"/>
            <w:gridSpan w:val="5"/>
            <w:tcBorders>
              <w:top w:val="single" w:color="auto" w:sz="4" w:space="0"/>
              <w:left w:val="single" w:color="auto" w:sz="4" w:space="0"/>
              <w:bottom w:val="single" w:color="auto" w:sz="4" w:space="0"/>
              <w:right w:val="single" w:color="auto" w:sz="4" w:space="0"/>
            </w:tcBorders>
          </w:tcPr>
          <w:p w14:paraId="468C4745">
            <w:pPr>
              <w:adjustRightInd w:val="0"/>
              <w:snapToGrid w:val="0"/>
              <w:spacing w:line="440" w:lineRule="exact"/>
              <w:jc w:val="left"/>
              <w:rPr>
                <w:rFonts w:hint="eastAsia" w:ascii="宋体" w:hAnsi="宋体" w:cs="宋体"/>
                <w:bCs/>
                <w:color w:val="auto"/>
                <w:szCs w:val="21"/>
                <w:highlight w:val="none"/>
              </w:rPr>
            </w:pPr>
            <w:r>
              <w:rPr>
                <w:rFonts w:hint="eastAsia" w:ascii="宋体" w:hAnsi="宋体" w:cs="宋体"/>
                <w:bCs/>
                <w:color w:val="auto"/>
                <w:szCs w:val="21"/>
                <w:highlight w:val="none"/>
              </w:rPr>
              <w:t>滁州铜鑫矿业有限责任公司尾矿库闭库工程第三方测绘服务</w:t>
            </w:r>
          </w:p>
        </w:tc>
      </w:tr>
      <w:tr w14:paraId="22971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jc w:val="center"/>
        </w:trPr>
        <w:tc>
          <w:tcPr>
            <w:tcW w:w="2147" w:type="dxa"/>
            <w:gridSpan w:val="2"/>
            <w:tcBorders>
              <w:top w:val="single" w:color="auto" w:sz="4" w:space="0"/>
              <w:left w:val="single" w:color="auto" w:sz="4" w:space="0"/>
              <w:bottom w:val="single" w:color="auto" w:sz="4" w:space="0"/>
              <w:right w:val="single" w:color="auto" w:sz="4" w:space="0"/>
            </w:tcBorders>
            <w:vAlign w:val="center"/>
          </w:tcPr>
          <w:p w14:paraId="52367A59">
            <w:pPr>
              <w:adjustRightInd w:val="0"/>
              <w:snapToGri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招标项目编号</w:t>
            </w:r>
          </w:p>
        </w:tc>
        <w:tc>
          <w:tcPr>
            <w:tcW w:w="8099" w:type="dxa"/>
            <w:gridSpan w:val="5"/>
            <w:tcBorders>
              <w:top w:val="single" w:color="auto" w:sz="4" w:space="0"/>
              <w:left w:val="single" w:color="auto" w:sz="4" w:space="0"/>
              <w:bottom w:val="single" w:color="auto" w:sz="4" w:space="0"/>
              <w:right w:val="single" w:color="auto" w:sz="4" w:space="0"/>
            </w:tcBorders>
          </w:tcPr>
          <w:p w14:paraId="0F008911">
            <w:pPr>
              <w:adjustRightInd w:val="0"/>
              <w:snapToGrid w:val="0"/>
              <w:spacing w:line="440" w:lineRule="exact"/>
              <w:jc w:val="left"/>
              <w:rPr>
                <w:rFonts w:hint="eastAsia" w:ascii="宋体" w:hAnsi="宋体" w:cs="宋体"/>
                <w:bCs/>
                <w:color w:val="auto"/>
                <w:szCs w:val="21"/>
                <w:highlight w:val="none"/>
              </w:rPr>
            </w:pPr>
            <w:r>
              <w:rPr>
                <w:rFonts w:hint="eastAsia" w:ascii="宋体" w:hAnsi="宋体" w:cs="宋体"/>
                <w:bCs/>
                <w:color w:val="auto"/>
                <w:szCs w:val="21"/>
                <w:highlight w:val="none"/>
              </w:rPr>
              <w:t>HXJY1110001051746001001</w:t>
            </w:r>
          </w:p>
        </w:tc>
      </w:tr>
      <w:tr w14:paraId="716BA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47" w:type="dxa"/>
            <w:gridSpan w:val="2"/>
            <w:tcBorders>
              <w:top w:val="single" w:color="auto" w:sz="4" w:space="0"/>
              <w:left w:val="single" w:color="auto" w:sz="4" w:space="0"/>
              <w:bottom w:val="single" w:color="auto" w:sz="4" w:space="0"/>
              <w:right w:val="single" w:color="auto" w:sz="4" w:space="0"/>
            </w:tcBorders>
            <w:vAlign w:val="center"/>
          </w:tcPr>
          <w:p w14:paraId="19774B5D">
            <w:pPr>
              <w:widowControl/>
              <w:adjustRightInd w:val="0"/>
              <w:snapToGrid w:val="0"/>
              <w:spacing w:line="4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招标方式</w:t>
            </w:r>
          </w:p>
        </w:tc>
        <w:tc>
          <w:tcPr>
            <w:tcW w:w="8099" w:type="dxa"/>
            <w:gridSpan w:val="5"/>
            <w:tcBorders>
              <w:top w:val="single" w:color="auto" w:sz="4" w:space="0"/>
              <w:left w:val="single" w:color="auto" w:sz="4" w:space="0"/>
              <w:bottom w:val="single" w:color="auto" w:sz="4" w:space="0"/>
              <w:right w:val="single" w:color="auto" w:sz="4" w:space="0"/>
            </w:tcBorders>
            <w:vAlign w:val="center"/>
          </w:tcPr>
          <w:p w14:paraId="1092F91E">
            <w:pPr>
              <w:adjustRightInd w:val="0"/>
              <w:snapToGrid w:val="0"/>
              <w:spacing w:line="440" w:lineRule="exact"/>
              <w:jc w:val="left"/>
              <w:rPr>
                <w:rFonts w:ascii="宋体" w:hAnsi="宋体" w:cs="宋体"/>
                <w:bCs/>
                <w:color w:val="auto"/>
                <w:szCs w:val="21"/>
                <w:highlight w:val="none"/>
              </w:rPr>
            </w:pPr>
            <w:r>
              <w:rPr>
                <w:rFonts w:hint="eastAsia" w:ascii="宋体" w:hAnsi="宋体" w:cs="宋体"/>
                <w:bCs/>
                <w:color w:val="auto"/>
                <w:szCs w:val="21"/>
                <w:highlight w:val="none"/>
              </w:rPr>
              <w:t>公开招标</w:t>
            </w:r>
          </w:p>
        </w:tc>
      </w:tr>
      <w:tr w14:paraId="58CE5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47" w:type="dxa"/>
            <w:gridSpan w:val="2"/>
            <w:tcBorders>
              <w:top w:val="single" w:color="auto" w:sz="4" w:space="0"/>
              <w:left w:val="single" w:color="auto" w:sz="4" w:space="0"/>
              <w:bottom w:val="single" w:color="auto" w:sz="4" w:space="0"/>
              <w:right w:val="single" w:color="auto" w:sz="4" w:space="0"/>
            </w:tcBorders>
            <w:vAlign w:val="center"/>
          </w:tcPr>
          <w:p w14:paraId="4B14D322">
            <w:pPr>
              <w:widowControl/>
              <w:adjustRightInd w:val="0"/>
              <w:snapToGrid w:val="0"/>
              <w:spacing w:line="4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是否为网上电子招投标项目</w:t>
            </w:r>
          </w:p>
        </w:tc>
        <w:tc>
          <w:tcPr>
            <w:tcW w:w="8099" w:type="dxa"/>
            <w:gridSpan w:val="5"/>
            <w:tcBorders>
              <w:top w:val="single" w:color="auto" w:sz="4" w:space="0"/>
              <w:left w:val="single" w:color="auto" w:sz="4" w:space="0"/>
              <w:bottom w:val="single" w:color="auto" w:sz="4" w:space="0"/>
              <w:right w:val="single" w:color="auto" w:sz="4" w:space="0"/>
            </w:tcBorders>
            <w:vAlign w:val="center"/>
          </w:tcPr>
          <w:p w14:paraId="78F48CE6">
            <w:pPr>
              <w:adjustRightInd w:val="0"/>
              <w:snapToGrid w:val="0"/>
              <w:spacing w:line="440" w:lineRule="exact"/>
              <w:jc w:val="left"/>
              <w:rPr>
                <w:rFonts w:ascii="宋体" w:hAnsi="宋体" w:cs="宋体"/>
                <w:bCs/>
                <w:color w:val="auto"/>
                <w:szCs w:val="21"/>
                <w:highlight w:val="none"/>
              </w:rPr>
            </w:pPr>
            <w:r>
              <w:rPr>
                <w:rFonts w:hint="eastAsia" w:ascii="宋体" w:hAnsi="宋体" w:cs="宋体"/>
                <w:bCs/>
                <w:color w:val="auto"/>
                <w:szCs w:val="21"/>
                <w:highlight w:val="none"/>
              </w:rPr>
              <w:t>是</w:t>
            </w:r>
          </w:p>
        </w:tc>
      </w:tr>
      <w:tr w14:paraId="5FED6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2147" w:type="dxa"/>
            <w:gridSpan w:val="2"/>
            <w:tcBorders>
              <w:top w:val="single" w:color="auto" w:sz="4" w:space="0"/>
              <w:left w:val="single" w:color="auto" w:sz="4" w:space="0"/>
              <w:bottom w:val="single" w:color="auto" w:sz="4" w:space="0"/>
              <w:right w:val="single" w:color="auto" w:sz="4" w:space="0"/>
            </w:tcBorders>
            <w:vAlign w:val="center"/>
          </w:tcPr>
          <w:p w14:paraId="7E6D2B6D">
            <w:pPr>
              <w:widowControl/>
              <w:adjustRightInd w:val="0"/>
              <w:snapToGrid w:val="0"/>
              <w:spacing w:line="4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投标人资格要求</w:t>
            </w:r>
          </w:p>
        </w:tc>
        <w:tc>
          <w:tcPr>
            <w:tcW w:w="8099" w:type="dxa"/>
            <w:gridSpan w:val="5"/>
            <w:tcBorders>
              <w:top w:val="single" w:color="auto" w:sz="4" w:space="0"/>
              <w:left w:val="single" w:color="auto" w:sz="4" w:space="0"/>
              <w:bottom w:val="single" w:color="auto" w:sz="4" w:space="0"/>
              <w:right w:val="single" w:color="auto" w:sz="4" w:space="0"/>
            </w:tcBorders>
            <w:vAlign w:val="center"/>
          </w:tcPr>
          <w:p w14:paraId="6B183081">
            <w:pPr>
              <w:numPr>
                <w:ilvl w:val="0"/>
                <w:numId w:val="1"/>
              </w:numPr>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投标人要求：</w:t>
            </w:r>
          </w:p>
          <w:p w14:paraId="3D27E00C">
            <w:pPr>
              <w:numPr>
                <w:ilvl w:val="0"/>
                <w:numId w:val="0"/>
              </w:numPr>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（1）具有自然资源部门颁发的测绘乙级及以上资质；</w:t>
            </w:r>
          </w:p>
          <w:p w14:paraId="3DCAF21E">
            <w:pPr>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（2）项目负责人要求：须具有测绘专业中级</w:t>
            </w:r>
            <w:r>
              <w:rPr>
                <w:rFonts w:hint="eastAsia" w:ascii="宋体" w:hAnsi="宋体" w:cs="宋体"/>
                <w:color w:val="auto"/>
                <w:kern w:val="0"/>
                <w:szCs w:val="21"/>
                <w:highlight w:val="none"/>
                <w:lang w:val="en-US" w:eastAsia="zh-CN"/>
              </w:rPr>
              <w:t>及以上</w:t>
            </w:r>
            <w:r>
              <w:rPr>
                <w:rFonts w:hint="eastAsia" w:ascii="宋体" w:hAnsi="宋体" w:cs="宋体"/>
                <w:color w:val="auto"/>
                <w:kern w:val="0"/>
                <w:szCs w:val="21"/>
                <w:highlight w:val="none"/>
              </w:rPr>
              <w:t>职称。</w:t>
            </w:r>
          </w:p>
          <w:p w14:paraId="2DB746DC">
            <w:pPr>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2.信誉要求：投标人不得存在以下情形：</w:t>
            </w:r>
          </w:p>
          <w:p w14:paraId="6B263737">
            <w:pPr>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①被列入“信用中国”网站“失信被执行人”的；</w:t>
            </w:r>
          </w:p>
          <w:p w14:paraId="34213C42">
            <w:pPr>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②被列入“信用中国”网站“重大税收违法失信主体”的；</w:t>
            </w:r>
          </w:p>
          <w:p w14:paraId="7A116C71">
            <w:pPr>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③被列入“信用中国”网站“拖欠农民工工资失信联合惩戒对象名单”的；</w:t>
            </w:r>
          </w:p>
          <w:p w14:paraId="097A1B4C">
            <w:pPr>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④被列入“信用中国”网站 “严重失信主体名单”的；</w:t>
            </w:r>
          </w:p>
          <w:p w14:paraId="2C75E9FC">
            <w:pPr>
              <w:spacing w:line="440" w:lineRule="exact"/>
              <w:jc w:val="left"/>
              <w:rPr>
                <w:rFonts w:ascii="宋体" w:hAnsi="Courier New" w:cs="Times New Roman"/>
                <w:color w:val="auto"/>
                <w:kern w:val="0"/>
                <w:szCs w:val="24"/>
                <w:highlight w:val="none"/>
              </w:rPr>
            </w:pPr>
            <w:r>
              <w:rPr>
                <w:rFonts w:hint="eastAsia" w:ascii="宋体" w:hAnsi="宋体" w:cs="宋体"/>
                <w:color w:val="auto"/>
                <w:kern w:val="0"/>
                <w:szCs w:val="21"/>
                <w:highlight w:val="none"/>
              </w:rPr>
              <w:t>⑤在“信用中国”网站上披露的仍在公示期的严重失信行为(具体行为类别及判定依据见附件2)的；</w:t>
            </w:r>
          </w:p>
          <w:p w14:paraId="429E24F0">
            <w:pPr>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⑥被列入国家企业信用信息公示系统网站“经营异常名录”或者“严重违法失信名单”的；</w:t>
            </w:r>
          </w:p>
          <w:p w14:paraId="47FBF476">
            <w:pPr>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⑦前三年有行贿犯罪行为的单位和个人；</w:t>
            </w:r>
          </w:p>
          <w:p w14:paraId="27DE3493">
            <w:pPr>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⑧被滁州市县两级公管部门及各行业主管部门取消在一定期限内的投标资格且在取消期限内的；</w:t>
            </w:r>
          </w:p>
          <w:p w14:paraId="1293BFDA">
            <w:pPr>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⑨因拖欠农民工工资被县级及以上有关行政主管部门限制投标资格且在限制期限内的；</w:t>
            </w:r>
          </w:p>
          <w:p w14:paraId="4933B682">
            <w:pPr>
              <w:spacing w:line="440" w:lineRule="exact"/>
              <w:jc w:val="left"/>
              <w:rPr>
                <w:rFonts w:ascii="宋体" w:hAnsi="宋体" w:cs="宋体"/>
                <w:bCs/>
                <w:color w:val="auto"/>
                <w:szCs w:val="21"/>
                <w:highlight w:val="none"/>
              </w:rPr>
            </w:pPr>
            <w:r>
              <w:rPr>
                <w:rFonts w:hint="eastAsia" w:ascii="宋体" w:hAnsi="宋体" w:cs="宋体"/>
                <w:color w:val="auto"/>
                <w:kern w:val="0"/>
                <w:szCs w:val="21"/>
                <w:highlight w:val="none"/>
              </w:rPr>
              <w:t>⑩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tc>
      </w:tr>
      <w:tr w14:paraId="06644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47" w:type="dxa"/>
            <w:gridSpan w:val="2"/>
            <w:tcBorders>
              <w:top w:val="single" w:color="auto" w:sz="4" w:space="0"/>
              <w:left w:val="single" w:color="auto" w:sz="4" w:space="0"/>
              <w:bottom w:val="single" w:color="auto" w:sz="4" w:space="0"/>
              <w:right w:val="single" w:color="auto" w:sz="4" w:space="0"/>
            </w:tcBorders>
            <w:vAlign w:val="center"/>
          </w:tcPr>
          <w:p w14:paraId="31CBF737">
            <w:pPr>
              <w:widowControl/>
              <w:adjustRightInd w:val="0"/>
              <w:snapToGrid w:val="0"/>
              <w:spacing w:line="4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是否接受联合体投标</w:t>
            </w:r>
          </w:p>
        </w:tc>
        <w:tc>
          <w:tcPr>
            <w:tcW w:w="8099" w:type="dxa"/>
            <w:gridSpan w:val="5"/>
            <w:tcBorders>
              <w:top w:val="single" w:color="auto" w:sz="4" w:space="0"/>
              <w:left w:val="single" w:color="auto" w:sz="4" w:space="0"/>
              <w:bottom w:val="single" w:color="auto" w:sz="4" w:space="0"/>
              <w:right w:val="single" w:color="auto" w:sz="4" w:space="0"/>
            </w:tcBorders>
            <w:vAlign w:val="center"/>
          </w:tcPr>
          <w:p w14:paraId="78D7B5BF">
            <w:pPr>
              <w:widowControl/>
              <w:adjustRightInd w:val="0"/>
              <w:snapToGrid w:val="0"/>
              <w:spacing w:line="440" w:lineRule="exact"/>
              <w:jc w:val="left"/>
              <w:rPr>
                <w:rFonts w:ascii="宋体" w:hAnsi="宋体" w:cs="宋体"/>
                <w:color w:val="auto"/>
                <w:szCs w:val="21"/>
                <w:highlight w:val="none"/>
              </w:rPr>
            </w:pPr>
            <w:r>
              <w:rPr>
                <w:rFonts w:hint="eastAsia" w:ascii="宋体" w:hAnsi="宋体" w:cs="宋体"/>
                <w:color w:val="auto"/>
                <w:szCs w:val="21"/>
                <w:highlight w:val="none"/>
              </w:rPr>
              <w:t>本次招标不接受联合体投标</w:t>
            </w:r>
          </w:p>
        </w:tc>
      </w:tr>
      <w:tr w14:paraId="62605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2147" w:type="dxa"/>
            <w:gridSpan w:val="2"/>
            <w:tcBorders>
              <w:top w:val="single" w:color="auto" w:sz="4" w:space="0"/>
              <w:left w:val="single" w:color="auto" w:sz="4" w:space="0"/>
              <w:bottom w:val="single" w:color="auto" w:sz="4" w:space="0"/>
              <w:right w:val="single" w:color="auto" w:sz="4" w:space="0"/>
            </w:tcBorders>
            <w:vAlign w:val="center"/>
          </w:tcPr>
          <w:p w14:paraId="4FE3A054">
            <w:pPr>
              <w:widowControl/>
              <w:adjustRightInd w:val="0"/>
              <w:snapToGrid w:val="0"/>
              <w:spacing w:line="4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招标项目规模</w:t>
            </w:r>
          </w:p>
        </w:tc>
        <w:tc>
          <w:tcPr>
            <w:tcW w:w="8099" w:type="dxa"/>
            <w:gridSpan w:val="5"/>
            <w:tcBorders>
              <w:top w:val="single" w:color="auto" w:sz="4" w:space="0"/>
              <w:left w:val="single" w:color="auto" w:sz="4" w:space="0"/>
              <w:bottom w:val="single" w:color="auto" w:sz="4" w:space="0"/>
              <w:right w:val="single" w:color="auto" w:sz="4" w:space="0"/>
            </w:tcBorders>
            <w:vAlign w:val="center"/>
          </w:tcPr>
          <w:p w14:paraId="6A8A9AC4">
            <w:pPr>
              <w:widowControl/>
              <w:adjustRightInd w:val="0"/>
              <w:snapToGrid w:val="0"/>
              <w:spacing w:line="440" w:lineRule="exact"/>
              <w:jc w:val="left"/>
              <w:rPr>
                <w:rFonts w:ascii="宋体" w:hAnsi="宋体" w:cs="宋体"/>
                <w:color w:val="auto"/>
                <w:szCs w:val="21"/>
                <w:highlight w:val="none"/>
              </w:rPr>
            </w:pPr>
            <w:r>
              <w:rPr>
                <w:rFonts w:hint="eastAsia" w:ascii="宋体" w:hAnsi="宋体" w:cs="宋体"/>
                <w:color w:val="auto"/>
                <w:szCs w:val="21"/>
                <w:highlight w:val="none"/>
              </w:rPr>
              <w:t>滁州铜鑫矿业有限责任公司尾矿库闭库工程第三方测绘服务，包含技术设计书、过程检测报（月报）、最终成果报告、图件成果、具有法律效力的测绘报告（如分项工程量报告等）。</w:t>
            </w:r>
          </w:p>
        </w:tc>
      </w:tr>
      <w:tr w14:paraId="35BDB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47" w:type="dxa"/>
            <w:gridSpan w:val="2"/>
            <w:tcBorders>
              <w:top w:val="single" w:color="auto" w:sz="4" w:space="0"/>
              <w:left w:val="single" w:color="auto" w:sz="4" w:space="0"/>
              <w:bottom w:val="single" w:color="auto" w:sz="4" w:space="0"/>
              <w:right w:val="single" w:color="auto" w:sz="4" w:space="0"/>
            </w:tcBorders>
            <w:vAlign w:val="center"/>
          </w:tcPr>
          <w:p w14:paraId="24539221">
            <w:pPr>
              <w:widowControl/>
              <w:adjustRightInd w:val="0"/>
              <w:snapToGrid w:val="0"/>
              <w:spacing w:line="4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招标项目内容范围</w:t>
            </w:r>
          </w:p>
        </w:tc>
        <w:tc>
          <w:tcPr>
            <w:tcW w:w="8099" w:type="dxa"/>
            <w:gridSpan w:val="5"/>
            <w:tcBorders>
              <w:top w:val="single" w:color="auto" w:sz="4" w:space="0"/>
              <w:left w:val="single" w:color="auto" w:sz="4" w:space="0"/>
              <w:bottom w:val="single" w:color="auto" w:sz="4" w:space="0"/>
              <w:right w:val="single" w:color="auto" w:sz="4" w:space="0"/>
            </w:tcBorders>
            <w:vAlign w:val="center"/>
          </w:tcPr>
          <w:p w14:paraId="3519B190">
            <w:pPr>
              <w:widowControl/>
              <w:adjustRightInd w:val="0"/>
              <w:snapToGrid w:val="0"/>
              <w:spacing w:line="440" w:lineRule="exact"/>
              <w:jc w:val="left"/>
              <w:rPr>
                <w:rFonts w:ascii="宋体" w:hAnsi="宋体" w:cs="宋体"/>
                <w:color w:val="auto"/>
                <w:kern w:val="0"/>
                <w:szCs w:val="21"/>
                <w:highlight w:val="none"/>
              </w:rPr>
            </w:pPr>
            <w:r>
              <w:rPr>
                <w:rFonts w:hint="eastAsia" w:ascii="宋体" w:hAnsi="宋体" w:cs="宋体"/>
                <w:color w:val="auto"/>
                <w:szCs w:val="21"/>
                <w:highlight w:val="none"/>
              </w:rPr>
              <w:t>滁州铜鑫矿业有限责任公司尾矿库闭库工程, 内容包括测绘等内容。详见施工图纸。</w:t>
            </w:r>
          </w:p>
        </w:tc>
      </w:tr>
      <w:tr w14:paraId="5BDCF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47" w:type="dxa"/>
            <w:gridSpan w:val="2"/>
            <w:tcBorders>
              <w:top w:val="single" w:color="auto" w:sz="4" w:space="0"/>
              <w:left w:val="single" w:color="auto" w:sz="4" w:space="0"/>
              <w:bottom w:val="single" w:color="auto" w:sz="4" w:space="0"/>
              <w:right w:val="single" w:color="auto" w:sz="4" w:space="0"/>
            </w:tcBorders>
            <w:vAlign w:val="center"/>
          </w:tcPr>
          <w:p w14:paraId="4A06C13F">
            <w:pPr>
              <w:widowControl/>
              <w:adjustRightInd w:val="0"/>
              <w:snapToGrid w:val="0"/>
              <w:spacing w:line="4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招标公告发布时间</w:t>
            </w:r>
          </w:p>
        </w:tc>
        <w:tc>
          <w:tcPr>
            <w:tcW w:w="8099" w:type="dxa"/>
            <w:gridSpan w:val="5"/>
            <w:tcBorders>
              <w:top w:val="single" w:color="auto" w:sz="4" w:space="0"/>
              <w:left w:val="single" w:color="auto" w:sz="4" w:space="0"/>
              <w:bottom w:val="single" w:color="auto" w:sz="4" w:space="0"/>
              <w:right w:val="single" w:color="auto" w:sz="4" w:space="0"/>
            </w:tcBorders>
            <w:vAlign w:val="center"/>
          </w:tcPr>
          <w:p w14:paraId="0030669B">
            <w:pPr>
              <w:spacing w:line="440" w:lineRule="exact"/>
              <w:jc w:val="left"/>
              <w:rPr>
                <w:rFonts w:hint="default" w:ascii="宋体" w:hAnsi="宋体" w:eastAsia="宋体" w:cs="宋体"/>
                <w:b/>
                <w:bCs/>
                <w:color w:val="auto"/>
                <w:szCs w:val="21"/>
                <w:highlight w:val="none"/>
                <w:lang w:val="en-US" w:eastAsia="zh-CN"/>
              </w:rPr>
            </w:pPr>
            <w:r>
              <w:rPr>
                <w:rFonts w:hint="eastAsia" w:ascii="宋体" w:hAnsi="宋体" w:cs="宋体"/>
                <w:b/>
                <w:bCs/>
                <w:color w:val="auto"/>
                <w:szCs w:val="21"/>
                <w:highlight w:val="none"/>
              </w:rPr>
              <w:t>2026年</w:t>
            </w:r>
            <w:r>
              <w:rPr>
                <w:rFonts w:hint="eastAsia" w:ascii="宋体" w:hAnsi="宋体" w:cs="宋体"/>
                <w:b/>
                <w:bCs/>
                <w:color w:val="auto"/>
                <w:szCs w:val="21"/>
                <w:highlight w:val="none"/>
                <w:lang w:val="en-US" w:eastAsia="zh-CN"/>
              </w:rPr>
              <w:t>2</w:t>
            </w:r>
            <w:r>
              <w:rPr>
                <w:rFonts w:hint="eastAsia" w:ascii="宋体" w:hAnsi="宋体" w:cs="宋体"/>
                <w:b/>
                <w:bCs/>
                <w:color w:val="auto"/>
                <w:szCs w:val="21"/>
                <w:highlight w:val="none"/>
              </w:rPr>
              <w:t>月</w:t>
            </w:r>
            <w:r>
              <w:rPr>
                <w:rFonts w:hint="eastAsia" w:ascii="宋体" w:hAnsi="宋体" w:cs="宋体"/>
                <w:b/>
                <w:bCs/>
                <w:color w:val="auto"/>
                <w:szCs w:val="21"/>
                <w:highlight w:val="none"/>
                <w:lang w:val="en-US" w:eastAsia="zh-CN"/>
              </w:rPr>
              <w:t>10日</w:t>
            </w:r>
          </w:p>
        </w:tc>
      </w:tr>
      <w:tr w14:paraId="47961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47" w:type="dxa"/>
            <w:gridSpan w:val="2"/>
            <w:tcBorders>
              <w:top w:val="single" w:color="auto" w:sz="4" w:space="0"/>
              <w:left w:val="single" w:color="auto" w:sz="4" w:space="0"/>
              <w:bottom w:val="single" w:color="auto" w:sz="4" w:space="0"/>
              <w:right w:val="single" w:color="auto" w:sz="4" w:space="0"/>
            </w:tcBorders>
            <w:vAlign w:val="center"/>
          </w:tcPr>
          <w:p w14:paraId="48101B8E">
            <w:pPr>
              <w:widowControl/>
              <w:adjustRightInd w:val="0"/>
              <w:snapToGri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递交投标文件的</w:t>
            </w:r>
          </w:p>
          <w:p w14:paraId="2CFDED94">
            <w:pPr>
              <w:widowControl/>
              <w:adjustRightInd w:val="0"/>
              <w:snapToGrid w:val="0"/>
              <w:spacing w:line="440" w:lineRule="exact"/>
              <w:jc w:val="center"/>
              <w:rPr>
                <w:rFonts w:ascii="宋体" w:hAnsi="宋体" w:cs="宋体"/>
                <w:color w:val="auto"/>
                <w:kern w:val="0"/>
                <w:szCs w:val="21"/>
                <w:highlight w:val="none"/>
              </w:rPr>
            </w:pPr>
            <w:r>
              <w:rPr>
                <w:rFonts w:hint="eastAsia" w:ascii="宋体" w:hAnsi="宋体" w:cs="宋体"/>
                <w:color w:val="auto"/>
                <w:szCs w:val="21"/>
                <w:highlight w:val="none"/>
              </w:rPr>
              <w:t>截止时间</w:t>
            </w:r>
          </w:p>
        </w:tc>
        <w:tc>
          <w:tcPr>
            <w:tcW w:w="8099" w:type="dxa"/>
            <w:gridSpan w:val="5"/>
            <w:tcBorders>
              <w:top w:val="single" w:color="auto" w:sz="4" w:space="0"/>
              <w:left w:val="single" w:color="auto" w:sz="4" w:space="0"/>
              <w:bottom w:val="single" w:color="auto" w:sz="4" w:space="0"/>
              <w:right w:val="single" w:color="auto" w:sz="4" w:space="0"/>
            </w:tcBorders>
            <w:vAlign w:val="center"/>
          </w:tcPr>
          <w:p w14:paraId="24901C30">
            <w:pPr>
              <w:spacing w:line="440" w:lineRule="exact"/>
              <w:jc w:val="left"/>
              <w:rPr>
                <w:rFonts w:ascii="宋体" w:hAnsi="宋体" w:cs="宋体"/>
                <w:b/>
                <w:bCs/>
                <w:color w:val="auto"/>
                <w:szCs w:val="21"/>
                <w:highlight w:val="none"/>
              </w:rPr>
            </w:pPr>
            <w:r>
              <w:rPr>
                <w:rFonts w:hint="eastAsia" w:ascii="宋体" w:hAnsi="宋体" w:cs="宋体"/>
                <w:b/>
                <w:bCs/>
                <w:color w:val="auto"/>
                <w:szCs w:val="21"/>
                <w:highlight w:val="none"/>
              </w:rPr>
              <w:t>2026年</w:t>
            </w:r>
            <w:r>
              <w:rPr>
                <w:rFonts w:hint="eastAsia" w:ascii="宋体" w:hAnsi="宋体" w:cs="宋体"/>
                <w:b/>
                <w:bCs/>
                <w:color w:val="auto"/>
                <w:szCs w:val="21"/>
                <w:highlight w:val="none"/>
                <w:lang w:val="en-US" w:eastAsia="zh-CN"/>
              </w:rPr>
              <w:t>2</w:t>
            </w:r>
            <w:r>
              <w:rPr>
                <w:rFonts w:hint="eastAsia" w:ascii="宋体" w:hAnsi="宋体" w:cs="宋体"/>
                <w:b/>
                <w:bCs/>
                <w:color w:val="auto"/>
                <w:szCs w:val="21"/>
                <w:highlight w:val="none"/>
              </w:rPr>
              <w:t>月</w:t>
            </w:r>
            <w:r>
              <w:rPr>
                <w:rFonts w:hint="eastAsia" w:ascii="宋体" w:hAnsi="宋体" w:cs="宋体"/>
                <w:b/>
                <w:bCs/>
                <w:color w:val="auto"/>
                <w:szCs w:val="21"/>
                <w:highlight w:val="none"/>
                <w:lang w:val="en-US" w:eastAsia="zh-CN"/>
              </w:rPr>
              <w:t>14</w:t>
            </w:r>
            <w:r>
              <w:rPr>
                <w:rFonts w:hint="eastAsia" w:ascii="宋体" w:hAnsi="宋体" w:cs="宋体"/>
                <w:b/>
                <w:bCs/>
                <w:color w:val="auto"/>
                <w:szCs w:val="21"/>
                <w:highlight w:val="none"/>
              </w:rPr>
              <w:t>日</w:t>
            </w:r>
            <w:r>
              <w:rPr>
                <w:rFonts w:hint="eastAsia" w:ascii="宋体" w:hAnsi="宋体" w:cs="宋体"/>
                <w:b/>
                <w:bCs/>
                <w:color w:val="auto"/>
                <w:szCs w:val="21"/>
                <w:highlight w:val="none"/>
                <w:lang w:val="en-US" w:eastAsia="zh-CN"/>
              </w:rPr>
              <w:t>9</w:t>
            </w:r>
            <w:r>
              <w:rPr>
                <w:rFonts w:hint="eastAsia" w:ascii="宋体" w:hAnsi="宋体" w:cs="宋体"/>
                <w:b/>
                <w:bCs/>
                <w:color w:val="auto"/>
                <w:szCs w:val="21"/>
                <w:highlight w:val="none"/>
              </w:rPr>
              <w:t>时</w:t>
            </w:r>
            <w:r>
              <w:rPr>
                <w:rFonts w:hint="eastAsia" w:ascii="宋体" w:hAnsi="宋体" w:cs="宋体"/>
                <w:b/>
                <w:bCs/>
                <w:color w:val="auto"/>
                <w:szCs w:val="21"/>
                <w:highlight w:val="none"/>
                <w:lang w:val="en-US" w:eastAsia="zh-CN"/>
              </w:rPr>
              <w:t>0</w:t>
            </w:r>
            <w:r>
              <w:rPr>
                <w:rFonts w:hint="eastAsia" w:ascii="宋体" w:hAnsi="宋体" w:cs="宋体"/>
                <w:b/>
                <w:bCs/>
                <w:color w:val="auto"/>
                <w:szCs w:val="21"/>
                <w:highlight w:val="none"/>
              </w:rPr>
              <w:t>0分(北京时间)</w:t>
            </w:r>
          </w:p>
        </w:tc>
      </w:tr>
      <w:tr w14:paraId="55375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47" w:type="dxa"/>
            <w:gridSpan w:val="2"/>
            <w:tcBorders>
              <w:top w:val="single" w:color="auto" w:sz="4" w:space="0"/>
              <w:left w:val="single" w:color="auto" w:sz="4" w:space="0"/>
              <w:bottom w:val="single" w:color="auto" w:sz="4" w:space="0"/>
              <w:right w:val="single" w:color="auto" w:sz="4" w:space="0"/>
            </w:tcBorders>
            <w:vAlign w:val="center"/>
          </w:tcPr>
          <w:p w14:paraId="48DE4D25">
            <w:pPr>
              <w:widowControl/>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投标文件递交的方式</w:t>
            </w:r>
          </w:p>
        </w:tc>
        <w:tc>
          <w:tcPr>
            <w:tcW w:w="8099" w:type="dxa"/>
            <w:gridSpan w:val="5"/>
            <w:tcBorders>
              <w:top w:val="single" w:color="auto" w:sz="4" w:space="0"/>
              <w:left w:val="single" w:color="auto" w:sz="4" w:space="0"/>
              <w:bottom w:val="single" w:color="auto" w:sz="4" w:space="0"/>
              <w:right w:val="single" w:color="auto" w:sz="4" w:space="0"/>
            </w:tcBorders>
            <w:vAlign w:val="center"/>
          </w:tcPr>
          <w:p w14:paraId="7EF67A45">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本项目仅接受加密电子投标文件投标人在投标截止时间前通过新点电子交易平台【滁州专区】</w:t>
            </w:r>
          </w:p>
          <w:p w14:paraId="24557C0D">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（https://www.etrading.cn/BREpointSSO/login/oauth2login?regioncode=DQ_ChuZhou）交易系统递交电子投标文件。</w:t>
            </w:r>
          </w:p>
          <w:p w14:paraId="0169FBE3">
            <w:pPr>
              <w:spacing w:line="400" w:lineRule="exact"/>
              <w:jc w:val="left"/>
              <w:rPr>
                <w:rFonts w:hint="eastAsia" w:ascii="宋体" w:hAnsi="宋体" w:cs="宋体"/>
                <w:b/>
                <w:bCs/>
                <w:color w:val="auto"/>
                <w:szCs w:val="21"/>
                <w:highlight w:val="none"/>
              </w:rPr>
            </w:pPr>
            <w:r>
              <w:rPr>
                <w:rFonts w:hint="eastAsia" w:ascii="宋体" w:hAnsi="宋体" w:cs="宋体"/>
                <w:color w:val="auto"/>
                <w:szCs w:val="21"/>
                <w:highlight w:val="none"/>
              </w:rPr>
              <w:t>网上开标，投标人登录滁州市城投工程咨询有限公司不见面开标系统参与网上开标（网址：http://js.etrading.cn/EpointBidOpening/bidopeninghallaction/hall/login）</w:t>
            </w:r>
          </w:p>
        </w:tc>
      </w:tr>
      <w:tr w14:paraId="58EBA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2147" w:type="dxa"/>
            <w:gridSpan w:val="2"/>
            <w:tcBorders>
              <w:top w:val="single" w:color="auto" w:sz="4" w:space="0"/>
              <w:left w:val="single" w:color="auto" w:sz="4" w:space="0"/>
              <w:bottom w:val="single" w:color="auto" w:sz="4" w:space="0"/>
              <w:right w:val="single" w:color="auto" w:sz="4" w:space="0"/>
            </w:tcBorders>
            <w:vAlign w:val="center"/>
          </w:tcPr>
          <w:p w14:paraId="637B2E06">
            <w:pPr>
              <w:widowControl/>
              <w:adjustRightInd w:val="0"/>
              <w:snapToGrid w:val="0"/>
              <w:spacing w:line="440" w:lineRule="exact"/>
              <w:jc w:val="center"/>
              <w:rPr>
                <w:rFonts w:ascii="宋体" w:hAnsi="宋体" w:cs="宋体"/>
                <w:color w:val="auto"/>
                <w:kern w:val="0"/>
                <w:szCs w:val="21"/>
                <w:highlight w:val="none"/>
              </w:rPr>
            </w:pPr>
            <w:r>
              <w:rPr>
                <w:rFonts w:hint="eastAsia" w:ascii="宋体" w:hAnsi="宋体" w:cs="宋体"/>
                <w:color w:val="auto"/>
                <w:szCs w:val="21"/>
                <w:highlight w:val="none"/>
              </w:rPr>
              <w:t>开标时间</w:t>
            </w:r>
          </w:p>
        </w:tc>
        <w:tc>
          <w:tcPr>
            <w:tcW w:w="8099" w:type="dxa"/>
            <w:gridSpan w:val="5"/>
            <w:tcBorders>
              <w:top w:val="single" w:color="auto" w:sz="4" w:space="0"/>
              <w:left w:val="single" w:color="auto" w:sz="4" w:space="0"/>
              <w:bottom w:val="single" w:color="auto" w:sz="4" w:space="0"/>
              <w:right w:val="single" w:color="auto" w:sz="4" w:space="0"/>
            </w:tcBorders>
            <w:vAlign w:val="center"/>
          </w:tcPr>
          <w:p w14:paraId="07A17AAB">
            <w:pPr>
              <w:spacing w:line="440" w:lineRule="exact"/>
              <w:jc w:val="left"/>
              <w:rPr>
                <w:rFonts w:ascii="宋体" w:hAnsi="宋体" w:cs="宋体"/>
                <w:b/>
                <w:bCs/>
                <w:color w:val="auto"/>
                <w:szCs w:val="21"/>
                <w:highlight w:val="none"/>
              </w:rPr>
            </w:pPr>
            <w:r>
              <w:rPr>
                <w:rFonts w:hint="eastAsia" w:ascii="宋体" w:hAnsi="宋体" w:cs="宋体"/>
                <w:b/>
                <w:bCs/>
                <w:color w:val="auto"/>
                <w:szCs w:val="21"/>
                <w:highlight w:val="none"/>
              </w:rPr>
              <w:t>2026年</w:t>
            </w:r>
            <w:r>
              <w:rPr>
                <w:rFonts w:hint="eastAsia" w:ascii="宋体" w:hAnsi="宋体" w:cs="宋体"/>
                <w:b/>
                <w:bCs/>
                <w:color w:val="auto"/>
                <w:szCs w:val="21"/>
                <w:highlight w:val="none"/>
                <w:lang w:val="en-US" w:eastAsia="zh-CN"/>
              </w:rPr>
              <w:t>2</w:t>
            </w:r>
            <w:r>
              <w:rPr>
                <w:rFonts w:hint="eastAsia" w:ascii="宋体" w:hAnsi="宋体" w:cs="宋体"/>
                <w:b/>
                <w:bCs/>
                <w:color w:val="auto"/>
                <w:szCs w:val="21"/>
                <w:highlight w:val="none"/>
              </w:rPr>
              <w:t>月</w:t>
            </w:r>
            <w:r>
              <w:rPr>
                <w:rFonts w:hint="eastAsia" w:ascii="宋体" w:hAnsi="宋体" w:cs="宋体"/>
                <w:b/>
                <w:bCs/>
                <w:color w:val="auto"/>
                <w:szCs w:val="21"/>
                <w:highlight w:val="none"/>
                <w:lang w:val="en-US" w:eastAsia="zh-CN"/>
              </w:rPr>
              <w:t>14</w:t>
            </w:r>
            <w:r>
              <w:rPr>
                <w:rFonts w:hint="eastAsia" w:ascii="宋体" w:hAnsi="宋体" w:cs="宋体"/>
                <w:b/>
                <w:bCs/>
                <w:color w:val="auto"/>
                <w:szCs w:val="21"/>
                <w:highlight w:val="none"/>
              </w:rPr>
              <w:t>日</w:t>
            </w:r>
            <w:r>
              <w:rPr>
                <w:rFonts w:hint="eastAsia" w:ascii="宋体" w:hAnsi="宋体" w:cs="宋体"/>
                <w:b/>
                <w:bCs/>
                <w:color w:val="auto"/>
                <w:szCs w:val="21"/>
                <w:highlight w:val="none"/>
                <w:lang w:val="en-US" w:eastAsia="zh-CN"/>
              </w:rPr>
              <w:t>9</w:t>
            </w:r>
            <w:r>
              <w:rPr>
                <w:rFonts w:hint="eastAsia" w:ascii="宋体" w:hAnsi="宋体" w:cs="宋体"/>
                <w:b/>
                <w:bCs/>
                <w:color w:val="auto"/>
                <w:szCs w:val="21"/>
                <w:highlight w:val="none"/>
              </w:rPr>
              <w:t>时</w:t>
            </w:r>
            <w:r>
              <w:rPr>
                <w:rFonts w:hint="eastAsia" w:ascii="宋体" w:hAnsi="宋体" w:cs="宋体"/>
                <w:b/>
                <w:bCs/>
                <w:color w:val="auto"/>
                <w:szCs w:val="21"/>
                <w:highlight w:val="none"/>
                <w:lang w:val="en-US" w:eastAsia="zh-CN"/>
              </w:rPr>
              <w:t>0</w:t>
            </w:r>
            <w:r>
              <w:rPr>
                <w:rFonts w:hint="eastAsia" w:ascii="宋体" w:hAnsi="宋体" w:cs="宋体"/>
                <w:b/>
                <w:bCs/>
                <w:color w:val="auto"/>
                <w:szCs w:val="21"/>
                <w:highlight w:val="none"/>
              </w:rPr>
              <w:t>0分(北京时间)</w:t>
            </w:r>
          </w:p>
        </w:tc>
      </w:tr>
      <w:tr w14:paraId="27B5D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47" w:type="dxa"/>
            <w:gridSpan w:val="2"/>
            <w:tcBorders>
              <w:top w:val="single" w:color="auto" w:sz="4" w:space="0"/>
              <w:left w:val="single" w:color="auto" w:sz="4" w:space="0"/>
              <w:bottom w:val="single" w:color="auto" w:sz="4" w:space="0"/>
              <w:right w:val="single" w:color="auto" w:sz="4" w:space="0"/>
            </w:tcBorders>
            <w:vAlign w:val="center"/>
          </w:tcPr>
          <w:p w14:paraId="63848D05">
            <w:pPr>
              <w:widowControl/>
              <w:adjustRightInd w:val="0"/>
              <w:snapToGrid w:val="0"/>
              <w:spacing w:line="440" w:lineRule="exact"/>
              <w:jc w:val="center"/>
              <w:rPr>
                <w:rFonts w:ascii="宋体" w:hAnsi="宋体" w:cs="宋体"/>
                <w:color w:val="auto"/>
                <w:kern w:val="0"/>
                <w:szCs w:val="21"/>
                <w:highlight w:val="none"/>
              </w:rPr>
            </w:pPr>
            <w:r>
              <w:rPr>
                <w:rFonts w:hint="eastAsia" w:ascii="宋体" w:hAnsi="宋体" w:cs="宋体"/>
                <w:color w:val="auto"/>
                <w:szCs w:val="21"/>
                <w:highlight w:val="none"/>
              </w:rPr>
              <w:t>开标地点</w:t>
            </w:r>
          </w:p>
        </w:tc>
        <w:tc>
          <w:tcPr>
            <w:tcW w:w="8099" w:type="dxa"/>
            <w:gridSpan w:val="5"/>
            <w:tcBorders>
              <w:top w:val="single" w:color="auto" w:sz="4" w:space="0"/>
              <w:left w:val="single" w:color="auto" w:sz="4" w:space="0"/>
              <w:bottom w:val="single" w:color="auto" w:sz="4" w:space="0"/>
              <w:right w:val="single" w:color="auto" w:sz="4" w:space="0"/>
            </w:tcBorders>
            <w:vAlign w:val="center"/>
          </w:tcPr>
          <w:p w14:paraId="6F22DE44">
            <w:pPr>
              <w:spacing w:line="440" w:lineRule="exact"/>
              <w:jc w:val="left"/>
              <w:rPr>
                <w:rFonts w:ascii="宋体" w:hAnsi="宋体" w:cs="宋体"/>
                <w:color w:val="auto"/>
                <w:kern w:val="0"/>
                <w:szCs w:val="21"/>
                <w:highlight w:val="none"/>
              </w:rPr>
            </w:pPr>
            <w:r>
              <w:rPr>
                <w:rFonts w:hint="eastAsia" w:ascii="宋体" w:hAnsi="宋体" w:cs="宋体"/>
                <w:b/>
                <w:bCs/>
                <w:color w:val="auto"/>
                <w:szCs w:val="21"/>
                <w:highlight w:val="none"/>
              </w:rPr>
              <w:t>网上开标</w:t>
            </w:r>
          </w:p>
        </w:tc>
      </w:tr>
      <w:tr w14:paraId="392CB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47" w:type="dxa"/>
            <w:gridSpan w:val="2"/>
            <w:tcBorders>
              <w:top w:val="single" w:color="auto" w:sz="4" w:space="0"/>
              <w:left w:val="single" w:color="auto" w:sz="4" w:space="0"/>
              <w:bottom w:val="single" w:color="auto" w:sz="4" w:space="0"/>
              <w:right w:val="single" w:color="auto" w:sz="4" w:space="0"/>
            </w:tcBorders>
            <w:vAlign w:val="center"/>
          </w:tcPr>
          <w:p w14:paraId="05AC17E9">
            <w:pPr>
              <w:widowControl/>
              <w:adjustRightInd w:val="0"/>
              <w:snapToGrid w:val="0"/>
              <w:spacing w:line="440" w:lineRule="exact"/>
              <w:jc w:val="center"/>
              <w:rPr>
                <w:rFonts w:ascii="宋体" w:hAnsi="宋体" w:cs="宋体"/>
                <w:color w:val="auto"/>
                <w:kern w:val="0"/>
                <w:szCs w:val="21"/>
                <w:highlight w:val="none"/>
              </w:rPr>
            </w:pPr>
            <w:r>
              <w:rPr>
                <w:rFonts w:hint="eastAsia" w:ascii="宋体" w:hAnsi="宋体" w:cs="宋体"/>
                <w:color w:val="auto"/>
                <w:szCs w:val="21"/>
                <w:highlight w:val="none"/>
              </w:rPr>
              <w:t>招标文件售价</w:t>
            </w:r>
          </w:p>
        </w:tc>
        <w:tc>
          <w:tcPr>
            <w:tcW w:w="8099" w:type="dxa"/>
            <w:gridSpan w:val="5"/>
            <w:tcBorders>
              <w:top w:val="single" w:color="auto" w:sz="4" w:space="0"/>
              <w:left w:val="single" w:color="auto" w:sz="4" w:space="0"/>
              <w:bottom w:val="single" w:color="auto" w:sz="4" w:space="0"/>
              <w:right w:val="single" w:color="auto" w:sz="4" w:space="0"/>
            </w:tcBorders>
            <w:vAlign w:val="center"/>
          </w:tcPr>
          <w:p w14:paraId="361E082F">
            <w:pPr>
              <w:widowControl/>
              <w:adjustRightInd w:val="0"/>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0元</w:t>
            </w:r>
          </w:p>
        </w:tc>
      </w:tr>
      <w:tr w14:paraId="2EDB4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46" w:type="dxa"/>
            <w:gridSpan w:val="7"/>
            <w:tcBorders>
              <w:top w:val="single" w:color="auto" w:sz="4" w:space="0"/>
              <w:left w:val="single" w:color="auto" w:sz="4" w:space="0"/>
              <w:bottom w:val="single" w:color="auto" w:sz="4" w:space="0"/>
              <w:right w:val="single" w:color="auto" w:sz="4" w:space="0"/>
            </w:tcBorders>
            <w:vAlign w:val="center"/>
          </w:tcPr>
          <w:p w14:paraId="02B32D3E">
            <w:pPr>
              <w:adjustRightInd w:val="0"/>
              <w:snapToGrid w:val="0"/>
              <w:spacing w:line="4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信  息  内  容</w:t>
            </w:r>
          </w:p>
        </w:tc>
      </w:tr>
      <w:tr w14:paraId="33523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2" w:type="dxa"/>
            <w:tcBorders>
              <w:top w:val="single" w:color="auto" w:sz="4" w:space="0"/>
              <w:left w:val="single" w:color="auto" w:sz="4" w:space="0"/>
              <w:bottom w:val="single" w:color="auto" w:sz="4" w:space="0"/>
              <w:right w:val="single" w:color="auto" w:sz="4" w:space="0"/>
            </w:tcBorders>
            <w:vAlign w:val="center"/>
          </w:tcPr>
          <w:p w14:paraId="2DB1432E">
            <w:pPr>
              <w:adjustRightInd w:val="0"/>
              <w:snapToGri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评标办法</w:t>
            </w:r>
          </w:p>
        </w:tc>
        <w:tc>
          <w:tcPr>
            <w:tcW w:w="3126" w:type="dxa"/>
            <w:gridSpan w:val="3"/>
            <w:tcBorders>
              <w:top w:val="single" w:color="auto" w:sz="4" w:space="0"/>
              <w:left w:val="single" w:color="auto" w:sz="4" w:space="0"/>
              <w:bottom w:val="single" w:color="auto" w:sz="4" w:space="0"/>
              <w:right w:val="single" w:color="auto" w:sz="4" w:space="0"/>
            </w:tcBorders>
            <w:vAlign w:val="center"/>
          </w:tcPr>
          <w:p w14:paraId="046AF9E8">
            <w:pPr>
              <w:adjustRightInd w:val="0"/>
              <w:snapToGri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综合评估法</w:t>
            </w:r>
          </w:p>
        </w:tc>
        <w:tc>
          <w:tcPr>
            <w:tcW w:w="2648" w:type="dxa"/>
            <w:gridSpan w:val="2"/>
            <w:tcBorders>
              <w:top w:val="single" w:color="auto" w:sz="4" w:space="0"/>
              <w:left w:val="single" w:color="auto" w:sz="4" w:space="0"/>
              <w:bottom w:val="single" w:color="auto" w:sz="4" w:space="0"/>
              <w:right w:val="single" w:color="auto" w:sz="4" w:space="0"/>
            </w:tcBorders>
            <w:vAlign w:val="center"/>
          </w:tcPr>
          <w:p w14:paraId="1701E39E">
            <w:pPr>
              <w:adjustRightInd w:val="0"/>
              <w:snapToGrid w:val="0"/>
              <w:spacing w:line="440" w:lineRule="exact"/>
              <w:jc w:val="center"/>
              <w:rPr>
                <w:rFonts w:ascii="宋体" w:hAnsi="宋体" w:cs="宋体"/>
                <w:color w:val="auto"/>
                <w:szCs w:val="21"/>
                <w:highlight w:val="none"/>
              </w:rPr>
            </w:pPr>
            <w:r>
              <w:rPr>
                <w:rFonts w:hint="eastAsia" w:ascii="宋体" w:hAnsi="宋体" w:cs="宋体"/>
                <w:color w:val="auto"/>
                <w:kern w:val="0"/>
                <w:szCs w:val="21"/>
                <w:highlight w:val="none"/>
              </w:rPr>
              <w:t>工程款支付方式</w:t>
            </w:r>
          </w:p>
        </w:tc>
        <w:tc>
          <w:tcPr>
            <w:tcW w:w="3000" w:type="dxa"/>
            <w:tcBorders>
              <w:top w:val="single" w:color="auto" w:sz="4" w:space="0"/>
              <w:left w:val="single" w:color="auto" w:sz="4" w:space="0"/>
              <w:bottom w:val="single" w:color="auto" w:sz="4" w:space="0"/>
              <w:right w:val="single" w:color="auto" w:sz="4" w:space="0"/>
            </w:tcBorders>
            <w:vAlign w:val="center"/>
          </w:tcPr>
          <w:p w14:paraId="3E85EFED">
            <w:pPr>
              <w:adjustRightInd w:val="0"/>
              <w:snapToGri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详见招标文件</w:t>
            </w:r>
          </w:p>
        </w:tc>
      </w:tr>
      <w:tr w14:paraId="70F67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2" w:type="dxa"/>
            <w:tcBorders>
              <w:top w:val="single" w:color="auto" w:sz="4" w:space="0"/>
              <w:left w:val="single" w:color="auto" w:sz="4" w:space="0"/>
              <w:bottom w:val="single" w:color="auto" w:sz="4" w:space="0"/>
              <w:right w:val="single" w:color="auto" w:sz="4" w:space="0"/>
            </w:tcBorders>
            <w:vAlign w:val="center"/>
          </w:tcPr>
          <w:p w14:paraId="73B632A6">
            <w:pPr>
              <w:adjustRightInd w:val="0"/>
              <w:snapToGri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工程概算</w:t>
            </w:r>
          </w:p>
        </w:tc>
        <w:tc>
          <w:tcPr>
            <w:tcW w:w="3126" w:type="dxa"/>
            <w:gridSpan w:val="3"/>
            <w:tcBorders>
              <w:top w:val="single" w:color="auto" w:sz="4" w:space="0"/>
              <w:left w:val="single" w:color="auto" w:sz="4" w:space="0"/>
              <w:bottom w:val="single" w:color="auto" w:sz="4" w:space="0"/>
              <w:right w:val="single" w:color="auto" w:sz="4" w:space="0"/>
            </w:tcBorders>
            <w:vAlign w:val="center"/>
          </w:tcPr>
          <w:p w14:paraId="2FC20411">
            <w:pPr>
              <w:adjustRightInd w:val="0"/>
              <w:snapToGri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测绘费用40000.0元（不含税）</w:t>
            </w:r>
          </w:p>
        </w:tc>
        <w:tc>
          <w:tcPr>
            <w:tcW w:w="2648" w:type="dxa"/>
            <w:gridSpan w:val="2"/>
            <w:tcBorders>
              <w:top w:val="single" w:color="auto" w:sz="4" w:space="0"/>
              <w:left w:val="single" w:color="auto" w:sz="4" w:space="0"/>
              <w:bottom w:val="single" w:color="auto" w:sz="4" w:space="0"/>
              <w:right w:val="single" w:color="auto" w:sz="4" w:space="0"/>
            </w:tcBorders>
            <w:vAlign w:val="center"/>
          </w:tcPr>
          <w:p w14:paraId="4122BA18">
            <w:pPr>
              <w:adjustRightInd w:val="0"/>
              <w:snapToGrid w:val="0"/>
              <w:spacing w:line="4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服务期限</w:t>
            </w:r>
          </w:p>
        </w:tc>
        <w:tc>
          <w:tcPr>
            <w:tcW w:w="3000" w:type="dxa"/>
            <w:tcBorders>
              <w:top w:val="single" w:color="auto" w:sz="4" w:space="0"/>
              <w:left w:val="single" w:color="auto" w:sz="4" w:space="0"/>
              <w:bottom w:val="single" w:color="auto" w:sz="4" w:space="0"/>
              <w:right w:val="single" w:color="auto" w:sz="4" w:space="0"/>
            </w:tcBorders>
            <w:vAlign w:val="center"/>
          </w:tcPr>
          <w:p w14:paraId="6C4A1437">
            <w:pPr>
              <w:adjustRightInd w:val="0"/>
              <w:snapToGri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详见招标文件</w:t>
            </w:r>
          </w:p>
        </w:tc>
      </w:tr>
      <w:tr w14:paraId="3AF07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2" w:type="dxa"/>
            <w:tcBorders>
              <w:top w:val="single" w:color="auto" w:sz="4" w:space="0"/>
              <w:left w:val="single" w:color="auto" w:sz="4" w:space="0"/>
              <w:bottom w:val="single" w:color="auto" w:sz="4" w:space="0"/>
              <w:right w:val="single" w:color="auto" w:sz="4" w:space="0"/>
            </w:tcBorders>
            <w:vAlign w:val="center"/>
          </w:tcPr>
          <w:p w14:paraId="3A7D2760">
            <w:pPr>
              <w:adjustRightInd w:val="0"/>
              <w:snapToGrid w:val="0"/>
              <w:spacing w:line="4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资金来源</w:t>
            </w:r>
          </w:p>
        </w:tc>
        <w:tc>
          <w:tcPr>
            <w:tcW w:w="3119" w:type="dxa"/>
            <w:gridSpan w:val="2"/>
            <w:tcBorders>
              <w:top w:val="single" w:color="auto" w:sz="4" w:space="0"/>
              <w:left w:val="single" w:color="auto" w:sz="4" w:space="0"/>
              <w:bottom w:val="single" w:color="auto" w:sz="4" w:space="0"/>
              <w:right w:val="single" w:color="auto" w:sz="4" w:space="0"/>
            </w:tcBorders>
            <w:vAlign w:val="center"/>
          </w:tcPr>
          <w:p w14:paraId="6E5C64B7">
            <w:pPr>
              <w:adjustRightInd w:val="0"/>
              <w:snapToGri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自筹资金</w:t>
            </w:r>
          </w:p>
        </w:tc>
        <w:tc>
          <w:tcPr>
            <w:tcW w:w="2655" w:type="dxa"/>
            <w:gridSpan w:val="3"/>
            <w:tcBorders>
              <w:top w:val="single" w:color="auto" w:sz="4" w:space="0"/>
              <w:left w:val="single" w:color="auto" w:sz="4" w:space="0"/>
              <w:bottom w:val="single" w:color="auto" w:sz="4" w:space="0"/>
              <w:right w:val="single" w:color="auto" w:sz="4" w:space="0"/>
            </w:tcBorders>
            <w:vAlign w:val="center"/>
          </w:tcPr>
          <w:p w14:paraId="6990AE53">
            <w:pPr>
              <w:adjustRightInd w:val="0"/>
              <w:snapToGrid w:val="0"/>
              <w:spacing w:line="440" w:lineRule="exact"/>
              <w:jc w:val="center"/>
              <w:rPr>
                <w:rFonts w:ascii="宋体" w:hAnsi="宋体" w:cs="宋体"/>
                <w:color w:val="auto"/>
                <w:szCs w:val="21"/>
                <w:highlight w:val="none"/>
              </w:rPr>
            </w:pPr>
          </w:p>
        </w:tc>
        <w:tc>
          <w:tcPr>
            <w:tcW w:w="3000" w:type="dxa"/>
            <w:tcBorders>
              <w:top w:val="single" w:color="auto" w:sz="4" w:space="0"/>
              <w:left w:val="single" w:color="auto" w:sz="4" w:space="0"/>
              <w:bottom w:val="single" w:color="auto" w:sz="4" w:space="0"/>
              <w:right w:val="single" w:color="auto" w:sz="4" w:space="0"/>
            </w:tcBorders>
            <w:vAlign w:val="center"/>
          </w:tcPr>
          <w:p w14:paraId="6E7C8B14">
            <w:pPr>
              <w:adjustRightInd w:val="0"/>
              <w:snapToGrid w:val="0"/>
              <w:spacing w:line="440" w:lineRule="exact"/>
              <w:jc w:val="center"/>
              <w:rPr>
                <w:rFonts w:ascii="宋体" w:hAnsi="宋体" w:cs="宋体"/>
                <w:color w:val="auto"/>
                <w:spacing w:val="-4"/>
                <w:kern w:val="0"/>
                <w:szCs w:val="21"/>
                <w:highlight w:val="none"/>
              </w:rPr>
            </w:pPr>
          </w:p>
        </w:tc>
      </w:tr>
      <w:tr w14:paraId="58C99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2" w:type="dxa"/>
            <w:tcBorders>
              <w:top w:val="single" w:color="auto" w:sz="4" w:space="0"/>
              <w:left w:val="single" w:color="auto" w:sz="4" w:space="0"/>
              <w:bottom w:val="single" w:color="auto" w:sz="4" w:space="0"/>
              <w:right w:val="single" w:color="auto" w:sz="4" w:space="0"/>
            </w:tcBorders>
            <w:vAlign w:val="center"/>
          </w:tcPr>
          <w:p w14:paraId="354AC946">
            <w:pPr>
              <w:adjustRightInd w:val="0"/>
              <w:snapToGrid w:val="0"/>
              <w:spacing w:line="440" w:lineRule="exact"/>
              <w:jc w:val="center"/>
              <w:rPr>
                <w:rFonts w:ascii="宋体" w:hAnsi="宋体" w:cs="宋体"/>
                <w:color w:val="auto"/>
                <w:kern w:val="0"/>
                <w:szCs w:val="21"/>
                <w:highlight w:val="none"/>
              </w:rPr>
            </w:pPr>
            <w:r>
              <w:rPr>
                <w:rFonts w:hint="eastAsia" w:ascii="宋体" w:hAnsi="宋体" w:cs="宋体"/>
                <w:color w:val="auto"/>
                <w:szCs w:val="21"/>
                <w:highlight w:val="none"/>
              </w:rPr>
              <w:t>招标文件等获取方式</w:t>
            </w:r>
          </w:p>
        </w:tc>
        <w:tc>
          <w:tcPr>
            <w:tcW w:w="8774" w:type="dxa"/>
            <w:gridSpan w:val="6"/>
            <w:tcBorders>
              <w:top w:val="single" w:color="auto" w:sz="4" w:space="0"/>
              <w:left w:val="single" w:color="auto" w:sz="4" w:space="0"/>
              <w:bottom w:val="single" w:color="auto" w:sz="4" w:space="0"/>
              <w:right w:val="single" w:color="auto" w:sz="4" w:space="0"/>
            </w:tcBorders>
            <w:vAlign w:val="center"/>
          </w:tcPr>
          <w:p w14:paraId="11184951">
            <w:pPr>
              <w:spacing w:line="440" w:lineRule="exact"/>
              <w:jc w:val="left"/>
              <w:rPr>
                <w:rFonts w:ascii="宋体" w:hAnsi="宋体" w:cs="宋体"/>
                <w:color w:val="auto"/>
                <w:szCs w:val="21"/>
                <w:highlight w:val="none"/>
              </w:rPr>
            </w:pPr>
            <w:r>
              <w:rPr>
                <w:rFonts w:hint="eastAsia" w:ascii="宋体" w:hAnsi="宋体" w:cs="宋体"/>
                <w:color w:val="auto"/>
                <w:szCs w:val="21"/>
                <w:highlight w:val="none"/>
              </w:rPr>
              <w:t>网上下载</w:t>
            </w:r>
          </w:p>
          <w:p w14:paraId="6BC15575">
            <w:pPr>
              <w:spacing w:line="440" w:lineRule="exact"/>
              <w:jc w:val="left"/>
              <w:rPr>
                <w:rFonts w:ascii="宋体" w:hAnsi="宋体" w:cs="宋体"/>
                <w:color w:val="auto"/>
                <w:szCs w:val="21"/>
                <w:highlight w:val="none"/>
              </w:rPr>
            </w:pPr>
            <w:r>
              <w:rPr>
                <w:rFonts w:hint="eastAsia" w:ascii="宋体" w:hAnsi="宋体" w:cs="宋体"/>
                <w:color w:val="auto"/>
                <w:szCs w:val="21"/>
                <w:highlight w:val="none"/>
              </w:rPr>
              <w:t>投标人从滁州市城投工程咨询管理有限公司网站（https://www.czctgczx.com/）下载。</w:t>
            </w:r>
          </w:p>
          <w:p w14:paraId="72F849B6">
            <w:pPr>
              <w:spacing w:line="440" w:lineRule="exact"/>
              <w:jc w:val="left"/>
              <w:rPr>
                <w:rFonts w:ascii="宋体" w:hAnsi="宋体" w:cs="宋体"/>
                <w:color w:val="auto"/>
                <w:szCs w:val="21"/>
                <w:highlight w:val="none"/>
              </w:rPr>
            </w:pPr>
            <w:r>
              <w:rPr>
                <w:rFonts w:hint="eastAsia" w:ascii="宋体" w:hAnsi="宋体" w:cs="宋体"/>
                <w:color w:val="auto"/>
                <w:szCs w:val="21"/>
                <w:highlight w:val="none"/>
              </w:rPr>
              <w:t>投标人自行承担因未按要求获取招标文件导致无法上传电子投标文件的风险。</w:t>
            </w:r>
          </w:p>
          <w:p w14:paraId="3A30ADA6">
            <w:pPr>
              <w:spacing w:line="440" w:lineRule="exact"/>
              <w:jc w:val="left"/>
              <w:rPr>
                <w:rFonts w:ascii="宋体" w:hAnsi="宋体" w:cs="宋体"/>
                <w:color w:val="auto"/>
                <w:szCs w:val="21"/>
                <w:highlight w:val="none"/>
              </w:rPr>
            </w:pPr>
            <w:r>
              <w:rPr>
                <w:rFonts w:hint="eastAsia" w:ascii="宋体" w:hAnsi="宋体" w:cs="宋体"/>
                <w:color w:val="auto"/>
                <w:szCs w:val="21"/>
                <w:highlight w:val="none"/>
              </w:rPr>
              <w:t>方式：（1）投标人须登录新点电子交易平台【滁州专区】查询、获取采购文件。首次登录办理入库手续，办理入库不收取任何费用。新点电子招投标统一认证平台使用相关问题（如系统登录、信息登记、录入及提交、数字证书关联等）请拨打服务电话：4009280095-5（工作日）。  </w:t>
            </w:r>
          </w:p>
          <w:p w14:paraId="78828DBF">
            <w:pPr>
              <w:spacing w:line="440" w:lineRule="exact"/>
              <w:jc w:val="left"/>
              <w:rPr>
                <w:rFonts w:ascii="宋体" w:hAnsi="宋体" w:cs="宋体"/>
                <w:color w:val="auto"/>
                <w:szCs w:val="21"/>
                <w:highlight w:val="none"/>
              </w:rPr>
            </w:pPr>
            <w:r>
              <w:rPr>
                <w:rFonts w:hint="eastAsia" w:ascii="宋体" w:hAnsi="宋体" w:cs="宋体"/>
                <w:color w:val="auto"/>
                <w:szCs w:val="21"/>
                <w:highlight w:val="none"/>
              </w:rPr>
              <w:t>（2）投标人登录新点电子交易平台【滁州专区】获取招标文件及其它资料（含澄清和补充说明等）。如在招标文件获取过程中遇到系统问题，请拨打技术支持服务热线4009280095或者网站首页在线客服。</w:t>
            </w:r>
          </w:p>
          <w:p w14:paraId="4384CD6D">
            <w:pPr>
              <w:spacing w:line="440" w:lineRule="exact"/>
              <w:jc w:val="left"/>
              <w:rPr>
                <w:rFonts w:ascii="宋体" w:hAnsi="宋体" w:cs="宋体"/>
                <w:color w:val="auto"/>
                <w:szCs w:val="21"/>
                <w:highlight w:val="none"/>
              </w:rPr>
            </w:pPr>
            <w:r>
              <w:rPr>
                <w:rFonts w:hint="eastAsia" w:ascii="宋体" w:hAnsi="宋体" w:cs="宋体"/>
                <w:color w:val="auto"/>
                <w:szCs w:val="21"/>
                <w:highlight w:val="none"/>
              </w:rPr>
              <w:t>2、招标文件及相关资料售价：人民币0元/套</w:t>
            </w:r>
          </w:p>
        </w:tc>
      </w:tr>
      <w:tr w14:paraId="7A929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46" w:type="dxa"/>
            <w:gridSpan w:val="7"/>
            <w:tcBorders>
              <w:top w:val="single" w:color="auto" w:sz="4" w:space="0"/>
              <w:left w:val="single" w:color="auto" w:sz="4" w:space="0"/>
              <w:bottom w:val="single" w:color="auto" w:sz="4" w:space="0"/>
              <w:right w:val="single" w:color="auto" w:sz="4" w:space="0"/>
            </w:tcBorders>
            <w:vAlign w:val="center"/>
          </w:tcPr>
          <w:p w14:paraId="49BD3477">
            <w:pPr>
              <w:spacing w:line="440" w:lineRule="exact"/>
              <w:jc w:val="left"/>
              <w:rPr>
                <w:rFonts w:ascii="宋体" w:hAnsi="宋体" w:cs="宋体"/>
                <w:color w:val="auto"/>
                <w:szCs w:val="21"/>
                <w:highlight w:val="none"/>
              </w:rPr>
            </w:pPr>
            <w:r>
              <w:rPr>
                <w:rFonts w:hint="eastAsia" w:ascii="宋体" w:hAnsi="宋体" w:cs="宋体"/>
                <w:color w:val="auto"/>
                <w:szCs w:val="21"/>
                <w:highlight w:val="none"/>
              </w:rPr>
              <w:t>招标文件获取时间：2026年</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10日</w:t>
            </w:r>
            <w:r>
              <w:rPr>
                <w:rFonts w:hint="eastAsia" w:ascii="宋体" w:hAnsi="宋体" w:cs="宋体"/>
                <w:color w:val="auto"/>
                <w:szCs w:val="21"/>
                <w:highlight w:val="none"/>
              </w:rPr>
              <w:t>17时后，如投标人不及时下载招标文件，造成后果由投标人自负。</w:t>
            </w:r>
          </w:p>
        </w:tc>
      </w:tr>
      <w:tr w14:paraId="65C61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46" w:type="dxa"/>
            <w:gridSpan w:val="7"/>
            <w:tcBorders>
              <w:top w:val="single" w:color="auto" w:sz="4" w:space="0"/>
              <w:left w:val="single" w:color="auto" w:sz="4" w:space="0"/>
              <w:bottom w:val="single" w:color="auto" w:sz="4" w:space="0"/>
              <w:right w:val="single" w:color="auto" w:sz="4" w:space="0"/>
            </w:tcBorders>
            <w:vAlign w:val="center"/>
          </w:tcPr>
          <w:p w14:paraId="64492966">
            <w:pPr>
              <w:widowControl/>
              <w:spacing w:line="440" w:lineRule="exact"/>
              <w:jc w:val="left"/>
              <w:rPr>
                <w:rFonts w:ascii="宋体" w:hAnsi="宋体" w:cs="宋体"/>
                <w:color w:val="auto"/>
                <w:szCs w:val="21"/>
                <w:highlight w:val="none"/>
              </w:rPr>
            </w:pPr>
            <w:r>
              <w:rPr>
                <w:rFonts w:hint="eastAsia" w:ascii="宋体" w:hAnsi="宋体" w:cs="宋体"/>
                <w:color w:val="auto"/>
                <w:szCs w:val="21"/>
                <w:highlight w:val="none"/>
              </w:rPr>
              <w:t>投标保证金的金额：本项目不要求交纳投标保证金</w:t>
            </w:r>
          </w:p>
        </w:tc>
      </w:tr>
      <w:tr w14:paraId="6C19F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06" w:type="dxa"/>
            <w:gridSpan w:val="5"/>
            <w:tcBorders>
              <w:top w:val="single" w:color="auto" w:sz="4" w:space="0"/>
              <w:left w:val="single" w:color="auto" w:sz="4" w:space="0"/>
              <w:bottom w:val="single" w:color="auto" w:sz="4" w:space="0"/>
              <w:right w:val="single" w:color="auto" w:sz="4" w:space="0"/>
            </w:tcBorders>
            <w:vAlign w:val="center"/>
          </w:tcPr>
          <w:p w14:paraId="7BF28DC9">
            <w:pPr>
              <w:adjustRightInd w:val="0"/>
              <w:snapToGrid w:val="0"/>
              <w:spacing w:line="440" w:lineRule="exact"/>
              <w:jc w:val="left"/>
              <w:rPr>
                <w:rFonts w:ascii="宋体" w:hAnsi="宋体" w:cs="宋体"/>
                <w:color w:val="auto"/>
                <w:szCs w:val="21"/>
                <w:highlight w:val="none"/>
                <w:lang w:bidi="ar"/>
              </w:rPr>
            </w:pPr>
            <w:r>
              <w:rPr>
                <w:rFonts w:hint="eastAsia" w:ascii="宋体" w:hAnsi="宋体" w:cs="宋体"/>
                <w:color w:val="auto"/>
                <w:szCs w:val="21"/>
                <w:highlight w:val="none"/>
              </w:rPr>
              <w:t>招标人名称</w:t>
            </w:r>
            <w:r>
              <w:rPr>
                <w:rFonts w:hint="eastAsia" w:ascii="宋体" w:hAnsi="宋体" w:cs="宋体"/>
                <w:color w:val="auto"/>
                <w:szCs w:val="21"/>
                <w:highlight w:val="none"/>
                <w:lang w:bidi="ar"/>
              </w:rPr>
              <w:t>：滁州铜鑫矿业有限责任公司</w:t>
            </w:r>
          </w:p>
          <w:p w14:paraId="23366590">
            <w:pPr>
              <w:adjustRightInd w:val="0"/>
              <w:snapToGrid w:val="0"/>
              <w:spacing w:line="440" w:lineRule="exact"/>
              <w:jc w:val="left"/>
              <w:rPr>
                <w:rFonts w:ascii="宋体" w:hAnsi="宋体" w:cs="宋体"/>
                <w:color w:val="auto"/>
                <w:szCs w:val="21"/>
                <w:highlight w:val="none"/>
              </w:rPr>
            </w:pPr>
            <w:r>
              <w:rPr>
                <w:rFonts w:hint="eastAsia" w:ascii="宋体" w:hAnsi="宋体" w:cs="宋体"/>
                <w:color w:val="auto"/>
                <w:szCs w:val="21"/>
                <w:highlight w:val="none"/>
                <w:lang w:bidi="ar"/>
              </w:rPr>
              <w:t xml:space="preserve">地址： </w:t>
            </w:r>
            <w:r>
              <w:rPr>
                <w:rFonts w:hint="eastAsia" w:ascii="宋体" w:hAnsi="宋体" w:cs="宋体"/>
                <w:color w:val="auto"/>
                <w:szCs w:val="21"/>
                <w:highlight w:val="none"/>
              </w:rPr>
              <w:t xml:space="preserve">安徽省滁州市琅琊西路1号  </w:t>
            </w:r>
          </w:p>
          <w:p w14:paraId="78E2FD6E">
            <w:pPr>
              <w:adjustRightInd w:val="0"/>
              <w:snapToGrid w:val="0"/>
              <w:spacing w:line="440" w:lineRule="exact"/>
              <w:jc w:val="left"/>
              <w:rPr>
                <w:rFonts w:hint="eastAsia" w:ascii="宋体" w:hAnsi="宋体" w:eastAsia="宋体" w:cs="宋体"/>
                <w:color w:val="auto"/>
                <w:szCs w:val="21"/>
                <w:highlight w:val="none"/>
                <w:lang w:eastAsia="zh-CN" w:bidi="ar"/>
              </w:rPr>
            </w:pPr>
            <w:r>
              <w:rPr>
                <w:rFonts w:hint="eastAsia" w:ascii="宋体" w:hAnsi="宋体" w:cs="宋体"/>
                <w:color w:val="auto"/>
                <w:szCs w:val="21"/>
                <w:highlight w:val="none"/>
                <w:lang w:bidi="ar"/>
              </w:rPr>
              <w:t>项目负责人：</w:t>
            </w:r>
            <w:r>
              <w:rPr>
                <w:rFonts w:hint="eastAsia" w:ascii="宋体" w:hAnsi="宋体" w:cs="宋体"/>
                <w:color w:val="auto"/>
                <w:szCs w:val="21"/>
                <w:highlight w:val="none"/>
                <w:lang w:val="en-US" w:eastAsia="zh-CN" w:bidi="ar"/>
              </w:rPr>
              <w:t>张志腾</w:t>
            </w:r>
          </w:p>
          <w:p w14:paraId="3721670A">
            <w:pPr>
              <w:adjustRightInd w:val="0"/>
              <w:snapToGrid w:val="0"/>
              <w:spacing w:line="440" w:lineRule="exact"/>
              <w:jc w:val="left"/>
              <w:rPr>
                <w:rFonts w:ascii="宋体" w:hAnsi="宋体" w:cs="宋体"/>
                <w:color w:val="auto"/>
                <w:szCs w:val="21"/>
                <w:highlight w:val="none"/>
              </w:rPr>
            </w:pPr>
            <w:r>
              <w:rPr>
                <w:rFonts w:hint="eastAsia" w:ascii="宋体" w:hAnsi="宋体" w:cs="宋体"/>
                <w:color w:val="auto"/>
                <w:szCs w:val="21"/>
                <w:highlight w:val="none"/>
                <w:lang w:bidi="ar"/>
              </w:rPr>
              <w:t>联系方式：0550-3015483</w:t>
            </w:r>
          </w:p>
        </w:tc>
        <w:tc>
          <w:tcPr>
            <w:tcW w:w="5340" w:type="dxa"/>
            <w:gridSpan w:val="2"/>
            <w:tcBorders>
              <w:top w:val="single" w:color="auto" w:sz="4" w:space="0"/>
              <w:left w:val="single" w:color="auto" w:sz="4" w:space="0"/>
              <w:bottom w:val="single" w:color="auto" w:sz="4" w:space="0"/>
              <w:right w:val="single" w:color="auto" w:sz="4" w:space="0"/>
            </w:tcBorders>
            <w:vAlign w:val="center"/>
          </w:tcPr>
          <w:p w14:paraId="177AAAB3">
            <w:pPr>
              <w:adjustRightInd w:val="0"/>
              <w:snapToGrid w:val="0"/>
              <w:spacing w:line="440" w:lineRule="exact"/>
              <w:jc w:val="left"/>
              <w:rPr>
                <w:rFonts w:ascii="宋体" w:hAnsi="宋体" w:cs="宋体"/>
                <w:color w:val="auto"/>
                <w:szCs w:val="21"/>
                <w:highlight w:val="none"/>
                <w:lang w:bidi="ar"/>
              </w:rPr>
            </w:pPr>
            <w:r>
              <w:rPr>
                <w:rFonts w:hint="eastAsia" w:ascii="宋体" w:hAnsi="宋体" w:cs="宋体"/>
                <w:color w:val="auto"/>
                <w:szCs w:val="21"/>
                <w:highlight w:val="none"/>
              </w:rPr>
              <w:t>招标代理机构名称：滁州市城投</w:t>
            </w:r>
            <w:r>
              <w:rPr>
                <w:rFonts w:hint="eastAsia" w:ascii="宋体" w:hAnsi="宋体" w:cs="宋体"/>
                <w:color w:val="auto"/>
                <w:szCs w:val="21"/>
                <w:highlight w:val="none"/>
                <w:lang w:bidi="ar"/>
              </w:rPr>
              <w:t xml:space="preserve">工程咨询管理有限公司 </w:t>
            </w:r>
          </w:p>
          <w:p w14:paraId="57F3541E">
            <w:pPr>
              <w:adjustRightInd w:val="0"/>
              <w:snapToGrid w:val="0"/>
              <w:spacing w:line="440" w:lineRule="exact"/>
              <w:jc w:val="left"/>
              <w:rPr>
                <w:rFonts w:ascii="宋体" w:hAnsi="宋体" w:cs="宋体"/>
                <w:color w:val="auto"/>
                <w:szCs w:val="21"/>
                <w:highlight w:val="none"/>
                <w:lang w:bidi="ar"/>
              </w:rPr>
            </w:pPr>
            <w:r>
              <w:rPr>
                <w:rFonts w:hint="eastAsia" w:ascii="宋体" w:hAnsi="宋体" w:cs="宋体"/>
                <w:color w:val="auto"/>
                <w:szCs w:val="21"/>
                <w:highlight w:val="none"/>
                <w:lang w:bidi="ar"/>
              </w:rPr>
              <w:t>地址： 滁州市龙蟠大道109号房产大厦6楼605室　</w:t>
            </w:r>
          </w:p>
          <w:p w14:paraId="2CEEDA7E">
            <w:pPr>
              <w:adjustRightInd w:val="0"/>
              <w:snapToGrid w:val="0"/>
              <w:spacing w:line="440" w:lineRule="exact"/>
              <w:jc w:val="left"/>
              <w:rPr>
                <w:rFonts w:hint="eastAsia" w:ascii="宋体" w:hAnsi="宋体" w:eastAsia="宋体" w:cs="宋体"/>
                <w:color w:val="auto"/>
                <w:szCs w:val="21"/>
                <w:highlight w:val="none"/>
                <w:lang w:val="en-US" w:eastAsia="zh-CN" w:bidi="ar"/>
              </w:rPr>
            </w:pPr>
            <w:r>
              <w:rPr>
                <w:rFonts w:hint="eastAsia" w:ascii="宋体" w:hAnsi="宋体" w:cs="宋体"/>
                <w:color w:val="auto"/>
                <w:szCs w:val="21"/>
                <w:highlight w:val="none"/>
                <w:lang w:bidi="ar"/>
              </w:rPr>
              <w:t>联系人：</w:t>
            </w:r>
            <w:r>
              <w:rPr>
                <w:rFonts w:hint="eastAsia" w:ascii="宋体" w:hAnsi="宋体" w:cs="宋体"/>
                <w:color w:val="auto"/>
                <w:szCs w:val="21"/>
                <w:highlight w:val="none"/>
                <w:lang w:val="en-US" w:eastAsia="zh-CN" w:bidi="ar"/>
              </w:rPr>
              <w:t>王芳</w:t>
            </w:r>
          </w:p>
          <w:p w14:paraId="6240D436">
            <w:pPr>
              <w:adjustRightInd w:val="0"/>
              <w:snapToGrid w:val="0"/>
              <w:spacing w:line="440" w:lineRule="exact"/>
              <w:jc w:val="left"/>
              <w:rPr>
                <w:rFonts w:hint="default" w:ascii="宋体" w:hAnsi="宋体" w:eastAsia="宋体" w:cs="宋体"/>
                <w:color w:val="auto"/>
                <w:kern w:val="0"/>
                <w:szCs w:val="21"/>
                <w:highlight w:val="none"/>
                <w:u w:val="single"/>
                <w:lang w:val="en-US" w:eastAsia="zh-CN"/>
              </w:rPr>
            </w:pPr>
            <w:r>
              <w:rPr>
                <w:rFonts w:hint="eastAsia" w:ascii="宋体" w:hAnsi="宋体" w:cs="宋体"/>
                <w:color w:val="auto"/>
                <w:szCs w:val="21"/>
                <w:highlight w:val="none"/>
                <w:lang w:bidi="ar"/>
              </w:rPr>
              <w:t>联系方式：</w:t>
            </w:r>
            <w:r>
              <w:rPr>
                <w:rFonts w:hint="eastAsia" w:ascii="宋体" w:hAnsi="宋体" w:cs="宋体"/>
                <w:color w:val="auto"/>
                <w:szCs w:val="21"/>
                <w:highlight w:val="none"/>
                <w:lang w:val="en-US" w:eastAsia="zh-CN" w:bidi="ar"/>
              </w:rPr>
              <w:t>0550-3519519、18955055067</w:t>
            </w:r>
          </w:p>
        </w:tc>
      </w:tr>
      <w:tr w14:paraId="516D5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46" w:type="dxa"/>
            <w:gridSpan w:val="7"/>
            <w:tcBorders>
              <w:top w:val="single" w:color="auto" w:sz="4" w:space="0"/>
              <w:left w:val="single" w:color="auto" w:sz="4" w:space="0"/>
              <w:bottom w:val="single" w:color="auto" w:sz="4" w:space="0"/>
              <w:right w:val="single" w:color="auto" w:sz="4" w:space="0"/>
            </w:tcBorders>
            <w:vAlign w:val="center"/>
          </w:tcPr>
          <w:p w14:paraId="3C20CD36">
            <w:pPr>
              <w:adjustRightInd w:val="0"/>
              <w:snapToGrid w:val="0"/>
              <w:spacing w:line="440" w:lineRule="exact"/>
              <w:jc w:val="left"/>
              <w:rPr>
                <w:rFonts w:ascii="宋体" w:hAnsi="宋体" w:cs="宋体"/>
                <w:color w:val="auto"/>
                <w:szCs w:val="21"/>
                <w:highlight w:val="none"/>
                <w:lang w:bidi="ar"/>
              </w:rPr>
            </w:pPr>
            <w:r>
              <w:rPr>
                <w:rFonts w:hint="eastAsia" w:ascii="宋体" w:hAnsi="宋体" w:cs="宋体"/>
                <w:bCs/>
                <w:color w:val="auto"/>
                <w:szCs w:val="21"/>
                <w:highlight w:val="none"/>
              </w:rPr>
              <w:t>公告发布媒体：滁州市城投工程咨询管理有限公司网站（https://www.czctgczx.com/）</w:t>
            </w:r>
          </w:p>
        </w:tc>
      </w:tr>
      <w:tr w14:paraId="5CCF7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46" w:type="dxa"/>
            <w:gridSpan w:val="7"/>
            <w:tcBorders>
              <w:top w:val="single" w:color="auto" w:sz="4" w:space="0"/>
              <w:left w:val="single" w:color="auto" w:sz="4" w:space="0"/>
              <w:bottom w:val="single" w:color="auto" w:sz="4" w:space="0"/>
              <w:right w:val="single" w:color="auto" w:sz="4" w:space="0"/>
            </w:tcBorders>
            <w:vAlign w:val="center"/>
          </w:tcPr>
          <w:p w14:paraId="6A190486">
            <w:pPr>
              <w:adjustRightInd w:val="0"/>
              <w:snapToGrid w:val="0"/>
              <w:spacing w:line="440" w:lineRule="exact"/>
              <w:jc w:val="left"/>
              <w:rPr>
                <w:rFonts w:ascii="宋体" w:hAnsi="宋体" w:cs="宋体"/>
                <w:bCs/>
                <w:color w:val="auto"/>
                <w:szCs w:val="21"/>
                <w:highlight w:val="none"/>
              </w:rPr>
            </w:pPr>
            <w:r>
              <w:rPr>
                <w:rFonts w:hint="eastAsia" w:ascii="宋体" w:hAnsi="宋体" w:cs="宋体"/>
                <w:color w:val="auto"/>
                <w:sz w:val="28"/>
                <w:szCs w:val="28"/>
                <w:highlight w:val="none"/>
              </w:rPr>
              <w:t>本项目开评标实行全流程电子化，开标活动在线完成。开标时投标人无需到达开标现场，不接受现场解密，实行远程解密和在线询标。各投标人认真学习《新点电子交易平台投标人操作手册》，务必掌握远程解密方法和在线回复询标方法。</w:t>
            </w:r>
          </w:p>
        </w:tc>
      </w:tr>
    </w:tbl>
    <w:p w14:paraId="1DE8F8A0">
      <w:pPr>
        <w:keepNext/>
        <w:keepLines/>
        <w:pageBreakBefore/>
        <w:spacing w:line="360" w:lineRule="auto"/>
        <w:jc w:val="center"/>
        <w:outlineLvl w:val="0"/>
        <w:rPr>
          <w:rFonts w:cs="Times New Roman"/>
          <w:b/>
          <w:bCs/>
          <w:color w:val="auto"/>
          <w:kern w:val="44"/>
          <w:sz w:val="44"/>
          <w:szCs w:val="44"/>
          <w:highlight w:val="none"/>
        </w:rPr>
      </w:pPr>
      <w:bookmarkStart w:id="27" w:name="_Toc31141"/>
      <w:r>
        <w:rPr>
          <w:rFonts w:hint="eastAsia" w:cs="Times New Roman"/>
          <w:b/>
          <w:bCs/>
          <w:color w:val="auto"/>
          <w:kern w:val="44"/>
          <w:sz w:val="44"/>
          <w:szCs w:val="44"/>
          <w:highlight w:val="none"/>
        </w:rPr>
        <w:t>第二章</w:t>
      </w:r>
      <w:r>
        <w:rPr>
          <w:rFonts w:cs="Times New Roman"/>
          <w:b/>
          <w:bCs/>
          <w:color w:val="auto"/>
          <w:kern w:val="44"/>
          <w:sz w:val="44"/>
          <w:szCs w:val="44"/>
          <w:highlight w:val="none"/>
        </w:rPr>
        <w:t xml:space="preserve">  </w:t>
      </w:r>
      <w:r>
        <w:rPr>
          <w:rFonts w:hint="eastAsia" w:cs="Times New Roman"/>
          <w:b/>
          <w:bCs/>
          <w:color w:val="auto"/>
          <w:kern w:val="44"/>
          <w:sz w:val="44"/>
          <w:szCs w:val="44"/>
          <w:highlight w:val="none"/>
        </w:rPr>
        <w:t>投标人须知</w:t>
      </w:r>
      <w:bookmarkEnd w:id="16"/>
      <w:bookmarkEnd w:id="17"/>
      <w:bookmarkEnd w:id="18"/>
      <w:bookmarkEnd w:id="19"/>
      <w:bookmarkEnd w:id="20"/>
      <w:bookmarkEnd w:id="21"/>
      <w:bookmarkEnd w:id="22"/>
      <w:bookmarkEnd w:id="23"/>
      <w:bookmarkEnd w:id="24"/>
      <w:bookmarkEnd w:id="25"/>
      <w:bookmarkEnd w:id="26"/>
      <w:bookmarkEnd w:id="27"/>
    </w:p>
    <w:p w14:paraId="0D96D018">
      <w:pPr>
        <w:keepNext/>
        <w:keepLines/>
        <w:adjustRightInd w:val="0"/>
        <w:snapToGrid w:val="0"/>
        <w:spacing w:line="440" w:lineRule="exact"/>
        <w:jc w:val="center"/>
        <w:outlineLvl w:val="1"/>
        <w:rPr>
          <w:rFonts w:ascii="Arial" w:hAnsi="Arial" w:eastAsia="黑体" w:cs="Times New Roman"/>
          <w:b/>
          <w:bCs/>
          <w:color w:val="auto"/>
          <w:sz w:val="32"/>
          <w:szCs w:val="32"/>
          <w:highlight w:val="none"/>
        </w:rPr>
      </w:pPr>
      <w:bookmarkStart w:id="28" w:name="_Toc25058"/>
      <w:bookmarkStart w:id="29" w:name="_Toc60061432"/>
      <w:bookmarkStart w:id="30" w:name="_Toc95223334"/>
      <w:bookmarkStart w:id="31" w:name="_Toc506107268"/>
      <w:bookmarkStart w:id="32" w:name="_Toc21340"/>
      <w:bookmarkStart w:id="33" w:name="_Toc15058845"/>
      <w:bookmarkStart w:id="34" w:name="_Toc152042304"/>
      <w:bookmarkStart w:id="35" w:name="_Toc246996917"/>
      <w:bookmarkStart w:id="36" w:name="_Toc247085688"/>
      <w:bookmarkStart w:id="37" w:name="_Toc152045528"/>
      <w:bookmarkStart w:id="38" w:name="_Toc246996174"/>
      <w:bookmarkStart w:id="39" w:name="_Toc179632545"/>
      <w:bookmarkStart w:id="40" w:name="_Toc144974496"/>
      <w:bookmarkStart w:id="41" w:name="_Toc324404814"/>
      <w:bookmarkStart w:id="42" w:name="_Toc83301687"/>
      <w:bookmarkStart w:id="43" w:name="_Toc324404815"/>
      <w:bookmarkStart w:id="44" w:name="_Toc506107269"/>
      <w:bookmarkStart w:id="45" w:name="_Toc247085689"/>
      <w:bookmarkStart w:id="46" w:name="_Toc179632546"/>
      <w:bookmarkStart w:id="47" w:name="_Toc152045529"/>
      <w:bookmarkStart w:id="48" w:name="_Toc246996175"/>
      <w:bookmarkStart w:id="49" w:name="_Toc246996918"/>
      <w:bookmarkStart w:id="50" w:name="_Toc152042305"/>
      <w:bookmarkStart w:id="51" w:name="_Toc144974497"/>
      <w:bookmarkStart w:id="52" w:name="_Toc15058846"/>
      <w:r>
        <w:rPr>
          <w:rFonts w:hint="eastAsia" w:ascii="Arial" w:hAnsi="Arial" w:eastAsia="黑体" w:cs="Times New Roman"/>
          <w:b/>
          <w:bCs/>
          <w:color w:val="auto"/>
          <w:sz w:val="32"/>
          <w:szCs w:val="32"/>
          <w:highlight w:val="none"/>
        </w:rPr>
        <w:t>投标人须知前附表</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tbl>
      <w:tblPr>
        <w:tblStyle w:val="25"/>
        <w:tblW w:w="10170" w:type="dxa"/>
        <w:jc w:val="center"/>
        <w:tblLayout w:type="fixed"/>
        <w:tblCellMar>
          <w:top w:w="0" w:type="dxa"/>
          <w:left w:w="108" w:type="dxa"/>
          <w:bottom w:w="0" w:type="dxa"/>
          <w:right w:w="108" w:type="dxa"/>
        </w:tblCellMar>
      </w:tblPr>
      <w:tblGrid>
        <w:gridCol w:w="1016"/>
        <w:gridCol w:w="1983"/>
        <w:gridCol w:w="7171"/>
      </w:tblGrid>
      <w:tr w14:paraId="72253EF4">
        <w:tblPrEx>
          <w:tblCellMar>
            <w:top w:w="0" w:type="dxa"/>
            <w:left w:w="108" w:type="dxa"/>
            <w:bottom w:w="0" w:type="dxa"/>
            <w:right w:w="108" w:type="dxa"/>
          </w:tblCellMar>
        </w:tblPrEx>
        <w:trPr>
          <w:jc w:val="center"/>
        </w:trPr>
        <w:tc>
          <w:tcPr>
            <w:tcW w:w="1016" w:type="dxa"/>
            <w:tcBorders>
              <w:top w:val="single" w:color="auto" w:sz="4" w:space="0"/>
              <w:left w:val="single" w:color="auto" w:sz="4" w:space="0"/>
              <w:bottom w:val="single" w:color="auto" w:sz="4" w:space="0"/>
              <w:right w:val="single" w:color="auto" w:sz="4" w:space="0"/>
            </w:tcBorders>
            <w:vAlign w:val="center"/>
          </w:tcPr>
          <w:p w14:paraId="6DB9E482">
            <w:pPr>
              <w:adjustRightInd w:val="0"/>
              <w:snapToGrid w:val="0"/>
              <w:spacing w:line="440" w:lineRule="exact"/>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1984" w:type="dxa"/>
            <w:tcBorders>
              <w:top w:val="single" w:color="auto" w:sz="4" w:space="0"/>
              <w:left w:val="single" w:color="auto" w:sz="4" w:space="0"/>
              <w:bottom w:val="single" w:color="auto" w:sz="4" w:space="0"/>
              <w:right w:val="single" w:color="auto" w:sz="4" w:space="0"/>
            </w:tcBorders>
            <w:vAlign w:val="center"/>
          </w:tcPr>
          <w:p w14:paraId="0F804D7C">
            <w:pPr>
              <w:adjustRightInd w:val="0"/>
              <w:snapToGrid w:val="0"/>
              <w:spacing w:line="440" w:lineRule="exact"/>
              <w:jc w:val="center"/>
              <w:rPr>
                <w:rFonts w:ascii="宋体" w:hAnsi="宋体" w:cs="宋体"/>
                <w:b/>
                <w:color w:val="auto"/>
                <w:szCs w:val="21"/>
                <w:highlight w:val="none"/>
              </w:rPr>
            </w:pPr>
            <w:r>
              <w:rPr>
                <w:rFonts w:hint="eastAsia" w:ascii="宋体" w:hAnsi="宋体" w:cs="宋体"/>
                <w:b/>
                <w:color w:val="auto"/>
                <w:szCs w:val="21"/>
                <w:highlight w:val="none"/>
              </w:rPr>
              <w:t>条  款  名  称</w:t>
            </w:r>
          </w:p>
        </w:tc>
        <w:tc>
          <w:tcPr>
            <w:tcW w:w="7175" w:type="dxa"/>
            <w:tcBorders>
              <w:top w:val="single" w:color="auto" w:sz="4" w:space="0"/>
              <w:left w:val="single" w:color="auto" w:sz="4" w:space="0"/>
              <w:bottom w:val="single" w:color="auto" w:sz="4" w:space="0"/>
              <w:right w:val="single" w:color="auto" w:sz="4" w:space="0"/>
            </w:tcBorders>
            <w:vAlign w:val="center"/>
          </w:tcPr>
          <w:p w14:paraId="48294412">
            <w:pPr>
              <w:adjustRightInd w:val="0"/>
              <w:snapToGrid w:val="0"/>
              <w:spacing w:line="440" w:lineRule="exact"/>
              <w:jc w:val="center"/>
              <w:rPr>
                <w:rFonts w:ascii="宋体" w:hAnsi="宋体" w:cs="宋体"/>
                <w:b/>
                <w:color w:val="auto"/>
                <w:szCs w:val="21"/>
                <w:highlight w:val="none"/>
              </w:rPr>
            </w:pPr>
            <w:r>
              <w:rPr>
                <w:rFonts w:hint="eastAsia" w:ascii="宋体" w:hAnsi="宋体" w:cs="宋体"/>
                <w:b/>
                <w:color w:val="auto"/>
                <w:szCs w:val="21"/>
                <w:highlight w:val="none"/>
              </w:rPr>
              <w:t>编  列  内  容</w:t>
            </w:r>
          </w:p>
        </w:tc>
      </w:tr>
      <w:tr w14:paraId="129B52C6">
        <w:tblPrEx>
          <w:tblCellMar>
            <w:top w:w="0" w:type="dxa"/>
            <w:left w:w="108" w:type="dxa"/>
            <w:bottom w:w="0" w:type="dxa"/>
            <w:right w:w="108" w:type="dxa"/>
          </w:tblCellMar>
        </w:tblPrEx>
        <w:trPr>
          <w:jc w:val="center"/>
        </w:trPr>
        <w:tc>
          <w:tcPr>
            <w:tcW w:w="1016" w:type="dxa"/>
            <w:tcBorders>
              <w:top w:val="single" w:color="auto" w:sz="4" w:space="0"/>
              <w:left w:val="single" w:color="auto" w:sz="4" w:space="0"/>
              <w:bottom w:val="single" w:color="auto" w:sz="4" w:space="0"/>
              <w:right w:val="single" w:color="auto" w:sz="4" w:space="0"/>
            </w:tcBorders>
            <w:vAlign w:val="center"/>
          </w:tcPr>
          <w:p w14:paraId="19ECFD5F">
            <w:pPr>
              <w:adjustRightInd w:val="0"/>
              <w:snapToGri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1.1.2</w:t>
            </w:r>
          </w:p>
        </w:tc>
        <w:tc>
          <w:tcPr>
            <w:tcW w:w="1984" w:type="dxa"/>
            <w:tcBorders>
              <w:top w:val="single" w:color="auto" w:sz="4" w:space="0"/>
              <w:left w:val="single" w:color="auto" w:sz="4" w:space="0"/>
              <w:bottom w:val="single" w:color="auto" w:sz="4" w:space="0"/>
              <w:right w:val="single" w:color="auto" w:sz="4" w:space="0"/>
            </w:tcBorders>
            <w:vAlign w:val="center"/>
          </w:tcPr>
          <w:p w14:paraId="33C0DA30">
            <w:pPr>
              <w:adjustRightInd w:val="0"/>
              <w:snapToGri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招标人</w:t>
            </w:r>
          </w:p>
        </w:tc>
        <w:tc>
          <w:tcPr>
            <w:tcW w:w="7175" w:type="dxa"/>
            <w:tcBorders>
              <w:top w:val="single" w:color="auto" w:sz="4" w:space="0"/>
              <w:left w:val="single" w:color="auto" w:sz="4" w:space="0"/>
              <w:bottom w:val="single" w:color="auto" w:sz="4" w:space="0"/>
              <w:right w:val="single" w:color="auto" w:sz="4" w:space="0"/>
            </w:tcBorders>
            <w:vAlign w:val="center"/>
          </w:tcPr>
          <w:p w14:paraId="087F3184">
            <w:pPr>
              <w:widowControl/>
              <w:adjustRightInd w:val="0"/>
              <w:snapToGrid w:val="0"/>
              <w:spacing w:line="440" w:lineRule="exact"/>
              <w:jc w:val="left"/>
              <w:rPr>
                <w:rFonts w:ascii="宋体" w:hAnsi="宋体" w:cs="宋体"/>
                <w:color w:val="auto"/>
                <w:szCs w:val="21"/>
                <w:highlight w:val="none"/>
              </w:rPr>
            </w:pPr>
            <w:r>
              <w:rPr>
                <w:rFonts w:hint="eastAsia" w:ascii="宋体" w:hAnsi="宋体" w:cs="宋体"/>
                <w:color w:val="auto"/>
                <w:kern w:val="0"/>
                <w:szCs w:val="21"/>
                <w:highlight w:val="none"/>
              </w:rPr>
              <w:t>见招标公告</w:t>
            </w:r>
          </w:p>
        </w:tc>
      </w:tr>
      <w:tr w14:paraId="72B5AB4B">
        <w:tblPrEx>
          <w:tblCellMar>
            <w:top w:w="0" w:type="dxa"/>
            <w:left w:w="108" w:type="dxa"/>
            <w:bottom w:w="0" w:type="dxa"/>
            <w:right w:w="108" w:type="dxa"/>
          </w:tblCellMar>
        </w:tblPrEx>
        <w:trPr>
          <w:jc w:val="center"/>
        </w:trPr>
        <w:tc>
          <w:tcPr>
            <w:tcW w:w="1016" w:type="dxa"/>
            <w:tcBorders>
              <w:top w:val="single" w:color="auto" w:sz="4" w:space="0"/>
              <w:left w:val="single" w:color="auto" w:sz="4" w:space="0"/>
              <w:bottom w:val="single" w:color="auto" w:sz="4" w:space="0"/>
              <w:right w:val="single" w:color="auto" w:sz="4" w:space="0"/>
            </w:tcBorders>
            <w:vAlign w:val="center"/>
          </w:tcPr>
          <w:p w14:paraId="6BC323C9">
            <w:pPr>
              <w:adjustRightInd w:val="0"/>
              <w:snapToGri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1.1.3</w:t>
            </w:r>
          </w:p>
        </w:tc>
        <w:tc>
          <w:tcPr>
            <w:tcW w:w="1984" w:type="dxa"/>
            <w:tcBorders>
              <w:top w:val="single" w:color="auto" w:sz="4" w:space="0"/>
              <w:left w:val="single" w:color="auto" w:sz="4" w:space="0"/>
              <w:bottom w:val="single" w:color="auto" w:sz="4" w:space="0"/>
              <w:right w:val="single" w:color="auto" w:sz="4" w:space="0"/>
            </w:tcBorders>
            <w:vAlign w:val="center"/>
          </w:tcPr>
          <w:p w14:paraId="3840B627">
            <w:pPr>
              <w:adjustRightInd w:val="0"/>
              <w:snapToGri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招标代理机构</w:t>
            </w:r>
          </w:p>
        </w:tc>
        <w:tc>
          <w:tcPr>
            <w:tcW w:w="7175" w:type="dxa"/>
            <w:tcBorders>
              <w:top w:val="single" w:color="auto" w:sz="4" w:space="0"/>
              <w:left w:val="single" w:color="auto" w:sz="4" w:space="0"/>
              <w:bottom w:val="single" w:color="auto" w:sz="4" w:space="0"/>
              <w:right w:val="single" w:color="auto" w:sz="4" w:space="0"/>
            </w:tcBorders>
            <w:vAlign w:val="center"/>
          </w:tcPr>
          <w:p w14:paraId="2598D1CF">
            <w:pPr>
              <w:widowControl/>
              <w:adjustRightInd w:val="0"/>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见招标公告</w:t>
            </w:r>
          </w:p>
        </w:tc>
      </w:tr>
      <w:tr w14:paraId="7FCEAE7F">
        <w:tblPrEx>
          <w:tblCellMar>
            <w:top w:w="0" w:type="dxa"/>
            <w:left w:w="108" w:type="dxa"/>
            <w:bottom w:w="0" w:type="dxa"/>
            <w:right w:w="108" w:type="dxa"/>
          </w:tblCellMar>
        </w:tblPrEx>
        <w:trPr>
          <w:jc w:val="center"/>
        </w:trPr>
        <w:tc>
          <w:tcPr>
            <w:tcW w:w="1016" w:type="dxa"/>
            <w:tcBorders>
              <w:top w:val="single" w:color="auto" w:sz="4" w:space="0"/>
              <w:left w:val="single" w:color="auto" w:sz="4" w:space="0"/>
              <w:bottom w:val="single" w:color="auto" w:sz="4" w:space="0"/>
              <w:right w:val="single" w:color="auto" w:sz="4" w:space="0"/>
            </w:tcBorders>
            <w:vAlign w:val="center"/>
          </w:tcPr>
          <w:p w14:paraId="3E7945D2">
            <w:pPr>
              <w:adjustRightInd w:val="0"/>
              <w:snapToGri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1.1.4</w:t>
            </w:r>
          </w:p>
        </w:tc>
        <w:tc>
          <w:tcPr>
            <w:tcW w:w="1984" w:type="dxa"/>
            <w:tcBorders>
              <w:top w:val="single" w:color="auto" w:sz="4" w:space="0"/>
              <w:left w:val="single" w:color="auto" w:sz="4" w:space="0"/>
              <w:bottom w:val="single" w:color="auto" w:sz="4" w:space="0"/>
              <w:right w:val="single" w:color="auto" w:sz="4" w:space="0"/>
            </w:tcBorders>
            <w:vAlign w:val="center"/>
          </w:tcPr>
          <w:p w14:paraId="4D786094">
            <w:pPr>
              <w:adjustRightInd w:val="0"/>
              <w:snapToGri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招标项目名称</w:t>
            </w:r>
          </w:p>
        </w:tc>
        <w:tc>
          <w:tcPr>
            <w:tcW w:w="7175" w:type="dxa"/>
            <w:tcBorders>
              <w:top w:val="single" w:color="auto" w:sz="4" w:space="0"/>
              <w:left w:val="single" w:color="auto" w:sz="4" w:space="0"/>
              <w:bottom w:val="single" w:color="auto" w:sz="4" w:space="0"/>
              <w:right w:val="single" w:color="auto" w:sz="4" w:space="0"/>
            </w:tcBorders>
            <w:vAlign w:val="center"/>
          </w:tcPr>
          <w:p w14:paraId="1E1DFF0F">
            <w:pPr>
              <w:widowControl/>
              <w:adjustRightInd w:val="0"/>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见招标公告</w:t>
            </w:r>
          </w:p>
        </w:tc>
      </w:tr>
      <w:tr w14:paraId="5D0FD525">
        <w:tblPrEx>
          <w:tblCellMar>
            <w:top w:w="0" w:type="dxa"/>
            <w:left w:w="108" w:type="dxa"/>
            <w:bottom w:w="0" w:type="dxa"/>
            <w:right w:w="108" w:type="dxa"/>
          </w:tblCellMar>
        </w:tblPrEx>
        <w:trPr>
          <w:jc w:val="center"/>
        </w:trPr>
        <w:tc>
          <w:tcPr>
            <w:tcW w:w="1016" w:type="dxa"/>
            <w:tcBorders>
              <w:top w:val="single" w:color="auto" w:sz="4" w:space="0"/>
              <w:left w:val="single" w:color="auto" w:sz="4" w:space="0"/>
              <w:bottom w:val="single" w:color="auto" w:sz="4" w:space="0"/>
              <w:right w:val="single" w:color="auto" w:sz="4" w:space="0"/>
            </w:tcBorders>
            <w:vAlign w:val="center"/>
          </w:tcPr>
          <w:p w14:paraId="37094C5A">
            <w:pPr>
              <w:adjustRightInd w:val="0"/>
              <w:snapToGri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1.1.5</w:t>
            </w:r>
          </w:p>
        </w:tc>
        <w:tc>
          <w:tcPr>
            <w:tcW w:w="1984" w:type="dxa"/>
            <w:tcBorders>
              <w:top w:val="single" w:color="auto" w:sz="4" w:space="0"/>
              <w:left w:val="single" w:color="auto" w:sz="4" w:space="0"/>
              <w:bottom w:val="single" w:color="auto" w:sz="4" w:space="0"/>
              <w:right w:val="single" w:color="auto" w:sz="4" w:space="0"/>
            </w:tcBorders>
            <w:vAlign w:val="center"/>
          </w:tcPr>
          <w:p w14:paraId="7AC2E93D">
            <w:pPr>
              <w:adjustRightInd w:val="0"/>
              <w:snapToGri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建设地点</w:t>
            </w:r>
          </w:p>
        </w:tc>
        <w:tc>
          <w:tcPr>
            <w:tcW w:w="7175" w:type="dxa"/>
            <w:tcBorders>
              <w:top w:val="single" w:color="auto" w:sz="4" w:space="0"/>
              <w:left w:val="single" w:color="auto" w:sz="4" w:space="0"/>
              <w:bottom w:val="single" w:color="auto" w:sz="4" w:space="0"/>
              <w:right w:val="single" w:color="auto" w:sz="4" w:space="0"/>
            </w:tcBorders>
            <w:vAlign w:val="center"/>
          </w:tcPr>
          <w:p w14:paraId="227AD37B">
            <w:pPr>
              <w:widowControl/>
              <w:adjustRightInd w:val="0"/>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滁州市</w:t>
            </w:r>
          </w:p>
        </w:tc>
      </w:tr>
      <w:tr w14:paraId="2A4DA336">
        <w:tblPrEx>
          <w:tblCellMar>
            <w:top w:w="0" w:type="dxa"/>
            <w:left w:w="108" w:type="dxa"/>
            <w:bottom w:w="0" w:type="dxa"/>
            <w:right w:w="108" w:type="dxa"/>
          </w:tblCellMar>
        </w:tblPrEx>
        <w:trPr>
          <w:jc w:val="center"/>
        </w:trPr>
        <w:tc>
          <w:tcPr>
            <w:tcW w:w="1016" w:type="dxa"/>
            <w:tcBorders>
              <w:top w:val="single" w:color="auto" w:sz="4" w:space="0"/>
              <w:left w:val="single" w:color="auto" w:sz="4" w:space="0"/>
              <w:bottom w:val="single" w:color="auto" w:sz="4" w:space="0"/>
              <w:right w:val="single" w:color="auto" w:sz="4" w:space="0"/>
            </w:tcBorders>
            <w:vAlign w:val="center"/>
          </w:tcPr>
          <w:p w14:paraId="4370E6E0">
            <w:pPr>
              <w:adjustRightInd w:val="0"/>
              <w:snapToGri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1.2.1</w:t>
            </w:r>
          </w:p>
        </w:tc>
        <w:tc>
          <w:tcPr>
            <w:tcW w:w="1984" w:type="dxa"/>
            <w:tcBorders>
              <w:top w:val="single" w:color="auto" w:sz="4" w:space="0"/>
              <w:left w:val="single" w:color="auto" w:sz="4" w:space="0"/>
              <w:bottom w:val="single" w:color="auto" w:sz="4" w:space="0"/>
              <w:right w:val="single" w:color="auto" w:sz="4" w:space="0"/>
            </w:tcBorders>
            <w:vAlign w:val="center"/>
          </w:tcPr>
          <w:p w14:paraId="5D55F192">
            <w:pPr>
              <w:adjustRightInd w:val="0"/>
              <w:snapToGri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资金来源</w:t>
            </w:r>
          </w:p>
        </w:tc>
        <w:tc>
          <w:tcPr>
            <w:tcW w:w="7175" w:type="dxa"/>
            <w:tcBorders>
              <w:top w:val="single" w:color="auto" w:sz="4" w:space="0"/>
              <w:left w:val="single" w:color="auto" w:sz="4" w:space="0"/>
              <w:bottom w:val="single" w:color="auto" w:sz="4" w:space="0"/>
              <w:right w:val="single" w:color="auto" w:sz="4" w:space="0"/>
            </w:tcBorders>
            <w:vAlign w:val="center"/>
          </w:tcPr>
          <w:p w14:paraId="452151D8">
            <w:pPr>
              <w:widowControl/>
              <w:adjustRightInd w:val="0"/>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自筹资金</w:t>
            </w:r>
          </w:p>
        </w:tc>
      </w:tr>
      <w:tr w14:paraId="67065EBB">
        <w:tblPrEx>
          <w:tblCellMar>
            <w:top w:w="0" w:type="dxa"/>
            <w:left w:w="108" w:type="dxa"/>
            <w:bottom w:w="0" w:type="dxa"/>
            <w:right w:w="108" w:type="dxa"/>
          </w:tblCellMar>
        </w:tblPrEx>
        <w:trPr>
          <w:trHeight w:val="532" w:hRule="atLeast"/>
          <w:jc w:val="center"/>
        </w:trPr>
        <w:tc>
          <w:tcPr>
            <w:tcW w:w="1016" w:type="dxa"/>
            <w:tcBorders>
              <w:top w:val="single" w:color="auto" w:sz="4" w:space="0"/>
              <w:left w:val="single" w:color="auto" w:sz="4" w:space="0"/>
              <w:bottom w:val="single" w:color="auto" w:sz="4" w:space="0"/>
              <w:right w:val="single" w:color="auto" w:sz="4" w:space="0"/>
            </w:tcBorders>
            <w:vAlign w:val="center"/>
          </w:tcPr>
          <w:p w14:paraId="7F7B1CFD">
            <w:pPr>
              <w:adjustRightInd w:val="0"/>
              <w:snapToGri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1.3.1</w:t>
            </w:r>
          </w:p>
        </w:tc>
        <w:tc>
          <w:tcPr>
            <w:tcW w:w="1984" w:type="dxa"/>
            <w:tcBorders>
              <w:top w:val="single" w:color="auto" w:sz="4" w:space="0"/>
              <w:left w:val="single" w:color="auto" w:sz="4" w:space="0"/>
              <w:bottom w:val="single" w:color="auto" w:sz="4" w:space="0"/>
              <w:right w:val="single" w:color="auto" w:sz="4" w:space="0"/>
            </w:tcBorders>
            <w:vAlign w:val="center"/>
          </w:tcPr>
          <w:p w14:paraId="311415F7">
            <w:pPr>
              <w:adjustRightInd w:val="0"/>
              <w:snapToGri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招标范围</w:t>
            </w:r>
          </w:p>
        </w:tc>
        <w:tc>
          <w:tcPr>
            <w:tcW w:w="7175" w:type="dxa"/>
            <w:tcBorders>
              <w:top w:val="single" w:color="auto" w:sz="4" w:space="0"/>
              <w:left w:val="single" w:color="auto" w:sz="4" w:space="0"/>
              <w:bottom w:val="single" w:color="auto" w:sz="4" w:space="0"/>
              <w:right w:val="single" w:color="auto" w:sz="4" w:space="0"/>
            </w:tcBorders>
            <w:vAlign w:val="center"/>
          </w:tcPr>
          <w:p w14:paraId="6A9B688A">
            <w:pPr>
              <w:widowControl/>
              <w:adjustRightInd w:val="0"/>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滁州铜鑫矿业有限责任公司尾矿库闭库工程第三方测绘服务。详见施工图纸。</w:t>
            </w:r>
          </w:p>
        </w:tc>
      </w:tr>
      <w:tr w14:paraId="086B2AE1">
        <w:tblPrEx>
          <w:tblCellMar>
            <w:top w:w="0" w:type="dxa"/>
            <w:left w:w="108" w:type="dxa"/>
            <w:bottom w:w="0" w:type="dxa"/>
            <w:right w:w="108" w:type="dxa"/>
          </w:tblCellMar>
        </w:tblPrEx>
        <w:trPr>
          <w:jc w:val="center"/>
        </w:trPr>
        <w:tc>
          <w:tcPr>
            <w:tcW w:w="1016" w:type="dxa"/>
            <w:tcBorders>
              <w:top w:val="single" w:color="auto" w:sz="4" w:space="0"/>
              <w:left w:val="single" w:color="auto" w:sz="4" w:space="0"/>
              <w:bottom w:val="single" w:color="auto" w:sz="4" w:space="0"/>
              <w:right w:val="single" w:color="auto" w:sz="4" w:space="0"/>
            </w:tcBorders>
            <w:vAlign w:val="center"/>
          </w:tcPr>
          <w:p w14:paraId="7A6D1BA6">
            <w:pPr>
              <w:adjustRightInd w:val="0"/>
              <w:snapToGri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1.3.2</w:t>
            </w:r>
          </w:p>
        </w:tc>
        <w:tc>
          <w:tcPr>
            <w:tcW w:w="1984" w:type="dxa"/>
            <w:tcBorders>
              <w:top w:val="single" w:color="auto" w:sz="4" w:space="0"/>
              <w:left w:val="single" w:color="auto" w:sz="4" w:space="0"/>
              <w:bottom w:val="single" w:color="auto" w:sz="4" w:space="0"/>
              <w:right w:val="single" w:color="auto" w:sz="4" w:space="0"/>
            </w:tcBorders>
            <w:vAlign w:val="center"/>
          </w:tcPr>
          <w:p w14:paraId="46CAA8D7">
            <w:pPr>
              <w:adjustRightInd w:val="0"/>
              <w:snapToGri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服务期限</w:t>
            </w:r>
          </w:p>
        </w:tc>
        <w:tc>
          <w:tcPr>
            <w:tcW w:w="7175" w:type="dxa"/>
            <w:tcBorders>
              <w:top w:val="single" w:color="auto" w:sz="4" w:space="0"/>
              <w:left w:val="single" w:color="auto" w:sz="4" w:space="0"/>
              <w:bottom w:val="single" w:color="auto" w:sz="4" w:space="0"/>
              <w:right w:val="single" w:color="auto" w:sz="4" w:space="0"/>
            </w:tcBorders>
            <w:vAlign w:val="center"/>
          </w:tcPr>
          <w:p w14:paraId="67BC0B8E">
            <w:pPr>
              <w:widowControl/>
              <w:adjustRightInd w:val="0"/>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服务周期自合同签订之日起至工程总体竣工验收合格止，中标人不得因检测服务期限的延长而申请增加任何费用。在合同签订后7天内编制详细的工程第三方测绘方案报合同甲方审批，报质量监督部门核备。</w:t>
            </w:r>
          </w:p>
          <w:p w14:paraId="3414436B">
            <w:pPr>
              <w:widowControl/>
              <w:adjustRightInd w:val="0"/>
              <w:snapToGrid w:val="0"/>
              <w:spacing w:line="440" w:lineRule="exact"/>
              <w:jc w:val="left"/>
              <w:rPr>
                <w:rFonts w:ascii="宋体" w:hAnsi="宋体" w:cs="宋体"/>
                <w:color w:val="auto"/>
                <w:kern w:val="0"/>
                <w:szCs w:val="21"/>
                <w:highlight w:val="none"/>
              </w:rPr>
            </w:pPr>
            <w:r>
              <w:rPr>
                <w:rFonts w:hint="eastAsia" w:ascii="宋体" w:hAnsi="宋体" w:cs="宋体"/>
                <w:b/>
                <w:bCs/>
                <w:color w:val="auto"/>
                <w:kern w:val="0"/>
                <w:szCs w:val="21"/>
                <w:highlight w:val="none"/>
              </w:rPr>
              <w:t>投标时系统中暂按150个日历天填写。</w:t>
            </w:r>
          </w:p>
        </w:tc>
      </w:tr>
      <w:tr w14:paraId="12DBF23A">
        <w:tblPrEx>
          <w:tblCellMar>
            <w:top w:w="0" w:type="dxa"/>
            <w:left w:w="108" w:type="dxa"/>
            <w:bottom w:w="0" w:type="dxa"/>
            <w:right w:w="108" w:type="dxa"/>
          </w:tblCellMar>
        </w:tblPrEx>
        <w:trPr>
          <w:jc w:val="center"/>
        </w:trPr>
        <w:tc>
          <w:tcPr>
            <w:tcW w:w="1016" w:type="dxa"/>
            <w:tcBorders>
              <w:top w:val="single" w:color="auto" w:sz="4" w:space="0"/>
              <w:left w:val="single" w:color="auto" w:sz="4" w:space="0"/>
              <w:bottom w:val="single" w:color="auto" w:sz="4" w:space="0"/>
              <w:right w:val="single" w:color="auto" w:sz="4" w:space="0"/>
            </w:tcBorders>
            <w:vAlign w:val="center"/>
          </w:tcPr>
          <w:p w14:paraId="1258A666">
            <w:pPr>
              <w:adjustRightInd w:val="0"/>
              <w:snapToGri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1.3.3</w:t>
            </w:r>
          </w:p>
        </w:tc>
        <w:tc>
          <w:tcPr>
            <w:tcW w:w="1984" w:type="dxa"/>
            <w:tcBorders>
              <w:top w:val="single" w:color="auto" w:sz="4" w:space="0"/>
              <w:left w:val="single" w:color="auto" w:sz="4" w:space="0"/>
              <w:bottom w:val="single" w:color="auto" w:sz="4" w:space="0"/>
              <w:right w:val="single" w:color="auto" w:sz="4" w:space="0"/>
            </w:tcBorders>
            <w:vAlign w:val="center"/>
          </w:tcPr>
          <w:p w14:paraId="6DF4546B">
            <w:pPr>
              <w:adjustRightInd w:val="0"/>
              <w:snapToGri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采购内容</w:t>
            </w:r>
          </w:p>
        </w:tc>
        <w:tc>
          <w:tcPr>
            <w:tcW w:w="7175" w:type="dxa"/>
            <w:tcBorders>
              <w:top w:val="single" w:color="auto" w:sz="4" w:space="0"/>
              <w:left w:val="single" w:color="auto" w:sz="4" w:space="0"/>
              <w:bottom w:val="single" w:color="auto" w:sz="4" w:space="0"/>
              <w:right w:val="single" w:color="auto" w:sz="4" w:space="0"/>
            </w:tcBorders>
            <w:vAlign w:val="center"/>
          </w:tcPr>
          <w:p w14:paraId="51578402">
            <w:pPr>
              <w:spacing w:line="440" w:lineRule="exact"/>
              <w:rPr>
                <w:rFonts w:ascii="宋体" w:hAnsi="宋体" w:cs="宋体"/>
                <w:color w:val="auto"/>
                <w:szCs w:val="21"/>
                <w:highlight w:val="none"/>
              </w:rPr>
            </w:pPr>
            <w:r>
              <w:rPr>
                <w:rFonts w:hint="eastAsia" w:ascii="宋体" w:hAnsi="宋体" w:cs="宋体"/>
                <w:color w:val="auto"/>
                <w:szCs w:val="21"/>
                <w:highlight w:val="none"/>
              </w:rPr>
              <w:t>（1）本工程检测内容主要包括但不限于：第三方测绘等内容。做好测绘数据的记录与存档，按统一标准和格式及时编制并向招标人提交第三方测绘和评价报告，为招标人实施质量监督管理提供可靠的依据。</w:t>
            </w:r>
          </w:p>
          <w:p w14:paraId="25701360">
            <w:pPr>
              <w:spacing w:line="440" w:lineRule="exact"/>
              <w:rPr>
                <w:rFonts w:ascii="宋体" w:hAnsi="宋体" w:cs="宋体"/>
                <w:color w:val="auto"/>
                <w:szCs w:val="21"/>
                <w:highlight w:val="none"/>
              </w:rPr>
            </w:pPr>
            <w:r>
              <w:rPr>
                <w:rFonts w:hint="eastAsia" w:ascii="宋体" w:hAnsi="宋体" w:cs="宋体"/>
                <w:color w:val="auto"/>
                <w:szCs w:val="21"/>
                <w:highlight w:val="none"/>
              </w:rPr>
              <w:t>（2）测绘单位应通过第三方测绘工作及时、真实地向招标人反映工程质量、工程量情况，提出解决问题的建议和方案。</w:t>
            </w:r>
          </w:p>
          <w:p w14:paraId="57A40AC3">
            <w:pPr>
              <w:spacing w:line="440" w:lineRule="exact"/>
              <w:rPr>
                <w:rFonts w:ascii="宋体" w:hAnsi="宋体" w:cs="宋体"/>
                <w:color w:val="auto"/>
                <w:szCs w:val="21"/>
                <w:highlight w:val="none"/>
              </w:rPr>
            </w:pPr>
            <w:r>
              <w:rPr>
                <w:rFonts w:hint="eastAsia" w:ascii="宋体" w:hAnsi="宋体" w:cs="宋体"/>
                <w:color w:val="auto"/>
                <w:szCs w:val="21"/>
                <w:highlight w:val="none"/>
              </w:rPr>
              <w:t>（3）定期的和不定期的向招标人报告工程第三方测绘情况。</w:t>
            </w:r>
          </w:p>
          <w:p w14:paraId="4B3DC038">
            <w:pPr>
              <w:spacing w:line="440" w:lineRule="exact"/>
              <w:rPr>
                <w:rFonts w:ascii="宋体" w:hAnsi="宋体" w:cs="宋体"/>
                <w:color w:val="auto"/>
                <w:szCs w:val="21"/>
                <w:highlight w:val="none"/>
              </w:rPr>
            </w:pPr>
            <w:r>
              <w:rPr>
                <w:rFonts w:hint="eastAsia" w:ascii="宋体" w:hAnsi="宋体" w:cs="宋体"/>
                <w:color w:val="auto"/>
                <w:szCs w:val="21"/>
                <w:highlight w:val="none"/>
              </w:rPr>
              <w:t>（4）第三方测绘单位应对招标人提供的有关工程技术资料中按国家规定应予以保密的技术信息、检测成果中按国家规定应予以保密的技术信息和本合同的经营信息承担保密义务。</w:t>
            </w:r>
          </w:p>
          <w:p w14:paraId="1B03F4F8">
            <w:pPr>
              <w:spacing w:line="440" w:lineRule="exact"/>
              <w:rPr>
                <w:rFonts w:ascii="宋体" w:hAnsi="宋体" w:cs="宋体"/>
                <w:color w:val="auto"/>
                <w:szCs w:val="21"/>
                <w:highlight w:val="none"/>
              </w:rPr>
            </w:pPr>
            <w:r>
              <w:rPr>
                <w:rFonts w:hint="eastAsia" w:ascii="宋体" w:hAnsi="宋体" w:cs="宋体"/>
                <w:color w:val="auto"/>
                <w:szCs w:val="21"/>
                <w:highlight w:val="none"/>
              </w:rPr>
              <w:t>（5）竣工图复核：复核各参建单位是否按规范要求进行竣工图的编制和审核。</w:t>
            </w:r>
          </w:p>
          <w:p w14:paraId="01D992A8">
            <w:pPr>
              <w:widowControl/>
              <w:adjustRightInd w:val="0"/>
              <w:snapToGrid w:val="0"/>
              <w:spacing w:line="440" w:lineRule="exact"/>
              <w:jc w:val="left"/>
              <w:rPr>
                <w:rFonts w:ascii="宋体" w:hAnsi="宋体" w:cs="宋体"/>
                <w:b/>
                <w:bCs/>
                <w:color w:val="auto"/>
                <w:kern w:val="0"/>
                <w:szCs w:val="21"/>
                <w:highlight w:val="none"/>
              </w:rPr>
            </w:pPr>
            <w:r>
              <w:rPr>
                <w:rFonts w:hint="eastAsia" w:ascii="宋体" w:hAnsi="宋体" w:cs="宋体"/>
                <w:color w:val="auto"/>
                <w:kern w:val="0"/>
                <w:szCs w:val="21"/>
                <w:highlight w:val="none"/>
              </w:rPr>
              <w:t>（6）本项目所有测绘服务内容必须满足跟踪审计、监理及竣工验收需求。</w:t>
            </w:r>
          </w:p>
        </w:tc>
      </w:tr>
      <w:tr w14:paraId="2BA0B446">
        <w:tblPrEx>
          <w:tblCellMar>
            <w:top w:w="0" w:type="dxa"/>
            <w:left w:w="108" w:type="dxa"/>
            <w:bottom w:w="0" w:type="dxa"/>
            <w:right w:w="108" w:type="dxa"/>
          </w:tblCellMar>
        </w:tblPrEx>
        <w:trPr>
          <w:jc w:val="center"/>
        </w:trPr>
        <w:tc>
          <w:tcPr>
            <w:tcW w:w="1016" w:type="dxa"/>
            <w:tcBorders>
              <w:top w:val="single" w:color="auto" w:sz="4" w:space="0"/>
              <w:left w:val="single" w:color="auto" w:sz="4" w:space="0"/>
              <w:bottom w:val="single" w:color="auto" w:sz="4" w:space="0"/>
              <w:right w:val="single" w:color="auto" w:sz="4" w:space="0"/>
            </w:tcBorders>
            <w:vAlign w:val="center"/>
          </w:tcPr>
          <w:p w14:paraId="1AE86195">
            <w:pPr>
              <w:adjustRightInd w:val="0"/>
              <w:snapToGri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1.3.4</w:t>
            </w:r>
          </w:p>
        </w:tc>
        <w:tc>
          <w:tcPr>
            <w:tcW w:w="1984" w:type="dxa"/>
            <w:tcBorders>
              <w:top w:val="single" w:color="auto" w:sz="4" w:space="0"/>
              <w:left w:val="single" w:color="auto" w:sz="4" w:space="0"/>
              <w:bottom w:val="single" w:color="auto" w:sz="4" w:space="0"/>
              <w:right w:val="single" w:color="auto" w:sz="4" w:space="0"/>
            </w:tcBorders>
            <w:vAlign w:val="center"/>
          </w:tcPr>
          <w:p w14:paraId="5FF458AF">
            <w:pPr>
              <w:adjustRightInd w:val="0"/>
              <w:snapToGri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质量要求</w:t>
            </w:r>
          </w:p>
        </w:tc>
        <w:tc>
          <w:tcPr>
            <w:tcW w:w="7175" w:type="dxa"/>
            <w:tcBorders>
              <w:top w:val="single" w:color="auto" w:sz="4" w:space="0"/>
              <w:left w:val="single" w:color="auto" w:sz="4" w:space="0"/>
              <w:bottom w:val="single" w:color="auto" w:sz="4" w:space="0"/>
              <w:right w:val="single" w:color="auto" w:sz="4" w:space="0"/>
            </w:tcBorders>
            <w:vAlign w:val="center"/>
          </w:tcPr>
          <w:p w14:paraId="3BFB1D52">
            <w:pPr>
              <w:widowControl/>
              <w:adjustRightInd w:val="0"/>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测绘服务成果应达到或满足国家规程、规范及合同甲方要求的质量目标，满足竣工验收需要；对可能危及工程安全、形成质量隐患或影响工程正常运行的检测结果应在24小时内报送甲方。</w:t>
            </w:r>
          </w:p>
        </w:tc>
      </w:tr>
      <w:tr w14:paraId="04ABD4C8">
        <w:tblPrEx>
          <w:tblCellMar>
            <w:top w:w="0" w:type="dxa"/>
            <w:left w:w="108" w:type="dxa"/>
            <w:bottom w:w="0" w:type="dxa"/>
            <w:right w:w="108" w:type="dxa"/>
          </w:tblCellMar>
        </w:tblPrEx>
        <w:trPr>
          <w:trHeight w:val="837" w:hRule="atLeast"/>
          <w:jc w:val="center"/>
        </w:trPr>
        <w:tc>
          <w:tcPr>
            <w:tcW w:w="1016" w:type="dxa"/>
            <w:tcBorders>
              <w:top w:val="single" w:color="auto" w:sz="4" w:space="0"/>
              <w:left w:val="single" w:color="auto" w:sz="4" w:space="0"/>
              <w:bottom w:val="nil"/>
              <w:right w:val="single" w:color="auto" w:sz="4" w:space="0"/>
            </w:tcBorders>
            <w:vAlign w:val="center"/>
          </w:tcPr>
          <w:p w14:paraId="4F30A0F8">
            <w:pPr>
              <w:adjustRightInd w:val="0"/>
              <w:snapToGri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1.4.1</w:t>
            </w:r>
          </w:p>
        </w:tc>
        <w:tc>
          <w:tcPr>
            <w:tcW w:w="1984" w:type="dxa"/>
            <w:tcBorders>
              <w:top w:val="single" w:color="auto" w:sz="4" w:space="0"/>
              <w:left w:val="single" w:color="auto" w:sz="4" w:space="0"/>
              <w:bottom w:val="single" w:color="auto" w:sz="4" w:space="0"/>
              <w:right w:val="single" w:color="auto" w:sz="4" w:space="0"/>
            </w:tcBorders>
            <w:vAlign w:val="center"/>
          </w:tcPr>
          <w:p w14:paraId="179C2522">
            <w:pPr>
              <w:adjustRightInd w:val="0"/>
              <w:snapToGri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投标人资质条件、能力和信誉</w:t>
            </w:r>
          </w:p>
        </w:tc>
        <w:tc>
          <w:tcPr>
            <w:tcW w:w="7175" w:type="dxa"/>
            <w:tcBorders>
              <w:top w:val="single" w:color="auto" w:sz="4" w:space="0"/>
              <w:left w:val="single" w:color="auto" w:sz="4" w:space="0"/>
              <w:bottom w:val="single" w:color="auto" w:sz="4" w:space="0"/>
              <w:right w:val="single" w:color="auto" w:sz="4" w:space="0"/>
            </w:tcBorders>
            <w:vAlign w:val="center"/>
          </w:tcPr>
          <w:p w14:paraId="5C49576D">
            <w:pPr>
              <w:widowControl/>
              <w:adjustRightInd w:val="0"/>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详见招标公告</w:t>
            </w:r>
          </w:p>
        </w:tc>
      </w:tr>
      <w:tr w14:paraId="27BBBD0F">
        <w:tblPrEx>
          <w:tblCellMar>
            <w:top w:w="0" w:type="dxa"/>
            <w:left w:w="108" w:type="dxa"/>
            <w:bottom w:w="0" w:type="dxa"/>
            <w:right w:w="108" w:type="dxa"/>
          </w:tblCellMar>
        </w:tblPrEx>
        <w:trPr>
          <w:trHeight w:val="693" w:hRule="atLeast"/>
          <w:jc w:val="center"/>
        </w:trPr>
        <w:tc>
          <w:tcPr>
            <w:tcW w:w="1016" w:type="dxa"/>
            <w:tcBorders>
              <w:top w:val="single" w:color="auto" w:sz="4" w:space="0"/>
              <w:left w:val="single" w:color="auto" w:sz="4" w:space="0"/>
              <w:bottom w:val="single" w:color="auto" w:sz="4" w:space="0"/>
              <w:right w:val="single" w:color="auto" w:sz="4" w:space="0"/>
            </w:tcBorders>
            <w:vAlign w:val="center"/>
          </w:tcPr>
          <w:p w14:paraId="4F0EAA83">
            <w:pPr>
              <w:adjustRightInd w:val="0"/>
              <w:snapToGri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1.4.2</w:t>
            </w:r>
          </w:p>
        </w:tc>
        <w:tc>
          <w:tcPr>
            <w:tcW w:w="1984" w:type="dxa"/>
            <w:tcBorders>
              <w:top w:val="single" w:color="auto" w:sz="4" w:space="0"/>
              <w:left w:val="single" w:color="auto" w:sz="4" w:space="0"/>
              <w:bottom w:val="single" w:color="auto" w:sz="4" w:space="0"/>
              <w:right w:val="single" w:color="auto" w:sz="4" w:space="0"/>
            </w:tcBorders>
            <w:vAlign w:val="center"/>
          </w:tcPr>
          <w:p w14:paraId="00B043BA">
            <w:pPr>
              <w:adjustRightInd w:val="0"/>
              <w:snapToGrid w:val="0"/>
              <w:spacing w:line="440" w:lineRule="exact"/>
              <w:jc w:val="center"/>
              <w:rPr>
                <w:rFonts w:ascii="宋体" w:hAnsi="宋体" w:cs="宋体"/>
                <w:color w:val="auto"/>
                <w:spacing w:val="-4"/>
                <w:kern w:val="0"/>
                <w:szCs w:val="21"/>
                <w:highlight w:val="none"/>
              </w:rPr>
            </w:pPr>
            <w:r>
              <w:rPr>
                <w:rFonts w:hint="eastAsia" w:ascii="宋体" w:hAnsi="宋体" w:cs="宋体"/>
                <w:color w:val="auto"/>
                <w:spacing w:val="-4"/>
                <w:kern w:val="0"/>
                <w:szCs w:val="21"/>
                <w:highlight w:val="none"/>
              </w:rPr>
              <w:t>是否接受联合体投标</w:t>
            </w:r>
          </w:p>
        </w:tc>
        <w:tc>
          <w:tcPr>
            <w:tcW w:w="7175" w:type="dxa"/>
            <w:tcBorders>
              <w:top w:val="single" w:color="auto" w:sz="4" w:space="0"/>
              <w:left w:val="single" w:color="auto" w:sz="4" w:space="0"/>
              <w:bottom w:val="single" w:color="auto" w:sz="4" w:space="0"/>
              <w:right w:val="single" w:color="auto" w:sz="4" w:space="0"/>
            </w:tcBorders>
            <w:vAlign w:val="center"/>
          </w:tcPr>
          <w:p w14:paraId="0522EBC6">
            <w:pPr>
              <w:adjustRightInd w:val="0"/>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详见招标公告</w:t>
            </w:r>
          </w:p>
        </w:tc>
      </w:tr>
      <w:tr w14:paraId="2149034F">
        <w:tblPrEx>
          <w:tblCellMar>
            <w:top w:w="0" w:type="dxa"/>
            <w:left w:w="108" w:type="dxa"/>
            <w:bottom w:w="0" w:type="dxa"/>
            <w:right w:w="108" w:type="dxa"/>
          </w:tblCellMar>
        </w:tblPrEx>
        <w:trPr>
          <w:trHeight w:val="734" w:hRule="atLeast"/>
          <w:jc w:val="center"/>
        </w:trPr>
        <w:tc>
          <w:tcPr>
            <w:tcW w:w="1016" w:type="dxa"/>
            <w:tcBorders>
              <w:top w:val="single" w:color="auto" w:sz="4" w:space="0"/>
              <w:left w:val="single" w:color="auto" w:sz="4" w:space="0"/>
              <w:bottom w:val="single" w:color="auto" w:sz="4" w:space="0"/>
              <w:right w:val="single" w:color="auto" w:sz="4" w:space="0"/>
            </w:tcBorders>
            <w:vAlign w:val="center"/>
          </w:tcPr>
          <w:p w14:paraId="6850BB47">
            <w:pPr>
              <w:adjustRightInd w:val="0"/>
              <w:snapToGri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1.4.3</w:t>
            </w:r>
          </w:p>
        </w:tc>
        <w:tc>
          <w:tcPr>
            <w:tcW w:w="1984" w:type="dxa"/>
            <w:tcBorders>
              <w:top w:val="single" w:color="auto" w:sz="4" w:space="0"/>
              <w:left w:val="single" w:color="auto" w:sz="4" w:space="0"/>
              <w:bottom w:val="single" w:color="auto" w:sz="4" w:space="0"/>
              <w:right w:val="single" w:color="auto" w:sz="4" w:space="0"/>
            </w:tcBorders>
            <w:vAlign w:val="center"/>
          </w:tcPr>
          <w:p w14:paraId="7C2D70A3">
            <w:pPr>
              <w:adjustRightInd w:val="0"/>
              <w:snapToGrid w:val="0"/>
              <w:spacing w:line="440" w:lineRule="exact"/>
              <w:jc w:val="center"/>
              <w:rPr>
                <w:rFonts w:ascii="宋体" w:hAnsi="宋体" w:cs="宋体"/>
                <w:color w:val="auto"/>
                <w:spacing w:val="-4"/>
                <w:kern w:val="0"/>
                <w:szCs w:val="21"/>
                <w:highlight w:val="none"/>
              </w:rPr>
            </w:pPr>
            <w:r>
              <w:rPr>
                <w:rFonts w:hint="eastAsia" w:ascii="宋体" w:hAnsi="宋体" w:cs="宋体"/>
                <w:color w:val="auto"/>
                <w:spacing w:val="-4"/>
                <w:kern w:val="0"/>
                <w:szCs w:val="21"/>
                <w:highlight w:val="none"/>
              </w:rPr>
              <w:t>投标人不得存在的其他关联情形</w:t>
            </w:r>
          </w:p>
        </w:tc>
        <w:tc>
          <w:tcPr>
            <w:tcW w:w="7175" w:type="dxa"/>
            <w:tcBorders>
              <w:top w:val="single" w:color="auto" w:sz="4" w:space="0"/>
              <w:left w:val="single" w:color="auto" w:sz="4" w:space="0"/>
              <w:bottom w:val="single" w:color="auto" w:sz="4" w:space="0"/>
              <w:right w:val="single" w:color="auto" w:sz="4" w:space="0"/>
            </w:tcBorders>
            <w:vAlign w:val="center"/>
          </w:tcPr>
          <w:p w14:paraId="76471DA4">
            <w:pPr>
              <w:adjustRightInd w:val="0"/>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单位负责人为同一人或者存在控股、管理关系的不同单位，不得同时参加本招标项目投标</w:t>
            </w:r>
          </w:p>
        </w:tc>
      </w:tr>
      <w:tr w14:paraId="2A478CBA">
        <w:tblPrEx>
          <w:tblCellMar>
            <w:top w:w="0" w:type="dxa"/>
            <w:left w:w="108" w:type="dxa"/>
            <w:bottom w:w="0" w:type="dxa"/>
            <w:right w:w="108" w:type="dxa"/>
          </w:tblCellMar>
        </w:tblPrEx>
        <w:trPr>
          <w:trHeight w:val="441" w:hRule="atLeast"/>
          <w:jc w:val="center"/>
        </w:trPr>
        <w:tc>
          <w:tcPr>
            <w:tcW w:w="1016" w:type="dxa"/>
            <w:tcBorders>
              <w:top w:val="single" w:color="auto" w:sz="4" w:space="0"/>
              <w:left w:val="single" w:color="auto" w:sz="4" w:space="0"/>
              <w:bottom w:val="single" w:color="auto" w:sz="4" w:space="0"/>
              <w:right w:val="single" w:color="auto" w:sz="4" w:space="0"/>
            </w:tcBorders>
            <w:vAlign w:val="center"/>
          </w:tcPr>
          <w:p w14:paraId="0910A261">
            <w:pPr>
              <w:adjustRightInd w:val="0"/>
              <w:snapToGri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1.9</w:t>
            </w:r>
          </w:p>
        </w:tc>
        <w:tc>
          <w:tcPr>
            <w:tcW w:w="1984" w:type="dxa"/>
            <w:tcBorders>
              <w:top w:val="single" w:color="auto" w:sz="4" w:space="0"/>
              <w:left w:val="single" w:color="auto" w:sz="4" w:space="0"/>
              <w:bottom w:val="single" w:color="auto" w:sz="4" w:space="0"/>
              <w:right w:val="single" w:color="auto" w:sz="4" w:space="0"/>
            </w:tcBorders>
            <w:vAlign w:val="center"/>
          </w:tcPr>
          <w:p w14:paraId="5E320AF3">
            <w:pPr>
              <w:adjustRightInd w:val="0"/>
              <w:snapToGrid w:val="0"/>
              <w:spacing w:line="440" w:lineRule="exact"/>
              <w:jc w:val="center"/>
              <w:rPr>
                <w:rFonts w:ascii="宋体" w:hAnsi="宋体" w:cs="宋体"/>
                <w:color w:val="auto"/>
                <w:spacing w:val="-4"/>
                <w:kern w:val="0"/>
                <w:szCs w:val="21"/>
                <w:highlight w:val="none"/>
              </w:rPr>
            </w:pPr>
            <w:r>
              <w:rPr>
                <w:rFonts w:hint="eastAsia" w:ascii="宋体" w:hAnsi="宋体" w:cs="宋体"/>
                <w:color w:val="auto"/>
                <w:spacing w:val="-4"/>
                <w:kern w:val="0"/>
                <w:szCs w:val="21"/>
                <w:highlight w:val="none"/>
              </w:rPr>
              <w:t>踏勘现场</w:t>
            </w:r>
          </w:p>
        </w:tc>
        <w:tc>
          <w:tcPr>
            <w:tcW w:w="7175" w:type="dxa"/>
            <w:tcBorders>
              <w:top w:val="single" w:color="auto" w:sz="4" w:space="0"/>
              <w:left w:val="single" w:color="auto" w:sz="4" w:space="0"/>
              <w:bottom w:val="single" w:color="auto" w:sz="4" w:space="0"/>
              <w:right w:val="single" w:color="auto" w:sz="4" w:space="0"/>
            </w:tcBorders>
            <w:vAlign w:val="center"/>
          </w:tcPr>
          <w:p w14:paraId="40DAF075">
            <w:pPr>
              <w:adjustRightInd w:val="0"/>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不组织</w:t>
            </w:r>
          </w:p>
        </w:tc>
      </w:tr>
      <w:tr w14:paraId="368517F1">
        <w:tblPrEx>
          <w:tblCellMar>
            <w:top w:w="0" w:type="dxa"/>
            <w:left w:w="108" w:type="dxa"/>
            <w:bottom w:w="0" w:type="dxa"/>
            <w:right w:w="108" w:type="dxa"/>
          </w:tblCellMar>
        </w:tblPrEx>
        <w:trPr>
          <w:trHeight w:val="474" w:hRule="atLeast"/>
          <w:jc w:val="center"/>
        </w:trPr>
        <w:tc>
          <w:tcPr>
            <w:tcW w:w="1016" w:type="dxa"/>
            <w:tcBorders>
              <w:top w:val="single" w:color="auto" w:sz="4" w:space="0"/>
              <w:left w:val="single" w:color="auto" w:sz="4" w:space="0"/>
              <w:bottom w:val="single" w:color="auto" w:sz="4" w:space="0"/>
              <w:right w:val="single" w:color="auto" w:sz="4" w:space="0"/>
            </w:tcBorders>
            <w:vAlign w:val="center"/>
          </w:tcPr>
          <w:p w14:paraId="15EE7558">
            <w:pPr>
              <w:adjustRightInd w:val="0"/>
              <w:snapToGri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1.10.1</w:t>
            </w:r>
          </w:p>
        </w:tc>
        <w:tc>
          <w:tcPr>
            <w:tcW w:w="1984" w:type="dxa"/>
            <w:tcBorders>
              <w:top w:val="single" w:color="auto" w:sz="4" w:space="0"/>
              <w:left w:val="single" w:color="auto" w:sz="4" w:space="0"/>
              <w:bottom w:val="single" w:color="auto" w:sz="4" w:space="0"/>
              <w:right w:val="single" w:color="auto" w:sz="4" w:space="0"/>
            </w:tcBorders>
            <w:vAlign w:val="center"/>
          </w:tcPr>
          <w:p w14:paraId="7818662A">
            <w:pPr>
              <w:adjustRightInd w:val="0"/>
              <w:snapToGrid w:val="0"/>
              <w:spacing w:line="440" w:lineRule="exact"/>
              <w:jc w:val="center"/>
              <w:rPr>
                <w:rFonts w:ascii="宋体" w:hAnsi="宋体" w:cs="宋体"/>
                <w:color w:val="auto"/>
                <w:spacing w:val="-4"/>
                <w:kern w:val="0"/>
                <w:szCs w:val="21"/>
                <w:highlight w:val="none"/>
              </w:rPr>
            </w:pPr>
            <w:r>
              <w:rPr>
                <w:rFonts w:hint="eastAsia" w:ascii="宋体" w:hAnsi="宋体" w:cs="宋体"/>
                <w:color w:val="auto"/>
                <w:spacing w:val="-4"/>
                <w:kern w:val="0"/>
                <w:szCs w:val="21"/>
                <w:highlight w:val="none"/>
              </w:rPr>
              <w:t>投标预备会</w:t>
            </w:r>
          </w:p>
        </w:tc>
        <w:tc>
          <w:tcPr>
            <w:tcW w:w="7175" w:type="dxa"/>
            <w:tcBorders>
              <w:top w:val="single" w:color="auto" w:sz="4" w:space="0"/>
              <w:left w:val="single" w:color="auto" w:sz="4" w:space="0"/>
              <w:bottom w:val="single" w:color="auto" w:sz="4" w:space="0"/>
              <w:right w:val="single" w:color="auto" w:sz="4" w:space="0"/>
            </w:tcBorders>
            <w:vAlign w:val="center"/>
          </w:tcPr>
          <w:p w14:paraId="5B14581C">
            <w:pPr>
              <w:adjustRightInd w:val="0"/>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不召开</w:t>
            </w:r>
          </w:p>
        </w:tc>
      </w:tr>
      <w:tr w14:paraId="3CC424A3">
        <w:tblPrEx>
          <w:tblCellMar>
            <w:top w:w="0" w:type="dxa"/>
            <w:left w:w="108" w:type="dxa"/>
            <w:bottom w:w="0" w:type="dxa"/>
            <w:right w:w="108" w:type="dxa"/>
          </w:tblCellMar>
        </w:tblPrEx>
        <w:trPr>
          <w:jc w:val="center"/>
        </w:trPr>
        <w:tc>
          <w:tcPr>
            <w:tcW w:w="1016" w:type="dxa"/>
            <w:tcBorders>
              <w:top w:val="single" w:color="auto" w:sz="4" w:space="0"/>
              <w:left w:val="single" w:color="auto" w:sz="4" w:space="0"/>
              <w:bottom w:val="single" w:color="auto" w:sz="4" w:space="0"/>
              <w:right w:val="single" w:color="auto" w:sz="4" w:space="0"/>
            </w:tcBorders>
            <w:vAlign w:val="center"/>
          </w:tcPr>
          <w:p w14:paraId="2AF4565D">
            <w:pPr>
              <w:adjustRightInd w:val="0"/>
              <w:snapToGri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1.10.2</w:t>
            </w:r>
          </w:p>
        </w:tc>
        <w:tc>
          <w:tcPr>
            <w:tcW w:w="1984" w:type="dxa"/>
            <w:tcBorders>
              <w:top w:val="single" w:color="auto" w:sz="4" w:space="0"/>
              <w:left w:val="single" w:color="auto" w:sz="4" w:space="0"/>
              <w:bottom w:val="single" w:color="auto" w:sz="4" w:space="0"/>
              <w:right w:val="single" w:color="auto" w:sz="4" w:space="0"/>
            </w:tcBorders>
            <w:vAlign w:val="center"/>
          </w:tcPr>
          <w:p w14:paraId="7AA1F124">
            <w:pPr>
              <w:adjustRightInd w:val="0"/>
              <w:snapToGri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投标人在投标预备会前提出问题</w:t>
            </w:r>
          </w:p>
        </w:tc>
        <w:tc>
          <w:tcPr>
            <w:tcW w:w="7175" w:type="dxa"/>
            <w:tcBorders>
              <w:top w:val="single" w:color="auto" w:sz="4" w:space="0"/>
              <w:left w:val="single" w:color="auto" w:sz="4" w:space="0"/>
              <w:bottom w:val="single" w:color="auto" w:sz="4" w:space="0"/>
              <w:right w:val="single" w:color="auto" w:sz="4" w:space="0"/>
            </w:tcBorders>
            <w:vAlign w:val="center"/>
          </w:tcPr>
          <w:p w14:paraId="31ACFD99">
            <w:pPr>
              <w:adjustRightInd w:val="0"/>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 xml:space="preserve">时间：/ </w:t>
            </w:r>
          </w:p>
          <w:p w14:paraId="54899273">
            <w:pPr>
              <w:adjustRightInd w:val="0"/>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 xml:space="preserve">形式：/  </w:t>
            </w:r>
          </w:p>
        </w:tc>
      </w:tr>
      <w:tr w14:paraId="74030E69">
        <w:tblPrEx>
          <w:tblCellMar>
            <w:top w:w="0" w:type="dxa"/>
            <w:left w:w="108" w:type="dxa"/>
            <w:bottom w:w="0" w:type="dxa"/>
            <w:right w:w="108" w:type="dxa"/>
          </w:tblCellMar>
        </w:tblPrEx>
        <w:trPr>
          <w:jc w:val="center"/>
        </w:trPr>
        <w:tc>
          <w:tcPr>
            <w:tcW w:w="1016" w:type="dxa"/>
            <w:tcBorders>
              <w:top w:val="single" w:color="auto" w:sz="4" w:space="0"/>
              <w:left w:val="single" w:color="auto" w:sz="4" w:space="0"/>
              <w:bottom w:val="single" w:color="auto" w:sz="4" w:space="0"/>
              <w:right w:val="single" w:color="auto" w:sz="4" w:space="0"/>
            </w:tcBorders>
            <w:vAlign w:val="center"/>
          </w:tcPr>
          <w:p w14:paraId="4BBE5968">
            <w:pPr>
              <w:adjustRightInd w:val="0"/>
              <w:snapToGri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1.11</w:t>
            </w:r>
          </w:p>
        </w:tc>
        <w:tc>
          <w:tcPr>
            <w:tcW w:w="1984" w:type="dxa"/>
            <w:tcBorders>
              <w:top w:val="single" w:color="auto" w:sz="4" w:space="0"/>
              <w:left w:val="single" w:color="auto" w:sz="4" w:space="0"/>
              <w:bottom w:val="single" w:color="auto" w:sz="4" w:space="0"/>
              <w:right w:val="single" w:color="auto" w:sz="4" w:space="0"/>
            </w:tcBorders>
            <w:vAlign w:val="center"/>
          </w:tcPr>
          <w:p w14:paraId="6078BC9A">
            <w:pPr>
              <w:adjustRightInd w:val="0"/>
              <w:snapToGri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分包</w:t>
            </w:r>
          </w:p>
        </w:tc>
        <w:tc>
          <w:tcPr>
            <w:tcW w:w="7175" w:type="dxa"/>
            <w:tcBorders>
              <w:top w:val="single" w:color="auto" w:sz="4" w:space="0"/>
              <w:left w:val="single" w:color="auto" w:sz="4" w:space="0"/>
              <w:bottom w:val="single" w:color="auto" w:sz="4" w:space="0"/>
              <w:right w:val="single" w:color="auto" w:sz="4" w:space="0"/>
            </w:tcBorders>
            <w:vAlign w:val="center"/>
          </w:tcPr>
          <w:p w14:paraId="12E84746">
            <w:pPr>
              <w:adjustRightInd w:val="0"/>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不允许</w:t>
            </w:r>
          </w:p>
        </w:tc>
      </w:tr>
      <w:tr w14:paraId="0E948524">
        <w:tblPrEx>
          <w:tblCellMar>
            <w:top w:w="0" w:type="dxa"/>
            <w:left w:w="108" w:type="dxa"/>
            <w:bottom w:w="0" w:type="dxa"/>
            <w:right w:w="108" w:type="dxa"/>
          </w:tblCellMar>
        </w:tblPrEx>
        <w:trPr>
          <w:jc w:val="center"/>
        </w:trPr>
        <w:tc>
          <w:tcPr>
            <w:tcW w:w="1016" w:type="dxa"/>
            <w:tcBorders>
              <w:top w:val="single" w:color="auto" w:sz="4" w:space="0"/>
              <w:left w:val="single" w:color="auto" w:sz="4" w:space="0"/>
              <w:bottom w:val="single" w:color="auto" w:sz="4" w:space="0"/>
              <w:right w:val="single" w:color="auto" w:sz="4" w:space="0"/>
            </w:tcBorders>
            <w:vAlign w:val="center"/>
          </w:tcPr>
          <w:p w14:paraId="344CC503">
            <w:pPr>
              <w:adjustRightInd w:val="0"/>
              <w:snapToGri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2.1</w:t>
            </w:r>
          </w:p>
        </w:tc>
        <w:tc>
          <w:tcPr>
            <w:tcW w:w="1984" w:type="dxa"/>
            <w:tcBorders>
              <w:top w:val="single" w:color="auto" w:sz="4" w:space="0"/>
              <w:left w:val="single" w:color="auto" w:sz="4" w:space="0"/>
              <w:bottom w:val="single" w:color="auto" w:sz="4" w:space="0"/>
              <w:right w:val="single" w:color="auto" w:sz="4" w:space="0"/>
            </w:tcBorders>
            <w:vAlign w:val="center"/>
          </w:tcPr>
          <w:p w14:paraId="002EC91A">
            <w:pPr>
              <w:adjustRightInd w:val="0"/>
              <w:snapToGri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构成招标文件的其他资料</w:t>
            </w:r>
          </w:p>
        </w:tc>
        <w:tc>
          <w:tcPr>
            <w:tcW w:w="7175" w:type="dxa"/>
            <w:tcBorders>
              <w:top w:val="single" w:color="auto" w:sz="4" w:space="0"/>
              <w:left w:val="single" w:color="auto" w:sz="4" w:space="0"/>
              <w:bottom w:val="single" w:color="auto" w:sz="4" w:space="0"/>
              <w:right w:val="single" w:color="auto" w:sz="4" w:space="0"/>
            </w:tcBorders>
            <w:vAlign w:val="center"/>
          </w:tcPr>
          <w:p w14:paraId="1DE5A916">
            <w:pPr>
              <w:adjustRightInd w:val="0"/>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本工程招标澄清答疑文件（如有）。</w:t>
            </w:r>
          </w:p>
        </w:tc>
      </w:tr>
      <w:tr w14:paraId="0A14706E">
        <w:tblPrEx>
          <w:tblCellMar>
            <w:top w:w="0" w:type="dxa"/>
            <w:left w:w="108" w:type="dxa"/>
            <w:bottom w:w="0" w:type="dxa"/>
            <w:right w:w="108" w:type="dxa"/>
          </w:tblCellMar>
        </w:tblPrEx>
        <w:trPr>
          <w:jc w:val="center"/>
        </w:trPr>
        <w:tc>
          <w:tcPr>
            <w:tcW w:w="1016" w:type="dxa"/>
            <w:tcBorders>
              <w:top w:val="single" w:color="auto" w:sz="4" w:space="0"/>
              <w:left w:val="single" w:color="auto" w:sz="4" w:space="0"/>
              <w:bottom w:val="single" w:color="auto" w:sz="4" w:space="0"/>
              <w:right w:val="single" w:color="auto" w:sz="4" w:space="0"/>
            </w:tcBorders>
            <w:vAlign w:val="center"/>
          </w:tcPr>
          <w:p w14:paraId="72C47743">
            <w:pPr>
              <w:adjustRightInd w:val="0"/>
              <w:snapToGri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2.2</w:t>
            </w:r>
          </w:p>
        </w:tc>
        <w:tc>
          <w:tcPr>
            <w:tcW w:w="1984" w:type="dxa"/>
            <w:tcBorders>
              <w:top w:val="single" w:color="auto" w:sz="4" w:space="0"/>
              <w:left w:val="single" w:color="auto" w:sz="4" w:space="0"/>
              <w:bottom w:val="single" w:color="auto" w:sz="4" w:space="0"/>
              <w:right w:val="single" w:color="auto" w:sz="4" w:space="0"/>
            </w:tcBorders>
            <w:vAlign w:val="center"/>
          </w:tcPr>
          <w:p w14:paraId="76204697">
            <w:pPr>
              <w:adjustRightInd w:val="0"/>
              <w:snapToGri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投标人提出异议的截止时间及方式</w:t>
            </w:r>
          </w:p>
        </w:tc>
        <w:tc>
          <w:tcPr>
            <w:tcW w:w="7175" w:type="dxa"/>
            <w:tcBorders>
              <w:top w:val="single" w:color="auto" w:sz="4" w:space="0"/>
              <w:left w:val="single" w:color="auto" w:sz="4" w:space="0"/>
              <w:bottom w:val="single" w:color="auto" w:sz="4" w:space="0"/>
              <w:right w:val="single" w:color="auto" w:sz="4" w:space="0"/>
            </w:tcBorders>
            <w:vAlign w:val="center"/>
          </w:tcPr>
          <w:p w14:paraId="4F40F56F">
            <w:pPr>
              <w:adjustRightInd w:val="0"/>
              <w:snapToGrid w:val="0"/>
              <w:spacing w:line="440" w:lineRule="exact"/>
              <w:jc w:val="left"/>
              <w:rPr>
                <w:rFonts w:ascii="宋体" w:hAnsi="宋体" w:cs="宋体"/>
                <w:color w:val="auto"/>
                <w:szCs w:val="21"/>
                <w:highlight w:val="none"/>
              </w:rPr>
            </w:pPr>
            <w:r>
              <w:rPr>
                <w:rFonts w:hint="eastAsia" w:ascii="宋体" w:hAnsi="宋体" w:cs="宋体"/>
                <w:color w:val="auto"/>
                <w:kern w:val="0"/>
                <w:szCs w:val="21"/>
                <w:highlight w:val="none"/>
              </w:rPr>
              <w:t>如投标人对招标文件有异议，请于2026年</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月</w:t>
            </w:r>
            <w:r>
              <w:rPr>
                <w:rFonts w:hint="eastAsia" w:ascii="宋体" w:hAnsi="宋体" w:cs="宋体"/>
                <w:color w:val="auto"/>
                <w:kern w:val="0"/>
                <w:szCs w:val="21"/>
                <w:highlight w:val="none"/>
                <w:lang w:val="en-US" w:eastAsia="zh-CN"/>
              </w:rPr>
              <w:t>12</w:t>
            </w:r>
            <w:r>
              <w:rPr>
                <w:rFonts w:hint="eastAsia" w:ascii="宋体" w:hAnsi="宋体" w:cs="宋体"/>
                <w:color w:val="auto"/>
                <w:kern w:val="0"/>
                <w:szCs w:val="21"/>
                <w:highlight w:val="none"/>
              </w:rPr>
              <w:t>日1</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时前</w:t>
            </w:r>
            <w:r>
              <w:rPr>
                <w:rFonts w:hint="eastAsia" w:ascii="宋体" w:hAnsi="宋体" w:cs="宋体"/>
                <w:color w:val="auto"/>
                <w:szCs w:val="21"/>
                <w:highlight w:val="none"/>
              </w:rPr>
              <w:t>将疑问内容通过登录新点电子交易平台【滁州专区】线上提出异议。</w:t>
            </w:r>
          </w:p>
        </w:tc>
      </w:tr>
      <w:tr w14:paraId="5CDB5F42">
        <w:tblPrEx>
          <w:tblCellMar>
            <w:top w:w="0" w:type="dxa"/>
            <w:left w:w="108" w:type="dxa"/>
            <w:bottom w:w="0" w:type="dxa"/>
            <w:right w:w="108" w:type="dxa"/>
          </w:tblCellMar>
        </w:tblPrEx>
        <w:trPr>
          <w:trHeight w:val="763" w:hRule="atLeast"/>
          <w:jc w:val="center"/>
        </w:trPr>
        <w:tc>
          <w:tcPr>
            <w:tcW w:w="1016" w:type="dxa"/>
            <w:tcBorders>
              <w:top w:val="single" w:color="auto" w:sz="4" w:space="0"/>
              <w:left w:val="single" w:color="auto" w:sz="4" w:space="0"/>
              <w:bottom w:val="single" w:color="auto" w:sz="4" w:space="0"/>
              <w:right w:val="single" w:color="auto" w:sz="4" w:space="0"/>
            </w:tcBorders>
            <w:vAlign w:val="center"/>
          </w:tcPr>
          <w:p w14:paraId="4D29DBEA">
            <w:pPr>
              <w:adjustRightInd w:val="0"/>
              <w:snapToGri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2.3</w:t>
            </w:r>
          </w:p>
        </w:tc>
        <w:tc>
          <w:tcPr>
            <w:tcW w:w="1984" w:type="dxa"/>
            <w:tcBorders>
              <w:top w:val="single" w:color="auto" w:sz="4" w:space="0"/>
              <w:left w:val="single" w:color="auto" w:sz="4" w:space="0"/>
              <w:bottom w:val="single" w:color="auto" w:sz="4" w:space="0"/>
              <w:right w:val="single" w:color="auto" w:sz="4" w:space="0"/>
            </w:tcBorders>
            <w:vAlign w:val="center"/>
          </w:tcPr>
          <w:p w14:paraId="59E68370">
            <w:pPr>
              <w:adjustRightInd w:val="0"/>
              <w:snapToGri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招标人澄清的时间及方式</w:t>
            </w:r>
          </w:p>
        </w:tc>
        <w:tc>
          <w:tcPr>
            <w:tcW w:w="7175" w:type="dxa"/>
            <w:tcBorders>
              <w:top w:val="single" w:color="auto" w:sz="4" w:space="0"/>
              <w:left w:val="single" w:color="auto" w:sz="4" w:space="0"/>
              <w:bottom w:val="single" w:color="auto" w:sz="4" w:space="0"/>
              <w:right w:val="single" w:color="auto" w:sz="4" w:space="0"/>
            </w:tcBorders>
            <w:vAlign w:val="center"/>
          </w:tcPr>
          <w:p w14:paraId="7B4D3AF2">
            <w:pPr>
              <w:adjustRightInd w:val="0"/>
              <w:snapToGrid w:val="0"/>
              <w:spacing w:line="440" w:lineRule="exact"/>
              <w:rPr>
                <w:rFonts w:ascii="宋体" w:hAnsi="宋体" w:cs="宋体"/>
                <w:color w:val="auto"/>
                <w:szCs w:val="21"/>
                <w:highlight w:val="none"/>
              </w:rPr>
            </w:pPr>
            <w:r>
              <w:rPr>
                <w:rFonts w:hint="eastAsia" w:ascii="宋体" w:hAnsi="宋体" w:cs="宋体"/>
                <w:color w:val="auto"/>
                <w:kern w:val="0"/>
                <w:szCs w:val="21"/>
                <w:highlight w:val="none"/>
              </w:rPr>
              <w:t>2026年</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月</w:t>
            </w:r>
            <w:r>
              <w:rPr>
                <w:rFonts w:hint="eastAsia" w:ascii="宋体" w:hAnsi="宋体" w:cs="宋体"/>
                <w:color w:val="auto"/>
                <w:kern w:val="0"/>
                <w:szCs w:val="21"/>
                <w:highlight w:val="none"/>
                <w:lang w:val="en-US" w:eastAsia="zh-CN"/>
              </w:rPr>
              <w:t>13</w:t>
            </w:r>
            <w:r>
              <w:rPr>
                <w:rFonts w:hint="eastAsia" w:ascii="宋体" w:hAnsi="宋体" w:cs="宋体"/>
                <w:color w:val="auto"/>
                <w:kern w:val="0"/>
                <w:szCs w:val="21"/>
                <w:highlight w:val="none"/>
              </w:rPr>
              <w:t>日</w:t>
            </w:r>
            <w:r>
              <w:rPr>
                <w:rFonts w:hint="eastAsia" w:ascii="宋体" w:hAnsi="宋体" w:cs="宋体"/>
                <w:color w:val="auto"/>
                <w:szCs w:val="21"/>
                <w:highlight w:val="none"/>
                <w:u w:val="single"/>
              </w:rPr>
              <w:t>1</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rPr>
              <w:t>时后以澄清公告形式在滁州市城投工程咨询管理有限公司网站（https://www.czctgczx.com/）发布。</w:t>
            </w:r>
          </w:p>
        </w:tc>
      </w:tr>
      <w:tr w14:paraId="156970BC">
        <w:tblPrEx>
          <w:tblCellMar>
            <w:top w:w="0" w:type="dxa"/>
            <w:left w:w="108" w:type="dxa"/>
            <w:bottom w:w="0" w:type="dxa"/>
            <w:right w:w="108" w:type="dxa"/>
          </w:tblCellMar>
        </w:tblPrEx>
        <w:trPr>
          <w:trHeight w:val="681" w:hRule="atLeast"/>
          <w:jc w:val="center"/>
        </w:trPr>
        <w:tc>
          <w:tcPr>
            <w:tcW w:w="1016" w:type="dxa"/>
            <w:tcBorders>
              <w:top w:val="single" w:color="auto" w:sz="4" w:space="0"/>
              <w:left w:val="single" w:color="auto" w:sz="4" w:space="0"/>
              <w:bottom w:val="single" w:color="auto" w:sz="4" w:space="0"/>
              <w:right w:val="single" w:color="auto" w:sz="4" w:space="0"/>
            </w:tcBorders>
            <w:vAlign w:val="center"/>
          </w:tcPr>
          <w:p w14:paraId="66E23EDE">
            <w:pPr>
              <w:adjustRightInd w:val="0"/>
              <w:snapToGri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3.2.1</w:t>
            </w:r>
          </w:p>
        </w:tc>
        <w:tc>
          <w:tcPr>
            <w:tcW w:w="1984" w:type="dxa"/>
            <w:tcBorders>
              <w:top w:val="single" w:color="auto" w:sz="4" w:space="0"/>
              <w:left w:val="single" w:color="auto" w:sz="4" w:space="0"/>
              <w:bottom w:val="single" w:color="auto" w:sz="4" w:space="0"/>
              <w:right w:val="single" w:color="auto" w:sz="4" w:space="0"/>
            </w:tcBorders>
            <w:vAlign w:val="center"/>
          </w:tcPr>
          <w:p w14:paraId="1092A6F7">
            <w:pPr>
              <w:adjustRightInd w:val="0"/>
              <w:snapToGri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增值税税金</w:t>
            </w:r>
          </w:p>
        </w:tc>
        <w:tc>
          <w:tcPr>
            <w:tcW w:w="7175" w:type="dxa"/>
            <w:tcBorders>
              <w:top w:val="single" w:color="auto" w:sz="4" w:space="0"/>
              <w:left w:val="single" w:color="auto" w:sz="4" w:space="0"/>
              <w:bottom w:val="single" w:color="auto" w:sz="4" w:space="0"/>
              <w:right w:val="single" w:color="auto" w:sz="4" w:space="0"/>
            </w:tcBorders>
          </w:tcPr>
          <w:p w14:paraId="651BFCD0">
            <w:pPr>
              <w:adjustRightInd w:val="0"/>
              <w:snapToGrid w:val="0"/>
              <w:spacing w:line="440" w:lineRule="exact"/>
              <w:rPr>
                <w:rFonts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（1）计税方法：一般计税方法</w:t>
            </w:r>
          </w:p>
          <w:p w14:paraId="7DBEA268">
            <w:pPr>
              <w:adjustRightInd w:val="0"/>
              <w:snapToGrid w:val="0"/>
              <w:spacing w:line="440" w:lineRule="exact"/>
              <w:rPr>
                <w:rFonts w:ascii="宋体" w:hAnsi="宋体" w:cs="宋体"/>
                <w:color w:val="auto"/>
                <w:kern w:val="0"/>
                <w:szCs w:val="21"/>
                <w:highlight w:val="none"/>
              </w:rPr>
            </w:pPr>
            <w:r>
              <w:rPr>
                <w:rFonts w:hint="eastAsia" w:ascii="宋体" w:hAnsi="宋体" w:cs="宋体"/>
                <w:bCs/>
                <w:snapToGrid w:val="0"/>
                <w:color w:val="auto"/>
                <w:kern w:val="0"/>
                <w:szCs w:val="21"/>
                <w:highlight w:val="none"/>
              </w:rPr>
              <w:t>（2）发票类型：增值税专用发票</w:t>
            </w:r>
          </w:p>
        </w:tc>
      </w:tr>
      <w:tr w14:paraId="6A8BD953">
        <w:tblPrEx>
          <w:tblCellMar>
            <w:top w:w="0" w:type="dxa"/>
            <w:left w:w="108" w:type="dxa"/>
            <w:bottom w:w="0" w:type="dxa"/>
            <w:right w:w="108" w:type="dxa"/>
          </w:tblCellMar>
        </w:tblPrEx>
        <w:trPr>
          <w:jc w:val="center"/>
        </w:trPr>
        <w:tc>
          <w:tcPr>
            <w:tcW w:w="1016" w:type="dxa"/>
            <w:tcBorders>
              <w:top w:val="single" w:color="auto" w:sz="4" w:space="0"/>
              <w:left w:val="single" w:color="auto" w:sz="4" w:space="0"/>
              <w:bottom w:val="single" w:color="auto" w:sz="4" w:space="0"/>
              <w:right w:val="single" w:color="auto" w:sz="4" w:space="0"/>
            </w:tcBorders>
            <w:vAlign w:val="center"/>
          </w:tcPr>
          <w:p w14:paraId="0916A701">
            <w:pPr>
              <w:adjustRightInd w:val="0"/>
              <w:snapToGri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3.2.4</w:t>
            </w:r>
          </w:p>
        </w:tc>
        <w:tc>
          <w:tcPr>
            <w:tcW w:w="1984" w:type="dxa"/>
            <w:tcBorders>
              <w:top w:val="single" w:color="auto" w:sz="4" w:space="0"/>
              <w:left w:val="single" w:color="auto" w:sz="4" w:space="0"/>
              <w:bottom w:val="single" w:color="auto" w:sz="4" w:space="0"/>
              <w:right w:val="single" w:color="auto" w:sz="4" w:space="0"/>
            </w:tcBorders>
            <w:vAlign w:val="center"/>
          </w:tcPr>
          <w:p w14:paraId="45118883">
            <w:pPr>
              <w:adjustRightInd w:val="0"/>
              <w:snapToGrid w:val="0"/>
              <w:spacing w:line="440" w:lineRule="exact"/>
              <w:jc w:val="center"/>
              <w:rPr>
                <w:rFonts w:ascii="宋体" w:hAnsi="宋体" w:cs="宋体"/>
                <w:color w:val="auto"/>
                <w:szCs w:val="21"/>
                <w:highlight w:val="none"/>
              </w:rPr>
            </w:pPr>
            <w:r>
              <w:rPr>
                <w:rFonts w:hint="eastAsia" w:ascii="宋体" w:hAnsi="宋体" w:cs="宋体"/>
                <w:b/>
                <w:bCs/>
                <w:color w:val="auto"/>
                <w:szCs w:val="21"/>
                <w:highlight w:val="none"/>
              </w:rPr>
              <w:t>最高投标限价</w:t>
            </w:r>
          </w:p>
        </w:tc>
        <w:tc>
          <w:tcPr>
            <w:tcW w:w="7175" w:type="dxa"/>
            <w:tcBorders>
              <w:top w:val="single" w:color="auto" w:sz="4" w:space="0"/>
              <w:left w:val="single" w:color="auto" w:sz="4" w:space="0"/>
              <w:bottom w:val="single" w:color="auto" w:sz="4" w:space="0"/>
              <w:right w:val="single" w:color="auto" w:sz="4" w:space="0"/>
            </w:tcBorders>
            <w:vAlign w:val="center"/>
          </w:tcPr>
          <w:p w14:paraId="4CAED771">
            <w:pPr>
              <w:spacing w:line="440" w:lineRule="exact"/>
              <w:ind w:left="42" w:leftChars="20" w:right="42" w:rightChars="20"/>
              <w:rPr>
                <w:rFonts w:cs="Times New Roman"/>
                <w:color w:val="auto"/>
                <w:szCs w:val="24"/>
                <w:highlight w:val="none"/>
              </w:rPr>
            </w:pPr>
            <w:r>
              <w:rPr>
                <w:rFonts w:hint="eastAsia" w:ascii="宋体" w:hAnsi="宋体" w:cs="宋体"/>
                <w:color w:val="auto"/>
                <w:kern w:val="0"/>
                <w:szCs w:val="21"/>
                <w:highlight w:val="none"/>
              </w:rPr>
              <w:t>40000.0元（不含税价）；投标人投标报价不得超过最高投标限价，否则按无效标处理。</w:t>
            </w:r>
          </w:p>
        </w:tc>
      </w:tr>
      <w:tr w14:paraId="24DE9C48">
        <w:tblPrEx>
          <w:tblCellMar>
            <w:top w:w="0" w:type="dxa"/>
            <w:left w:w="108" w:type="dxa"/>
            <w:bottom w:w="0" w:type="dxa"/>
            <w:right w:w="108" w:type="dxa"/>
          </w:tblCellMar>
        </w:tblPrEx>
        <w:trPr>
          <w:trHeight w:val="681" w:hRule="atLeast"/>
          <w:jc w:val="center"/>
        </w:trPr>
        <w:tc>
          <w:tcPr>
            <w:tcW w:w="1016" w:type="dxa"/>
            <w:tcBorders>
              <w:top w:val="single" w:color="auto" w:sz="4" w:space="0"/>
              <w:left w:val="single" w:color="auto" w:sz="4" w:space="0"/>
              <w:bottom w:val="single" w:color="auto" w:sz="4" w:space="0"/>
              <w:right w:val="single" w:color="auto" w:sz="4" w:space="0"/>
            </w:tcBorders>
            <w:vAlign w:val="center"/>
          </w:tcPr>
          <w:p w14:paraId="121D25BD">
            <w:pPr>
              <w:adjustRightInd w:val="0"/>
              <w:snapToGri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3.2.5</w:t>
            </w:r>
          </w:p>
        </w:tc>
        <w:tc>
          <w:tcPr>
            <w:tcW w:w="1984" w:type="dxa"/>
            <w:tcBorders>
              <w:top w:val="single" w:color="auto" w:sz="4" w:space="0"/>
              <w:left w:val="single" w:color="auto" w:sz="4" w:space="0"/>
              <w:bottom w:val="single" w:color="auto" w:sz="4" w:space="0"/>
              <w:right w:val="single" w:color="auto" w:sz="4" w:space="0"/>
            </w:tcBorders>
            <w:vAlign w:val="center"/>
          </w:tcPr>
          <w:p w14:paraId="033D7C4F">
            <w:pPr>
              <w:adjustRightInd w:val="0"/>
              <w:snapToGri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投标报价的</w:t>
            </w:r>
          </w:p>
          <w:p w14:paraId="68D6A276">
            <w:pPr>
              <w:adjustRightInd w:val="0"/>
              <w:snapToGri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其他要求</w:t>
            </w:r>
          </w:p>
        </w:tc>
        <w:tc>
          <w:tcPr>
            <w:tcW w:w="7175" w:type="dxa"/>
            <w:tcBorders>
              <w:top w:val="single" w:color="auto" w:sz="4" w:space="0"/>
              <w:left w:val="single" w:color="auto" w:sz="4" w:space="0"/>
              <w:bottom w:val="single" w:color="auto" w:sz="4" w:space="0"/>
              <w:right w:val="single" w:color="auto" w:sz="4" w:space="0"/>
            </w:tcBorders>
            <w:vAlign w:val="center"/>
          </w:tcPr>
          <w:p w14:paraId="0D2378D1">
            <w:pPr>
              <w:spacing w:line="440" w:lineRule="exact"/>
              <w:rPr>
                <w:rFonts w:ascii="宋体" w:hAnsi="宋体" w:cs="宋体"/>
                <w:color w:val="auto"/>
                <w:kern w:val="0"/>
                <w:szCs w:val="21"/>
                <w:highlight w:val="none"/>
              </w:rPr>
            </w:pPr>
            <w:r>
              <w:rPr>
                <w:rFonts w:hint="eastAsia" w:ascii="宋体" w:hAnsi="宋体" w:cs="宋体"/>
                <w:color w:val="auto"/>
                <w:kern w:val="0"/>
                <w:szCs w:val="24"/>
                <w:highlight w:val="none"/>
              </w:rPr>
              <w:t>本项目总价为最终不变价格，不因任何原因调整，特别包括但不限于：因工程设计方案、施工图纸变更导致的测绘项目增减；因工程量增加导致的测绘工作量变化；因施工进度调整产生的额外成本；市场人工、材料、设备价格波动等。测绘单位应按照本项目施工时间、技术标准和要求完成检测工作并提交报告，出现测绘内容无法满足跟踪审计、监理及施工要求的，每次扣罚500元，无故发生此类情况2次及以上的，甲方有权单方面解除合同并没收检测单位履约担保。给甲方造成损失的，乙方应予以赔偿。</w:t>
            </w:r>
          </w:p>
        </w:tc>
      </w:tr>
      <w:tr w14:paraId="705AA240">
        <w:tblPrEx>
          <w:tblCellMar>
            <w:top w:w="0" w:type="dxa"/>
            <w:left w:w="108" w:type="dxa"/>
            <w:bottom w:w="0" w:type="dxa"/>
            <w:right w:w="108" w:type="dxa"/>
          </w:tblCellMar>
        </w:tblPrEx>
        <w:trPr>
          <w:trHeight w:val="681" w:hRule="atLeast"/>
          <w:jc w:val="center"/>
        </w:trPr>
        <w:tc>
          <w:tcPr>
            <w:tcW w:w="1016" w:type="dxa"/>
            <w:tcBorders>
              <w:top w:val="single" w:color="auto" w:sz="4" w:space="0"/>
              <w:left w:val="single" w:color="auto" w:sz="4" w:space="0"/>
              <w:bottom w:val="single" w:color="auto" w:sz="4" w:space="0"/>
              <w:right w:val="single" w:color="auto" w:sz="4" w:space="0"/>
            </w:tcBorders>
            <w:vAlign w:val="center"/>
          </w:tcPr>
          <w:p w14:paraId="0B1E2C09">
            <w:pPr>
              <w:adjustRightInd w:val="0"/>
              <w:snapToGri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3.3.1</w:t>
            </w:r>
          </w:p>
        </w:tc>
        <w:tc>
          <w:tcPr>
            <w:tcW w:w="1984" w:type="dxa"/>
            <w:tcBorders>
              <w:top w:val="single" w:color="auto" w:sz="4" w:space="0"/>
              <w:left w:val="single" w:color="auto" w:sz="4" w:space="0"/>
              <w:bottom w:val="single" w:color="auto" w:sz="4" w:space="0"/>
              <w:right w:val="single" w:color="auto" w:sz="4" w:space="0"/>
            </w:tcBorders>
            <w:vAlign w:val="center"/>
          </w:tcPr>
          <w:p w14:paraId="1F8BF963">
            <w:pPr>
              <w:adjustRightInd w:val="0"/>
              <w:snapToGri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投标有效期</w:t>
            </w:r>
          </w:p>
        </w:tc>
        <w:tc>
          <w:tcPr>
            <w:tcW w:w="7175" w:type="dxa"/>
            <w:tcBorders>
              <w:top w:val="single" w:color="auto" w:sz="4" w:space="0"/>
              <w:left w:val="single" w:color="auto" w:sz="4" w:space="0"/>
              <w:bottom w:val="single" w:color="auto" w:sz="4" w:space="0"/>
              <w:right w:val="single" w:color="auto" w:sz="4" w:space="0"/>
            </w:tcBorders>
            <w:vAlign w:val="center"/>
          </w:tcPr>
          <w:p w14:paraId="57EB1392">
            <w:pPr>
              <w:topLinePunct/>
              <w:adjustRightInd w:val="0"/>
              <w:snapToGrid w:val="0"/>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自投标人递交投标文件截止之日起计算90日历天。在此期限内，凡符合本招标文件要求的投标文件均保持有效。</w:t>
            </w:r>
          </w:p>
        </w:tc>
      </w:tr>
      <w:tr w14:paraId="257E9D20">
        <w:tblPrEx>
          <w:tblCellMar>
            <w:top w:w="0" w:type="dxa"/>
            <w:left w:w="108" w:type="dxa"/>
            <w:bottom w:w="0" w:type="dxa"/>
            <w:right w:w="108" w:type="dxa"/>
          </w:tblCellMar>
        </w:tblPrEx>
        <w:trPr>
          <w:trHeight w:val="647" w:hRule="atLeast"/>
          <w:jc w:val="center"/>
        </w:trPr>
        <w:tc>
          <w:tcPr>
            <w:tcW w:w="1016" w:type="dxa"/>
            <w:tcBorders>
              <w:top w:val="single" w:color="auto" w:sz="4" w:space="0"/>
              <w:left w:val="single" w:color="auto" w:sz="4" w:space="0"/>
              <w:bottom w:val="single" w:color="auto" w:sz="4" w:space="0"/>
              <w:right w:val="single" w:color="auto" w:sz="4" w:space="0"/>
            </w:tcBorders>
            <w:vAlign w:val="center"/>
          </w:tcPr>
          <w:p w14:paraId="600F65C3">
            <w:pPr>
              <w:adjustRightInd w:val="0"/>
              <w:snapToGri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3.4.1</w:t>
            </w:r>
          </w:p>
        </w:tc>
        <w:tc>
          <w:tcPr>
            <w:tcW w:w="1984" w:type="dxa"/>
            <w:tcBorders>
              <w:top w:val="single" w:color="auto" w:sz="4" w:space="0"/>
              <w:left w:val="single" w:color="auto" w:sz="4" w:space="0"/>
              <w:bottom w:val="single" w:color="auto" w:sz="4" w:space="0"/>
              <w:right w:val="single" w:color="auto" w:sz="4" w:space="0"/>
            </w:tcBorders>
            <w:vAlign w:val="center"/>
          </w:tcPr>
          <w:p w14:paraId="49BFD510">
            <w:pPr>
              <w:adjustRightInd w:val="0"/>
              <w:snapToGri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投标保证金</w:t>
            </w:r>
          </w:p>
        </w:tc>
        <w:tc>
          <w:tcPr>
            <w:tcW w:w="7175" w:type="dxa"/>
            <w:tcBorders>
              <w:top w:val="single" w:color="auto" w:sz="4" w:space="0"/>
              <w:left w:val="single" w:color="auto" w:sz="4" w:space="0"/>
              <w:bottom w:val="single" w:color="auto" w:sz="4" w:space="0"/>
              <w:right w:val="single" w:color="auto" w:sz="4" w:space="0"/>
            </w:tcBorders>
            <w:vAlign w:val="center"/>
          </w:tcPr>
          <w:p w14:paraId="5F5D9DE1">
            <w:pPr>
              <w:adjustRightInd w:val="0"/>
              <w:snapToGrid w:val="0"/>
              <w:spacing w:line="440" w:lineRule="exact"/>
              <w:jc w:val="left"/>
              <w:rPr>
                <w:rFonts w:ascii="宋体" w:hAnsi="宋体" w:cs="宋体"/>
                <w:color w:val="auto"/>
                <w:szCs w:val="21"/>
                <w:highlight w:val="none"/>
              </w:rPr>
            </w:pPr>
            <w:r>
              <w:rPr>
                <w:rFonts w:hint="eastAsia" w:ascii="宋体" w:hAnsi="宋体" w:cs="宋体"/>
                <w:color w:val="auto"/>
                <w:szCs w:val="21"/>
                <w:highlight w:val="none"/>
              </w:rPr>
              <w:t>详见招标公告。</w:t>
            </w:r>
          </w:p>
        </w:tc>
      </w:tr>
      <w:tr w14:paraId="0ABEA813">
        <w:tblPrEx>
          <w:tblCellMar>
            <w:top w:w="0" w:type="dxa"/>
            <w:left w:w="108" w:type="dxa"/>
            <w:bottom w:w="0" w:type="dxa"/>
            <w:right w:w="108" w:type="dxa"/>
          </w:tblCellMar>
        </w:tblPrEx>
        <w:trPr>
          <w:jc w:val="center"/>
        </w:trPr>
        <w:tc>
          <w:tcPr>
            <w:tcW w:w="1016" w:type="dxa"/>
            <w:tcBorders>
              <w:top w:val="single" w:color="auto" w:sz="4" w:space="0"/>
              <w:left w:val="single" w:color="auto" w:sz="4" w:space="0"/>
              <w:bottom w:val="single" w:color="auto" w:sz="4" w:space="0"/>
              <w:right w:val="single" w:color="auto" w:sz="4" w:space="0"/>
            </w:tcBorders>
            <w:vAlign w:val="center"/>
          </w:tcPr>
          <w:p w14:paraId="055EAD0B">
            <w:pPr>
              <w:adjustRightInd w:val="0"/>
              <w:snapToGri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3.5.1</w:t>
            </w:r>
          </w:p>
        </w:tc>
        <w:tc>
          <w:tcPr>
            <w:tcW w:w="1984" w:type="dxa"/>
            <w:tcBorders>
              <w:top w:val="single" w:color="auto" w:sz="4" w:space="0"/>
              <w:left w:val="single" w:color="auto" w:sz="4" w:space="0"/>
              <w:bottom w:val="single" w:color="auto" w:sz="4" w:space="0"/>
              <w:right w:val="single" w:color="auto" w:sz="4" w:space="0"/>
            </w:tcBorders>
            <w:vAlign w:val="center"/>
          </w:tcPr>
          <w:p w14:paraId="1C213F5D">
            <w:pPr>
              <w:adjustRightInd w:val="0"/>
              <w:snapToGrid w:val="0"/>
              <w:spacing w:line="440" w:lineRule="exact"/>
              <w:jc w:val="center"/>
              <w:rPr>
                <w:rFonts w:ascii="宋体" w:hAnsi="宋体" w:cs="宋体"/>
                <w:color w:val="auto"/>
                <w:szCs w:val="21"/>
                <w:highlight w:val="none"/>
              </w:rPr>
            </w:pPr>
            <w:r>
              <w:rPr>
                <w:rFonts w:hint="eastAsia" w:ascii="宋体" w:hAnsi="宋体" w:cs="宋体"/>
                <w:snapToGrid w:val="0"/>
                <w:color w:val="auto"/>
                <w:kern w:val="0"/>
                <w:szCs w:val="21"/>
                <w:highlight w:val="none"/>
                <w:shd w:val="clear" w:color="auto" w:fill="FFFFFF"/>
              </w:rPr>
              <w:t>施工组织设计编制的特殊要求</w:t>
            </w:r>
          </w:p>
        </w:tc>
        <w:tc>
          <w:tcPr>
            <w:tcW w:w="7175" w:type="dxa"/>
            <w:tcBorders>
              <w:top w:val="single" w:color="auto" w:sz="4" w:space="0"/>
              <w:left w:val="single" w:color="auto" w:sz="4" w:space="0"/>
              <w:bottom w:val="single" w:color="auto" w:sz="4" w:space="0"/>
              <w:right w:val="single" w:color="auto" w:sz="4" w:space="0"/>
            </w:tcBorders>
            <w:vAlign w:val="center"/>
          </w:tcPr>
          <w:p w14:paraId="42888763">
            <w:pPr>
              <w:adjustRightInd w:val="0"/>
              <w:snapToGrid w:val="0"/>
              <w:spacing w:line="440" w:lineRule="exact"/>
              <w:rPr>
                <w:rFonts w:ascii="宋体" w:hAnsi="宋体" w:cs="宋体"/>
                <w:snapToGrid w:val="0"/>
                <w:color w:val="auto"/>
                <w:kern w:val="0"/>
                <w:szCs w:val="21"/>
                <w:highlight w:val="none"/>
                <w:shd w:val="clear" w:color="auto" w:fill="FFFFFF"/>
              </w:rPr>
            </w:pPr>
            <w:r>
              <w:rPr>
                <w:rFonts w:hint="eastAsia" w:ascii="宋体" w:hAnsi="宋体" w:cs="宋体"/>
                <w:b/>
                <w:snapToGrid w:val="0"/>
                <w:color w:val="auto"/>
                <w:kern w:val="0"/>
                <w:szCs w:val="21"/>
                <w:highlight w:val="none"/>
                <w:shd w:val="clear" w:color="auto" w:fill="FFFFFF"/>
              </w:rPr>
              <w:t>/</w:t>
            </w:r>
          </w:p>
        </w:tc>
      </w:tr>
      <w:tr w14:paraId="7344D72D">
        <w:tblPrEx>
          <w:tblCellMar>
            <w:top w:w="0" w:type="dxa"/>
            <w:left w:w="108" w:type="dxa"/>
            <w:bottom w:w="0" w:type="dxa"/>
            <w:right w:w="108" w:type="dxa"/>
          </w:tblCellMar>
        </w:tblPrEx>
        <w:trPr>
          <w:jc w:val="center"/>
        </w:trPr>
        <w:tc>
          <w:tcPr>
            <w:tcW w:w="1016" w:type="dxa"/>
            <w:tcBorders>
              <w:top w:val="single" w:color="auto" w:sz="4" w:space="0"/>
              <w:left w:val="single" w:color="auto" w:sz="4" w:space="0"/>
              <w:bottom w:val="single" w:color="auto" w:sz="4" w:space="0"/>
              <w:right w:val="single" w:color="auto" w:sz="4" w:space="0"/>
            </w:tcBorders>
            <w:vAlign w:val="center"/>
          </w:tcPr>
          <w:p w14:paraId="4F42A2D7">
            <w:pPr>
              <w:adjustRightInd w:val="0"/>
              <w:snapToGri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3.5.8</w:t>
            </w:r>
          </w:p>
        </w:tc>
        <w:tc>
          <w:tcPr>
            <w:tcW w:w="1984" w:type="dxa"/>
            <w:tcBorders>
              <w:top w:val="single" w:color="auto" w:sz="4" w:space="0"/>
              <w:left w:val="single" w:color="auto" w:sz="4" w:space="0"/>
              <w:bottom w:val="single" w:color="auto" w:sz="4" w:space="0"/>
              <w:right w:val="single" w:color="auto" w:sz="4" w:space="0"/>
            </w:tcBorders>
            <w:vAlign w:val="center"/>
          </w:tcPr>
          <w:p w14:paraId="4A6DE5F3">
            <w:pPr>
              <w:adjustRightInd w:val="0"/>
              <w:snapToGri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投标文件份数</w:t>
            </w:r>
          </w:p>
        </w:tc>
        <w:tc>
          <w:tcPr>
            <w:tcW w:w="7175" w:type="dxa"/>
            <w:tcBorders>
              <w:top w:val="single" w:color="auto" w:sz="4" w:space="0"/>
              <w:left w:val="single" w:color="auto" w:sz="4" w:space="0"/>
              <w:bottom w:val="single" w:color="auto" w:sz="4" w:space="0"/>
              <w:right w:val="single" w:color="auto" w:sz="4" w:space="0"/>
            </w:tcBorders>
            <w:vAlign w:val="center"/>
          </w:tcPr>
          <w:p w14:paraId="751B7EEE">
            <w:pPr>
              <w:adjustRightInd w:val="0"/>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加密电子投标文件应在投标截止时间前，</w:t>
            </w:r>
            <w:r>
              <w:rPr>
                <w:rFonts w:hint="eastAsia" w:ascii="宋体" w:hAnsi="宋体" w:cs="宋体"/>
                <w:color w:val="auto"/>
                <w:szCs w:val="21"/>
                <w:highlight w:val="none"/>
                <w:lang w:eastAsia="zh-CN"/>
              </w:rPr>
              <w:t>登录</w:t>
            </w:r>
            <w:r>
              <w:rPr>
                <w:rFonts w:hint="eastAsia" w:ascii="宋体" w:hAnsi="宋体" w:cs="宋体"/>
                <w:color w:val="auto"/>
                <w:szCs w:val="21"/>
                <w:highlight w:val="none"/>
              </w:rPr>
              <w:t>新点电子交易平台【滁州专区】上传投标文件。</w:t>
            </w:r>
          </w:p>
          <w:p w14:paraId="3AE160A1">
            <w:pPr>
              <w:adjustRightInd w:val="0"/>
              <w:snapToGrid w:val="0"/>
              <w:spacing w:line="440" w:lineRule="exact"/>
              <w:rPr>
                <w:rFonts w:ascii="宋体" w:hAnsi="宋体" w:cs="宋体"/>
                <w:color w:val="auto"/>
                <w:szCs w:val="21"/>
                <w:highlight w:val="none"/>
              </w:rPr>
            </w:pPr>
            <w:r>
              <w:rPr>
                <w:rFonts w:hint="eastAsia" w:ascii="宋体" w:hAnsi="宋体" w:cs="宋体"/>
                <w:b/>
                <w:color w:val="auto"/>
                <w:kern w:val="0"/>
                <w:szCs w:val="21"/>
                <w:highlight w:val="none"/>
              </w:rPr>
              <w:t>（投标人中标后须递交与网上电子投标文件完全一致的纸质版投标文件，并按要求加盖单</w:t>
            </w:r>
            <w:r>
              <w:rPr>
                <w:rFonts w:hint="eastAsia" w:ascii="宋体" w:hAnsi="宋体" w:cs="宋体"/>
                <w:b/>
                <w:color w:val="auto"/>
                <w:kern w:val="0"/>
                <w:szCs w:val="21"/>
                <w:highlight w:val="none"/>
                <w:lang w:eastAsia="zh-CN"/>
              </w:rPr>
              <w:t>位公</w:t>
            </w:r>
            <w:r>
              <w:rPr>
                <w:rFonts w:hint="eastAsia" w:ascii="宋体" w:hAnsi="宋体" w:cs="宋体"/>
                <w:b/>
                <w:color w:val="auto"/>
                <w:kern w:val="0"/>
                <w:szCs w:val="21"/>
                <w:highlight w:val="none"/>
              </w:rPr>
              <w:t>章；份数：正本</w:t>
            </w:r>
            <w:r>
              <w:rPr>
                <w:rFonts w:hint="eastAsia" w:ascii="宋体" w:hAnsi="宋体" w:cs="宋体"/>
                <w:b/>
                <w:color w:val="auto"/>
                <w:kern w:val="0"/>
                <w:szCs w:val="21"/>
                <w:highlight w:val="none"/>
                <w:u w:val="single"/>
              </w:rPr>
              <w:t>1</w:t>
            </w:r>
            <w:r>
              <w:rPr>
                <w:rFonts w:hint="eastAsia" w:ascii="宋体" w:hAnsi="宋体" w:cs="宋体"/>
                <w:b/>
                <w:color w:val="auto"/>
                <w:kern w:val="0"/>
                <w:szCs w:val="21"/>
                <w:highlight w:val="none"/>
              </w:rPr>
              <w:t>份，副本</w:t>
            </w:r>
            <w:r>
              <w:rPr>
                <w:rFonts w:hint="eastAsia" w:ascii="宋体" w:hAnsi="宋体" w:cs="宋体"/>
                <w:b/>
                <w:color w:val="auto"/>
                <w:kern w:val="0"/>
                <w:szCs w:val="21"/>
                <w:highlight w:val="none"/>
                <w:u w:val="single"/>
              </w:rPr>
              <w:t>2</w:t>
            </w:r>
            <w:r>
              <w:rPr>
                <w:rFonts w:hint="eastAsia" w:ascii="宋体" w:hAnsi="宋体" w:cs="宋体"/>
                <w:b/>
                <w:color w:val="auto"/>
                <w:kern w:val="0"/>
                <w:szCs w:val="21"/>
                <w:highlight w:val="none"/>
              </w:rPr>
              <w:t>份；中标人领取中标通知书时，一并递交给招标代理机构）。</w:t>
            </w:r>
          </w:p>
        </w:tc>
      </w:tr>
      <w:tr w14:paraId="2D7F03C8">
        <w:tblPrEx>
          <w:tblCellMar>
            <w:top w:w="0" w:type="dxa"/>
            <w:left w:w="108" w:type="dxa"/>
            <w:bottom w:w="0" w:type="dxa"/>
            <w:right w:w="108" w:type="dxa"/>
          </w:tblCellMar>
        </w:tblPrEx>
        <w:trPr>
          <w:jc w:val="center"/>
        </w:trPr>
        <w:tc>
          <w:tcPr>
            <w:tcW w:w="1016" w:type="dxa"/>
            <w:tcBorders>
              <w:top w:val="single" w:color="auto" w:sz="4" w:space="0"/>
              <w:left w:val="single" w:color="auto" w:sz="4" w:space="0"/>
              <w:bottom w:val="single" w:color="auto" w:sz="4" w:space="0"/>
              <w:right w:val="single" w:color="auto" w:sz="4" w:space="0"/>
            </w:tcBorders>
            <w:vAlign w:val="center"/>
          </w:tcPr>
          <w:p w14:paraId="32FFDF9F">
            <w:pPr>
              <w:adjustRightInd w:val="0"/>
              <w:snapToGri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3.6.1</w:t>
            </w:r>
          </w:p>
        </w:tc>
        <w:tc>
          <w:tcPr>
            <w:tcW w:w="1984" w:type="dxa"/>
            <w:tcBorders>
              <w:top w:val="single" w:color="auto" w:sz="4" w:space="0"/>
              <w:left w:val="single" w:color="auto" w:sz="4" w:space="0"/>
              <w:bottom w:val="single" w:color="auto" w:sz="4" w:space="0"/>
              <w:right w:val="single" w:color="auto" w:sz="4" w:space="0"/>
            </w:tcBorders>
            <w:vAlign w:val="center"/>
          </w:tcPr>
          <w:p w14:paraId="1D329D6C">
            <w:pPr>
              <w:adjustRightInd w:val="0"/>
              <w:snapToGri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是否允许递交备选投标方案</w:t>
            </w:r>
          </w:p>
        </w:tc>
        <w:tc>
          <w:tcPr>
            <w:tcW w:w="7175" w:type="dxa"/>
            <w:tcBorders>
              <w:top w:val="single" w:color="auto" w:sz="4" w:space="0"/>
              <w:left w:val="single" w:color="auto" w:sz="4" w:space="0"/>
              <w:bottom w:val="single" w:color="auto" w:sz="4" w:space="0"/>
              <w:right w:val="single" w:color="auto" w:sz="4" w:space="0"/>
            </w:tcBorders>
            <w:vAlign w:val="center"/>
          </w:tcPr>
          <w:p w14:paraId="39CDF6BA">
            <w:pPr>
              <w:adjustRightInd w:val="0"/>
              <w:snapToGrid w:val="0"/>
              <w:spacing w:line="440" w:lineRule="exact"/>
              <w:rPr>
                <w:rFonts w:ascii="宋体" w:hAnsi="宋体" w:cs="宋体"/>
                <w:color w:val="auto"/>
                <w:szCs w:val="21"/>
                <w:highlight w:val="none"/>
              </w:rPr>
            </w:pPr>
            <w:r>
              <w:rPr>
                <w:rFonts w:hint="eastAsia" w:ascii="宋体" w:hAnsi="宋体" w:cs="宋体"/>
                <w:color w:val="auto"/>
                <w:szCs w:val="21"/>
                <w:highlight w:val="none"/>
                <w:u w:val="single"/>
              </w:rPr>
              <w:t>不允许</w:t>
            </w:r>
            <w:r>
              <w:rPr>
                <w:rFonts w:hint="eastAsia" w:ascii="宋体" w:hAnsi="宋体" w:cs="宋体"/>
                <w:color w:val="auto"/>
                <w:szCs w:val="21"/>
                <w:highlight w:val="none"/>
              </w:rPr>
              <w:t>。</w:t>
            </w:r>
          </w:p>
        </w:tc>
      </w:tr>
      <w:tr w14:paraId="18881F9E">
        <w:tblPrEx>
          <w:tblCellMar>
            <w:top w:w="0" w:type="dxa"/>
            <w:left w:w="108" w:type="dxa"/>
            <w:bottom w:w="0" w:type="dxa"/>
            <w:right w:w="108" w:type="dxa"/>
          </w:tblCellMar>
        </w:tblPrEx>
        <w:trPr>
          <w:jc w:val="center"/>
        </w:trPr>
        <w:tc>
          <w:tcPr>
            <w:tcW w:w="1016" w:type="dxa"/>
            <w:tcBorders>
              <w:top w:val="single" w:color="auto" w:sz="4" w:space="0"/>
              <w:left w:val="single" w:color="auto" w:sz="4" w:space="0"/>
              <w:bottom w:val="single" w:color="auto" w:sz="4" w:space="0"/>
              <w:right w:val="single" w:color="auto" w:sz="4" w:space="0"/>
            </w:tcBorders>
            <w:vAlign w:val="center"/>
          </w:tcPr>
          <w:p w14:paraId="7CC0CAB2">
            <w:pPr>
              <w:adjustRightInd w:val="0"/>
              <w:snapToGri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4.3.2</w:t>
            </w:r>
          </w:p>
        </w:tc>
        <w:tc>
          <w:tcPr>
            <w:tcW w:w="1984" w:type="dxa"/>
            <w:tcBorders>
              <w:top w:val="single" w:color="auto" w:sz="4" w:space="0"/>
              <w:left w:val="single" w:color="auto" w:sz="4" w:space="0"/>
              <w:bottom w:val="single" w:color="auto" w:sz="4" w:space="0"/>
              <w:right w:val="single" w:color="auto" w:sz="4" w:space="0"/>
            </w:tcBorders>
            <w:vAlign w:val="center"/>
          </w:tcPr>
          <w:p w14:paraId="0B2D13F7">
            <w:pPr>
              <w:adjustRightInd w:val="0"/>
              <w:snapToGri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是否退还投标文件</w:t>
            </w:r>
          </w:p>
        </w:tc>
        <w:tc>
          <w:tcPr>
            <w:tcW w:w="7175" w:type="dxa"/>
            <w:tcBorders>
              <w:top w:val="single" w:color="auto" w:sz="4" w:space="0"/>
              <w:left w:val="single" w:color="auto" w:sz="4" w:space="0"/>
              <w:bottom w:val="single" w:color="auto" w:sz="4" w:space="0"/>
              <w:right w:val="single" w:color="auto" w:sz="4" w:space="0"/>
            </w:tcBorders>
            <w:vAlign w:val="center"/>
          </w:tcPr>
          <w:p w14:paraId="5B63A39A">
            <w:pPr>
              <w:adjustRightInd w:val="0"/>
              <w:snapToGrid w:val="0"/>
              <w:spacing w:line="440" w:lineRule="exact"/>
              <w:rPr>
                <w:rFonts w:ascii="宋体" w:hAnsi="宋体" w:cs="宋体"/>
                <w:color w:val="auto"/>
                <w:szCs w:val="21"/>
                <w:highlight w:val="none"/>
                <w:u w:val="single"/>
              </w:rPr>
            </w:pPr>
            <w:r>
              <w:rPr>
                <w:rFonts w:hint="eastAsia" w:ascii="宋体" w:hAnsi="宋体" w:cs="宋体"/>
                <w:color w:val="auto"/>
                <w:szCs w:val="21"/>
                <w:highlight w:val="none"/>
                <w:u w:val="single"/>
              </w:rPr>
              <w:t>否。</w:t>
            </w:r>
          </w:p>
        </w:tc>
      </w:tr>
      <w:tr w14:paraId="1477968C">
        <w:tblPrEx>
          <w:tblCellMar>
            <w:top w:w="0" w:type="dxa"/>
            <w:left w:w="108" w:type="dxa"/>
            <w:bottom w:w="0" w:type="dxa"/>
            <w:right w:w="108" w:type="dxa"/>
          </w:tblCellMar>
        </w:tblPrEx>
        <w:trPr>
          <w:jc w:val="center"/>
        </w:trPr>
        <w:tc>
          <w:tcPr>
            <w:tcW w:w="1016" w:type="dxa"/>
            <w:tcBorders>
              <w:top w:val="single" w:color="auto" w:sz="4" w:space="0"/>
              <w:left w:val="single" w:color="auto" w:sz="4" w:space="0"/>
              <w:bottom w:val="single" w:color="auto" w:sz="4" w:space="0"/>
              <w:right w:val="single" w:color="auto" w:sz="4" w:space="0"/>
            </w:tcBorders>
            <w:vAlign w:val="center"/>
          </w:tcPr>
          <w:p w14:paraId="3931AD9E">
            <w:pPr>
              <w:adjustRightInd w:val="0"/>
              <w:snapToGri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5.1</w:t>
            </w:r>
          </w:p>
        </w:tc>
        <w:tc>
          <w:tcPr>
            <w:tcW w:w="1984" w:type="dxa"/>
            <w:tcBorders>
              <w:top w:val="single" w:color="auto" w:sz="4" w:space="0"/>
              <w:left w:val="single" w:color="auto" w:sz="4" w:space="0"/>
              <w:bottom w:val="single" w:color="auto" w:sz="4" w:space="0"/>
              <w:right w:val="single" w:color="auto" w:sz="4" w:space="0"/>
            </w:tcBorders>
            <w:vAlign w:val="center"/>
          </w:tcPr>
          <w:p w14:paraId="41DE493C">
            <w:pPr>
              <w:adjustRightInd w:val="0"/>
              <w:snapToGri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开标时间和地点</w:t>
            </w:r>
          </w:p>
        </w:tc>
        <w:tc>
          <w:tcPr>
            <w:tcW w:w="7175" w:type="dxa"/>
            <w:tcBorders>
              <w:top w:val="single" w:color="auto" w:sz="4" w:space="0"/>
              <w:left w:val="single" w:color="auto" w:sz="4" w:space="0"/>
              <w:bottom w:val="single" w:color="auto" w:sz="4" w:space="0"/>
              <w:right w:val="single" w:color="auto" w:sz="4" w:space="0"/>
            </w:tcBorders>
            <w:vAlign w:val="center"/>
          </w:tcPr>
          <w:p w14:paraId="07AC5D8A">
            <w:pPr>
              <w:adjustRightInd w:val="0"/>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开标时间：同投标截止时间</w:t>
            </w:r>
          </w:p>
          <w:p w14:paraId="7A8D2955">
            <w:pPr>
              <w:adjustRightInd w:val="0"/>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开标地点：见招标公告</w:t>
            </w:r>
          </w:p>
        </w:tc>
      </w:tr>
      <w:tr w14:paraId="2387063A">
        <w:tblPrEx>
          <w:tblCellMar>
            <w:top w:w="0" w:type="dxa"/>
            <w:left w:w="108" w:type="dxa"/>
            <w:bottom w:w="0" w:type="dxa"/>
            <w:right w:w="108" w:type="dxa"/>
          </w:tblCellMar>
        </w:tblPrEx>
        <w:trPr>
          <w:jc w:val="center"/>
        </w:trPr>
        <w:tc>
          <w:tcPr>
            <w:tcW w:w="1016" w:type="dxa"/>
            <w:tcBorders>
              <w:top w:val="single" w:color="auto" w:sz="4" w:space="0"/>
              <w:left w:val="single" w:color="auto" w:sz="4" w:space="0"/>
              <w:bottom w:val="single" w:color="auto" w:sz="4" w:space="0"/>
              <w:right w:val="single" w:color="auto" w:sz="4" w:space="0"/>
            </w:tcBorders>
            <w:vAlign w:val="center"/>
          </w:tcPr>
          <w:p w14:paraId="4AD7254B">
            <w:pPr>
              <w:adjustRightInd w:val="0"/>
              <w:snapToGri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5.2</w:t>
            </w:r>
          </w:p>
        </w:tc>
        <w:tc>
          <w:tcPr>
            <w:tcW w:w="1984" w:type="dxa"/>
            <w:tcBorders>
              <w:top w:val="single" w:color="auto" w:sz="4" w:space="0"/>
              <w:left w:val="single" w:color="auto" w:sz="4" w:space="0"/>
              <w:bottom w:val="single" w:color="auto" w:sz="4" w:space="0"/>
              <w:right w:val="single" w:color="auto" w:sz="4" w:space="0"/>
            </w:tcBorders>
            <w:vAlign w:val="center"/>
          </w:tcPr>
          <w:p w14:paraId="3ABE7D12">
            <w:pPr>
              <w:adjustRightInd w:val="0"/>
              <w:snapToGri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开标程序</w:t>
            </w:r>
          </w:p>
        </w:tc>
        <w:tc>
          <w:tcPr>
            <w:tcW w:w="7175" w:type="dxa"/>
            <w:tcBorders>
              <w:top w:val="single" w:color="auto" w:sz="4" w:space="0"/>
              <w:left w:val="single" w:color="auto" w:sz="4" w:space="0"/>
              <w:bottom w:val="single" w:color="auto" w:sz="4" w:space="0"/>
              <w:right w:val="single" w:color="auto" w:sz="4" w:space="0"/>
            </w:tcBorders>
            <w:vAlign w:val="center"/>
          </w:tcPr>
          <w:p w14:paraId="38D0F8AD">
            <w:pPr>
              <w:adjustRightInd w:val="0"/>
              <w:snapToGrid w:val="0"/>
              <w:spacing w:line="440" w:lineRule="exact"/>
              <w:rPr>
                <w:rFonts w:ascii="宋体" w:hAnsi="宋体" w:cs="宋体"/>
                <w:bCs/>
                <w:snapToGrid w:val="0"/>
                <w:color w:val="auto"/>
                <w:kern w:val="0"/>
                <w:szCs w:val="21"/>
                <w:highlight w:val="none"/>
              </w:rPr>
            </w:pPr>
            <w:r>
              <w:rPr>
                <w:rFonts w:hint="eastAsia" w:ascii="宋体" w:hAnsi="宋体" w:cs="宋体"/>
                <w:color w:val="auto"/>
                <w:szCs w:val="21"/>
                <w:highlight w:val="none"/>
              </w:rPr>
              <w:t>（2）解密时间：解密程序开始后</w:t>
            </w:r>
            <w:r>
              <w:rPr>
                <w:rFonts w:hint="eastAsia" w:ascii="宋体" w:hAnsi="宋体" w:cs="宋体"/>
                <w:color w:val="auto"/>
                <w:szCs w:val="21"/>
                <w:highlight w:val="none"/>
                <w:u w:val="single"/>
              </w:rPr>
              <w:t>30</w:t>
            </w:r>
            <w:r>
              <w:rPr>
                <w:rFonts w:hint="eastAsia" w:ascii="宋体" w:hAnsi="宋体" w:cs="宋体"/>
                <w:color w:val="auto"/>
                <w:szCs w:val="21"/>
                <w:highlight w:val="none"/>
              </w:rPr>
              <w:t>分钟内</w:t>
            </w:r>
            <w:r>
              <w:rPr>
                <w:rFonts w:hint="eastAsia" w:ascii="宋体" w:hAnsi="宋体" w:cs="宋体"/>
                <w:bCs/>
                <w:snapToGrid w:val="0"/>
                <w:color w:val="auto"/>
                <w:kern w:val="0"/>
                <w:szCs w:val="21"/>
                <w:highlight w:val="none"/>
              </w:rPr>
              <w:t>（以电子交易系统解密倒计时为准）</w:t>
            </w:r>
            <w:r>
              <w:rPr>
                <w:rFonts w:hint="eastAsia" w:ascii="宋体" w:hAnsi="宋体" w:cs="宋体"/>
                <w:color w:val="auto"/>
                <w:szCs w:val="21"/>
                <w:highlight w:val="none"/>
              </w:rPr>
              <w:t>。</w:t>
            </w:r>
          </w:p>
          <w:p w14:paraId="43E0D638">
            <w:pPr>
              <w:adjustRightInd w:val="0"/>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多标段开标顺序：</w:t>
            </w:r>
            <w:r>
              <w:rPr>
                <w:rFonts w:hint="eastAsia" w:ascii="宋体" w:hAnsi="宋体" w:cs="宋体"/>
                <w:color w:val="auto"/>
                <w:szCs w:val="21"/>
                <w:highlight w:val="none"/>
                <w:u w:val="single"/>
              </w:rPr>
              <w:t>/</w:t>
            </w:r>
            <w:r>
              <w:rPr>
                <w:rFonts w:hint="eastAsia" w:ascii="宋体" w:hAnsi="宋体" w:cs="宋体"/>
                <w:color w:val="auto"/>
                <w:szCs w:val="21"/>
                <w:highlight w:val="none"/>
              </w:rPr>
              <w:t>。</w:t>
            </w:r>
          </w:p>
        </w:tc>
      </w:tr>
      <w:tr w14:paraId="6E8FD583">
        <w:tblPrEx>
          <w:tblCellMar>
            <w:top w:w="0" w:type="dxa"/>
            <w:left w:w="108" w:type="dxa"/>
            <w:bottom w:w="0" w:type="dxa"/>
            <w:right w:w="108" w:type="dxa"/>
          </w:tblCellMar>
        </w:tblPrEx>
        <w:trPr>
          <w:trHeight w:val="488" w:hRule="atLeast"/>
          <w:jc w:val="center"/>
        </w:trPr>
        <w:tc>
          <w:tcPr>
            <w:tcW w:w="1016" w:type="dxa"/>
            <w:tcBorders>
              <w:top w:val="single" w:color="auto" w:sz="4" w:space="0"/>
              <w:left w:val="single" w:color="auto" w:sz="4" w:space="0"/>
              <w:bottom w:val="single" w:color="auto" w:sz="4" w:space="0"/>
              <w:right w:val="single" w:color="auto" w:sz="4" w:space="0"/>
            </w:tcBorders>
            <w:vAlign w:val="center"/>
          </w:tcPr>
          <w:p w14:paraId="0E06976B">
            <w:pPr>
              <w:adjustRightInd w:val="0"/>
              <w:snapToGri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6.1.1</w:t>
            </w:r>
          </w:p>
        </w:tc>
        <w:tc>
          <w:tcPr>
            <w:tcW w:w="1984" w:type="dxa"/>
            <w:tcBorders>
              <w:top w:val="single" w:color="auto" w:sz="4" w:space="0"/>
              <w:left w:val="single" w:color="auto" w:sz="4" w:space="0"/>
              <w:bottom w:val="single" w:color="auto" w:sz="4" w:space="0"/>
              <w:right w:val="single" w:color="auto" w:sz="4" w:space="0"/>
            </w:tcBorders>
            <w:vAlign w:val="center"/>
          </w:tcPr>
          <w:p w14:paraId="2DEBAE20">
            <w:pPr>
              <w:adjustRightInd w:val="0"/>
              <w:snapToGri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评标委员会的组建</w:t>
            </w:r>
          </w:p>
        </w:tc>
        <w:tc>
          <w:tcPr>
            <w:tcW w:w="7175" w:type="dxa"/>
            <w:tcBorders>
              <w:top w:val="single" w:color="auto" w:sz="4" w:space="0"/>
              <w:left w:val="single" w:color="auto" w:sz="4" w:space="0"/>
              <w:bottom w:val="single" w:color="auto" w:sz="4" w:space="0"/>
              <w:right w:val="single" w:color="auto" w:sz="4" w:space="0"/>
            </w:tcBorders>
            <w:vAlign w:val="center"/>
          </w:tcPr>
          <w:p w14:paraId="4583DBB0">
            <w:pPr>
              <w:adjustRightInd w:val="0"/>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由招标人依法组建。</w:t>
            </w:r>
          </w:p>
        </w:tc>
      </w:tr>
      <w:tr w14:paraId="48AE4EE4">
        <w:tblPrEx>
          <w:tblCellMar>
            <w:top w:w="0" w:type="dxa"/>
            <w:left w:w="108" w:type="dxa"/>
            <w:bottom w:w="0" w:type="dxa"/>
            <w:right w:w="108" w:type="dxa"/>
          </w:tblCellMar>
        </w:tblPrEx>
        <w:trPr>
          <w:trHeight w:val="880" w:hRule="atLeast"/>
          <w:jc w:val="center"/>
        </w:trPr>
        <w:tc>
          <w:tcPr>
            <w:tcW w:w="1016" w:type="dxa"/>
            <w:tcBorders>
              <w:top w:val="single" w:color="auto" w:sz="4" w:space="0"/>
              <w:left w:val="single" w:color="auto" w:sz="4" w:space="0"/>
              <w:bottom w:val="single" w:color="auto" w:sz="4" w:space="0"/>
              <w:right w:val="single" w:color="auto" w:sz="4" w:space="0"/>
            </w:tcBorders>
            <w:vAlign w:val="center"/>
          </w:tcPr>
          <w:p w14:paraId="1EFEF5FB">
            <w:pPr>
              <w:adjustRightInd w:val="0"/>
              <w:snapToGri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6.3.2</w:t>
            </w:r>
          </w:p>
        </w:tc>
        <w:tc>
          <w:tcPr>
            <w:tcW w:w="1984" w:type="dxa"/>
            <w:tcBorders>
              <w:top w:val="single" w:color="auto" w:sz="4" w:space="0"/>
              <w:left w:val="single" w:color="auto" w:sz="4" w:space="0"/>
              <w:bottom w:val="single" w:color="auto" w:sz="4" w:space="0"/>
              <w:right w:val="single" w:color="auto" w:sz="4" w:space="0"/>
            </w:tcBorders>
            <w:vAlign w:val="center"/>
          </w:tcPr>
          <w:p w14:paraId="362F6D89">
            <w:pPr>
              <w:adjustRightInd w:val="0"/>
              <w:snapToGri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评标委员会确定中标候选人的人数</w:t>
            </w:r>
          </w:p>
        </w:tc>
        <w:tc>
          <w:tcPr>
            <w:tcW w:w="7175" w:type="dxa"/>
            <w:tcBorders>
              <w:top w:val="single" w:color="auto" w:sz="4" w:space="0"/>
              <w:left w:val="single" w:color="auto" w:sz="4" w:space="0"/>
              <w:bottom w:val="single" w:color="auto" w:sz="4" w:space="0"/>
              <w:right w:val="single" w:color="auto" w:sz="4" w:space="0"/>
            </w:tcBorders>
            <w:vAlign w:val="center"/>
          </w:tcPr>
          <w:p w14:paraId="5489E1F5">
            <w:pPr>
              <w:adjustRightInd w:val="0"/>
              <w:snapToGrid w:val="0"/>
              <w:spacing w:line="440" w:lineRule="exact"/>
              <w:rPr>
                <w:rFonts w:ascii="宋体" w:hAnsi="宋体" w:cs="宋体"/>
                <w:color w:val="auto"/>
                <w:szCs w:val="21"/>
                <w:highlight w:val="none"/>
              </w:rPr>
            </w:pPr>
            <w:r>
              <w:rPr>
                <w:rFonts w:hint="eastAsia" w:ascii="宋体" w:hAnsi="宋体" w:cs="宋体"/>
                <w:color w:val="auto"/>
                <w:szCs w:val="21"/>
                <w:highlight w:val="none"/>
                <w:u w:val="single"/>
              </w:rPr>
              <w:t>3</w:t>
            </w:r>
            <w:r>
              <w:rPr>
                <w:rFonts w:hint="eastAsia" w:ascii="宋体" w:hAnsi="宋体" w:cs="宋体"/>
                <w:color w:val="auto"/>
                <w:szCs w:val="21"/>
                <w:highlight w:val="none"/>
              </w:rPr>
              <w:t>名，并标明排序。</w:t>
            </w:r>
          </w:p>
        </w:tc>
      </w:tr>
      <w:tr w14:paraId="5E4C4EA9">
        <w:tblPrEx>
          <w:tblCellMar>
            <w:top w:w="0" w:type="dxa"/>
            <w:left w:w="108" w:type="dxa"/>
            <w:bottom w:w="0" w:type="dxa"/>
            <w:right w:w="108" w:type="dxa"/>
          </w:tblCellMar>
        </w:tblPrEx>
        <w:trPr>
          <w:trHeight w:val="653" w:hRule="atLeast"/>
          <w:jc w:val="center"/>
        </w:trPr>
        <w:tc>
          <w:tcPr>
            <w:tcW w:w="1016" w:type="dxa"/>
            <w:tcBorders>
              <w:top w:val="single" w:color="auto" w:sz="4" w:space="0"/>
              <w:left w:val="single" w:color="auto" w:sz="4" w:space="0"/>
              <w:bottom w:val="single" w:color="auto" w:sz="4" w:space="0"/>
              <w:right w:val="single" w:color="auto" w:sz="4" w:space="0"/>
            </w:tcBorders>
            <w:vAlign w:val="center"/>
          </w:tcPr>
          <w:p w14:paraId="62156754">
            <w:pPr>
              <w:adjustRightInd w:val="0"/>
              <w:snapToGri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7.1</w:t>
            </w:r>
          </w:p>
        </w:tc>
        <w:tc>
          <w:tcPr>
            <w:tcW w:w="1984" w:type="dxa"/>
            <w:tcBorders>
              <w:top w:val="single" w:color="auto" w:sz="4" w:space="0"/>
              <w:left w:val="single" w:color="auto" w:sz="4" w:space="0"/>
              <w:bottom w:val="single" w:color="auto" w:sz="4" w:space="0"/>
              <w:right w:val="single" w:color="auto" w:sz="4" w:space="0"/>
            </w:tcBorders>
            <w:vAlign w:val="center"/>
          </w:tcPr>
          <w:p w14:paraId="6A29EDEF">
            <w:pPr>
              <w:adjustRightInd w:val="0"/>
              <w:snapToGri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中标候选人公示媒介及期限</w:t>
            </w:r>
          </w:p>
        </w:tc>
        <w:tc>
          <w:tcPr>
            <w:tcW w:w="7175" w:type="dxa"/>
            <w:tcBorders>
              <w:top w:val="single" w:color="auto" w:sz="4" w:space="0"/>
              <w:left w:val="single" w:color="auto" w:sz="4" w:space="0"/>
              <w:bottom w:val="single" w:color="auto" w:sz="4" w:space="0"/>
              <w:right w:val="single" w:color="auto" w:sz="4" w:space="0"/>
            </w:tcBorders>
            <w:vAlign w:val="center"/>
          </w:tcPr>
          <w:p w14:paraId="6599E3A8">
            <w:pPr>
              <w:widowControl/>
              <w:adjustRightInd w:val="0"/>
              <w:snapToGrid w:val="0"/>
              <w:spacing w:line="440" w:lineRule="exact"/>
              <w:jc w:val="left"/>
              <w:rPr>
                <w:rFonts w:ascii="宋体" w:hAnsi="宋体" w:cs="宋体"/>
                <w:color w:val="auto"/>
                <w:szCs w:val="21"/>
                <w:highlight w:val="none"/>
              </w:rPr>
            </w:pPr>
            <w:r>
              <w:rPr>
                <w:rFonts w:hint="eastAsia" w:ascii="宋体" w:hAnsi="宋体" w:cs="宋体"/>
                <w:color w:val="auto"/>
                <w:szCs w:val="21"/>
                <w:highlight w:val="none"/>
              </w:rPr>
              <w:t>公示媒介：同招标公告发布媒介</w:t>
            </w:r>
          </w:p>
          <w:p w14:paraId="5BBF8B35">
            <w:pPr>
              <w:widowControl/>
              <w:adjustRightInd w:val="0"/>
              <w:snapToGrid w:val="0"/>
              <w:spacing w:line="440" w:lineRule="exact"/>
              <w:jc w:val="left"/>
              <w:rPr>
                <w:rFonts w:ascii="宋体" w:hAnsi="宋体" w:cs="宋体"/>
                <w:color w:val="auto"/>
                <w:szCs w:val="21"/>
                <w:highlight w:val="none"/>
              </w:rPr>
            </w:pPr>
            <w:r>
              <w:rPr>
                <w:rFonts w:hint="eastAsia" w:ascii="宋体" w:hAnsi="宋体" w:cs="宋体"/>
                <w:color w:val="auto"/>
                <w:szCs w:val="21"/>
                <w:highlight w:val="none"/>
              </w:rPr>
              <w:t>公示期限：公示发布次日起3日（如公示第三日为休息日或节假日，则顺延至休息日或节假日后第一个工作日）</w:t>
            </w:r>
          </w:p>
        </w:tc>
      </w:tr>
      <w:tr w14:paraId="71BFC5CC">
        <w:tblPrEx>
          <w:tblCellMar>
            <w:top w:w="0" w:type="dxa"/>
            <w:left w:w="108" w:type="dxa"/>
            <w:bottom w:w="0" w:type="dxa"/>
            <w:right w:w="108" w:type="dxa"/>
          </w:tblCellMar>
        </w:tblPrEx>
        <w:trPr>
          <w:trHeight w:val="653" w:hRule="atLeast"/>
          <w:jc w:val="center"/>
        </w:trPr>
        <w:tc>
          <w:tcPr>
            <w:tcW w:w="1016" w:type="dxa"/>
            <w:tcBorders>
              <w:top w:val="single" w:color="auto" w:sz="4" w:space="0"/>
              <w:left w:val="single" w:color="auto" w:sz="4" w:space="0"/>
              <w:bottom w:val="single" w:color="auto" w:sz="4" w:space="0"/>
              <w:right w:val="single" w:color="auto" w:sz="4" w:space="0"/>
            </w:tcBorders>
            <w:vAlign w:val="center"/>
          </w:tcPr>
          <w:p w14:paraId="3072A481">
            <w:pPr>
              <w:adjustRightInd w:val="0"/>
              <w:snapToGri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7.5</w:t>
            </w:r>
          </w:p>
        </w:tc>
        <w:tc>
          <w:tcPr>
            <w:tcW w:w="1984" w:type="dxa"/>
            <w:tcBorders>
              <w:top w:val="single" w:color="auto" w:sz="4" w:space="0"/>
              <w:left w:val="single" w:color="auto" w:sz="4" w:space="0"/>
              <w:bottom w:val="single" w:color="auto" w:sz="4" w:space="0"/>
              <w:right w:val="single" w:color="auto" w:sz="4" w:space="0"/>
            </w:tcBorders>
            <w:vAlign w:val="center"/>
          </w:tcPr>
          <w:p w14:paraId="391DAD0C">
            <w:pPr>
              <w:adjustRightInd w:val="0"/>
              <w:snapToGri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是否授权评标委员会确定中标人</w:t>
            </w:r>
          </w:p>
        </w:tc>
        <w:tc>
          <w:tcPr>
            <w:tcW w:w="7175" w:type="dxa"/>
            <w:tcBorders>
              <w:top w:val="single" w:color="auto" w:sz="4" w:space="0"/>
              <w:left w:val="single" w:color="auto" w:sz="4" w:space="0"/>
              <w:bottom w:val="single" w:color="auto" w:sz="4" w:space="0"/>
              <w:right w:val="single" w:color="auto" w:sz="4" w:space="0"/>
            </w:tcBorders>
            <w:vAlign w:val="center"/>
          </w:tcPr>
          <w:p w14:paraId="42848A70">
            <w:pPr>
              <w:widowControl/>
              <w:adjustRightInd w:val="0"/>
              <w:snapToGrid w:val="0"/>
              <w:spacing w:line="440" w:lineRule="exact"/>
              <w:jc w:val="left"/>
              <w:rPr>
                <w:rFonts w:ascii="宋体" w:hAnsi="宋体" w:cs="宋体"/>
                <w:color w:val="auto"/>
                <w:szCs w:val="21"/>
                <w:highlight w:val="none"/>
                <w:u w:val="single"/>
              </w:rPr>
            </w:pPr>
            <w:r>
              <w:rPr>
                <w:rFonts w:hint="eastAsia" w:ascii="宋体" w:hAnsi="宋体" w:cs="宋体"/>
                <w:color w:val="auto"/>
                <w:szCs w:val="21"/>
                <w:highlight w:val="none"/>
                <w:u w:val="single"/>
              </w:rPr>
              <w:t>否</w:t>
            </w:r>
          </w:p>
        </w:tc>
      </w:tr>
      <w:tr w14:paraId="014AC915">
        <w:tblPrEx>
          <w:tblCellMar>
            <w:top w:w="0" w:type="dxa"/>
            <w:left w:w="108" w:type="dxa"/>
            <w:bottom w:w="0" w:type="dxa"/>
            <w:right w:w="108" w:type="dxa"/>
          </w:tblCellMar>
        </w:tblPrEx>
        <w:trPr>
          <w:trHeight w:val="653" w:hRule="atLeast"/>
          <w:jc w:val="center"/>
        </w:trPr>
        <w:tc>
          <w:tcPr>
            <w:tcW w:w="1016" w:type="dxa"/>
            <w:tcBorders>
              <w:top w:val="single" w:color="auto" w:sz="4" w:space="0"/>
              <w:left w:val="single" w:color="auto" w:sz="4" w:space="0"/>
              <w:bottom w:val="single" w:color="auto" w:sz="4" w:space="0"/>
              <w:right w:val="single" w:color="auto" w:sz="4" w:space="0"/>
            </w:tcBorders>
            <w:vAlign w:val="center"/>
          </w:tcPr>
          <w:p w14:paraId="65141E84">
            <w:pPr>
              <w:adjustRightInd w:val="0"/>
              <w:snapToGri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7.6</w:t>
            </w:r>
          </w:p>
        </w:tc>
        <w:tc>
          <w:tcPr>
            <w:tcW w:w="1984" w:type="dxa"/>
            <w:tcBorders>
              <w:top w:val="single" w:color="auto" w:sz="4" w:space="0"/>
              <w:left w:val="single" w:color="auto" w:sz="4" w:space="0"/>
              <w:bottom w:val="single" w:color="auto" w:sz="4" w:space="0"/>
              <w:right w:val="single" w:color="auto" w:sz="4" w:space="0"/>
            </w:tcBorders>
            <w:vAlign w:val="center"/>
          </w:tcPr>
          <w:p w14:paraId="4FE38E16">
            <w:pPr>
              <w:adjustRightInd w:val="0"/>
              <w:snapToGri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中标通知书发出形式</w:t>
            </w:r>
          </w:p>
        </w:tc>
        <w:tc>
          <w:tcPr>
            <w:tcW w:w="7175" w:type="dxa"/>
            <w:tcBorders>
              <w:top w:val="single" w:color="auto" w:sz="4" w:space="0"/>
              <w:left w:val="single" w:color="auto" w:sz="4" w:space="0"/>
              <w:bottom w:val="single" w:color="auto" w:sz="4" w:space="0"/>
              <w:right w:val="single" w:color="auto" w:sz="4" w:space="0"/>
            </w:tcBorders>
            <w:vAlign w:val="center"/>
          </w:tcPr>
          <w:p w14:paraId="67CEBD8D">
            <w:pPr>
              <w:widowControl/>
              <w:adjustRightInd w:val="0"/>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书面形式</w:t>
            </w:r>
          </w:p>
        </w:tc>
      </w:tr>
      <w:tr w14:paraId="0C5F843C">
        <w:tblPrEx>
          <w:tblCellMar>
            <w:top w:w="0" w:type="dxa"/>
            <w:left w:w="108" w:type="dxa"/>
            <w:bottom w:w="0" w:type="dxa"/>
            <w:right w:w="108" w:type="dxa"/>
          </w:tblCellMar>
        </w:tblPrEx>
        <w:trPr>
          <w:trHeight w:val="653" w:hRule="atLeast"/>
          <w:jc w:val="center"/>
        </w:trPr>
        <w:tc>
          <w:tcPr>
            <w:tcW w:w="1016" w:type="dxa"/>
            <w:tcBorders>
              <w:top w:val="single" w:color="auto" w:sz="4" w:space="0"/>
              <w:left w:val="single" w:color="auto" w:sz="4" w:space="0"/>
              <w:bottom w:val="single" w:color="auto" w:sz="4" w:space="0"/>
              <w:right w:val="single" w:color="auto" w:sz="4" w:space="0"/>
            </w:tcBorders>
            <w:vAlign w:val="center"/>
          </w:tcPr>
          <w:p w14:paraId="2D10CB99">
            <w:pPr>
              <w:adjustRightInd w:val="0"/>
              <w:snapToGri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7.7</w:t>
            </w:r>
          </w:p>
        </w:tc>
        <w:tc>
          <w:tcPr>
            <w:tcW w:w="1984" w:type="dxa"/>
            <w:tcBorders>
              <w:top w:val="single" w:color="auto" w:sz="4" w:space="0"/>
              <w:left w:val="single" w:color="auto" w:sz="4" w:space="0"/>
              <w:bottom w:val="single" w:color="auto" w:sz="4" w:space="0"/>
              <w:right w:val="single" w:color="auto" w:sz="4" w:space="0"/>
            </w:tcBorders>
            <w:vAlign w:val="center"/>
          </w:tcPr>
          <w:p w14:paraId="785F836C">
            <w:pPr>
              <w:adjustRightInd w:val="0"/>
              <w:snapToGri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中标结果公示媒介</w:t>
            </w:r>
          </w:p>
        </w:tc>
        <w:tc>
          <w:tcPr>
            <w:tcW w:w="7175" w:type="dxa"/>
            <w:tcBorders>
              <w:top w:val="single" w:color="auto" w:sz="4" w:space="0"/>
              <w:left w:val="single" w:color="auto" w:sz="4" w:space="0"/>
              <w:bottom w:val="single" w:color="auto" w:sz="4" w:space="0"/>
              <w:right w:val="single" w:color="auto" w:sz="4" w:space="0"/>
            </w:tcBorders>
            <w:vAlign w:val="center"/>
          </w:tcPr>
          <w:p w14:paraId="0341BF96">
            <w:pPr>
              <w:widowControl/>
              <w:adjustRightInd w:val="0"/>
              <w:snapToGrid w:val="0"/>
              <w:spacing w:line="440" w:lineRule="exact"/>
              <w:jc w:val="left"/>
              <w:rPr>
                <w:rFonts w:ascii="宋体" w:hAnsi="宋体" w:cs="宋体"/>
                <w:color w:val="auto"/>
                <w:szCs w:val="21"/>
                <w:highlight w:val="none"/>
              </w:rPr>
            </w:pPr>
            <w:r>
              <w:rPr>
                <w:rFonts w:hint="eastAsia" w:ascii="宋体" w:hAnsi="宋体" w:cs="宋体"/>
                <w:color w:val="auto"/>
                <w:szCs w:val="21"/>
                <w:highlight w:val="none"/>
              </w:rPr>
              <w:t>中标候选人公示期满后，发出中标通知书</w:t>
            </w:r>
          </w:p>
        </w:tc>
      </w:tr>
      <w:tr w14:paraId="32A08794">
        <w:tblPrEx>
          <w:tblCellMar>
            <w:top w:w="0" w:type="dxa"/>
            <w:left w:w="108" w:type="dxa"/>
            <w:bottom w:w="0" w:type="dxa"/>
            <w:right w:w="108" w:type="dxa"/>
          </w:tblCellMar>
        </w:tblPrEx>
        <w:trPr>
          <w:trHeight w:val="97" w:hRule="atLeast"/>
          <w:jc w:val="center"/>
        </w:trPr>
        <w:tc>
          <w:tcPr>
            <w:tcW w:w="1016" w:type="dxa"/>
            <w:tcBorders>
              <w:top w:val="single" w:color="auto" w:sz="4" w:space="0"/>
              <w:left w:val="single" w:color="auto" w:sz="4" w:space="0"/>
              <w:bottom w:val="single" w:color="auto" w:sz="4" w:space="0"/>
              <w:right w:val="single" w:color="auto" w:sz="4" w:space="0"/>
            </w:tcBorders>
            <w:vAlign w:val="center"/>
          </w:tcPr>
          <w:p w14:paraId="4760A1C1">
            <w:pPr>
              <w:adjustRightInd w:val="0"/>
              <w:snapToGri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7.8</w:t>
            </w:r>
          </w:p>
        </w:tc>
        <w:tc>
          <w:tcPr>
            <w:tcW w:w="1984" w:type="dxa"/>
            <w:tcBorders>
              <w:top w:val="single" w:color="auto" w:sz="4" w:space="0"/>
              <w:left w:val="single" w:color="auto" w:sz="4" w:space="0"/>
              <w:bottom w:val="single" w:color="auto" w:sz="4" w:space="0"/>
              <w:right w:val="single" w:color="auto" w:sz="4" w:space="0"/>
            </w:tcBorders>
            <w:vAlign w:val="center"/>
          </w:tcPr>
          <w:p w14:paraId="612A3D2C">
            <w:pPr>
              <w:adjustRightInd w:val="0"/>
              <w:snapToGri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履约担保</w:t>
            </w:r>
          </w:p>
        </w:tc>
        <w:tc>
          <w:tcPr>
            <w:tcW w:w="7175" w:type="dxa"/>
            <w:tcBorders>
              <w:top w:val="single" w:color="auto" w:sz="4" w:space="0"/>
              <w:left w:val="single" w:color="auto" w:sz="4" w:space="0"/>
              <w:bottom w:val="single" w:color="auto" w:sz="4" w:space="0"/>
              <w:right w:val="single" w:color="auto" w:sz="4" w:space="0"/>
            </w:tcBorders>
            <w:vAlign w:val="center"/>
          </w:tcPr>
          <w:p w14:paraId="2C79AA43">
            <w:pPr>
              <w:widowControl/>
              <w:adjustRightInd w:val="0"/>
              <w:snapToGrid w:val="0"/>
              <w:spacing w:line="440" w:lineRule="exact"/>
              <w:jc w:val="left"/>
              <w:rPr>
                <w:rFonts w:ascii="宋体" w:hAnsi="宋体" w:cs="宋体"/>
                <w:color w:val="auto"/>
                <w:szCs w:val="21"/>
                <w:highlight w:val="none"/>
              </w:rPr>
            </w:pPr>
            <w:r>
              <w:rPr>
                <w:rFonts w:hint="eastAsia" w:ascii="宋体" w:hAnsi="宋体" w:cs="宋体"/>
                <w:color w:val="auto"/>
                <w:szCs w:val="21"/>
                <w:highlight w:val="none"/>
              </w:rPr>
              <w:t>要求中标人提交履约保证金。</w:t>
            </w:r>
          </w:p>
          <w:p w14:paraId="528587AF">
            <w:pPr>
              <w:widowControl/>
              <w:adjustRightInd w:val="0"/>
              <w:snapToGrid w:val="0"/>
              <w:spacing w:line="440" w:lineRule="exact"/>
              <w:jc w:val="left"/>
              <w:rPr>
                <w:rFonts w:ascii="宋体" w:hAnsi="宋体" w:cs="宋体"/>
                <w:color w:val="auto"/>
                <w:szCs w:val="21"/>
                <w:highlight w:val="none"/>
              </w:rPr>
            </w:pPr>
            <w:r>
              <w:rPr>
                <w:rFonts w:hint="eastAsia" w:ascii="宋体" w:hAnsi="宋体" w:cs="宋体"/>
                <w:color w:val="auto"/>
                <w:szCs w:val="21"/>
                <w:highlight w:val="none"/>
              </w:rPr>
              <w:t>形式：支持银行转账、银行电汇、银行保函、担保机构担保、保证保险使用。</w:t>
            </w:r>
          </w:p>
          <w:p w14:paraId="67B31904">
            <w:pPr>
              <w:widowControl/>
              <w:adjustRightInd w:val="0"/>
              <w:snapToGrid w:val="0"/>
              <w:spacing w:line="440" w:lineRule="exact"/>
              <w:jc w:val="left"/>
              <w:rPr>
                <w:rFonts w:ascii="宋体" w:hAnsi="宋体" w:cs="宋体"/>
                <w:color w:val="auto"/>
                <w:szCs w:val="21"/>
                <w:highlight w:val="none"/>
              </w:rPr>
            </w:pPr>
            <w:r>
              <w:rPr>
                <w:rFonts w:hint="eastAsia" w:ascii="宋体" w:hAnsi="宋体" w:cs="宋体"/>
                <w:color w:val="auto"/>
                <w:szCs w:val="21"/>
                <w:highlight w:val="none"/>
              </w:rPr>
              <w:t xml:space="preserve">金   额：中标价*10% </w:t>
            </w:r>
          </w:p>
          <w:p w14:paraId="5CD3A37D">
            <w:pPr>
              <w:widowControl/>
              <w:spacing w:line="440" w:lineRule="exact"/>
              <w:jc w:val="left"/>
              <w:rPr>
                <w:rFonts w:ascii="宋体" w:hAnsi="宋体" w:cs="宋体"/>
                <w:color w:val="auto"/>
                <w:szCs w:val="21"/>
                <w:highlight w:val="none"/>
              </w:rPr>
            </w:pPr>
            <w:r>
              <w:rPr>
                <w:rFonts w:hint="eastAsia" w:ascii="宋体" w:hAnsi="宋体" w:cs="宋体"/>
                <w:color w:val="auto"/>
                <w:szCs w:val="21"/>
                <w:highlight w:val="none"/>
              </w:rPr>
              <w:t xml:space="preserve">单位名称：另行通知                    </w:t>
            </w:r>
          </w:p>
          <w:p w14:paraId="3E33E7F9">
            <w:pPr>
              <w:widowControl/>
              <w:spacing w:line="440" w:lineRule="exact"/>
              <w:jc w:val="left"/>
              <w:rPr>
                <w:rFonts w:ascii="宋体" w:hAnsi="宋体" w:cs="宋体"/>
                <w:color w:val="auto"/>
                <w:szCs w:val="21"/>
                <w:highlight w:val="none"/>
              </w:rPr>
            </w:pPr>
            <w:r>
              <w:rPr>
                <w:rFonts w:hint="eastAsia" w:ascii="宋体" w:hAnsi="宋体" w:cs="宋体"/>
                <w:color w:val="auto"/>
                <w:szCs w:val="21"/>
                <w:highlight w:val="none"/>
              </w:rPr>
              <w:t xml:space="preserve">开户行：另行通知 </w:t>
            </w:r>
          </w:p>
          <w:p w14:paraId="68571512">
            <w:pPr>
              <w:widowControl/>
              <w:adjustRightInd w:val="0"/>
              <w:snapToGrid w:val="0"/>
              <w:spacing w:line="440" w:lineRule="exact"/>
              <w:jc w:val="left"/>
              <w:rPr>
                <w:rFonts w:ascii="宋体" w:hAnsi="宋体" w:cs="宋体"/>
                <w:color w:val="auto"/>
                <w:szCs w:val="21"/>
                <w:highlight w:val="none"/>
              </w:rPr>
            </w:pPr>
            <w:r>
              <w:rPr>
                <w:rFonts w:hint="eastAsia" w:ascii="宋体" w:hAnsi="宋体" w:cs="宋体"/>
                <w:color w:val="auto"/>
                <w:szCs w:val="21"/>
                <w:highlight w:val="none"/>
              </w:rPr>
              <w:t xml:space="preserve">账号：另行通知  </w:t>
            </w:r>
          </w:p>
          <w:p w14:paraId="6FD036AB">
            <w:pPr>
              <w:widowControl/>
              <w:adjustRightInd w:val="0"/>
              <w:snapToGrid w:val="0"/>
              <w:spacing w:line="440" w:lineRule="exact"/>
              <w:jc w:val="left"/>
              <w:rPr>
                <w:rFonts w:ascii="宋体" w:hAnsi="宋体" w:cs="宋体"/>
                <w:color w:val="auto"/>
                <w:szCs w:val="21"/>
                <w:highlight w:val="none"/>
              </w:rPr>
            </w:pPr>
            <w:r>
              <w:rPr>
                <w:rFonts w:hint="eastAsia" w:ascii="宋体" w:hAnsi="宋体" w:cs="宋体"/>
                <w:color w:val="auto"/>
                <w:szCs w:val="21"/>
                <w:highlight w:val="none"/>
              </w:rPr>
              <w:t>缴纳时限：</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 xml:space="preserve">个日历天内足额交纳履约保证金并根据招标文件和中标人的响应文件订立书面合同               </w:t>
            </w:r>
          </w:p>
          <w:p w14:paraId="21CE23E0">
            <w:pPr>
              <w:widowControl/>
              <w:adjustRightInd w:val="0"/>
              <w:snapToGrid w:val="0"/>
              <w:spacing w:line="440" w:lineRule="exact"/>
              <w:jc w:val="left"/>
              <w:rPr>
                <w:rFonts w:ascii="宋体" w:hAnsi="宋体" w:cs="宋体"/>
                <w:color w:val="auto"/>
                <w:szCs w:val="21"/>
                <w:highlight w:val="none"/>
              </w:rPr>
            </w:pPr>
            <w:r>
              <w:rPr>
                <w:rFonts w:hint="eastAsia" w:ascii="宋体" w:hAnsi="宋体" w:cs="宋体"/>
                <w:color w:val="auto"/>
                <w:szCs w:val="21"/>
                <w:highlight w:val="none"/>
              </w:rPr>
              <w:t>履约保证金退还时限：履约保证金有效期满7日内（最迟不得超过项目竣工验收通过后28天）。</w:t>
            </w:r>
          </w:p>
          <w:p w14:paraId="7C43159F">
            <w:pPr>
              <w:widowControl/>
              <w:adjustRightInd w:val="0"/>
              <w:snapToGrid w:val="0"/>
              <w:spacing w:line="440" w:lineRule="exact"/>
              <w:jc w:val="left"/>
              <w:rPr>
                <w:rFonts w:ascii="宋体" w:hAnsi="宋体" w:cs="宋体"/>
                <w:color w:val="auto"/>
                <w:szCs w:val="21"/>
                <w:highlight w:val="none"/>
              </w:rPr>
            </w:pPr>
            <w:r>
              <w:rPr>
                <w:rFonts w:hint="eastAsia" w:ascii="宋体" w:hAnsi="宋体" w:cs="宋体"/>
                <w:color w:val="auto"/>
                <w:szCs w:val="21"/>
                <w:highlight w:val="none"/>
              </w:rPr>
              <w:t>其他相关要求（由招标人根据各项目及自身情况填写）：</w:t>
            </w:r>
          </w:p>
          <w:p w14:paraId="34A17F61">
            <w:pPr>
              <w:widowControl/>
              <w:adjustRightInd w:val="0"/>
              <w:snapToGrid w:val="0"/>
              <w:spacing w:line="440" w:lineRule="exact"/>
              <w:jc w:val="left"/>
              <w:rPr>
                <w:rFonts w:ascii="宋体" w:hAnsi="宋体" w:cs="宋体"/>
                <w:color w:val="auto"/>
                <w:szCs w:val="21"/>
                <w:highlight w:val="none"/>
              </w:rPr>
            </w:pPr>
            <w:r>
              <w:rPr>
                <w:rFonts w:hint="eastAsia" w:ascii="宋体" w:hAnsi="宋体" w:cs="宋体"/>
                <w:color w:val="auto"/>
                <w:szCs w:val="21"/>
                <w:highlight w:val="none"/>
              </w:rPr>
              <w:t>具体要求：中标人须在规定时间内足额缴纳履约保证金，如未按期交齐履约保证金或未按期签订合同的，视同放弃成交资格，招标人将扣除响应保证金。履约保证金按要求缴纳的，自合同签订之日起5个工作日内退还中标人的响应保证金；</w:t>
            </w:r>
          </w:p>
        </w:tc>
      </w:tr>
      <w:tr w14:paraId="3C64A468">
        <w:tblPrEx>
          <w:tblCellMar>
            <w:top w:w="0" w:type="dxa"/>
            <w:left w:w="108" w:type="dxa"/>
            <w:bottom w:w="0" w:type="dxa"/>
            <w:right w:w="108" w:type="dxa"/>
          </w:tblCellMar>
        </w:tblPrEx>
        <w:trPr>
          <w:trHeight w:val="90" w:hRule="atLeast"/>
          <w:jc w:val="center"/>
        </w:trPr>
        <w:tc>
          <w:tcPr>
            <w:tcW w:w="1016" w:type="dxa"/>
            <w:tcBorders>
              <w:top w:val="single" w:color="auto" w:sz="4" w:space="0"/>
              <w:left w:val="single" w:color="auto" w:sz="4" w:space="0"/>
              <w:bottom w:val="single" w:color="auto" w:sz="4" w:space="0"/>
              <w:right w:val="single" w:color="auto" w:sz="4" w:space="0"/>
            </w:tcBorders>
            <w:vAlign w:val="center"/>
          </w:tcPr>
          <w:p w14:paraId="537DFC5A">
            <w:pPr>
              <w:adjustRightInd w:val="0"/>
              <w:snapToGri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7.9</w:t>
            </w:r>
          </w:p>
        </w:tc>
        <w:tc>
          <w:tcPr>
            <w:tcW w:w="1984" w:type="dxa"/>
            <w:tcBorders>
              <w:top w:val="single" w:color="auto" w:sz="4" w:space="0"/>
              <w:left w:val="single" w:color="auto" w:sz="4" w:space="0"/>
              <w:bottom w:val="single" w:color="auto" w:sz="4" w:space="0"/>
              <w:right w:val="single" w:color="auto" w:sz="4" w:space="0"/>
            </w:tcBorders>
            <w:vAlign w:val="center"/>
          </w:tcPr>
          <w:p w14:paraId="2346DC64">
            <w:pPr>
              <w:adjustRightInd w:val="0"/>
              <w:snapToGri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签订合同</w:t>
            </w:r>
          </w:p>
        </w:tc>
        <w:tc>
          <w:tcPr>
            <w:tcW w:w="7175" w:type="dxa"/>
            <w:tcBorders>
              <w:top w:val="single" w:color="auto" w:sz="4" w:space="0"/>
              <w:left w:val="single" w:color="auto" w:sz="4" w:space="0"/>
              <w:bottom w:val="single" w:color="auto" w:sz="4" w:space="0"/>
              <w:right w:val="single" w:color="auto" w:sz="4" w:space="0"/>
            </w:tcBorders>
          </w:tcPr>
          <w:p w14:paraId="7081BE0B">
            <w:pPr>
              <w:adjustRightInd w:val="0"/>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中标人3个日历天内未委派代表与招标人联系的或无正当理由拒签合同的，招标人取消其中标资格；给招标人造成的损失，中标人还应当予以赔偿。</w:t>
            </w:r>
          </w:p>
        </w:tc>
      </w:tr>
      <w:tr w14:paraId="40764329">
        <w:tblPrEx>
          <w:tblCellMar>
            <w:top w:w="0" w:type="dxa"/>
            <w:left w:w="108" w:type="dxa"/>
            <w:bottom w:w="0" w:type="dxa"/>
            <w:right w:w="108" w:type="dxa"/>
          </w:tblCellMar>
        </w:tblPrEx>
        <w:trPr>
          <w:trHeight w:val="90" w:hRule="atLeast"/>
          <w:jc w:val="center"/>
        </w:trPr>
        <w:tc>
          <w:tcPr>
            <w:tcW w:w="10175" w:type="dxa"/>
            <w:gridSpan w:val="3"/>
            <w:tcBorders>
              <w:top w:val="single" w:color="auto" w:sz="4" w:space="0"/>
              <w:left w:val="single" w:color="auto" w:sz="4" w:space="0"/>
              <w:bottom w:val="single" w:color="auto" w:sz="4" w:space="0"/>
              <w:right w:val="single" w:color="auto" w:sz="4" w:space="0"/>
            </w:tcBorders>
            <w:vAlign w:val="center"/>
          </w:tcPr>
          <w:p w14:paraId="7C03FFB8">
            <w:pPr>
              <w:adjustRightInd w:val="0"/>
              <w:snapToGrid w:val="0"/>
              <w:spacing w:line="440" w:lineRule="exact"/>
              <w:jc w:val="left"/>
              <w:rPr>
                <w:rFonts w:ascii="宋体" w:hAnsi="宋体" w:cs="宋体"/>
                <w:color w:val="auto"/>
                <w:szCs w:val="21"/>
                <w:highlight w:val="none"/>
              </w:rPr>
            </w:pPr>
            <w:r>
              <w:rPr>
                <w:rFonts w:hint="eastAsia" w:ascii="宋体" w:hAnsi="宋体" w:cs="宋体"/>
                <w:color w:val="auto"/>
                <w:szCs w:val="21"/>
                <w:highlight w:val="none"/>
              </w:rPr>
              <w:t>10.需要补充的其他内容</w:t>
            </w:r>
          </w:p>
        </w:tc>
      </w:tr>
      <w:tr w14:paraId="29A7FAE8">
        <w:tblPrEx>
          <w:tblCellMar>
            <w:top w:w="0" w:type="dxa"/>
            <w:left w:w="108" w:type="dxa"/>
            <w:bottom w:w="0" w:type="dxa"/>
            <w:right w:w="108" w:type="dxa"/>
          </w:tblCellMar>
        </w:tblPrEx>
        <w:trPr>
          <w:trHeight w:val="90" w:hRule="atLeast"/>
          <w:jc w:val="center"/>
        </w:trPr>
        <w:tc>
          <w:tcPr>
            <w:tcW w:w="10175" w:type="dxa"/>
            <w:gridSpan w:val="3"/>
            <w:tcBorders>
              <w:top w:val="single" w:color="auto" w:sz="4" w:space="0"/>
              <w:left w:val="single" w:color="auto" w:sz="4" w:space="0"/>
              <w:bottom w:val="single" w:color="auto" w:sz="4" w:space="0"/>
              <w:right w:val="single" w:color="auto" w:sz="4" w:space="0"/>
            </w:tcBorders>
            <w:vAlign w:val="center"/>
          </w:tcPr>
          <w:p w14:paraId="13FB458D">
            <w:pPr>
              <w:adjustRightInd w:val="0"/>
              <w:snapToGrid w:val="0"/>
              <w:spacing w:line="440" w:lineRule="exact"/>
              <w:jc w:val="left"/>
              <w:rPr>
                <w:rFonts w:ascii="宋体" w:hAnsi="宋体" w:cs="宋体"/>
                <w:color w:val="auto"/>
                <w:szCs w:val="21"/>
                <w:highlight w:val="none"/>
              </w:rPr>
            </w:pPr>
            <w:r>
              <w:rPr>
                <w:rFonts w:hint="eastAsia" w:ascii="宋体" w:hAnsi="宋体" w:cs="宋体"/>
                <w:color w:val="auto"/>
                <w:szCs w:val="21"/>
                <w:highlight w:val="none"/>
              </w:rPr>
              <w:t>10.1招标代理服务费和专家评审劳务费</w:t>
            </w:r>
          </w:p>
        </w:tc>
      </w:tr>
      <w:tr w14:paraId="5631063E">
        <w:tblPrEx>
          <w:tblCellMar>
            <w:top w:w="0" w:type="dxa"/>
            <w:left w:w="108" w:type="dxa"/>
            <w:bottom w:w="0" w:type="dxa"/>
            <w:right w:w="108" w:type="dxa"/>
          </w:tblCellMar>
        </w:tblPrEx>
        <w:trPr>
          <w:trHeight w:val="90" w:hRule="atLeast"/>
          <w:jc w:val="center"/>
        </w:trPr>
        <w:tc>
          <w:tcPr>
            <w:tcW w:w="1016" w:type="dxa"/>
            <w:tcBorders>
              <w:top w:val="single" w:color="auto" w:sz="4" w:space="0"/>
              <w:left w:val="single" w:color="auto" w:sz="4" w:space="0"/>
              <w:bottom w:val="single" w:color="auto" w:sz="4" w:space="0"/>
              <w:right w:val="single" w:color="auto" w:sz="4" w:space="0"/>
            </w:tcBorders>
            <w:vAlign w:val="center"/>
          </w:tcPr>
          <w:p w14:paraId="2C51511A">
            <w:pPr>
              <w:adjustRightInd w:val="0"/>
              <w:snapToGri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10.1.1</w:t>
            </w:r>
          </w:p>
        </w:tc>
        <w:tc>
          <w:tcPr>
            <w:tcW w:w="1984" w:type="dxa"/>
            <w:tcBorders>
              <w:top w:val="single" w:color="auto" w:sz="4" w:space="0"/>
              <w:left w:val="single" w:color="auto" w:sz="4" w:space="0"/>
              <w:bottom w:val="single" w:color="auto" w:sz="4" w:space="0"/>
              <w:right w:val="single" w:color="auto" w:sz="4" w:space="0"/>
            </w:tcBorders>
            <w:vAlign w:val="center"/>
          </w:tcPr>
          <w:p w14:paraId="46A11C79">
            <w:pPr>
              <w:adjustRightInd w:val="0"/>
              <w:snapToGri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招标代理服务费</w:t>
            </w:r>
          </w:p>
        </w:tc>
        <w:tc>
          <w:tcPr>
            <w:tcW w:w="7175" w:type="dxa"/>
            <w:tcBorders>
              <w:top w:val="single" w:color="auto" w:sz="4" w:space="0"/>
              <w:left w:val="single" w:color="auto" w:sz="4" w:space="0"/>
              <w:bottom w:val="single" w:color="auto" w:sz="4" w:space="0"/>
              <w:right w:val="single" w:color="auto" w:sz="4" w:space="0"/>
            </w:tcBorders>
            <w:vAlign w:val="center"/>
          </w:tcPr>
          <w:p w14:paraId="2DCE397B">
            <w:pPr>
              <w:adjustRightInd w:val="0"/>
              <w:snapToGrid w:val="0"/>
              <w:spacing w:line="440" w:lineRule="exact"/>
              <w:rPr>
                <w:rFonts w:hint="eastAsia" w:ascii="宋体" w:hAnsi="宋体" w:cs="Times New Roman"/>
                <w:color w:val="auto"/>
                <w:szCs w:val="21"/>
                <w:highlight w:val="none"/>
              </w:rPr>
            </w:pPr>
            <w:r>
              <w:rPr>
                <w:rFonts w:hint="eastAsia" w:ascii="宋体" w:hAnsi="宋体" w:cs="宋体"/>
                <w:color w:val="auto"/>
                <w:szCs w:val="21"/>
                <w:highlight w:val="none"/>
              </w:rPr>
              <w:t>代理服务费具体金</w:t>
            </w:r>
            <w:r>
              <w:rPr>
                <w:rFonts w:hint="eastAsia" w:ascii="宋体" w:hAnsi="宋体" w:cs="Times New Roman"/>
                <w:color w:val="auto"/>
                <w:szCs w:val="21"/>
                <w:highlight w:val="none"/>
              </w:rPr>
              <w:t>额：1000元；</w:t>
            </w:r>
          </w:p>
          <w:p w14:paraId="5B7FF042">
            <w:pPr>
              <w:adjustRightInd w:val="0"/>
              <w:snapToGrid w:val="0"/>
              <w:spacing w:line="440" w:lineRule="exact"/>
              <w:rPr>
                <w:rFonts w:ascii="宋体" w:hAnsi="宋体" w:cs="宋体"/>
                <w:color w:val="auto"/>
                <w:kern w:val="0"/>
                <w:szCs w:val="21"/>
                <w:highlight w:val="none"/>
                <w:u w:val="single"/>
              </w:rPr>
            </w:pPr>
            <w:r>
              <w:rPr>
                <w:rFonts w:hint="eastAsia" w:ascii="宋体" w:hAnsi="宋体" w:cs="宋体"/>
                <w:color w:val="auto"/>
                <w:kern w:val="0"/>
                <w:szCs w:val="21"/>
                <w:highlight w:val="none"/>
              </w:rPr>
              <w:t>代理服务费支付主体</w:t>
            </w:r>
            <w:r>
              <w:rPr>
                <w:rFonts w:hint="eastAsia" w:ascii="宋体" w:hAnsi="宋体" w:cs="宋体"/>
                <w:color w:val="auto"/>
                <w:szCs w:val="21"/>
                <w:highlight w:val="none"/>
              </w:rPr>
              <w:t>：</w:t>
            </w:r>
            <w:r>
              <w:rPr>
                <w:rFonts w:hint="eastAsia" w:ascii="宋体" w:hAnsi="宋体" w:cs="Times New Roman"/>
                <w:color w:val="auto"/>
                <w:szCs w:val="21"/>
                <w:highlight w:val="none"/>
              </w:rPr>
              <w:t>中标单位，中标单位在领取中标通知书前一次性支付给代理机构</w:t>
            </w:r>
            <w:r>
              <w:rPr>
                <w:rFonts w:hint="eastAsia" w:ascii="宋体" w:hAnsi="宋体" w:cs="宋体"/>
                <w:color w:val="auto"/>
                <w:kern w:val="0"/>
                <w:szCs w:val="21"/>
                <w:highlight w:val="none"/>
              </w:rPr>
              <w:t>。</w:t>
            </w:r>
          </w:p>
        </w:tc>
      </w:tr>
      <w:tr w14:paraId="7E94CEFD">
        <w:tblPrEx>
          <w:tblCellMar>
            <w:top w:w="0" w:type="dxa"/>
            <w:left w:w="108" w:type="dxa"/>
            <w:bottom w:w="0" w:type="dxa"/>
            <w:right w:w="108" w:type="dxa"/>
          </w:tblCellMar>
        </w:tblPrEx>
        <w:trPr>
          <w:trHeight w:val="90" w:hRule="atLeast"/>
          <w:jc w:val="center"/>
        </w:trPr>
        <w:tc>
          <w:tcPr>
            <w:tcW w:w="1016" w:type="dxa"/>
            <w:tcBorders>
              <w:top w:val="single" w:color="auto" w:sz="4" w:space="0"/>
              <w:left w:val="single" w:color="auto" w:sz="4" w:space="0"/>
              <w:bottom w:val="single" w:color="auto" w:sz="4" w:space="0"/>
              <w:right w:val="single" w:color="auto" w:sz="4" w:space="0"/>
            </w:tcBorders>
            <w:vAlign w:val="center"/>
          </w:tcPr>
          <w:p w14:paraId="31C95270">
            <w:pPr>
              <w:adjustRightInd w:val="0"/>
              <w:snapToGri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10.1.2</w:t>
            </w:r>
          </w:p>
        </w:tc>
        <w:tc>
          <w:tcPr>
            <w:tcW w:w="1984" w:type="dxa"/>
            <w:tcBorders>
              <w:top w:val="single" w:color="auto" w:sz="4" w:space="0"/>
              <w:left w:val="single" w:color="auto" w:sz="4" w:space="0"/>
              <w:bottom w:val="single" w:color="auto" w:sz="4" w:space="0"/>
              <w:right w:val="single" w:color="auto" w:sz="4" w:space="0"/>
            </w:tcBorders>
            <w:vAlign w:val="center"/>
          </w:tcPr>
          <w:p w14:paraId="136C6B55">
            <w:pPr>
              <w:adjustRightInd w:val="0"/>
              <w:snapToGri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专家评审劳务费</w:t>
            </w:r>
          </w:p>
        </w:tc>
        <w:tc>
          <w:tcPr>
            <w:tcW w:w="7175" w:type="dxa"/>
            <w:tcBorders>
              <w:top w:val="single" w:color="auto" w:sz="4" w:space="0"/>
              <w:left w:val="single" w:color="auto" w:sz="4" w:space="0"/>
              <w:bottom w:val="single" w:color="auto" w:sz="4" w:space="0"/>
              <w:right w:val="single" w:color="auto" w:sz="4" w:space="0"/>
            </w:tcBorders>
            <w:vAlign w:val="center"/>
          </w:tcPr>
          <w:p w14:paraId="415E4AC9">
            <w:pPr>
              <w:adjustRightInd w:val="0"/>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费用或支付标准：</w:t>
            </w:r>
            <w:r>
              <w:rPr>
                <w:rFonts w:hint="eastAsia" w:ascii="宋体" w:hAnsi="宋体" w:cs="Times New Roman"/>
                <w:color w:val="auto"/>
                <w:szCs w:val="21"/>
                <w:highlight w:val="none"/>
              </w:rPr>
              <w:t>评委费按实际支出支付</w:t>
            </w:r>
            <w:r>
              <w:rPr>
                <w:rFonts w:hint="eastAsia" w:ascii="宋体" w:hAnsi="宋体" w:cs="宋体"/>
                <w:color w:val="auto"/>
                <w:szCs w:val="21"/>
                <w:highlight w:val="none"/>
              </w:rPr>
              <w:t xml:space="preserve">  </w:t>
            </w:r>
          </w:p>
          <w:p w14:paraId="5967CF9E">
            <w:pPr>
              <w:adjustRightInd w:val="0"/>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支付主体：</w:t>
            </w:r>
            <w:r>
              <w:rPr>
                <w:rFonts w:hint="eastAsia" w:ascii="宋体" w:hAnsi="宋体" w:cs="Times New Roman"/>
                <w:color w:val="auto"/>
                <w:szCs w:val="21"/>
                <w:highlight w:val="none"/>
              </w:rPr>
              <w:t>中标单位，中标单位在领取中标通知书前一次性支付给代理机构。</w:t>
            </w:r>
            <w:r>
              <w:rPr>
                <w:rFonts w:hint="eastAsia" w:ascii="宋体" w:hAnsi="宋体" w:cs="宋体"/>
                <w:color w:val="auto"/>
                <w:szCs w:val="21"/>
                <w:highlight w:val="none"/>
              </w:rPr>
              <w:t xml:space="preserve">  </w:t>
            </w:r>
          </w:p>
        </w:tc>
      </w:tr>
      <w:tr w14:paraId="7CCD638E">
        <w:tblPrEx>
          <w:tblCellMar>
            <w:top w:w="0" w:type="dxa"/>
            <w:left w:w="108" w:type="dxa"/>
            <w:bottom w:w="0" w:type="dxa"/>
            <w:right w:w="108" w:type="dxa"/>
          </w:tblCellMar>
        </w:tblPrEx>
        <w:trPr>
          <w:trHeight w:val="90" w:hRule="atLeast"/>
          <w:jc w:val="center"/>
        </w:trPr>
        <w:tc>
          <w:tcPr>
            <w:tcW w:w="10175" w:type="dxa"/>
            <w:gridSpan w:val="3"/>
            <w:tcBorders>
              <w:top w:val="single" w:color="auto" w:sz="4" w:space="0"/>
              <w:left w:val="single" w:color="auto" w:sz="4" w:space="0"/>
              <w:bottom w:val="single" w:color="auto" w:sz="4" w:space="0"/>
              <w:right w:val="single" w:color="auto" w:sz="4" w:space="0"/>
            </w:tcBorders>
            <w:vAlign w:val="center"/>
          </w:tcPr>
          <w:p w14:paraId="2DD5C403">
            <w:pPr>
              <w:adjustRightInd w:val="0"/>
              <w:snapToGrid w:val="0"/>
              <w:spacing w:line="440" w:lineRule="exact"/>
              <w:rPr>
                <w:rFonts w:ascii="宋体" w:hAnsi="宋体" w:cs="宋体"/>
                <w:bCs/>
                <w:snapToGrid w:val="0"/>
                <w:color w:val="auto"/>
                <w:kern w:val="0"/>
                <w:szCs w:val="21"/>
                <w:highlight w:val="none"/>
              </w:rPr>
            </w:pPr>
            <w:r>
              <w:rPr>
                <w:rFonts w:hint="eastAsia" w:ascii="宋体" w:hAnsi="宋体" w:cs="宋体"/>
                <w:color w:val="auto"/>
                <w:szCs w:val="21"/>
                <w:highlight w:val="none"/>
              </w:rPr>
              <w:t>10.2 招标文件获取与通知</w:t>
            </w:r>
          </w:p>
        </w:tc>
      </w:tr>
      <w:tr w14:paraId="4E003E02">
        <w:tblPrEx>
          <w:tblCellMar>
            <w:top w:w="0" w:type="dxa"/>
            <w:left w:w="108" w:type="dxa"/>
            <w:bottom w:w="0" w:type="dxa"/>
            <w:right w:w="108" w:type="dxa"/>
          </w:tblCellMar>
        </w:tblPrEx>
        <w:trPr>
          <w:trHeight w:val="90" w:hRule="atLeast"/>
          <w:jc w:val="center"/>
        </w:trPr>
        <w:tc>
          <w:tcPr>
            <w:tcW w:w="1016" w:type="dxa"/>
            <w:tcBorders>
              <w:top w:val="single" w:color="auto" w:sz="4" w:space="0"/>
              <w:left w:val="single" w:color="auto" w:sz="4" w:space="0"/>
              <w:bottom w:val="single" w:color="auto" w:sz="4" w:space="0"/>
              <w:right w:val="single" w:color="auto" w:sz="4" w:space="0"/>
            </w:tcBorders>
            <w:vAlign w:val="center"/>
          </w:tcPr>
          <w:p w14:paraId="6E712ED3">
            <w:pPr>
              <w:adjustRightInd w:val="0"/>
              <w:snapToGri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10.2.1</w:t>
            </w:r>
          </w:p>
        </w:tc>
        <w:tc>
          <w:tcPr>
            <w:tcW w:w="1984" w:type="dxa"/>
            <w:tcBorders>
              <w:top w:val="single" w:color="auto" w:sz="4" w:space="0"/>
              <w:left w:val="single" w:color="auto" w:sz="4" w:space="0"/>
              <w:bottom w:val="single" w:color="auto" w:sz="4" w:space="0"/>
              <w:right w:val="single" w:color="auto" w:sz="4" w:space="0"/>
            </w:tcBorders>
            <w:vAlign w:val="center"/>
          </w:tcPr>
          <w:p w14:paraId="071E58C1">
            <w:pPr>
              <w:adjustRightInd w:val="0"/>
              <w:snapToGrid w:val="0"/>
              <w:spacing w:line="440" w:lineRule="exact"/>
              <w:jc w:val="center"/>
              <w:rPr>
                <w:rFonts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电子招投标</w:t>
            </w:r>
          </w:p>
        </w:tc>
        <w:tc>
          <w:tcPr>
            <w:tcW w:w="7175" w:type="dxa"/>
            <w:tcBorders>
              <w:top w:val="single" w:color="auto" w:sz="4" w:space="0"/>
              <w:left w:val="single" w:color="auto" w:sz="4" w:space="0"/>
              <w:bottom w:val="single" w:color="auto" w:sz="4" w:space="0"/>
              <w:right w:val="single" w:color="auto" w:sz="4" w:space="0"/>
            </w:tcBorders>
            <w:vAlign w:val="center"/>
          </w:tcPr>
          <w:p w14:paraId="323FA095">
            <w:pPr>
              <w:adjustRightInd w:val="0"/>
              <w:snapToGrid w:val="0"/>
              <w:spacing w:line="440" w:lineRule="exact"/>
              <w:rPr>
                <w:rFonts w:ascii="宋体" w:hAnsi="宋体" w:cs="宋体"/>
                <w:color w:val="auto"/>
                <w:szCs w:val="21"/>
                <w:highlight w:val="none"/>
              </w:rPr>
            </w:pPr>
            <w:r>
              <w:rPr>
                <w:rFonts w:hint="eastAsia" w:ascii="宋体" w:hAnsi="宋体" w:cs="宋体"/>
                <w:bCs/>
                <w:snapToGrid w:val="0"/>
                <w:color w:val="auto"/>
                <w:kern w:val="0"/>
                <w:szCs w:val="21"/>
                <w:highlight w:val="none"/>
              </w:rPr>
              <w:t>本项目采用电子招标投标方式。</w:t>
            </w:r>
          </w:p>
        </w:tc>
      </w:tr>
      <w:tr w14:paraId="651F8C92">
        <w:tblPrEx>
          <w:tblCellMar>
            <w:top w:w="0" w:type="dxa"/>
            <w:left w:w="108" w:type="dxa"/>
            <w:bottom w:w="0" w:type="dxa"/>
            <w:right w:w="108" w:type="dxa"/>
          </w:tblCellMar>
        </w:tblPrEx>
        <w:trPr>
          <w:trHeight w:val="90" w:hRule="atLeast"/>
          <w:jc w:val="center"/>
        </w:trPr>
        <w:tc>
          <w:tcPr>
            <w:tcW w:w="1016" w:type="dxa"/>
            <w:tcBorders>
              <w:top w:val="single" w:color="auto" w:sz="4" w:space="0"/>
              <w:left w:val="single" w:color="auto" w:sz="4" w:space="0"/>
              <w:bottom w:val="single" w:color="auto" w:sz="4" w:space="0"/>
              <w:right w:val="single" w:color="auto" w:sz="4" w:space="0"/>
            </w:tcBorders>
            <w:vAlign w:val="center"/>
          </w:tcPr>
          <w:p w14:paraId="7A57B04F">
            <w:pPr>
              <w:adjustRightInd w:val="0"/>
              <w:snapToGri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10.2.2</w:t>
            </w:r>
          </w:p>
        </w:tc>
        <w:tc>
          <w:tcPr>
            <w:tcW w:w="1984" w:type="dxa"/>
            <w:tcBorders>
              <w:top w:val="single" w:color="auto" w:sz="4" w:space="0"/>
              <w:left w:val="single" w:color="auto" w:sz="4" w:space="0"/>
              <w:bottom w:val="single" w:color="auto" w:sz="4" w:space="0"/>
              <w:right w:val="single" w:color="auto" w:sz="4" w:space="0"/>
            </w:tcBorders>
            <w:vAlign w:val="center"/>
          </w:tcPr>
          <w:p w14:paraId="1113C1E2">
            <w:pPr>
              <w:adjustRightInd w:val="0"/>
              <w:snapToGrid w:val="0"/>
              <w:spacing w:line="440" w:lineRule="exact"/>
              <w:jc w:val="center"/>
              <w:rPr>
                <w:rFonts w:ascii="宋体" w:hAnsi="宋体" w:cs="宋体"/>
                <w:color w:val="auto"/>
                <w:szCs w:val="21"/>
                <w:highlight w:val="none"/>
              </w:rPr>
            </w:pPr>
            <w:r>
              <w:rPr>
                <w:rFonts w:hint="eastAsia" w:ascii="宋体" w:hAnsi="宋体" w:cs="宋体"/>
                <w:bCs/>
                <w:snapToGrid w:val="0"/>
                <w:color w:val="auto"/>
                <w:kern w:val="0"/>
                <w:szCs w:val="21"/>
                <w:highlight w:val="none"/>
              </w:rPr>
              <w:t>图纸获取说明</w:t>
            </w:r>
          </w:p>
        </w:tc>
        <w:tc>
          <w:tcPr>
            <w:tcW w:w="7175" w:type="dxa"/>
            <w:tcBorders>
              <w:top w:val="single" w:color="auto" w:sz="4" w:space="0"/>
              <w:left w:val="single" w:color="auto" w:sz="4" w:space="0"/>
              <w:bottom w:val="single" w:color="auto" w:sz="4" w:space="0"/>
              <w:right w:val="single" w:color="auto" w:sz="4" w:space="0"/>
            </w:tcBorders>
            <w:vAlign w:val="center"/>
          </w:tcPr>
          <w:p w14:paraId="3E01C641">
            <w:pPr>
              <w:adjustRightInd w:val="0"/>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投标人自行登录系统获取</w:t>
            </w:r>
          </w:p>
        </w:tc>
      </w:tr>
      <w:tr w14:paraId="1BF1DA75">
        <w:tblPrEx>
          <w:tblCellMar>
            <w:top w:w="0" w:type="dxa"/>
            <w:left w:w="108" w:type="dxa"/>
            <w:bottom w:w="0" w:type="dxa"/>
            <w:right w:w="108" w:type="dxa"/>
          </w:tblCellMar>
        </w:tblPrEx>
        <w:trPr>
          <w:trHeight w:val="90" w:hRule="atLeast"/>
          <w:jc w:val="center"/>
        </w:trPr>
        <w:tc>
          <w:tcPr>
            <w:tcW w:w="1016" w:type="dxa"/>
            <w:tcBorders>
              <w:top w:val="single" w:color="auto" w:sz="4" w:space="0"/>
              <w:left w:val="single" w:color="auto" w:sz="4" w:space="0"/>
              <w:bottom w:val="single" w:color="auto" w:sz="4" w:space="0"/>
              <w:right w:val="single" w:color="auto" w:sz="4" w:space="0"/>
            </w:tcBorders>
            <w:vAlign w:val="center"/>
          </w:tcPr>
          <w:p w14:paraId="06609888">
            <w:pPr>
              <w:adjustRightInd w:val="0"/>
              <w:snapToGri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10.2.3</w:t>
            </w:r>
          </w:p>
        </w:tc>
        <w:tc>
          <w:tcPr>
            <w:tcW w:w="1984" w:type="dxa"/>
            <w:tcBorders>
              <w:top w:val="single" w:color="auto" w:sz="4" w:space="0"/>
              <w:left w:val="single" w:color="auto" w:sz="4" w:space="0"/>
              <w:bottom w:val="single" w:color="auto" w:sz="4" w:space="0"/>
              <w:right w:val="single" w:color="auto" w:sz="4" w:space="0"/>
            </w:tcBorders>
            <w:vAlign w:val="center"/>
          </w:tcPr>
          <w:p w14:paraId="42C84491">
            <w:pPr>
              <w:adjustRightInd w:val="0"/>
              <w:snapToGrid w:val="0"/>
              <w:spacing w:line="440" w:lineRule="exact"/>
              <w:jc w:val="center"/>
              <w:rPr>
                <w:rFonts w:ascii="宋体" w:hAnsi="宋体" w:cs="宋体"/>
                <w:color w:val="auto"/>
                <w:szCs w:val="21"/>
                <w:highlight w:val="none"/>
              </w:rPr>
            </w:pPr>
            <w:r>
              <w:rPr>
                <w:rFonts w:hint="eastAsia" w:ascii="宋体" w:hAnsi="宋体" w:cs="宋体"/>
                <w:bCs/>
                <w:snapToGrid w:val="0"/>
                <w:color w:val="auto"/>
                <w:kern w:val="0"/>
                <w:szCs w:val="21"/>
                <w:highlight w:val="none"/>
              </w:rPr>
              <w:t>获取与查看通知</w:t>
            </w:r>
          </w:p>
        </w:tc>
        <w:tc>
          <w:tcPr>
            <w:tcW w:w="7175" w:type="dxa"/>
            <w:tcBorders>
              <w:top w:val="single" w:color="auto" w:sz="4" w:space="0"/>
              <w:left w:val="single" w:color="auto" w:sz="4" w:space="0"/>
              <w:bottom w:val="single" w:color="auto" w:sz="4" w:space="0"/>
              <w:right w:val="single" w:color="auto" w:sz="4" w:space="0"/>
            </w:tcBorders>
            <w:vAlign w:val="center"/>
          </w:tcPr>
          <w:p w14:paraId="17FB3A22">
            <w:pPr>
              <w:adjustRightInd w:val="0"/>
              <w:snapToGrid w:val="0"/>
              <w:spacing w:line="440" w:lineRule="exact"/>
              <w:rPr>
                <w:rFonts w:ascii="宋体" w:hAnsi="宋体" w:cs="宋体"/>
                <w:color w:val="auto"/>
                <w:szCs w:val="21"/>
                <w:highlight w:val="none"/>
              </w:rPr>
            </w:pPr>
            <w:r>
              <w:rPr>
                <w:rFonts w:hint="eastAsia" w:ascii="宋体" w:hAnsi="宋体" w:cs="宋体"/>
                <w:bCs/>
                <w:snapToGrid w:val="0"/>
                <w:color w:val="auto"/>
                <w:kern w:val="0"/>
                <w:szCs w:val="21"/>
                <w:highlight w:val="none"/>
              </w:rPr>
              <w:t>本项目的招标文件、澄清及修改等相关资料均通过</w:t>
            </w:r>
            <w:r>
              <w:rPr>
                <w:rFonts w:hint="eastAsia" w:ascii="宋体" w:hAnsi="宋体" w:cs="宋体"/>
                <w:color w:val="auto"/>
                <w:szCs w:val="21"/>
                <w:highlight w:val="none"/>
              </w:rPr>
              <w:t>滁州市城投工程咨询管理有限公司网站（https://www.czctgczx.com/）</w:t>
            </w:r>
            <w:r>
              <w:rPr>
                <w:rFonts w:hint="eastAsia" w:ascii="宋体" w:hAnsi="宋体" w:cs="宋体"/>
                <w:bCs/>
                <w:snapToGrid w:val="0"/>
                <w:color w:val="auto"/>
                <w:kern w:val="0"/>
                <w:szCs w:val="21"/>
                <w:highlight w:val="none"/>
              </w:rPr>
              <w:t>发布，投标人应自行下载。</w:t>
            </w:r>
          </w:p>
        </w:tc>
      </w:tr>
      <w:tr w14:paraId="3B4C3F7B">
        <w:tblPrEx>
          <w:tblCellMar>
            <w:top w:w="0" w:type="dxa"/>
            <w:left w:w="108" w:type="dxa"/>
            <w:bottom w:w="0" w:type="dxa"/>
            <w:right w:w="108" w:type="dxa"/>
          </w:tblCellMar>
        </w:tblPrEx>
        <w:trPr>
          <w:trHeight w:val="90" w:hRule="atLeast"/>
          <w:jc w:val="center"/>
        </w:trPr>
        <w:tc>
          <w:tcPr>
            <w:tcW w:w="1016" w:type="dxa"/>
            <w:tcBorders>
              <w:top w:val="single" w:color="auto" w:sz="4" w:space="0"/>
              <w:left w:val="single" w:color="auto" w:sz="4" w:space="0"/>
              <w:bottom w:val="single" w:color="auto" w:sz="4" w:space="0"/>
              <w:right w:val="single" w:color="auto" w:sz="4" w:space="0"/>
            </w:tcBorders>
            <w:vAlign w:val="center"/>
          </w:tcPr>
          <w:p w14:paraId="28568582">
            <w:pPr>
              <w:adjustRightInd w:val="0"/>
              <w:snapToGri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10.3</w:t>
            </w:r>
          </w:p>
        </w:tc>
        <w:tc>
          <w:tcPr>
            <w:tcW w:w="1984" w:type="dxa"/>
            <w:tcBorders>
              <w:top w:val="single" w:color="auto" w:sz="4" w:space="0"/>
              <w:left w:val="single" w:color="auto" w:sz="4" w:space="0"/>
              <w:bottom w:val="single" w:color="auto" w:sz="4" w:space="0"/>
              <w:right w:val="single" w:color="auto" w:sz="4" w:space="0"/>
            </w:tcBorders>
            <w:vAlign w:val="center"/>
          </w:tcPr>
          <w:p w14:paraId="1A4C9F40">
            <w:pPr>
              <w:adjustRightInd w:val="0"/>
              <w:snapToGri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评标过程中的澄清、说明或补正</w:t>
            </w:r>
          </w:p>
        </w:tc>
        <w:tc>
          <w:tcPr>
            <w:tcW w:w="7175" w:type="dxa"/>
            <w:tcBorders>
              <w:top w:val="single" w:color="auto" w:sz="4" w:space="0"/>
              <w:left w:val="single" w:color="auto" w:sz="4" w:space="0"/>
              <w:bottom w:val="single" w:color="auto" w:sz="4" w:space="0"/>
              <w:right w:val="single" w:color="auto" w:sz="4" w:space="0"/>
            </w:tcBorders>
            <w:vAlign w:val="center"/>
          </w:tcPr>
          <w:p w14:paraId="0886179F">
            <w:pPr>
              <w:tabs>
                <w:tab w:val="left" w:pos="636"/>
              </w:tabs>
              <w:adjustRightInd w:val="0"/>
              <w:snapToGrid w:val="0"/>
              <w:spacing w:line="440" w:lineRule="exact"/>
              <w:jc w:val="left"/>
              <w:rPr>
                <w:rFonts w:ascii="宋体" w:hAnsi="宋体" w:cs="宋体"/>
                <w:color w:val="auto"/>
                <w:szCs w:val="21"/>
                <w:highlight w:val="none"/>
                <w:lang w:val="zh-CN" w:bidi="zh-CN"/>
              </w:rPr>
            </w:pPr>
            <w:r>
              <w:rPr>
                <w:rFonts w:hint="eastAsia" w:ascii="宋体" w:hAnsi="宋体" w:cs="宋体"/>
                <w:color w:val="auto"/>
                <w:szCs w:val="21"/>
                <w:highlight w:val="none"/>
                <w:lang w:val="zh-CN" w:bidi="zh-CN"/>
              </w:rPr>
              <w:t>1、评标委员会通过</w:t>
            </w:r>
            <w:r>
              <w:rPr>
                <w:rFonts w:hint="eastAsia" w:ascii="宋体" w:hAnsi="宋体" w:cs="宋体"/>
                <w:color w:val="auto"/>
                <w:szCs w:val="21"/>
                <w:highlight w:val="none"/>
                <w:lang w:bidi="zh-CN"/>
              </w:rPr>
              <w:t>网上开评标系统</w:t>
            </w:r>
            <w:r>
              <w:rPr>
                <w:rFonts w:hint="eastAsia" w:ascii="宋体" w:hAnsi="宋体" w:cs="宋体"/>
                <w:color w:val="auto"/>
                <w:szCs w:val="21"/>
                <w:highlight w:val="none"/>
                <w:lang w:val="zh-CN" w:bidi="zh-CN"/>
              </w:rPr>
              <w:t>将需要澄清、说明或补正</w:t>
            </w:r>
            <w:r>
              <w:rPr>
                <w:rFonts w:hint="eastAsia" w:ascii="宋体" w:hAnsi="宋体" w:cs="宋体"/>
                <w:color w:val="auto"/>
                <w:spacing w:val="-7"/>
                <w:szCs w:val="21"/>
                <w:highlight w:val="none"/>
                <w:lang w:val="zh-CN" w:bidi="zh-CN"/>
              </w:rPr>
              <w:t>的内容以询标函的形式发送给投标人，投标人应安排专人登录</w:t>
            </w:r>
            <w:r>
              <w:rPr>
                <w:rFonts w:hint="eastAsia" w:ascii="宋体" w:hAnsi="宋体" w:cs="宋体"/>
                <w:color w:val="auto"/>
                <w:spacing w:val="-9"/>
                <w:szCs w:val="21"/>
                <w:highlight w:val="none"/>
                <w:lang w:bidi="zh-CN"/>
              </w:rPr>
              <w:t>网上开评标系统</w:t>
            </w:r>
            <w:r>
              <w:rPr>
                <w:rFonts w:hint="eastAsia" w:ascii="宋体" w:hAnsi="宋体" w:cs="宋体"/>
                <w:color w:val="auto"/>
                <w:spacing w:val="-9"/>
                <w:szCs w:val="21"/>
                <w:highlight w:val="none"/>
                <w:lang w:val="zh-CN" w:bidi="zh-CN"/>
              </w:rPr>
              <w:t>并保持在线状态，并确保联系方式有效，以便及时接收评标委员会可能</w:t>
            </w:r>
            <w:r>
              <w:rPr>
                <w:rFonts w:hint="eastAsia" w:ascii="宋体" w:hAnsi="宋体" w:cs="宋体"/>
                <w:color w:val="auto"/>
                <w:spacing w:val="-5"/>
                <w:szCs w:val="21"/>
                <w:highlight w:val="none"/>
                <w:lang w:val="zh-CN" w:bidi="zh-CN"/>
              </w:rPr>
              <w:t>发出的询标函。</w:t>
            </w:r>
          </w:p>
          <w:p w14:paraId="1B44D92C">
            <w:pPr>
              <w:tabs>
                <w:tab w:val="left" w:pos="636"/>
              </w:tabs>
              <w:adjustRightInd w:val="0"/>
              <w:snapToGrid w:val="0"/>
              <w:spacing w:line="440" w:lineRule="exact"/>
              <w:jc w:val="left"/>
              <w:rPr>
                <w:rFonts w:ascii="宋体" w:hAnsi="宋体" w:cs="宋体"/>
                <w:color w:val="auto"/>
                <w:spacing w:val="-3"/>
                <w:szCs w:val="21"/>
                <w:highlight w:val="none"/>
                <w:lang w:val="zh-CN" w:bidi="zh-CN"/>
              </w:rPr>
            </w:pPr>
            <w:r>
              <w:rPr>
                <w:rFonts w:hint="eastAsia" w:ascii="宋体" w:hAnsi="宋体" w:cs="宋体"/>
                <w:color w:val="auto"/>
                <w:szCs w:val="21"/>
                <w:highlight w:val="none"/>
                <w:lang w:val="zh-CN" w:bidi="zh-CN"/>
              </w:rPr>
              <w:t>2、因投标人未登录</w:t>
            </w:r>
            <w:r>
              <w:rPr>
                <w:rFonts w:hint="eastAsia" w:ascii="宋体" w:hAnsi="宋体" w:cs="宋体"/>
                <w:color w:val="auto"/>
                <w:szCs w:val="21"/>
                <w:highlight w:val="none"/>
                <w:lang w:bidi="zh-CN"/>
              </w:rPr>
              <w:t>网上开评标系统</w:t>
            </w:r>
            <w:r>
              <w:rPr>
                <w:rFonts w:hint="eastAsia" w:ascii="宋体" w:hAnsi="宋体" w:cs="宋体"/>
                <w:color w:val="auto"/>
                <w:szCs w:val="21"/>
                <w:highlight w:val="none"/>
                <w:lang w:val="zh-CN" w:bidi="zh-CN"/>
              </w:rPr>
              <w:t>导致无法及时接收询标函（</w:t>
            </w:r>
            <w:r>
              <w:rPr>
                <w:rFonts w:hint="eastAsia" w:ascii="宋体" w:hAnsi="宋体" w:cs="宋体"/>
                <w:color w:val="auto"/>
                <w:spacing w:val="-3"/>
                <w:szCs w:val="21"/>
                <w:highlight w:val="none"/>
                <w:lang w:val="zh-CN" w:bidi="zh-CN"/>
              </w:rPr>
              <w:t>远程网上询标</w:t>
            </w:r>
            <w:r>
              <w:rPr>
                <w:rFonts w:hint="eastAsia" w:ascii="宋体" w:hAnsi="宋体" w:cs="宋体"/>
                <w:color w:val="auto"/>
                <w:spacing w:val="-56"/>
                <w:szCs w:val="21"/>
                <w:highlight w:val="none"/>
                <w:lang w:val="zh-CN" w:bidi="zh-CN"/>
              </w:rPr>
              <w:t>）</w:t>
            </w:r>
            <w:r>
              <w:rPr>
                <w:rFonts w:hint="eastAsia" w:ascii="宋体" w:hAnsi="宋体" w:cs="宋体"/>
                <w:color w:val="auto"/>
                <w:spacing w:val="-3"/>
                <w:szCs w:val="21"/>
                <w:highlight w:val="none"/>
                <w:lang w:val="zh-CN" w:bidi="zh-CN"/>
              </w:rPr>
              <w:t>或未在规定时间内按评标委员会要求进行澄</w:t>
            </w:r>
            <w:r>
              <w:rPr>
                <w:rFonts w:hint="eastAsia" w:ascii="宋体" w:hAnsi="宋体" w:cs="宋体"/>
                <w:color w:val="auto"/>
                <w:spacing w:val="-8"/>
                <w:szCs w:val="21"/>
                <w:highlight w:val="none"/>
                <w:lang w:val="zh-CN" w:bidi="zh-CN"/>
              </w:rPr>
              <w:t>清、说明或补正内容的视同投标人放弃澄清、说明或补正内容</w:t>
            </w:r>
            <w:r>
              <w:rPr>
                <w:rFonts w:hint="eastAsia" w:ascii="宋体" w:hAnsi="宋体" w:cs="宋体"/>
                <w:color w:val="auto"/>
                <w:spacing w:val="-5"/>
                <w:szCs w:val="21"/>
                <w:highlight w:val="none"/>
                <w:lang w:val="zh-CN" w:bidi="zh-CN"/>
              </w:rPr>
              <w:t>的权利，评标委员会可按对投标人不利的解释进行判定。</w:t>
            </w:r>
          </w:p>
        </w:tc>
      </w:tr>
      <w:tr w14:paraId="3C977936">
        <w:tblPrEx>
          <w:tblCellMar>
            <w:top w:w="0" w:type="dxa"/>
            <w:left w:w="108" w:type="dxa"/>
            <w:bottom w:w="0" w:type="dxa"/>
            <w:right w:w="108" w:type="dxa"/>
          </w:tblCellMar>
        </w:tblPrEx>
        <w:trPr>
          <w:trHeight w:val="90" w:hRule="atLeast"/>
          <w:jc w:val="center"/>
        </w:trPr>
        <w:tc>
          <w:tcPr>
            <w:tcW w:w="1016" w:type="dxa"/>
            <w:tcBorders>
              <w:top w:val="single" w:color="auto" w:sz="4" w:space="0"/>
              <w:left w:val="single" w:color="auto" w:sz="4" w:space="0"/>
              <w:bottom w:val="single" w:color="auto" w:sz="4" w:space="0"/>
              <w:right w:val="single" w:color="auto" w:sz="4" w:space="0"/>
            </w:tcBorders>
            <w:vAlign w:val="center"/>
          </w:tcPr>
          <w:p w14:paraId="772C2AFF">
            <w:pPr>
              <w:adjustRightInd w:val="0"/>
              <w:snapToGri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10.4</w:t>
            </w:r>
          </w:p>
        </w:tc>
        <w:tc>
          <w:tcPr>
            <w:tcW w:w="1984" w:type="dxa"/>
            <w:tcBorders>
              <w:top w:val="single" w:color="auto" w:sz="4" w:space="0"/>
              <w:left w:val="single" w:color="auto" w:sz="4" w:space="0"/>
              <w:bottom w:val="single" w:color="auto" w:sz="4" w:space="0"/>
              <w:right w:val="single" w:color="auto" w:sz="4" w:space="0"/>
            </w:tcBorders>
            <w:vAlign w:val="center"/>
          </w:tcPr>
          <w:p w14:paraId="747A6641">
            <w:pPr>
              <w:adjustRightInd w:val="0"/>
              <w:snapToGri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解释权</w:t>
            </w:r>
          </w:p>
        </w:tc>
        <w:tc>
          <w:tcPr>
            <w:tcW w:w="7175" w:type="dxa"/>
            <w:tcBorders>
              <w:top w:val="single" w:color="auto" w:sz="4" w:space="0"/>
              <w:left w:val="single" w:color="auto" w:sz="4" w:space="0"/>
              <w:bottom w:val="single" w:color="auto" w:sz="4" w:space="0"/>
              <w:right w:val="single" w:color="auto" w:sz="4" w:space="0"/>
            </w:tcBorders>
            <w:vAlign w:val="center"/>
          </w:tcPr>
          <w:p w14:paraId="16B1C1EE">
            <w:pPr>
              <w:adjustRightInd w:val="0"/>
              <w:snapToGrid w:val="0"/>
              <w:spacing w:line="440" w:lineRule="exact"/>
              <w:rPr>
                <w:rFonts w:ascii="宋体" w:hAnsi="宋体" w:cs="宋体"/>
                <w:color w:val="auto"/>
                <w:spacing w:val="-3"/>
                <w:szCs w:val="21"/>
                <w:highlight w:val="none"/>
                <w:lang w:val="zh-CN" w:bidi="zh-CN"/>
              </w:rPr>
            </w:pPr>
            <w:r>
              <w:rPr>
                <w:rFonts w:hint="eastAsia" w:ascii="宋体" w:hAnsi="宋体" w:cs="宋体"/>
                <w:color w:val="auto"/>
                <w:spacing w:val="-3"/>
                <w:szCs w:val="21"/>
                <w:highlight w:val="none"/>
                <w:lang w:val="zh-CN" w:bidi="zh-CN"/>
              </w:rPr>
              <w:t>1、构成本招标文件的各个组成文件应互为解释，互为说明；</w:t>
            </w:r>
          </w:p>
          <w:p w14:paraId="3C6973BE">
            <w:pPr>
              <w:adjustRightInd w:val="0"/>
              <w:snapToGrid w:val="0"/>
              <w:spacing w:line="440" w:lineRule="exact"/>
              <w:rPr>
                <w:rFonts w:ascii="宋体" w:hAnsi="宋体" w:cs="宋体"/>
                <w:color w:val="auto"/>
                <w:szCs w:val="21"/>
                <w:highlight w:val="none"/>
                <w:lang w:val="zh-CN" w:bidi="zh-CN"/>
              </w:rPr>
            </w:pPr>
            <w:r>
              <w:rPr>
                <w:rFonts w:hint="eastAsia" w:ascii="宋体" w:hAnsi="宋体" w:cs="宋体"/>
                <w:color w:val="auto"/>
                <w:spacing w:val="-3"/>
                <w:szCs w:val="21"/>
                <w:highlight w:val="none"/>
                <w:lang w:val="zh-CN" w:bidi="zh-CN"/>
              </w:rPr>
              <w:t>2、</w:t>
            </w:r>
            <w:r>
              <w:rPr>
                <w:rFonts w:hint="eastAsia" w:ascii="宋体" w:hAnsi="宋体" w:cs="宋体"/>
                <w:color w:val="auto"/>
                <w:spacing w:val="-7"/>
                <w:szCs w:val="21"/>
                <w:highlight w:val="none"/>
                <w:lang w:val="zh-CN" w:bidi="zh-CN"/>
              </w:rPr>
              <w:t>同一组成文件中就同一事项的规定或约定不一致的，以编排</w:t>
            </w:r>
            <w:r>
              <w:rPr>
                <w:rFonts w:hint="eastAsia" w:ascii="宋体" w:hAnsi="宋体" w:cs="宋体"/>
                <w:color w:val="auto"/>
                <w:spacing w:val="-5"/>
                <w:szCs w:val="21"/>
                <w:highlight w:val="none"/>
                <w:lang w:val="zh-CN" w:bidi="zh-CN"/>
              </w:rPr>
              <w:t>顺序在后者为准；</w:t>
            </w:r>
          </w:p>
          <w:p w14:paraId="348A2747">
            <w:pPr>
              <w:tabs>
                <w:tab w:val="left" w:pos="351"/>
              </w:tabs>
              <w:adjustRightInd w:val="0"/>
              <w:snapToGrid w:val="0"/>
              <w:spacing w:line="440" w:lineRule="exact"/>
              <w:rPr>
                <w:rFonts w:ascii="宋体" w:hAnsi="宋体" w:cs="宋体"/>
                <w:color w:val="auto"/>
                <w:szCs w:val="21"/>
                <w:highlight w:val="none"/>
                <w:lang w:val="zh-CN" w:bidi="zh-CN"/>
              </w:rPr>
            </w:pPr>
            <w:r>
              <w:rPr>
                <w:rFonts w:hint="eastAsia" w:ascii="宋体" w:hAnsi="宋体" w:cs="宋体"/>
                <w:color w:val="auto"/>
                <w:spacing w:val="-10"/>
                <w:szCs w:val="21"/>
                <w:highlight w:val="none"/>
                <w:lang w:val="zh-CN" w:bidi="zh-CN"/>
              </w:rPr>
              <w:t>3、如有不明确或不一致，构成合同文件组成内容的，以合同文件约定内容为准，且以专用合同条款约定的合同文件优先顺序解释；</w:t>
            </w:r>
          </w:p>
          <w:p w14:paraId="33118DCF">
            <w:pPr>
              <w:tabs>
                <w:tab w:val="left" w:pos="354"/>
              </w:tabs>
              <w:adjustRightInd w:val="0"/>
              <w:snapToGrid w:val="0"/>
              <w:spacing w:line="440" w:lineRule="exact"/>
              <w:rPr>
                <w:rFonts w:ascii="宋体" w:hAnsi="宋体" w:cs="宋体"/>
                <w:color w:val="auto"/>
                <w:spacing w:val="-2"/>
                <w:szCs w:val="21"/>
                <w:highlight w:val="none"/>
                <w:lang w:val="zh-CN" w:bidi="zh-CN"/>
              </w:rPr>
            </w:pPr>
            <w:r>
              <w:rPr>
                <w:rFonts w:hint="eastAsia" w:ascii="宋体" w:hAnsi="宋体" w:cs="宋体"/>
                <w:color w:val="auto"/>
                <w:spacing w:val="-2"/>
                <w:szCs w:val="21"/>
                <w:highlight w:val="none"/>
                <w:lang w:val="zh-CN" w:bidi="zh-CN"/>
              </w:rPr>
              <w:t>4、</w:t>
            </w:r>
            <w:r>
              <w:rPr>
                <w:rFonts w:hint="eastAsia" w:ascii="宋体" w:hAnsi="宋体" w:cs="宋体"/>
                <w:color w:val="auto"/>
                <w:szCs w:val="21"/>
                <w:highlight w:val="none"/>
                <w:lang w:val="zh-CN" w:bidi="zh-CN"/>
              </w:rPr>
              <w:t>系统中提供的表格（或格式文件）与招标文件中不一致时，以招标文件中提供的为准；</w:t>
            </w:r>
          </w:p>
          <w:p w14:paraId="437A0ED2">
            <w:pPr>
              <w:tabs>
                <w:tab w:val="left" w:pos="636"/>
              </w:tabs>
              <w:adjustRightInd w:val="0"/>
              <w:snapToGrid w:val="0"/>
              <w:spacing w:line="440" w:lineRule="exact"/>
              <w:jc w:val="left"/>
              <w:rPr>
                <w:rFonts w:ascii="宋体" w:hAnsi="宋体" w:cs="宋体"/>
                <w:color w:val="auto"/>
                <w:szCs w:val="21"/>
                <w:highlight w:val="none"/>
                <w:lang w:val="zh-CN" w:bidi="zh-CN"/>
              </w:rPr>
            </w:pPr>
            <w:r>
              <w:rPr>
                <w:rFonts w:hint="eastAsia" w:ascii="宋体" w:hAnsi="宋体" w:cs="宋体"/>
                <w:color w:val="auto"/>
                <w:spacing w:val="-3"/>
                <w:szCs w:val="21"/>
                <w:highlight w:val="none"/>
                <w:lang w:val="zh-CN" w:bidi="zh-CN"/>
              </w:rPr>
              <w:t>5、按本款前述规定仍不能形成结论的，由招标人负责解释。</w:t>
            </w:r>
          </w:p>
        </w:tc>
      </w:tr>
      <w:tr w14:paraId="16B568C6">
        <w:tblPrEx>
          <w:tblCellMar>
            <w:top w:w="0" w:type="dxa"/>
            <w:left w:w="108" w:type="dxa"/>
            <w:bottom w:w="0" w:type="dxa"/>
            <w:right w:w="108" w:type="dxa"/>
          </w:tblCellMar>
        </w:tblPrEx>
        <w:trPr>
          <w:trHeight w:val="90" w:hRule="atLeast"/>
          <w:jc w:val="center"/>
        </w:trPr>
        <w:tc>
          <w:tcPr>
            <w:tcW w:w="1016" w:type="dxa"/>
            <w:tcBorders>
              <w:top w:val="single" w:color="auto" w:sz="4" w:space="0"/>
              <w:left w:val="single" w:color="auto" w:sz="4" w:space="0"/>
              <w:bottom w:val="single" w:color="auto" w:sz="4" w:space="0"/>
              <w:right w:val="single" w:color="auto" w:sz="4" w:space="0"/>
            </w:tcBorders>
            <w:vAlign w:val="center"/>
          </w:tcPr>
          <w:p w14:paraId="1A11EE2D">
            <w:pPr>
              <w:adjustRightInd w:val="0"/>
              <w:snapToGri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10.5</w:t>
            </w:r>
          </w:p>
        </w:tc>
        <w:tc>
          <w:tcPr>
            <w:tcW w:w="1984" w:type="dxa"/>
            <w:tcBorders>
              <w:top w:val="single" w:color="auto" w:sz="4" w:space="0"/>
              <w:left w:val="single" w:color="auto" w:sz="4" w:space="0"/>
              <w:bottom w:val="single" w:color="auto" w:sz="4" w:space="0"/>
              <w:right w:val="single" w:color="auto" w:sz="4" w:space="0"/>
            </w:tcBorders>
            <w:vAlign w:val="center"/>
          </w:tcPr>
          <w:p w14:paraId="3CEAFADB">
            <w:pPr>
              <w:adjustRightInd w:val="0"/>
              <w:snapToGri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付款方式</w:t>
            </w:r>
          </w:p>
        </w:tc>
        <w:tc>
          <w:tcPr>
            <w:tcW w:w="7175" w:type="dxa"/>
            <w:tcBorders>
              <w:top w:val="single" w:color="auto" w:sz="4" w:space="0"/>
              <w:left w:val="single" w:color="auto" w:sz="4" w:space="0"/>
              <w:bottom w:val="single" w:color="auto" w:sz="4" w:space="0"/>
              <w:right w:val="single" w:color="auto" w:sz="4" w:space="0"/>
            </w:tcBorders>
            <w:vAlign w:val="center"/>
          </w:tcPr>
          <w:p w14:paraId="1DA67A7A">
            <w:pPr>
              <w:adjustRightInd w:val="0"/>
              <w:snapToGrid w:val="0"/>
              <w:spacing w:line="440" w:lineRule="exact"/>
              <w:rPr>
                <w:rFonts w:ascii="宋体" w:hAnsi="宋体" w:cs="宋体"/>
                <w:color w:val="auto"/>
                <w:spacing w:val="-3"/>
                <w:szCs w:val="21"/>
                <w:highlight w:val="none"/>
                <w:lang w:bidi="zh-CN"/>
              </w:rPr>
            </w:pPr>
            <w:r>
              <w:rPr>
                <w:rFonts w:hint="eastAsia" w:ascii="宋体" w:hAnsi="宋体" w:cs="宋体"/>
                <w:color w:val="auto"/>
                <w:spacing w:val="-3"/>
                <w:szCs w:val="21"/>
                <w:highlight w:val="none"/>
                <w:lang w:val="zh-CN" w:bidi="zh-CN"/>
              </w:rPr>
              <w:t>无预付款，尾矿库闭库工程竣工验收合格后一次性付清合同价款。</w:t>
            </w:r>
          </w:p>
        </w:tc>
      </w:tr>
      <w:tr w14:paraId="2E54C316">
        <w:tblPrEx>
          <w:tblCellMar>
            <w:top w:w="0" w:type="dxa"/>
            <w:left w:w="108" w:type="dxa"/>
            <w:bottom w:w="0" w:type="dxa"/>
            <w:right w:w="108" w:type="dxa"/>
          </w:tblCellMar>
        </w:tblPrEx>
        <w:trPr>
          <w:trHeight w:val="90" w:hRule="atLeast"/>
          <w:jc w:val="center"/>
        </w:trPr>
        <w:tc>
          <w:tcPr>
            <w:tcW w:w="1016" w:type="dxa"/>
            <w:tcBorders>
              <w:top w:val="single" w:color="auto" w:sz="4" w:space="0"/>
              <w:left w:val="single" w:color="auto" w:sz="4" w:space="0"/>
              <w:bottom w:val="single" w:color="auto" w:sz="4" w:space="0"/>
              <w:right w:val="single" w:color="auto" w:sz="4" w:space="0"/>
            </w:tcBorders>
            <w:vAlign w:val="center"/>
          </w:tcPr>
          <w:p w14:paraId="48812E39">
            <w:pPr>
              <w:adjustRightInd w:val="0"/>
              <w:snapToGri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 xml:space="preserve">10.6 </w:t>
            </w:r>
          </w:p>
        </w:tc>
        <w:tc>
          <w:tcPr>
            <w:tcW w:w="1984" w:type="dxa"/>
            <w:tcBorders>
              <w:top w:val="single" w:color="auto" w:sz="4" w:space="0"/>
              <w:left w:val="single" w:color="auto" w:sz="4" w:space="0"/>
              <w:bottom w:val="single" w:color="auto" w:sz="4" w:space="0"/>
              <w:right w:val="single" w:color="auto" w:sz="4" w:space="0"/>
            </w:tcBorders>
            <w:vAlign w:val="center"/>
          </w:tcPr>
          <w:p w14:paraId="1ED726B0">
            <w:pPr>
              <w:adjustRightInd w:val="0"/>
              <w:snapToGri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 xml:space="preserve">变更方式  </w:t>
            </w:r>
          </w:p>
        </w:tc>
        <w:tc>
          <w:tcPr>
            <w:tcW w:w="7175" w:type="dxa"/>
            <w:tcBorders>
              <w:top w:val="single" w:color="auto" w:sz="4" w:space="0"/>
              <w:left w:val="single" w:color="auto" w:sz="4" w:space="0"/>
              <w:bottom w:val="single" w:color="auto" w:sz="4" w:space="0"/>
              <w:right w:val="single" w:color="auto" w:sz="4" w:space="0"/>
            </w:tcBorders>
            <w:vAlign w:val="center"/>
          </w:tcPr>
          <w:p w14:paraId="3EF3E995">
            <w:pPr>
              <w:adjustRightInd w:val="0"/>
              <w:snapToGrid w:val="0"/>
              <w:spacing w:line="440" w:lineRule="exact"/>
              <w:rPr>
                <w:rFonts w:ascii="宋体" w:hAnsi="宋体" w:cs="宋体"/>
                <w:b/>
                <w:bCs/>
                <w:color w:val="auto"/>
                <w:szCs w:val="21"/>
                <w:highlight w:val="none"/>
              </w:rPr>
            </w:pPr>
            <w:r>
              <w:rPr>
                <w:rFonts w:hint="eastAsia" w:ascii="宋体" w:hAnsi="宋体" w:cs="宋体"/>
                <w:bCs/>
                <w:snapToGrid w:val="0"/>
                <w:color w:val="auto"/>
                <w:kern w:val="0"/>
                <w:szCs w:val="21"/>
                <w:highlight w:val="none"/>
                <w:lang w:bidi="zh-CN"/>
              </w:rPr>
              <w:t>/</w:t>
            </w:r>
          </w:p>
        </w:tc>
      </w:tr>
      <w:tr w14:paraId="3243F8F1">
        <w:tblPrEx>
          <w:tblCellMar>
            <w:top w:w="0" w:type="dxa"/>
            <w:left w:w="108" w:type="dxa"/>
            <w:bottom w:w="0" w:type="dxa"/>
            <w:right w:w="108" w:type="dxa"/>
          </w:tblCellMar>
        </w:tblPrEx>
        <w:trPr>
          <w:trHeight w:val="90" w:hRule="atLeast"/>
          <w:jc w:val="center"/>
        </w:trPr>
        <w:tc>
          <w:tcPr>
            <w:tcW w:w="1016" w:type="dxa"/>
            <w:tcBorders>
              <w:top w:val="single" w:color="auto" w:sz="4" w:space="0"/>
              <w:left w:val="single" w:color="auto" w:sz="4" w:space="0"/>
              <w:bottom w:val="single" w:color="auto" w:sz="4" w:space="0"/>
              <w:right w:val="single" w:color="auto" w:sz="4" w:space="0"/>
            </w:tcBorders>
            <w:vAlign w:val="center"/>
          </w:tcPr>
          <w:p w14:paraId="04CCE130">
            <w:pPr>
              <w:adjustRightInd w:val="0"/>
              <w:snapToGrid w:val="0"/>
              <w:spacing w:line="440" w:lineRule="exact"/>
              <w:jc w:val="center"/>
              <w:rPr>
                <w:rFonts w:ascii="宋体" w:hAnsi="宋体" w:cs="宋体"/>
                <w:color w:val="auto"/>
                <w:szCs w:val="21"/>
                <w:highlight w:val="none"/>
              </w:rPr>
            </w:pPr>
            <w:bookmarkStart w:id="53" w:name="_Toc95223335"/>
            <w:bookmarkStart w:id="54" w:name="_Toc38879323"/>
            <w:bookmarkStart w:id="55" w:name="_Toc25869"/>
            <w:bookmarkStart w:id="56" w:name="_Toc283798422"/>
            <w:r>
              <w:rPr>
                <w:rFonts w:hint="eastAsia" w:ascii="宋体" w:hAnsi="宋体" w:cs="宋体"/>
                <w:color w:val="auto"/>
                <w:szCs w:val="21"/>
                <w:highlight w:val="none"/>
              </w:rPr>
              <w:t>10.7</w:t>
            </w:r>
          </w:p>
        </w:tc>
        <w:tc>
          <w:tcPr>
            <w:tcW w:w="1984" w:type="dxa"/>
            <w:tcBorders>
              <w:top w:val="single" w:color="auto" w:sz="4" w:space="0"/>
              <w:left w:val="single" w:color="auto" w:sz="4" w:space="0"/>
              <w:bottom w:val="single" w:color="auto" w:sz="4" w:space="0"/>
              <w:right w:val="single" w:color="auto" w:sz="4" w:space="0"/>
            </w:tcBorders>
            <w:vAlign w:val="center"/>
          </w:tcPr>
          <w:p w14:paraId="42E798C6">
            <w:pPr>
              <w:adjustRightInd w:val="0"/>
              <w:snapToGri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其他要求</w:t>
            </w:r>
          </w:p>
        </w:tc>
        <w:tc>
          <w:tcPr>
            <w:tcW w:w="7175" w:type="dxa"/>
            <w:tcBorders>
              <w:top w:val="single" w:color="auto" w:sz="4" w:space="0"/>
              <w:left w:val="single" w:color="auto" w:sz="4" w:space="0"/>
              <w:bottom w:val="single" w:color="auto" w:sz="4" w:space="0"/>
              <w:right w:val="single" w:color="auto" w:sz="4" w:space="0"/>
            </w:tcBorders>
            <w:vAlign w:val="center"/>
          </w:tcPr>
          <w:p w14:paraId="49DCAF75">
            <w:pPr>
              <w:adjustRightInd w:val="0"/>
              <w:snapToGrid w:val="0"/>
              <w:spacing w:line="440" w:lineRule="exact"/>
              <w:rPr>
                <w:rFonts w:ascii="宋体" w:hAnsi="宋体" w:cs="宋体"/>
                <w:bCs/>
                <w:snapToGrid w:val="0"/>
                <w:color w:val="auto"/>
                <w:kern w:val="0"/>
                <w:szCs w:val="21"/>
                <w:highlight w:val="none"/>
                <w:lang w:bidi="zh-CN"/>
              </w:rPr>
            </w:pPr>
            <w:r>
              <w:rPr>
                <w:rFonts w:hint="eastAsia" w:ascii="宋体" w:hAnsi="宋体" w:cs="宋体"/>
                <w:color w:val="auto"/>
                <w:szCs w:val="21"/>
                <w:highlight w:val="none"/>
              </w:rPr>
              <w:t>招标人企业职工投资（含职工直系亲属、利害关系人代投代持）的企业不得参与该项目投标。</w:t>
            </w:r>
          </w:p>
        </w:tc>
      </w:tr>
      <w:tr w14:paraId="5F04D020">
        <w:tblPrEx>
          <w:tblCellMar>
            <w:top w:w="0" w:type="dxa"/>
            <w:left w:w="108" w:type="dxa"/>
            <w:bottom w:w="0" w:type="dxa"/>
            <w:right w:w="108" w:type="dxa"/>
          </w:tblCellMar>
        </w:tblPrEx>
        <w:trPr>
          <w:trHeight w:val="90" w:hRule="atLeast"/>
          <w:jc w:val="center"/>
        </w:trPr>
        <w:tc>
          <w:tcPr>
            <w:tcW w:w="10175" w:type="dxa"/>
            <w:gridSpan w:val="3"/>
            <w:tcBorders>
              <w:top w:val="single" w:color="auto" w:sz="4" w:space="0"/>
              <w:left w:val="single" w:color="auto" w:sz="4" w:space="0"/>
              <w:bottom w:val="single" w:color="auto" w:sz="4" w:space="0"/>
              <w:right w:val="single" w:color="auto" w:sz="4" w:space="0"/>
            </w:tcBorders>
            <w:vAlign w:val="center"/>
          </w:tcPr>
          <w:p w14:paraId="74B1FC6E">
            <w:pPr>
              <w:adjustRightInd w:val="0"/>
              <w:snapToGrid w:val="0"/>
              <w:spacing w:line="440" w:lineRule="exact"/>
              <w:rPr>
                <w:rFonts w:ascii="宋体" w:hAnsi="宋体" w:cs="宋体"/>
                <w:b/>
                <w:bCs/>
                <w:color w:val="auto"/>
                <w:szCs w:val="21"/>
                <w:highlight w:val="none"/>
              </w:rPr>
            </w:pPr>
            <w:r>
              <w:rPr>
                <w:rFonts w:hint="eastAsia" w:ascii="宋体" w:hAnsi="宋体" w:cs="宋体"/>
                <w:b/>
                <w:bCs/>
                <w:color w:val="auto"/>
                <w:szCs w:val="21"/>
                <w:highlight w:val="none"/>
              </w:rPr>
              <w:t>投标文件制作软件下载：</w:t>
            </w:r>
          </w:p>
          <w:p w14:paraId="6B2E01B8">
            <w:pPr>
              <w:adjustRightInd w:val="0"/>
              <w:snapToGrid w:val="0"/>
              <w:spacing w:line="440" w:lineRule="exact"/>
              <w:rPr>
                <w:rFonts w:ascii="宋体" w:hAnsi="宋体" w:cs="宋体"/>
                <w:bCs/>
                <w:snapToGrid w:val="0"/>
                <w:color w:val="auto"/>
                <w:kern w:val="0"/>
                <w:szCs w:val="21"/>
                <w:highlight w:val="none"/>
                <w:lang w:bidi="zh-CN"/>
              </w:rPr>
            </w:pPr>
            <w:r>
              <w:rPr>
                <w:rFonts w:hint="eastAsia" w:ascii="宋体" w:hAnsi="宋体" w:cs="宋体"/>
                <w:b/>
                <w:bCs/>
                <w:color w:val="auto"/>
                <w:szCs w:val="21"/>
                <w:highlight w:val="none"/>
              </w:rPr>
              <w:t>https://download.bqpoint.com/download/downloaddetail.html?SourceFrom=Ztb&amp;ZtbSoftXiaQuCode=0128&amp;ZtbSoftType=tballinclusive</w:t>
            </w:r>
          </w:p>
        </w:tc>
      </w:tr>
      <w:tr w14:paraId="69B88CBE">
        <w:tblPrEx>
          <w:tblCellMar>
            <w:top w:w="0" w:type="dxa"/>
            <w:left w:w="108" w:type="dxa"/>
            <w:bottom w:w="0" w:type="dxa"/>
            <w:right w:w="108" w:type="dxa"/>
          </w:tblCellMar>
        </w:tblPrEx>
        <w:trPr>
          <w:trHeight w:val="90" w:hRule="atLeast"/>
          <w:jc w:val="center"/>
        </w:trPr>
        <w:tc>
          <w:tcPr>
            <w:tcW w:w="10175" w:type="dxa"/>
            <w:gridSpan w:val="3"/>
            <w:tcBorders>
              <w:top w:val="single" w:color="auto" w:sz="4" w:space="0"/>
              <w:left w:val="single" w:color="auto" w:sz="4" w:space="0"/>
              <w:bottom w:val="single" w:color="auto" w:sz="4" w:space="0"/>
              <w:right w:val="single" w:color="auto" w:sz="4" w:space="0"/>
            </w:tcBorders>
            <w:vAlign w:val="center"/>
          </w:tcPr>
          <w:p w14:paraId="56B14533">
            <w:pPr>
              <w:adjustRightInd w:val="0"/>
              <w:snapToGrid w:val="0"/>
              <w:spacing w:line="440" w:lineRule="exact"/>
              <w:rPr>
                <w:rFonts w:ascii="宋体" w:hAnsi="宋体" w:cs="宋体"/>
                <w:b/>
                <w:bCs/>
                <w:color w:val="auto"/>
                <w:szCs w:val="21"/>
                <w:highlight w:val="none"/>
              </w:rPr>
            </w:pPr>
            <w:bookmarkStart w:id="57" w:name="_Toc83301688"/>
            <w:bookmarkStart w:id="58" w:name="_Toc95223336"/>
            <w:bookmarkStart w:id="59" w:name="_Toc60061433"/>
            <w:bookmarkStart w:id="60" w:name="_Toc14408"/>
            <w:bookmarkStart w:id="61" w:name="_Toc7597"/>
            <w:r>
              <w:rPr>
                <w:rFonts w:hint="eastAsia" w:ascii="宋体" w:hAnsi="宋体" w:cs="宋体"/>
                <w:b/>
                <w:bCs/>
                <w:color w:val="auto"/>
                <w:szCs w:val="21"/>
                <w:highlight w:val="none"/>
              </w:rPr>
              <w:t>注：本项目清单控制价编制单位、跟审单位、代理单位、设计单位、施工单位不得参加本项目投标，以先中者为准，如投标按无效标处理</w:t>
            </w:r>
          </w:p>
        </w:tc>
      </w:tr>
      <w:bookmarkEnd w:id="53"/>
      <w:bookmarkEnd w:id="54"/>
      <w:bookmarkEnd w:id="55"/>
      <w:bookmarkEnd w:id="56"/>
    </w:tbl>
    <w:p w14:paraId="67FC3F58">
      <w:pPr>
        <w:keepNext/>
        <w:keepLines/>
        <w:pageBreakBefore/>
        <w:adjustRightInd w:val="0"/>
        <w:snapToGrid w:val="0"/>
        <w:spacing w:line="440" w:lineRule="exact"/>
        <w:ind w:firstLine="422" w:firstLineChars="200"/>
        <w:outlineLvl w:val="1"/>
        <w:rPr>
          <w:rFonts w:ascii="黑体" w:hAnsi="黑体" w:eastAsia="黑体" w:cs="黑体"/>
          <w:b/>
          <w:bCs/>
          <w:color w:val="auto"/>
          <w:szCs w:val="21"/>
          <w:highlight w:val="none"/>
        </w:rPr>
      </w:pPr>
      <w:r>
        <w:rPr>
          <w:rFonts w:hint="eastAsia" w:ascii="黑体" w:hAnsi="黑体" w:eastAsia="黑体" w:cs="黑体"/>
          <w:b/>
          <w:bCs/>
          <w:color w:val="auto"/>
          <w:szCs w:val="21"/>
          <w:highlight w:val="none"/>
        </w:rPr>
        <w:t>1. 总则</w:t>
      </w:r>
      <w:bookmarkEnd w:id="43"/>
      <w:bookmarkEnd w:id="44"/>
      <w:bookmarkEnd w:id="45"/>
      <w:bookmarkEnd w:id="46"/>
      <w:bookmarkEnd w:id="47"/>
      <w:bookmarkEnd w:id="48"/>
      <w:bookmarkEnd w:id="49"/>
      <w:bookmarkEnd w:id="50"/>
      <w:bookmarkEnd w:id="51"/>
      <w:bookmarkEnd w:id="52"/>
      <w:bookmarkEnd w:id="57"/>
      <w:bookmarkEnd w:id="58"/>
      <w:bookmarkEnd w:id="59"/>
      <w:bookmarkEnd w:id="60"/>
      <w:bookmarkEnd w:id="61"/>
    </w:p>
    <w:p w14:paraId="53170981">
      <w:pPr>
        <w:keepNext/>
        <w:keepLines/>
        <w:adjustRightInd w:val="0"/>
        <w:snapToGrid w:val="0"/>
        <w:spacing w:line="440" w:lineRule="exact"/>
        <w:ind w:firstLine="422" w:firstLineChars="200"/>
        <w:outlineLvl w:val="2"/>
        <w:rPr>
          <w:rFonts w:ascii="黑体" w:hAnsi="黑体" w:eastAsia="黑体" w:cs="黑体"/>
          <w:b/>
          <w:bCs/>
          <w:color w:val="auto"/>
          <w:kern w:val="0"/>
          <w:szCs w:val="21"/>
          <w:highlight w:val="none"/>
        </w:rPr>
      </w:pPr>
      <w:bookmarkStart w:id="62" w:name="_Toc296602421"/>
      <w:bookmarkStart w:id="63" w:name="_Toc60061434"/>
      <w:bookmarkStart w:id="64" w:name="_Toc95223337"/>
      <w:bookmarkStart w:id="65" w:name="_Toc15058847"/>
      <w:bookmarkStart w:id="66" w:name="_Toc246996176"/>
      <w:bookmarkStart w:id="67" w:name="_Toc247085690"/>
      <w:bookmarkStart w:id="68" w:name="_Toc152045530"/>
      <w:bookmarkStart w:id="69" w:name="_Toc144974498"/>
      <w:bookmarkStart w:id="70" w:name="_Toc179632547"/>
      <w:bookmarkStart w:id="71" w:name="_Toc246996919"/>
      <w:bookmarkStart w:id="72" w:name="_Toc83301689"/>
      <w:bookmarkStart w:id="73" w:name="_Toc324404816"/>
      <w:bookmarkStart w:id="74" w:name="_Toc152042306"/>
      <w:bookmarkStart w:id="75" w:name="_Toc506107270"/>
      <w:bookmarkStart w:id="76" w:name="_Toc13306"/>
      <w:bookmarkStart w:id="77" w:name="_Toc17660"/>
      <w:r>
        <w:rPr>
          <w:rFonts w:hint="eastAsia" w:ascii="黑体" w:hAnsi="黑体" w:eastAsia="黑体" w:cs="黑体"/>
          <w:b/>
          <w:bCs/>
          <w:color w:val="auto"/>
          <w:kern w:val="0"/>
          <w:szCs w:val="21"/>
          <w:highlight w:val="none"/>
        </w:rPr>
        <w:t>1.1 项目概况</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p w14:paraId="35D48157">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1.1.1根据《中华人民共和国招标投标法》《中华人民共和国招标投标法实施条例》等有关</w:t>
      </w:r>
      <w:r>
        <w:rPr>
          <w:rFonts w:hint="eastAsia" w:ascii="宋体" w:hAnsi="宋体" w:cs="宋体"/>
          <w:color w:val="auto"/>
          <w:szCs w:val="21"/>
          <w:highlight w:val="none"/>
          <w:lang w:eastAsia="zh-CN"/>
        </w:rPr>
        <w:t>法律法规</w:t>
      </w:r>
      <w:r>
        <w:rPr>
          <w:rFonts w:hint="eastAsia" w:ascii="宋体" w:hAnsi="宋体" w:cs="宋体"/>
          <w:color w:val="auto"/>
          <w:szCs w:val="21"/>
          <w:highlight w:val="none"/>
        </w:rPr>
        <w:t>和规章的规定，本招标项目已具备招标条件，现对本项目进行招标。</w:t>
      </w:r>
    </w:p>
    <w:p w14:paraId="3472BA87">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1.1.2 本招标项目招标人：见投标人须知前附表。</w:t>
      </w:r>
    </w:p>
    <w:p w14:paraId="306A914E">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1.1.3 本招标项目招标代理机构：见投标人须知前附表。</w:t>
      </w:r>
    </w:p>
    <w:p w14:paraId="03552306">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1.1.4 本招标项目名称：见投标人须知前附表。</w:t>
      </w:r>
    </w:p>
    <w:p w14:paraId="742D4DCE">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1.1.5 本招标项目建设地点：见投标人须知前附表。</w:t>
      </w:r>
    </w:p>
    <w:p w14:paraId="090ED3A0">
      <w:pPr>
        <w:keepNext/>
        <w:keepLines/>
        <w:adjustRightInd w:val="0"/>
        <w:snapToGrid w:val="0"/>
        <w:spacing w:line="440" w:lineRule="exact"/>
        <w:ind w:firstLine="422" w:firstLineChars="200"/>
        <w:outlineLvl w:val="2"/>
        <w:rPr>
          <w:rFonts w:ascii="黑体" w:hAnsi="黑体" w:eastAsia="黑体" w:cs="黑体"/>
          <w:b/>
          <w:bCs/>
          <w:color w:val="auto"/>
          <w:kern w:val="0"/>
          <w:szCs w:val="21"/>
          <w:highlight w:val="none"/>
        </w:rPr>
      </w:pPr>
      <w:bookmarkStart w:id="78" w:name="_Toc144974499"/>
      <w:bookmarkStart w:id="79" w:name="_Toc83301690"/>
      <w:bookmarkStart w:id="80" w:name="_Toc179632548"/>
      <w:bookmarkStart w:id="81" w:name="_Toc324404817"/>
      <w:bookmarkStart w:id="82" w:name="_Toc296602422"/>
      <w:bookmarkStart w:id="83" w:name="_Toc60061435"/>
      <w:bookmarkStart w:id="84" w:name="_Toc506107271"/>
      <w:bookmarkStart w:id="85" w:name="_Toc246996920"/>
      <w:bookmarkStart w:id="86" w:name="_Toc15058848"/>
      <w:bookmarkStart w:id="87" w:name="_Toc246996177"/>
      <w:bookmarkStart w:id="88" w:name="_Toc152042307"/>
      <w:bookmarkStart w:id="89" w:name="_Toc28101"/>
      <w:bookmarkStart w:id="90" w:name="_Toc247085691"/>
      <w:bookmarkStart w:id="91" w:name="_Toc152045531"/>
      <w:bookmarkStart w:id="92" w:name="_Toc95223338"/>
      <w:bookmarkStart w:id="93" w:name="_Toc24179"/>
      <w:r>
        <w:rPr>
          <w:rFonts w:hint="eastAsia" w:ascii="黑体" w:hAnsi="黑体" w:eastAsia="黑体" w:cs="黑体"/>
          <w:b/>
          <w:bCs/>
          <w:color w:val="auto"/>
          <w:kern w:val="0"/>
          <w:szCs w:val="21"/>
          <w:highlight w:val="none"/>
        </w:rPr>
        <w:t>1.2 资金来源和落实情况</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14:paraId="18D94804">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1.2.1 本招标项目的资金来源：见投标人须知前附表。</w:t>
      </w:r>
    </w:p>
    <w:p w14:paraId="62AC7F58">
      <w:pPr>
        <w:keepNext/>
        <w:keepLines/>
        <w:adjustRightInd w:val="0"/>
        <w:snapToGrid w:val="0"/>
        <w:spacing w:line="440" w:lineRule="exact"/>
        <w:ind w:firstLine="422" w:firstLineChars="200"/>
        <w:outlineLvl w:val="2"/>
        <w:rPr>
          <w:rFonts w:ascii="黑体" w:hAnsi="黑体" w:eastAsia="黑体" w:cs="黑体"/>
          <w:b/>
          <w:bCs/>
          <w:color w:val="auto"/>
          <w:kern w:val="0"/>
          <w:szCs w:val="21"/>
          <w:highlight w:val="none"/>
        </w:rPr>
      </w:pPr>
      <w:bookmarkStart w:id="94" w:name="_Toc60061436"/>
      <w:bookmarkStart w:id="95" w:name="_Toc83301691"/>
      <w:bookmarkStart w:id="96" w:name="_Toc247085692"/>
      <w:bookmarkStart w:id="97" w:name="_Toc179632549"/>
      <w:bookmarkStart w:id="98" w:name="_Toc324404818"/>
      <w:bookmarkStart w:id="99" w:name="_Toc296602423"/>
      <w:bookmarkStart w:id="100" w:name="_Toc95223339"/>
      <w:bookmarkStart w:id="101" w:name="_Toc5164"/>
      <w:bookmarkStart w:id="102" w:name="_Toc246996178"/>
      <w:bookmarkStart w:id="103" w:name="_Toc152045532"/>
      <w:bookmarkStart w:id="104" w:name="_Toc15058849"/>
      <w:bookmarkStart w:id="105" w:name="_Toc246996921"/>
      <w:bookmarkStart w:id="106" w:name="_Toc152042308"/>
      <w:bookmarkStart w:id="107" w:name="_Toc144974500"/>
      <w:bookmarkStart w:id="108" w:name="_Toc506107272"/>
      <w:bookmarkStart w:id="109" w:name="_Toc30615"/>
      <w:r>
        <w:rPr>
          <w:rFonts w:hint="eastAsia" w:ascii="黑体" w:hAnsi="黑体" w:eastAsia="黑体" w:cs="黑体"/>
          <w:b/>
          <w:bCs/>
          <w:color w:val="auto"/>
          <w:kern w:val="0"/>
          <w:szCs w:val="21"/>
          <w:highlight w:val="none"/>
        </w:rPr>
        <w:t>1.3 招标范围、服务期限、质量要求</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14:paraId="0E9E2E29">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1.3.1 本次招标范围：见投标人须知前附表。</w:t>
      </w:r>
    </w:p>
    <w:p w14:paraId="655D908B">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1.3.2 本招标项目的服务期限：见投标人须知前附表。</w:t>
      </w:r>
    </w:p>
    <w:p w14:paraId="517F006F">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1.3.3 本招标项目的采购内容：见投标人须知前附表</w:t>
      </w:r>
    </w:p>
    <w:p w14:paraId="1040774C">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1.3.4 本招标项目的质量要求：见投标人须知前附表。</w:t>
      </w:r>
    </w:p>
    <w:p w14:paraId="142D5157">
      <w:pPr>
        <w:keepNext/>
        <w:keepLines/>
        <w:adjustRightInd w:val="0"/>
        <w:snapToGrid w:val="0"/>
        <w:spacing w:line="440" w:lineRule="exact"/>
        <w:ind w:firstLine="422" w:firstLineChars="200"/>
        <w:outlineLvl w:val="2"/>
        <w:rPr>
          <w:rFonts w:ascii="黑体" w:hAnsi="黑体" w:eastAsia="黑体" w:cs="黑体"/>
          <w:b/>
          <w:bCs/>
          <w:color w:val="auto"/>
          <w:kern w:val="0"/>
          <w:szCs w:val="21"/>
          <w:highlight w:val="none"/>
        </w:rPr>
      </w:pPr>
      <w:bookmarkStart w:id="110" w:name="_Toc324404819"/>
      <w:bookmarkStart w:id="111" w:name="_Toc95223340"/>
      <w:bookmarkStart w:id="112" w:name="_Toc247085693"/>
      <w:bookmarkStart w:id="113" w:name="_Toc22113"/>
      <w:bookmarkStart w:id="114" w:name="_Toc83301692"/>
      <w:bookmarkStart w:id="115" w:name="_Toc112"/>
      <w:bookmarkStart w:id="116" w:name="_Toc246996922"/>
      <w:bookmarkStart w:id="117" w:name="_Toc15058850"/>
      <w:bookmarkStart w:id="118" w:name="_Toc144974502"/>
      <w:bookmarkStart w:id="119" w:name="_Toc60061437"/>
      <w:bookmarkStart w:id="120" w:name="_Toc152045534"/>
      <w:bookmarkStart w:id="121" w:name="_Toc296602424"/>
      <w:bookmarkStart w:id="122" w:name="_Toc152042310"/>
      <w:bookmarkStart w:id="123" w:name="_Toc246996179"/>
      <w:bookmarkStart w:id="124" w:name="_Toc179632551"/>
      <w:bookmarkStart w:id="125" w:name="_Toc506107273"/>
      <w:r>
        <w:rPr>
          <w:rFonts w:hint="eastAsia" w:ascii="黑体" w:hAnsi="黑体" w:eastAsia="黑体" w:cs="黑体"/>
          <w:b/>
          <w:bCs/>
          <w:color w:val="auto"/>
          <w:kern w:val="0"/>
          <w:szCs w:val="21"/>
          <w:highlight w:val="none"/>
        </w:rPr>
        <w:t>1.4 投标人资格要求</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p w14:paraId="299628F5">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1.4.1 投标人应具备承担本项目施工的资质条件、能力和信誉。</w:t>
      </w:r>
    </w:p>
    <w:p w14:paraId="00AE1B3F">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（1）资质条件：见投标人须知前附表；</w:t>
      </w:r>
    </w:p>
    <w:p w14:paraId="3257E401">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（2）信誉要求：见投标人须知前附表；</w:t>
      </w:r>
    </w:p>
    <w:p w14:paraId="70D2C2F8">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（3）项目负责人资格：见投标人须知前附表；</w:t>
      </w:r>
    </w:p>
    <w:p w14:paraId="608E89CF">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（4）其他要求：见投标人须知前附表。</w:t>
      </w:r>
    </w:p>
    <w:p w14:paraId="5749A709">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1.4.2 投标人须知前附表规定接受联合体投标的，除应符合本章第1.4.1项和投标人须知前附表的要求外，还应遵守以下规定： </w:t>
      </w:r>
    </w:p>
    <w:p w14:paraId="3F99E022">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（1）联合体各方应按招标文件提供的格式签订联合体协议书，明确联合体各方权利义务</w:t>
      </w:r>
      <w:r>
        <w:rPr>
          <w:rFonts w:hint="eastAsia" w:cs="Times New Roman"/>
          <w:color w:val="auto"/>
          <w:spacing w:val="-3"/>
          <w:szCs w:val="24"/>
          <w:highlight w:val="none"/>
        </w:rPr>
        <w:t>，并承诺就中标项目向招标人承担连带责任</w:t>
      </w:r>
      <w:r>
        <w:rPr>
          <w:rFonts w:hint="eastAsia" w:ascii="宋体" w:hAnsi="宋体" w:cs="宋体"/>
          <w:color w:val="auto"/>
          <w:szCs w:val="21"/>
          <w:highlight w:val="none"/>
        </w:rPr>
        <w:t>；</w:t>
      </w:r>
    </w:p>
    <w:p w14:paraId="0D38465B">
      <w:pPr>
        <w:adjustRightInd w:val="0"/>
        <w:snapToGrid w:val="0"/>
        <w:spacing w:line="440" w:lineRule="exact"/>
        <w:ind w:firstLine="420" w:firstLineChars="200"/>
        <w:rPr>
          <w:rFonts w:cs="Times New Roman"/>
          <w:color w:val="auto"/>
          <w:szCs w:val="24"/>
          <w:highlight w:val="none"/>
        </w:rPr>
      </w:pPr>
      <w:r>
        <w:rPr>
          <w:rFonts w:hint="eastAsia" w:ascii="宋体" w:hAnsi="宋体" w:cs="宋体"/>
          <w:color w:val="auto"/>
          <w:szCs w:val="21"/>
          <w:highlight w:val="none"/>
        </w:rPr>
        <w:t>（2）联合体各方不得再以自己名义单独或参加其他联合体在同一标段中投标。</w:t>
      </w:r>
    </w:p>
    <w:p w14:paraId="42EFC7E8">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1.4.3</w:t>
      </w:r>
      <w:bookmarkStart w:id="126" w:name="_Toc15058851"/>
      <w:bookmarkStart w:id="127" w:name="_Toc246996923"/>
      <w:bookmarkStart w:id="128" w:name="_Toc247085694"/>
      <w:bookmarkStart w:id="129" w:name="_Toc324404820"/>
      <w:bookmarkStart w:id="130" w:name="_Toc179632552"/>
      <w:bookmarkStart w:id="131" w:name="_Toc246996180"/>
      <w:bookmarkStart w:id="132" w:name="_Toc296602425"/>
      <w:bookmarkStart w:id="133" w:name="_Toc152045535"/>
      <w:bookmarkStart w:id="134" w:name="_Toc144974503"/>
      <w:bookmarkStart w:id="135" w:name="_Toc60061438"/>
      <w:bookmarkStart w:id="136" w:name="_Toc506107274"/>
      <w:bookmarkStart w:id="137" w:name="_Toc95223341"/>
      <w:bookmarkStart w:id="138" w:name="_Toc152042311"/>
      <w:bookmarkStart w:id="139" w:name="_Toc83301693"/>
      <w:r>
        <w:rPr>
          <w:rFonts w:hint="eastAsia" w:ascii="宋体" w:hAnsi="宋体" w:cs="宋体"/>
          <w:color w:val="auto"/>
          <w:szCs w:val="21"/>
          <w:highlight w:val="none"/>
        </w:rPr>
        <w:t>投标人（包括联合体各成员）不得与本标段相关单位存在下列关联关系：</w:t>
      </w:r>
    </w:p>
    <w:p w14:paraId="03D4E7A0">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（1）为招标人不具有独立法人资格的附属机构（单位）；</w:t>
      </w:r>
    </w:p>
    <w:p w14:paraId="19C69E86">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（2）与招标人存在利害关系且可能影响招标公正性；</w:t>
      </w:r>
    </w:p>
    <w:p w14:paraId="73BC3366">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（3）与本标段的其他投标人同为一个单位负责人；</w:t>
      </w:r>
    </w:p>
    <w:p w14:paraId="160CBD27">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（4）与本标段的其他投标人存在控股、管理关系；</w:t>
      </w:r>
    </w:p>
    <w:p w14:paraId="01C146A1">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（5）为本标段的代建人；</w:t>
      </w:r>
    </w:p>
    <w:p w14:paraId="6EBF5093">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（6）为本标段的招标代理机构；</w:t>
      </w:r>
    </w:p>
    <w:p w14:paraId="3C82F930">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（7）与本标段的人或代建人或招标代理机构同为一个法定代表人；</w:t>
      </w:r>
    </w:p>
    <w:p w14:paraId="7AC21890">
      <w:pPr>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（8）与本标段的人或代建人或招标代理机构存在控股或参股关系；</w:t>
      </w:r>
    </w:p>
    <w:p w14:paraId="649B0D42">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9</w:t>
      </w:r>
      <w:r>
        <w:rPr>
          <w:rFonts w:hint="eastAsia" w:ascii="宋体" w:hAnsi="宋体" w:cs="宋体"/>
          <w:color w:val="auto"/>
          <w:szCs w:val="21"/>
          <w:highlight w:val="none"/>
        </w:rPr>
        <w:t>）法律法规或投标人须知前附表规定的其他情形。</w:t>
      </w:r>
    </w:p>
    <w:p w14:paraId="2B5893BD">
      <w:pPr>
        <w:keepNext/>
        <w:keepLines/>
        <w:adjustRightInd w:val="0"/>
        <w:snapToGrid w:val="0"/>
        <w:spacing w:line="440" w:lineRule="exact"/>
        <w:ind w:firstLine="422" w:firstLineChars="200"/>
        <w:outlineLvl w:val="2"/>
        <w:rPr>
          <w:rFonts w:ascii="黑体" w:hAnsi="黑体" w:eastAsia="黑体" w:cs="黑体"/>
          <w:b/>
          <w:bCs/>
          <w:color w:val="auto"/>
          <w:kern w:val="0"/>
          <w:szCs w:val="21"/>
          <w:highlight w:val="none"/>
        </w:rPr>
      </w:pPr>
      <w:bookmarkStart w:id="140" w:name="_Toc20299"/>
      <w:bookmarkStart w:id="141" w:name="_Toc26742"/>
      <w:r>
        <w:rPr>
          <w:rFonts w:hint="eastAsia" w:ascii="黑体" w:hAnsi="黑体" w:eastAsia="黑体" w:cs="黑体"/>
          <w:b/>
          <w:bCs/>
          <w:color w:val="auto"/>
          <w:kern w:val="0"/>
          <w:szCs w:val="21"/>
          <w:highlight w:val="none"/>
        </w:rPr>
        <w:t>1.5 费用承担</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p w14:paraId="00288FAF">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投标人准备和参加投标活动发生的费用自理。</w:t>
      </w:r>
    </w:p>
    <w:p w14:paraId="2F1CCDC5">
      <w:pPr>
        <w:keepNext/>
        <w:keepLines/>
        <w:adjustRightInd w:val="0"/>
        <w:snapToGrid w:val="0"/>
        <w:spacing w:line="440" w:lineRule="exact"/>
        <w:ind w:firstLine="422" w:firstLineChars="200"/>
        <w:outlineLvl w:val="2"/>
        <w:rPr>
          <w:rFonts w:ascii="黑体" w:hAnsi="黑体" w:eastAsia="黑体" w:cs="黑体"/>
          <w:b/>
          <w:bCs/>
          <w:color w:val="auto"/>
          <w:kern w:val="0"/>
          <w:szCs w:val="21"/>
          <w:highlight w:val="none"/>
        </w:rPr>
      </w:pPr>
      <w:bookmarkStart w:id="142" w:name="_Toc60061439"/>
      <w:bookmarkStart w:id="143" w:name="_Toc324404821"/>
      <w:bookmarkStart w:id="144" w:name="_Toc152045536"/>
      <w:bookmarkStart w:id="145" w:name="_Toc32075"/>
      <w:bookmarkStart w:id="146" w:name="_Toc13307"/>
      <w:bookmarkStart w:id="147" w:name="_Toc246996181"/>
      <w:bookmarkStart w:id="148" w:name="_Toc152042312"/>
      <w:bookmarkStart w:id="149" w:name="_Toc83301694"/>
      <w:bookmarkStart w:id="150" w:name="_Toc506107275"/>
      <w:bookmarkStart w:id="151" w:name="_Toc247085695"/>
      <w:bookmarkStart w:id="152" w:name="_Toc15058852"/>
      <w:bookmarkStart w:id="153" w:name="_Toc179632553"/>
      <w:bookmarkStart w:id="154" w:name="_Toc296602426"/>
      <w:bookmarkStart w:id="155" w:name="_Toc144974504"/>
      <w:bookmarkStart w:id="156" w:name="_Toc246996924"/>
      <w:bookmarkStart w:id="157" w:name="_Toc95223342"/>
      <w:r>
        <w:rPr>
          <w:rFonts w:hint="eastAsia" w:ascii="黑体" w:hAnsi="黑体" w:eastAsia="黑体" w:cs="黑体"/>
          <w:b/>
          <w:bCs/>
          <w:color w:val="auto"/>
          <w:kern w:val="0"/>
          <w:szCs w:val="21"/>
          <w:highlight w:val="none"/>
        </w:rPr>
        <w:t>1.6 保密</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14:paraId="7F0EC3F3">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参与招标投标活动的各方应对招标文件和投标文件中的商业和技术等秘密保密，违者应对由此造成的后果承担法律责任。 </w:t>
      </w:r>
    </w:p>
    <w:p w14:paraId="74803124">
      <w:pPr>
        <w:keepNext/>
        <w:keepLines/>
        <w:adjustRightInd w:val="0"/>
        <w:snapToGrid w:val="0"/>
        <w:spacing w:line="440" w:lineRule="exact"/>
        <w:ind w:firstLine="422" w:firstLineChars="200"/>
        <w:outlineLvl w:val="2"/>
        <w:rPr>
          <w:rFonts w:ascii="黑体" w:hAnsi="黑体" w:eastAsia="黑体" w:cs="黑体"/>
          <w:b/>
          <w:bCs/>
          <w:color w:val="auto"/>
          <w:kern w:val="0"/>
          <w:szCs w:val="21"/>
          <w:highlight w:val="none"/>
        </w:rPr>
      </w:pPr>
      <w:bookmarkStart w:id="158" w:name="_Toc144974505"/>
      <w:bookmarkStart w:id="159" w:name="_Toc95223343"/>
      <w:bookmarkStart w:id="160" w:name="_Toc324404822"/>
      <w:bookmarkStart w:id="161" w:name="_Toc15058853"/>
      <w:bookmarkStart w:id="162" w:name="_Toc246996925"/>
      <w:bookmarkStart w:id="163" w:name="_Toc60061440"/>
      <w:bookmarkStart w:id="164" w:name="_Toc10707"/>
      <w:bookmarkStart w:id="165" w:name="_Toc296602427"/>
      <w:bookmarkStart w:id="166" w:name="_Toc7678"/>
      <w:bookmarkStart w:id="167" w:name="_Toc247085696"/>
      <w:bookmarkStart w:id="168" w:name="_Toc246996182"/>
      <w:bookmarkStart w:id="169" w:name="_Toc179632554"/>
      <w:bookmarkStart w:id="170" w:name="_Toc152045537"/>
      <w:bookmarkStart w:id="171" w:name="_Toc83301695"/>
      <w:bookmarkStart w:id="172" w:name="_Toc152042313"/>
      <w:bookmarkStart w:id="173" w:name="_Toc506107276"/>
      <w:r>
        <w:rPr>
          <w:rFonts w:hint="eastAsia" w:ascii="黑体" w:hAnsi="黑体" w:eastAsia="黑体" w:cs="黑体"/>
          <w:b/>
          <w:bCs/>
          <w:color w:val="auto"/>
          <w:kern w:val="0"/>
          <w:szCs w:val="21"/>
          <w:highlight w:val="none"/>
        </w:rPr>
        <w:t>1.7 语言</w:t>
      </w:r>
      <w:bookmarkEnd w:id="158"/>
      <w:r>
        <w:rPr>
          <w:rFonts w:hint="eastAsia" w:ascii="黑体" w:hAnsi="黑体" w:eastAsia="黑体" w:cs="黑体"/>
          <w:b/>
          <w:bCs/>
          <w:color w:val="auto"/>
          <w:kern w:val="0"/>
          <w:szCs w:val="21"/>
          <w:highlight w:val="none"/>
        </w:rPr>
        <w:t>文字</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p w14:paraId="74EA399F">
      <w:pPr>
        <w:adjustRightInd w:val="0"/>
        <w:snapToGrid w:val="0"/>
        <w:spacing w:line="440" w:lineRule="exact"/>
        <w:ind w:firstLine="420" w:firstLineChars="200"/>
        <w:rPr>
          <w:rFonts w:ascii="宋体" w:hAnsi="宋体" w:cs="宋体"/>
          <w:color w:val="auto"/>
          <w:szCs w:val="21"/>
          <w:highlight w:val="none"/>
        </w:rPr>
      </w:pPr>
      <w:bookmarkStart w:id="174" w:name="_Toc246996183"/>
      <w:bookmarkStart w:id="175" w:name="_Toc144974506"/>
      <w:bookmarkStart w:id="176" w:name="_Toc179632555"/>
      <w:bookmarkStart w:id="177" w:name="_Toc246996926"/>
      <w:bookmarkStart w:id="178" w:name="_Toc247085697"/>
      <w:bookmarkStart w:id="179" w:name="_Toc152045538"/>
      <w:bookmarkStart w:id="180" w:name="_Toc152042314"/>
      <w:r>
        <w:rPr>
          <w:rFonts w:hint="eastAsia" w:ascii="宋体" w:hAnsi="宋体" w:cs="宋体"/>
          <w:color w:val="auto"/>
          <w:szCs w:val="21"/>
          <w:highlight w:val="none"/>
        </w:rPr>
        <w:t>招标投标文件使用的语言文字为中文。专用术语使用外文的，应附有中文注释。</w:t>
      </w:r>
    </w:p>
    <w:p w14:paraId="58B1793A">
      <w:pPr>
        <w:keepNext/>
        <w:keepLines/>
        <w:adjustRightInd w:val="0"/>
        <w:snapToGrid w:val="0"/>
        <w:spacing w:line="440" w:lineRule="exact"/>
        <w:ind w:firstLine="422" w:firstLineChars="200"/>
        <w:outlineLvl w:val="2"/>
        <w:rPr>
          <w:rFonts w:ascii="黑体" w:hAnsi="黑体" w:eastAsia="黑体" w:cs="黑体"/>
          <w:b/>
          <w:bCs/>
          <w:color w:val="auto"/>
          <w:kern w:val="0"/>
          <w:szCs w:val="21"/>
          <w:highlight w:val="none"/>
        </w:rPr>
      </w:pPr>
      <w:bookmarkStart w:id="181" w:name="_Toc83301696"/>
      <w:bookmarkStart w:id="182" w:name="_Toc95223344"/>
      <w:bookmarkStart w:id="183" w:name="_Toc7429"/>
      <w:bookmarkStart w:id="184" w:name="_Toc15058854"/>
      <w:bookmarkStart w:id="185" w:name="_Toc506107277"/>
      <w:bookmarkStart w:id="186" w:name="_Toc21887"/>
      <w:bookmarkStart w:id="187" w:name="_Toc60061441"/>
      <w:bookmarkStart w:id="188" w:name="_Toc324404823"/>
      <w:bookmarkStart w:id="189" w:name="_Toc296602428"/>
      <w:r>
        <w:rPr>
          <w:rFonts w:hint="eastAsia" w:ascii="黑体" w:hAnsi="黑体" w:eastAsia="黑体" w:cs="黑体"/>
          <w:b/>
          <w:bCs/>
          <w:color w:val="auto"/>
          <w:kern w:val="0"/>
          <w:szCs w:val="21"/>
          <w:highlight w:val="none"/>
        </w:rPr>
        <w:t>1.8 计量单位</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p>
    <w:p w14:paraId="2B8498A3">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所有计量均采用中华人民共和国法定计量单位。</w:t>
      </w:r>
    </w:p>
    <w:p w14:paraId="18E074A4">
      <w:pPr>
        <w:keepNext/>
        <w:keepLines/>
        <w:adjustRightInd w:val="0"/>
        <w:snapToGrid w:val="0"/>
        <w:spacing w:line="440" w:lineRule="exact"/>
        <w:ind w:firstLine="422" w:firstLineChars="200"/>
        <w:outlineLvl w:val="2"/>
        <w:rPr>
          <w:rFonts w:ascii="黑体" w:hAnsi="黑体" w:eastAsia="黑体" w:cs="黑体"/>
          <w:b/>
          <w:bCs/>
          <w:color w:val="auto"/>
          <w:kern w:val="0"/>
          <w:szCs w:val="21"/>
          <w:highlight w:val="none"/>
        </w:rPr>
      </w:pPr>
      <w:bookmarkStart w:id="190" w:name="_Toc83301697"/>
      <w:bookmarkStart w:id="191" w:name="_Toc60061442"/>
      <w:bookmarkStart w:id="192" w:name="_Toc506107278"/>
      <w:bookmarkStart w:id="193" w:name="_Toc152042315"/>
      <w:bookmarkStart w:id="194" w:name="_Toc152045539"/>
      <w:bookmarkStart w:id="195" w:name="_Toc15058855"/>
      <w:bookmarkStart w:id="196" w:name="_Toc16"/>
      <w:bookmarkStart w:id="197" w:name="_Toc144974507"/>
      <w:bookmarkStart w:id="198" w:name="_Toc16510"/>
      <w:bookmarkStart w:id="199" w:name="_Toc247592876"/>
      <w:bookmarkStart w:id="200" w:name="_Toc247513962"/>
      <w:bookmarkStart w:id="201" w:name="_Toc95223345"/>
      <w:bookmarkStart w:id="202" w:name="_Toc247527563"/>
      <w:bookmarkStart w:id="203" w:name="_Toc324404824"/>
      <w:bookmarkStart w:id="204" w:name="_Toc296602429"/>
      <w:r>
        <w:rPr>
          <w:rFonts w:hint="eastAsia" w:ascii="黑体" w:hAnsi="黑体" w:eastAsia="黑体" w:cs="黑体"/>
          <w:b/>
          <w:bCs/>
          <w:color w:val="auto"/>
          <w:kern w:val="0"/>
          <w:szCs w:val="21"/>
          <w:highlight w:val="none"/>
        </w:rPr>
        <w:t>1.9 踏勘现场</w:t>
      </w:r>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p>
    <w:p w14:paraId="75E77FBB">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1.9.1前附表规定组织踏勘现场的，招标人按投标人须知前附表规定的时间、地点组织投标人踏勘项目现场。</w:t>
      </w:r>
      <w:r>
        <w:rPr>
          <w:rFonts w:hint="eastAsia" w:cs="Times New Roman"/>
          <w:color w:val="auto"/>
          <w:spacing w:val="-7"/>
          <w:szCs w:val="24"/>
          <w:highlight w:val="none"/>
        </w:rPr>
        <w:t>部分投标人未按时参加踏勘现场的，不影响踏勘现场的正常进行。招标</w:t>
      </w:r>
      <w:r>
        <w:rPr>
          <w:rFonts w:hint="eastAsia" w:cs="Times New Roman"/>
          <w:color w:val="auto"/>
          <w:spacing w:val="-5"/>
          <w:szCs w:val="24"/>
          <w:highlight w:val="none"/>
        </w:rPr>
        <w:t>人不得组织单个或部分投标人踏勘项目现场。</w:t>
      </w:r>
      <w:r>
        <w:rPr>
          <w:rFonts w:hint="eastAsia" w:ascii="宋体" w:hAnsi="宋体" w:cs="宋体"/>
          <w:color w:val="auto"/>
          <w:szCs w:val="21"/>
          <w:highlight w:val="none"/>
        </w:rPr>
        <w:t xml:space="preserve"> </w:t>
      </w:r>
    </w:p>
    <w:p w14:paraId="4D1C2610">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1.9.2 投标人踏勘现场发生的费用自理。</w:t>
      </w:r>
    </w:p>
    <w:p w14:paraId="4BED1AD7">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1.9.3 除招标人的原因外，投标人自行负责在踏勘现场中所发生的人员伤亡和财产损失。</w:t>
      </w:r>
    </w:p>
    <w:p w14:paraId="622B7A94">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1.9.4 招标人在踏勘现场中介绍的工程场地和相关的周边环境情况，供投标人在编制投标文件时参考，招标人不对投标人据此作出的判断和决策负责。</w:t>
      </w:r>
      <w:bookmarkStart w:id="205" w:name="_Toc152045540"/>
      <w:bookmarkStart w:id="206" w:name="_Toc247592877"/>
      <w:bookmarkStart w:id="207" w:name="_Toc60061443"/>
      <w:bookmarkStart w:id="208" w:name="_Toc506107279"/>
      <w:bookmarkStart w:id="209" w:name="_Toc152042316"/>
      <w:bookmarkStart w:id="210" w:name="_Toc324404825"/>
      <w:bookmarkStart w:id="211" w:name="_Toc247513963"/>
      <w:bookmarkStart w:id="212" w:name="_Toc15058856"/>
      <w:bookmarkStart w:id="213" w:name="_Toc247527564"/>
      <w:bookmarkStart w:id="214" w:name="_Toc144974508"/>
      <w:bookmarkStart w:id="215" w:name="_Toc296602430"/>
    </w:p>
    <w:p w14:paraId="390A5CC1">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1.9.5无论投标人是否到施工现场实地踏勘，中标后签订合同时和履约过程中，投标人不得以不完全了解现场情况或现场情况与招标文件描述不一致等为由，提出任何形式的增加工程造价或索赔的要求。</w:t>
      </w:r>
    </w:p>
    <w:p w14:paraId="5D951B8C">
      <w:pPr>
        <w:keepNext/>
        <w:keepLines/>
        <w:adjustRightInd w:val="0"/>
        <w:snapToGrid w:val="0"/>
        <w:spacing w:line="440" w:lineRule="exact"/>
        <w:ind w:firstLine="422" w:firstLineChars="200"/>
        <w:outlineLvl w:val="2"/>
        <w:rPr>
          <w:rFonts w:ascii="黑体" w:hAnsi="黑体" w:eastAsia="黑体" w:cs="黑体"/>
          <w:b/>
          <w:bCs/>
          <w:color w:val="auto"/>
          <w:kern w:val="0"/>
          <w:szCs w:val="21"/>
          <w:highlight w:val="none"/>
        </w:rPr>
      </w:pPr>
      <w:bookmarkStart w:id="216" w:name="_Toc26773"/>
      <w:bookmarkStart w:id="217" w:name="_Toc83301698"/>
      <w:bookmarkStart w:id="218" w:name="_Toc14350"/>
      <w:bookmarkStart w:id="219" w:name="_Toc95223346"/>
      <w:r>
        <w:rPr>
          <w:rFonts w:hint="eastAsia" w:ascii="黑体" w:hAnsi="黑体" w:eastAsia="黑体" w:cs="黑体"/>
          <w:b/>
          <w:bCs/>
          <w:color w:val="auto"/>
          <w:kern w:val="0"/>
          <w:szCs w:val="21"/>
          <w:highlight w:val="none"/>
        </w:rPr>
        <w:t>1.10 投标预备会</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3C4EB5FB">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1.10.1投标人须知前附表规定召开投标预备会的，招标人按投标人须知前附表规定的时间和地点召开投标预备会，澄清投标人提出的问题。</w:t>
      </w:r>
    </w:p>
    <w:p w14:paraId="32A83C25">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1.10.2投标人应在投标人须知前附表规定的时间前，将提出的问题送达招标人，以便招标人澄清。</w:t>
      </w:r>
    </w:p>
    <w:p w14:paraId="7B1828BC">
      <w:pPr>
        <w:keepNext/>
        <w:keepLines/>
        <w:adjustRightInd w:val="0"/>
        <w:snapToGrid w:val="0"/>
        <w:spacing w:line="440" w:lineRule="exact"/>
        <w:ind w:firstLine="422" w:firstLineChars="200"/>
        <w:outlineLvl w:val="2"/>
        <w:rPr>
          <w:rFonts w:ascii="黑体" w:hAnsi="黑体" w:eastAsia="黑体" w:cs="黑体"/>
          <w:b/>
          <w:bCs/>
          <w:color w:val="auto"/>
          <w:kern w:val="0"/>
          <w:szCs w:val="21"/>
          <w:highlight w:val="none"/>
        </w:rPr>
      </w:pPr>
      <w:bookmarkStart w:id="220" w:name="_Toc15058857"/>
      <w:bookmarkStart w:id="221" w:name="_Toc506107280"/>
      <w:bookmarkStart w:id="222" w:name="_Toc296602431"/>
      <w:bookmarkStart w:id="223" w:name="_Toc324404826"/>
      <w:bookmarkStart w:id="224" w:name="_Toc95223347"/>
      <w:bookmarkStart w:id="225" w:name="_Toc26547"/>
      <w:bookmarkStart w:id="226" w:name="_Toc7226"/>
      <w:bookmarkStart w:id="227" w:name="_Toc83301699"/>
      <w:bookmarkStart w:id="228" w:name="_Toc60061444"/>
      <w:r>
        <w:rPr>
          <w:rFonts w:hint="eastAsia" w:ascii="黑体" w:hAnsi="黑体" w:eastAsia="黑体" w:cs="黑体"/>
          <w:b/>
          <w:bCs/>
          <w:color w:val="auto"/>
          <w:kern w:val="0"/>
          <w:szCs w:val="21"/>
          <w:highlight w:val="none"/>
        </w:rPr>
        <w:t xml:space="preserve">1.11 </w:t>
      </w:r>
      <w:bookmarkEnd w:id="220"/>
      <w:bookmarkEnd w:id="221"/>
      <w:bookmarkEnd w:id="222"/>
      <w:bookmarkEnd w:id="223"/>
      <w:r>
        <w:rPr>
          <w:rFonts w:hint="eastAsia" w:ascii="黑体" w:hAnsi="黑体" w:eastAsia="黑体" w:cs="黑体"/>
          <w:b/>
          <w:bCs/>
          <w:color w:val="auto"/>
          <w:kern w:val="0"/>
          <w:szCs w:val="21"/>
          <w:highlight w:val="none"/>
        </w:rPr>
        <w:t>分包</w:t>
      </w:r>
      <w:bookmarkEnd w:id="224"/>
      <w:bookmarkEnd w:id="225"/>
      <w:bookmarkEnd w:id="226"/>
      <w:bookmarkEnd w:id="227"/>
      <w:bookmarkEnd w:id="228"/>
    </w:p>
    <w:p w14:paraId="68DFB792">
      <w:pPr>
        <w:adjustRightInd w:val="0"/>
        <w:snapToGrid w:val="0"/>
        <w:spacing w:line="440" w:lineRule="exact"/>
        <w:ind w:firstLine="420" w:firstLineChars="200"/>
        <w:rPr>
          <w:rFonts w:cs="Times New Roman"/>
          <w:color w:val="auto"/>
          <w:szCs w:val="24"/>
          <w:highlight w:val="none"/>
        </w:rPr>
      </w:pPr>
      <w:r>
        <w:rPr>
          <w:rFonts w:hint="eastAsia" w:ascii="宋体" w:hAnsi="宋体" w:cs="宋体"/>
          <w:bCs/>
          <w:snapToGrid w:val="0"/>
          <w:color w:val="auto"/>
          <w:kern w:val="0"/>
          <w:szCs w:val="21"/>
          <w:highlight w:val="none"/>
        </w:rPr>
        <w:t>本项目严禁分包</w:t>
      </w:r>
      <w:r>
        <w:rPr>
          <w:rFonts w:hint="eastAsia" w:ascii="宋体" w:hAnsi="宋体" w:cs="宋体"/>
          <w:color w:val="auto"/>
          <w:szCs w:val="21"/>
          <w:highlight w:val="none"/>
        </w:rPr>
        <w:t>。（招标人允许的除外）</w:t>
      </w:r>
    </w:p>
    <w:p w14:paraId="69923EDE">
      <w:pPr>
        <w:keepNext/>
        <w:keepLines/>
        <w:adjustRightInd w:val="0"/>
        <w:snapToGrid w:val="0"/>
        <w:spacing w:line="440" w:lineRule="exact"/>
        <w:ind w:firstLine="422" w:firstLineChars="200"/>
        <w:outlineLvl w:val="2"/>
        <w:rPr>
          <w:rFonts w:ascii="黑体" w:hAnsi="黑体" w:eastAsia="黑体" w:cs="黑体"/>
          <w:b/>
          <w:bCs/>
          <w:color w:val="auto"/>
          <w:kern w:val="0"/>
          <w:szCs w:val="21"/>
          <w:highlight w:val="none"/>
        </w:rPr>
      </w:pPr>
      <w:bookmarkStart w:id="229" w:name="_Toc83301700"/>
      <w:bookmarkStart w:id="230" w:name="_Toc4925"/>
      <w:bookmarkStart w:id="231" w:name="_Toc95223348"/>
      <w:bookmarkStart w:id="232" w:name="_Toc5589"/>
      <w:bookmarkStart w:id="233" w:name="_Toc60061445"/>
      <w:r>
        <w:rPr>
          <w:rFonts w:hint="eastAsia" w:ascii="黑体" w:hAnsi="黑体" w:eastAsia="黑体" w:cs="黑体"/>
          <w:b/>
          <w:bCs/>
          <w:color w:val="auto"/>
          <w:kern w:val="0"/>
          <w:szCs w:val="21"/>
          <w:highlight w:val="none"/>
        </w:rPr>
        <w:t xml:space="preserve">1.12 </w:t>
      </w:r>
      <w:bookmarkEnd w:id="229"/>
      <w:bookmarkEnd w:id="230"/>
      <w:bookmarkEnd w:id="231"/>
      <w:bookmarkEnd w:id="232"/>
      <w:bookmarkEnd w:id="233"/>
      <w:r>
        <w:rPr>
          <w:rFonts w:hint="eastAsia" w:ascii="黑体" w:hAnsi="黑体" w:eastAsia="黑体" w:cs="黑体"/>
          <w:b/>
          <w:bCs/>
          <w:color w:val="auto"/>
          <w:kern w:val="0"/>
          <w:szCs w:val="21"/>
          <w:highlight w:val="none"/>
        </w:rPr>
        <w:t>响应和偏差</w:t>
      </w:r>
    </w:p>
    <w:p w14:paraId="2A82BAE5">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1.12.1投标文件偏离招标文件某些要求，视为投标文件存在偏差。偏差包括重大偏差和细微偏差。</w:t>
      </w:r>
    </w:p>
    <w:p w14:paraId="74489A69">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1.12.2投标文件应对招标文件的实质性要求和条件作出满足性或更有利于招标人的响应，否则，视为投标文件存在重大偏差，投标人的投标将被否决。</w:t>
      </w:r>
    </w:p>
    <w:p w14:paraId="2058A954">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投标文件存在第四章“评标办法”中所列任一无效投标情形的，均属于存在重大偏差。</w:t>
      </w:r>
    </w:p>
    <w:p w14:paraId="0464C6AC">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1.12.3投标文件中的下列偏差为细微偏差：</w:t>
      </w:r>
    </w:p>
    <w:p w14:paraId="29266F14">
      <w:pPr>
        <w:tabs>
          <w:tab w:val="left" w:pos="1014"/>
        </w:tabs>
        <w:adjustRightInd w:val="0"/>
        <w:snapToGrid w:val="0"/>
        <w:spacing w:line="440" w:lineRule="exact"/>
        <w:ind w:firstLine="420" w:firstLineChars="200"/>
        <w:rPr>
          <w:rFonts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1）在按照第四章“评标办法”的规定对投标价进行算术性错误修正及其他错误修正后，最终投标报价未超过最高投标限价（如有）或未被否决投标的情况下，出现第四章“评标办法”规定的算术性错误和投标报价的其他错误；</w:t>
      </w:r>
    </w:p>
    <w:p w14:paraId="42802DC1">
      <w:pPr>
        <w:tabs>
          <w:tab w:val="left" w:pos="1014"/>
        </w:tabs>
        <w:adjustRightInd w:val="0"/>
        <w:snapToGrid w:val="0"/>
        <w:spacing w:line="440" w:lineRule="exact"/>
        <w:ind w:firstLine="420" w:firstLineChars="200"/>
        <w:rPr>
          <w:rFonts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（2）投标文件个别文字有遗漏错误等不影响投标文件实质性内容的偏差。</w:t>
      </w:r>
    </w:p>
    <w:p w14:paraId="4A6816A3">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1.12.4评标委员会对投标文件中的细微偏差按如下规定处理：</w:t>
      </w:r>
    </w:p>
    <w:p w14:paraId="163936AC">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对于本章第 1.12.3 项（1）目所述的细微偏差，按照第四章“评标办法”的规定予以修正并要求投标人进行澄清；</w:t>
      </w:r>
    </w:p>
    <w:p w14:paraId="2BF31497">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对于本章第 1.12.3 项（2）目所述的细微偏差，可要求投标人对细微偏差进行澄清。</w:t>
      </w:r>
    </w:p>
    <w:p w14:paraId="2769AFDC">
      <w:pPr>
        <w:widowControl/>
        <w:jc w:val="left"/>
        <w:rPr>
          <w:rFonts w:cs="Times New Roman"/>
          <w:color w:val="auto"/>
          <w:szCs w:val="24"/>
          <w:highlight w:val="none"/>
        </w:rPr>
        <w:sectPr>
          <w:pgSz w:w="11911" w:h="16838"/>
          <w:pgMar w:top="1134" w:right="1417" w:bottom="1134" w:left="1417" w:header="0" w:footer="833" w:gutter="0"/>
          <w:pgNumType w:start="1"/>
          <w:cols w:space="720" w:num="1"/>
        </w:sectPr>
      </w:pPr>
    </w:p>
    <w:p w14:paraId="1C8C5DF2">
      <w:pPr>
        <w:keepNext/>
        <w:keepLines/>
        <w:adjustRightInd w:val="0"/>
        <w:snapToGrid w:val="0"/>
        <w:spacing w:line="440" w:lineRule="exact"/>
        <w:ind w:firstLine="422" w:firstLineChars="200"/>
        <w:outlineLvl w:val="1"/>
        <w:rPr>
          <w:rFonts w:ascii="黑体" w:hAnsi="黑体" w:eastAsia="黑体" w:cs="黑体"/>
          <w:b/>
          <w:bCs/>
          <w:color w:val="auto"/>
          <w:szCs w:val="21"/>
          <w:highlight w:val="none"/>
        </w:rPr>
      </w:pPr>
      <w:bookmarkStart w:id="234" w:name="_Toc152042318"/>
      <w:bookmarkStart w:id="235" w:name="_Toc152045542"/>
      <w:bookmarkStart w:id="236" w:name="_Toc246996187"/>
      <w:bookmarkStart w:id="237" w:name="_Toc144974510"/>
      <w:bookmarkStart w:id="238" w:name="_Toc95223349"/>
      <w:bookmarkStart w:id="239" w:name="_Toc246996930"/>
      <w:bookmarkStart w:id="240" w:name="_Toc30541"/>
      <w:bookmarkStart w:id="241" w:name="_Toc83301701"/>
      <w:bookmarkStart w:id="242" w:name="_Toc247085701"/>
      <w:bookmarkStart w:id="243" w:name="_Toc506107281"/>
      <w:bookmarkStart w:id="244" w:name="_Toc179632560"/>
      <w:bookmarkStart w:id="245" w:name="_Toc18545"/>
      <w:bookmarkStart w:id="246" w:name="_Toc324404827"/>
      <w:bookmarkStart w:id="247" w:name="_Toc60061446"/>
      <w:bookmarkStart w:id="248" w:name="_Toc15058858"/>
      <w:r>
        <w:rPr>
          <w:rFonts w:hint="eastAsia" w:ascii="黑体" w:hAnsi="黑体" w:eastAsia="黑体" w:cs="黑体"/>
          <w:b/>
          <w:bCs/>
          <w:color w:val="auto"/>
          <w:szCs w:val="21"/>
          <w:highlight w:val="none"/>
        </w:rPr>
        <w:t>2. 招标文件</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p>
    <w:p w14:paraId="4FFCCA48">
      <w:pPr>
        <w:keepNext/>
        <w:keepLines/>
        <w:adjustRightInd w:val="0"/>
        <w:snapToGrid w:val="0"/>
        <w:spacing w:line="440" w:lineRule="exact"/>
        <w:ind w:firstLine="422" w:firstLineChars="200"/>
        <w:outlineLvl w:val="2"/>
        <w:rPr>
          <w:rFonts w:ascii="黑体" w:hAnsi="黑体" w:eastAsia="黑体" w:cs="黑体"/>
          <w:b/>
          <w:bCs/>
          <w:color w:val="auto"/>
          <w:kern w:val="0"/>
          <w:szCs w:val="21"/>
          <w:highlight w:val="none"/>
        </w:rPr>
      </w:pPr>
      <w:bookmarkStart w:id="249" w:name="_Toc152042319"/>
      <w:bookmarkStart w:id="250" w:name="_Toc246996188"/>
      <w:bookmarkStart w:id="251" w:name="_Toc144974511"/>
      <w:bookmarkStart w:id="252" w:name="_Toc179632561"/>
      <w:bookmarkStart w:id="253" w:name="_Toc152045543"/>
      <w:bookmarkStart w:id="254" w:name="_Toc296602433"/>
      <w:bookmarkStart w:id="255" w:name="_Toc246996931"/>
      <w:bookmarkStart w:id="256" w:name="_Toc95223350"/>
      <w:bookmarkStart w:id="257" w:name="_Toc23813"/>
      <w:bookmarkStart w:id="258" w:name="_Toc13064"/>
      <w:bookmarkStart w:id="259" w:name="_Toc60061447"/>
      <w:bookmarkStart w:id="260" w:name="_Toc247085702"/>
      <w:bookmarkStart w:id="261" w:name="_Toc324404828"/>
      <w:bookmarkStart w:id="262" w:name="_Toc83301702"/>
      <w:bookmarkStart w:id="263" w:name="_Toc15058859"/>
      <w:bookmarkStart w:id="264" w:name="_Toc506107282"/>
      <w:r>
        <w:rPr>
          <w:rFonts w:hint="eastAsia" w:ascii="黑体" w:hAnsi="黑体" w:eastAsia="黑体" w:cs="黑体"/>
          <w:b/>
          <w:bCs/>
          <w:color w:val="auto"/>
          <w:kern w:val="0"/>
          <w:szCs w:val="21"/>
          <w:highlight w:val="none"/>
        </w:rPr>
        <w:t>2.1 招标文件的组成</w:t>
      </w:r>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p>
    <w:p w14:paraId="2FE8FCEE">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2.1.1 本招标文件包括：</w:t>
      </w:r>
    </w:p>
    <w:p w14:paraId="183C08F6">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（1）招标公告；</w:t>
      </w:r>
    </w:p>
    <w:p w14:paraId="52307851">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（2）投标人须知；</w:t>
      </w:r>
    </w:p>
    <w:p w14:paraId="2884A90C">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（3）资格审查办法</w:t>
      </w:r>
    </w:p>
    <w:p w14:paraId="0456013D">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（4）评标办法；</w:t>
      </w:r>
    </w:p>
    <w:p w14:paraId="727A2666">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（5）合同条款及格式；</w:t>
      </w:r>
    </w:p>
    <w:p w14:paraId="531FFB75">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（6）图纸；（如有）</w:t>
      </w:r>
    </w:p>
    <w:p w14:paraId="0CFEA0A2">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（7）委托人要求； </w:t>
      </w:r>
    </w:p>
    <w:p w14:paraId="1F651443">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（8）投标文件格式；</w:t>
      </w:r>
    </w:p>
    <w:p w14:paraId="03C704AB">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（9）投标人须知前附表规定的其他材料。</w:t>
      </w:r>
    </w:p>
    <w:p w14:paraId="050ABBB0">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2.1.2 根据本章第1.10款、第2.2款和第2.3款对招标文件所作的澄清、修改，构成招标文件的组成部分。</w:t>
      </w:r>
    </w:p>
    <w:p w14:paraId="07CEFED2">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2.1.3当招标文件、招标文件的澄清或修改等在同一内容的表述上不一致时，以最后发出的文件为准。</w:t>
      </w:r>
    </w:p>
    <w:p w14:paraId="2B127464">
      <w:pPr>
        <w:keepNext/>
        <w:keepLines/>
        <w:adjustRightInd w:val="0"/>
        <w:snapToGrid w:val="0"/>
        <w:spacing w:line="440" w:lineRule="exact"/>
        <w:ind w:firstLine="422" w:firstLineChars="200"/>
        <w:outlineLvl w:val="2"/>
        <w:rPr>
          <w:rFonts w:ascii="黑体" w:hAnsi="黑体" w:eastAsia="黑体" w:cs="黑体"/>
          <w:b/>
          <w:bCs/>
          <w:color w:val="auto"/>
          <w:kern w:val="0"/>
          <w:szCs w:val="21"/>
          <w:highlight w:val="none"/>
        </w:rPr>
      </w:pPr>
      <w:bookmarkStart w:id="265" w:name="_Toc12222"/>
      <w:bookmarkStart w:id="266" w:name="_Toc16006"/>
      <w:bookmarkStart w:id="267" w:name="_Toc15058860"/>
      <w:bookmarkStart w:id="268" w:name="_Toc152042320"/>
      <w:bookmarkStart w:id="269" w:name="_Toc144974512"/>
      <w:bookmarkStart w:id="270" w:name="_Toc246996189"/>
      <w:bookmarkStart w:id="271" w:name="_Toc246996932"/>
      <w:bookmarkStart w:id="272" w:name="_Toc152045544"/>
      <w:bookmarkStart w:id="273" w:name="_Toc247085703"/>
      <w:bookmarkStart w:id="274" w:name="_Toc296602434"/>
      <w:bookmarkStart w:id="275" w:name="_Toc324404829"/>
      <w:bookmarkStart w:id="276" w:name="_Toc83301703"/>
      <w:bookmarkStart w:id="277" w:name="_Toc506107283"/>
      <w:bookmarkStart w:id="278" w:name="_Toc179632562"/>
      <w:bookmarkStart w:id="279" w:name="_Toc60061448"/>
      <w:bookmarkStart w:id="280" w:name="_Toc95223351"/>
      <w:bookmarkStart w:id="281" w:name="_Toc152042322"/>
      <w:bookmarkStart w:id="282" w:name="_Toc324404832"/>
      <w:bookmarkStart w:id="283" w:name="_Toc83301706"/>
      <w:bookmarkStart w:id="284" w:name="_Toc152045546"/>
      <w:bookmarkStart w:id="285" w:name="_Toc179632564"/>
      <w:bookmarkStart w:id="286" w:name="_Toc246996191"/>
      <w:bookmarkStart w:id="287" w:name="_Toc246996934"/>
      <w:bookmarkStart w:id="288" w:name="_Toc95223354"/>
      <w:bookmarkStart w:id="289" w:name="_Toc506107285"/>
      <w:bookmarkStart w:id="290" w:name="_Toc60061451"/>
      <w:bookmarkStart w:id="291" w:name="_Toc247085705"/>
      <w:bookmarkStart w:id="292" w:name="_Toc144974514"/>
      <w:bookmarkStart w:id="293" w:name="_Toc15058863"/>
      <w:r>
        <w:rPr>
          <w:rFonts w:hint="eastAsia" w:ascii="黑体" w:hAnsi="黑体" w:eastAsia="黑体" w:cs="黑体"/>
          <w:b/>
          <w:bCs/>
          <w:color w:val="auto"/>
          <w:kern w:val="0"/>
          <w:szCs w:val="21"/>
          <w:highlight w:val="none"/>
        </w:rPr>
        <w:t>2.2招标文件的异议</w:t>
      </w:r>
      <w:bookmarkEnd w:id="265"/>
      <w:bookmarkEnd w:id="266"/>
    </w:p>
    <w:p w14:paraId="7E07D958">
      <w:pPr>
        <w:adjustRightInd w:val="0"/>
        <w:snapToGrid w:val="0"/>
        <w:spacing w:line="440" w:lineRule="exact"/>
        <w:rPr>
          <w:rFonts w:cs="Times New Roman"/>
          <w:color w:val="auto"/>
          <w:szCs w:val="24"/>
          <w:highlight w:val="none"/>
        </w:rPr>
      </w:pPr>
      <w:r>
        <w:rPr>
          <w:rFonts w:cs="Times New Roman"/>
          <w:color w:val="auto"/>
          <w:szCs w:val="24"/>
          <w:highlight w:val="none"/>
        </w:rPr>
        <w:t xml:space="preserve"> </w:t>
      </w:r>
      <w:r>
        <w:rPr>
          <w:rFonts w:hint="eastAsia" w:ascii="宋体" w:hAnsi="宋体" w:cs="宋体"/>
          <w:color w:val="auto"/>
          <w:szCs w:val="21"/>
          <w:highlight w:val="none"/>
        </w:rPr>
        <w:t xml:space="preserve">  </w:t>
      </w:r>
      <w:r>
        <w:rPr>
          <w:rFonts w:hint="eastAsia" w:cs="Times New Roman"/>
          <w:color w:val="auto"/>
          <w:szCs w:val="24"/>
          <w:highlight w:val="none"/>
        </w:rPr>
        <w:t>投标人或其他利害关系人投标人应仔细阅读和检查招标文件的全部内容，对招标文件有异议的，应在</w:t>
      </w:r>
      <w:r>
        <w:rPr>
          <w:rFonts w:hint="eastAsia" w:ascii="宋体" w:hAnsi="宋体" w:cs="宋体"/>
          <w:color w:val="auto"/>
          <w:szCs w:val="21"/>
          <w:highlight w:val="none"/>
        </w:rPr>
        <w:t>投标人须知前附表规定的时间和形式</w:t>
      </w:r>
      <w:r>
        <w:rPr>
          <w:rFonts w:hint="eastAsia" w:cs="Times New Roman"/>
          <w:color w:val="auto"/>
          <w:szCs w:val="24"/>
          <w:highlight w:val="none"/>
        </w:rPr>
        <w:t>提出。招标人将作出答复。</w:t>
      </w:r>
    </w:p>
    <w:p w14:paraId="0E2A0DF1">
      <w:pPr>
        <w:keepNext/>
        <w:keepLines/>
        <w:adjustRightInd w:val="0"/>
        <w:snapToGrid w:val="0"/>
        <w:spacing w:line="440" w:lineRule="exact"/>
        <w:ind w:firstLine="422" w:firstLineChars="200"/>
        <w:outlineLvl w:val="2"/>
        <w:rPr>
          <w:rFonts w:ascii="黑体" w:hAnsi="黑体" w:eastAsia="黑体" w:cs="黑体"/>
          <w:b/>
          <w:bCs/>
          <w:color w:val="auto"/>
          <w:kern w:val="0"/>
          <w:szCs w:val="21"/>
          <w:highlight w:val="none"/>
        </w:rPr>
      </w:pPr>
      <w:bookmarkStart w:id="294" w:name="_Toc15534"/>
      <w:bookmarkStart w:id="295" w:name="_Toc1321"/>
      <w:r>
        <w:rPr>
          <w:rFonts w:hint="eastAsia" w:ascii="黑体" w:hAnsi="黑体" w:eastAsia="黑体" w:cs="黑体"/>
          <w:b/>
          <w:bCs/>
          <w:color w:val="auto"/>
          <w:kern w:val="0"/>
          <w:szCs w:val="21"/>
          <w:highlight w:val="none"/>
        </w:rPr>
        <w:t>2.3招标文件的澄清</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94"/>
      <w:bookmarkEnd w:id="295"/>
      <w:r>
        <w:rPr>
          <w:rFonts w:hint="eastAsia" w:ascii="黑体" w:hAnsi="黑体" w:eastAsia="黑体" w:cs="黑体"/>
          <w:b/>
          <w:bCs/>
          <w:color w:val="auto"/>
          <w:kern w:val="0"/>
          <w:szCs w:val="21"/>
          <w:highlight w:val="none"/>
        </w:rPr>
        <w:t xml:space="preserve"> </w:t>
      </w:r>
    </w:p>
    <w:p w14:paraId="7E658B86">
      <w:pPr>
        <w:adjustRightInd w:val="0"/>
        <w:snapToGrid w:val="0"/>
        <w:spacing w:line="440" w:lineRule="exact"/>
        <w:ind w:firstLine="420" w:firstLineChars="200"/>
        <w:rPr>
          <w:rFonts w:cs="Times New Roman"/>
          <w:color w:val="auto"/>
          <w:szCs w:val="24"/>
          <w:highlight w:val="none"/>
        </w:rPr>
      </w:pPr>
      <w:r>
        <w:rPr>
          <w:rFonts w:hint="eastAsia" w:ascii="宋体" w:hAnsi="宋体" w:cs="宋体"/>
          <w:color w:val="auto"/>
          <w:szCs w:val="21"/>
          <w:highlight w:val="none"/>
        </w:rPr>
        <w:t>招标人可以澄清招标文件，并以投标人须知前附表规定澄清的方式在滁州市城投工程咨询管理有限公司网站（https://www.czctgczx.com/）发布。</w:t>
      </w:r>
    </w:p>
    <w:p w14:paraId="18A67DA2">
      <w:pPr>
        <w:keepNext/>
        <w:keepLines/>
        <w:adjustRightInd w:val="0"/>
        <w:snapToGrid w:val="0"/>
        <w:spacing w:line="440" w:lineRule="exact"/>
        <w:ind w:firstLine="422" w:firstLineChars="200"/>
        <w:outlineLvl w:val="1"/>
        <w:rPr>
          <w:rFonts w:ascii="黑体" w:hAnsi="黑体" w:eastAsia="黑体" w:cs="黑体"/>
          <w:b/>
          <w:bCs/>
          <w:color w:val="auto"/>
          <w:szCs w:val="21"/>
          <w:highlight w:val="none"/>
        </w:rPr>
      </w:pPr>
      <w:bookmarkStart w:id="296" w:name="_Toc2624"/>
      <w:bookmarkStart w:id="297" w:name="_Toc24404"/>
      <w:r>
        <w:rPr>
          <w:rFonts w:hint="eastAsia" w:ascii="黑体" w:hAnsi="黑体" w:eastAsia="黑体" w:cs="黑体"/>
          <w:b/>
          <w:bCs/>
          <w:color w:val="auto"/>
          <w:szCs w:val="21"/>
          <w:highlight w:val="none"/>
        </w:rPr>
        <w:t>3. 投标文件</w:t>
      </w:r>
      <w:bookmarkEnd w:id="281"/>
      <w:bookmarkEnd w:id="282"/>
      <w:bookmarkEnd w:id="283"/>
      <w:bookmarkEnd w:id="284"/>
      <w:bookmarkEnd w:id="285"/>
      <w:bookmarkEnd w:id="286"/>
      <w:bookmarkEnd w:id="287"/>
      <w:bookmarkEnd w:id="288"/>
      <w:bookmarkEnd w:id="289"/>
      <w:bookmarkEnd w:id="290"/>
      <w:bookmarkEnd w:id="291"/>
      <w:bookmarkEnd w:id="292"/>
      <w:bookmarkEnd w:id="293"/>
      <w:bookmarkEnd w:id="296"/>
      <w:bookmarkEnd w:id="297"/>
    </w:p>
    <w:p w14:paraId="462E5D55">
      <w:pPr>
        <w:keepNext/>
        <w:keepLines/>
        <w:adjustRightInd w:val="0"/>
        <w:snapToGrid w:val="0"/>
        <w:spacing w:line="440" w:lineRule="exact"/>
        <w:ind w:firstLine="422" w:firstLineChars="200"/>
        <w:outlineLvl w:val="2"/>
        <w:rPr>
          <w:rFonts w:ascii="黑体" w:hAnsi="黑体" w:eastAsia="黑体" w:cs="黑体"/>
          <w:b/>
          <w:bCs/>
          <w:color w:val="auto"/>
          <w:kern w:val="0"/>
          <w:szCs w:val="21"/>
          <w:highlight w:val="none"/>
        </w:rPr>
      </w:pPr>
      <w:bookmarkStart w:id="298" w:name="_Toc14337"/>
      <w:bookmarkStart w:id="299" w:name="_Toc247085706"/>
      <w:bookmarkStart w:id="300" w:name="_Toc246996192"/>
      <w:bookmarkStart w:id="301" w:name="_Toc179632565"/>
      <w:bookmarkStart w:id="302" w:name="_Toc296602437"/>
      <w:bookmarkStart w:id="303" w:name="_Toc60061452"/>
      <w:bookmarkStart w:id="304" w:name="_Toc152042323"/>
      <w:bookmarkStart w:id="305" w:name="_Toc246996935"/>
      <w:bookmarkStart w:id="306" w:name="_Toc15058864"/>
      <w:bookmarkStart w:id="307" w:name="_Toc95223355"/>
      <w:bookmarkStart w:id="308" w:name="_Toc2968"/>
      <w:bookmarkStart w:id="309" w:name="_Toc506107286"/>
      <w:bookmarkStart w:id="310" w:name="_Toc152045547"/>
      <w:bookmarkStart w:id="311" w:name="_Toc324404833"/>
      <w:bookmarkStart w:id="312" w:name="_Toc83301707"/>
      <w:bookmarkStart w:id="313" w:name="_Toc144974515"/>
      <w:r>
        <w:rPr>
          <w:rFonts w:hint="eastAsia" w:ascii="黑体" w:hAnsi="黑体" w:eastAsia="黑体" w:cs="黑体"/>
          <w:b/>
          <w:bCs/>
          <w:color w:val="auto"/>
          <w:kern w:val="0"/>
          <w:szCs w:val="21"/>
          <w:highlight w:val="none"/>
        </w:rPr>
        <w:t>3.1 投标文件的组成</w:t>
      </w:r>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p>
    <w:p w14:paraId="7BBF6988">
      <w:pPr>
        <w:adjustRightInd w:val="0"/>
        <w:snapToGrid w:val="0"/>
        <w:spacing w:line="440" w:lineRule="exact"/>
        <w:ind w:firstLine="420" w:firstLineChars="200"/>
        <w:rPr>
          <w:rFonts w:ascii="宋体" w:hAnsi="宋体" w:cs="宋体"/>
          <w:color w:val="auto"/>
          <w:szCs w:val="21"/>
          <w:highlight w:val="none"/>
        </w:rPr>
      </w:pPr>
      <w:bookmarkStart w:id="314" w:name="_Toc83301708"/>
      <w:bookmarkStart w:id="315" w:name="_Toc152045548"/>
      <w:bookmarkStart w:id="316" w:name="_Toc247085707"/>
      <w:bookmarkStart w:id="317" w:name="_Toc144974516"/>
      <w:bookmarkStart w:id="318" w:name="_Toc246996193"/>
      <w:bookmarkStart w:id="319" w:name="_Toc179632566"/>
      <w:bookmarkStart w:id="320" w:name="_Toc246996936"/>
      <w:bookmarkStart w:id="321" w:name="_Toc60061453"/>
      <w:bookmarkStart w:id="322" w:name="_Toc95223356"/>
      <w:bookmarkStart w:id="323" w:name="_Toc506107287"/>
      <w:bookmarkStart w:id="324" w:name="_Toc324404834"/>
      <w:bookmarkStart w:id="325" w:name="_Toc152042324"/>
      <w:bookmarkStart w:id="326" w:name="_Toc15058865"/>
      <w:bookmarkStart w:id="327" w:name="_Toc296602438"/>
      <w:r>
        <w:rPr>
          <w:rFonts w:hint="eastAsia" w:ascii="宋体" w:hAnsi="宋体" w:cs="宋体"/>
          <w:color w:val="auto"/>
          <w:szCs w:val="21"/>
          <w:highlight w:val="none"/>
        </w:rPr>
        <w:t>投标文件的具体组成部分及材料要求详见本招标文件第八章“投标文件格式”。</w:t>
      </w:r>
    </w:p>
    <w:p w14:paraId="79407692">
      <w:pPr>
        <w:keepNext/>
        <w:keepLines/>
        <w:adjustRightInd w:val="0"/>
        <w:snapToGrid w:val="0"/>
        <w:spacing w:line="440" w:lineRule="exact"/>
        <w:ind w:firstLine="422" w:firstLineChars="200"/>
        <w:outlineLvl w:val="2"/>
        <w:rPr>
          <w:rFonts w:ascii="黑体" w:hAnsi="黑体" w:eastAsia="黑体" w:cs="黑体"/>
          <w:b/>
          <w:bCs/>
          <w:color w:val="auto"/>
          <w:kern w:val="0"/>
          <w:szCs w:val="21"/>
          <w:highlight w:val="none"/>
        </w:rPr>
      </w:pPr>
      <w:bookmarkStart w:id="328" w:name="_Toc21787"/>
      <w:bookmarkStart w:id="329" w:name="_Toc17106"/>
      <w:r>
        <w:rPr>
          <w:rFonts w:hint="eastAsia" w:ascii="黑体" w:hAnsi="黑体" w:eastAsia="黑体" w:cs="黑体"/>
          <w:b/>
          <w:bCs/>
          <w:color w:val="auto"/>
          <w:kern w:val="0"/>
          <w:szCs w:val="21"/>
          <w:highlight w:val="none"/>
        </w:rPr>
        <w:t>3.2 投标报价</w:t>
      </w:r>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p>
    <w:p w14:paraId="3911BC18">
      <w:pPr>
        <w:adjustRightInd w:val="0"/>
        <w:snapToGrid w:val="0"/>
        <w:spacing w:line="440" w:lineRule="exact"/>
        <w:ind w:firstLine="420" w:firstLineChars="200"/>
        <w:rPr>
          <w:rFonts w:ascii="宋体" w:hAnsi="宋体" w:cs="宋体"/>
          <w:color w:val="auto"/>
          <w:szCs w:val="21"/>
          <w:highlight w:val="none"/>
        </w:rPr>
      </w:pPr>
      <w:bookmarkStart w:id="330" w:name="_Toc152045549"/>
      <w:bookmarkStart w:id="331" w:name="_Toc246996937"/>
      <w:bookmarkStart w:id="332" w:name="_Toc179632567"/>
      <w:bookmarkStart w:id="333" w:name="_Toc247085708"/>
      <w:bookmarkStart w:id="334" w:name="_Toc246996194"/>
      <w:bookmarkStart w:id="335" w:name="_Toc144974517"/>
      <w:bookmarkStart w:id="336" w:name="_Toc324404835"/>
      <w:bookmarkStart w:id="337" w:name="_Toc152042325"/>
      <w:bookmarkStart w:id="338" w:name="_Toc296602439"/>
      <w:r>
        <w:rPr>
          <w:rFonts w:hint="eastAsia" w:ascii="宋体" w:hAnsi="宋体" w:cs="宋体"/>
          <w:color w:val="auto"/>
          <w:szCs w:val="21"/>
          <w:highlight w:val="none"/>
        </w:rPr>
        <w:t>3.2.1投标报价应包括国家规定的增值税税金，除投标人须知前附表另有规定外，增值税税金按一般计税方法计算。投标人应按第八章“投标文件格式”的要求在投标函中进行报价并填写报酬清单（如有）。</w:t>
      </w:r>
    </w:p>
    <w:p w14:paraId="7869C4B3">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3.2.2投标人应充分了解本项目的总体情况以及影响投标报价的其他要素。</w:t>
      </w:r>
    </w:p>
    <w:p w14:paraId="0CABFB05">
      <w:pPr>
        <w:adjustRightInd w:val="0"/>
        <w:snapToGrid w:val="0"/>
        <w:spacing w:line="440" w:lineRule="exact"/>
        <w:ind w:firstLine="420"/>
        <w:rPr>
          <w:rFonts w:ascii="宋体" w:hAnsi="宋体" w:cs="宋体"/>
          <w:color w:val="auto"/>
          <w:szCs w:val="21"/>
          <w:highlight w:val="none"/>
        </w:rPr>
      </w:pPr>
      <w:r>
        <w:rPr>
          <w:rFonts w:hint="eastAsia" w:ascii="宋体" w:hAnsi="宋体" w:cs="宋体"/>
          <w:color w:val="auto"/>
          <w:szCs w:val="21"/>
          <w:highlight w:val="none"/>
        </w:rPr>
        <w:t>3.2.3投标人在投标截止时间前修改投标函中的投标报价总额（或费率），应同时修改投标文件“报酬清单（如有）”中的相应报价。此修改须符合本章第4.4款的有关要求</w:t>
      </w:r>
    </w:p>
    <w:p w14:paraId="3CC9A930">
      <w:pPr>
        <w:adjustRightInd w:val="0"/>
        <w:snapToGrid w:val="0"/>
        <w:spacing w:line="440" w:lineRule="exact"/>
        <w:ind w:firstLine="420"/>
        <w:rPr>
          <w:rFonts w:cs="Times New Roman"/>
          <w:color w:val="auto"/>
          <w:szCs w:val="24"/>
          <w:highlight w:val="none"/>
        </w:rPr>
      </w:pPr>
      <w:r>
        <w:rPr>
          <w:rFonts w:hint="eastAsia" w:ascii="宋体" w:hAnsi="宋体" w:cs="宋体"/>
          <w:color w:val="auto"/>
          <w:szCs w:val="21"/>
          <w:highlight w:val="none"/>
        </w:rPr>
        <w:t>3.2.4招</w:t>
      </w:r>
      <w:r>
        <w:rPr>
          <w:rFonts w:hint="eastAsia" w:cs="Times New Roman"/>
          <w:color w:val="auto"/>
          <w:szCs w:val="24"/>
          <w:highlight w:val="none"/>
        </w:rPr>
        <w:t>标人设有最高投标限价的，投标人的投标报价不得超过最高投标限价，最高投标限价在投标人须知前附表中载明。</w:t>
      </w:r>
    </w:p>
    <w:p w14:paraId="1F6C5D06">
      <w:pPr>
        <w:adjustRightInd w:val="0"/>
        <w:snapToGrid w:val="0"/>
        <w:spacing w:line="440" w:lineRule="exact"/>
        <w:ind w:firstLine="420" w:firstLineChars="200"/>
        <w:rPr>
          <w:rFonts w:ascii="宋体" w:hAnsi="宋体" w:cs="宋体"/>
          <w:bCs/>
          <w:snapToGrid w:val="0"/>
          <w:color w:val="auto"/>
          <w:kern w:val="0"/>
          <w:szCs w:val="21"/>
          <w:highlight w:val="none"/>
        </w:rPr>
      </w:pPr>
      <w:r>
        <w:rPr>
          <w:rFonts w:hint="eastAsia" w:ascii="宋体" w:hAnsi="宋体" w:cs="宋体"/>
          <w:color w:val="auto"/>
          <w:szCs w:val="24"/>
          <w:highlight w:val="none"/>
        </w:rPr>
        <w:t xml:space="preserve">3.2.5 </w:t>
      </w:r>
      <w:r>
        <w:rPr>
          <w:rFonts w:hint="eastAsia" w:ascii="宋体" w:hAnsi="宋体" w:cs="宋体"/>
          <w:bCs/>
          <w:snapToGrid w:val="0"/>
          <w:color w:val="auto"/>
          <w:kern w:val="0"/>
          <w:szCs w:val="21"/>
          <w:highlight w:val="none"/>
        </w:rPr>
        <w:t>投标报价的其他要求见投标人须知前附表。</w:t>
      </w:r>
    </w:p>
    <w:p w14:paraId="1B3966B4">
      <w:pPr>
        <w:keepNext/>
        <w:keepLines/>
        <w:adjustRightInd w:val="0"/>
        <w:snapToGrid w:val="0"/>
        <w:spacing w:line="440" w:lineRule="exact"/>
        <w:ind w:firstLine="422" w:firstLineChars="200"/>
        <w:outlineLvl w:val="2"/>
        <w:rPr>
          <w:rFonts w:ascii="黑体" w:hAnsi="黑体" w:eastAsia="黑体" w:cs="黑体"/>
          <w:b/>
          <w:bCs/>
          <w:color w:val="auto"/>
          <w:kern w:val="0"/>
          <w:szCs w:val="21"/>
          <w:highlight w:val="none"/>
        </w:rPr>
      </w:pPr>
      <w:bookmarkStart w:id="339" w:name="_Toc83301709"/>
      <w:bookmarkStart w:id="340" w:name="_Toc95223357"/>
      <w:bookmarkStart w:id="341" w:name="_Toc506107288"/>
      <w:bookmarkStart w:id="342" w:name="_Toc60061454"/>
      <w:bookmarkStart w:id="343" w:name="_Toc12890"/>
      <w:bookmarkStart w:id="344" w:name="_Toc16144"/>
      <w:bookmarkStart w:id="345" w:name="_Toc15058866"/>
      <w:r>
        <w:rPr>
          <w:rFonts w:hint="eastAsia" w:ascii="黑体" w:hAnsi="黑体" w:eastAsia="黑体" w:cs="黑体"/>
          <w:b/>
          <w:bCs/>
          <w:color w:val="auto"/>
          <w:kern w:val="0"/>
          <w:szCs w:val="21"/>
          <w:highlight w:val="none"/>
        </w:rPr>
        <w:t>3.3 投标有效期</w:t>
      </w:r>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p>
    <w:p w14:paraId="0425D1B9">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3.3.1 除投标人须知前附表另有规定外，投标有效期为90天。</w:t>
      </w:r>
    </w:p>
    <w:p w14:paraId="39EB60E0">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3.3.2在投标有效期内，投标人撤销或修改其投标文件的，应承担招标文件和法律规定的责任。</w:t>
      </w:r>
    </w:p>
    <w:p w14:paraId="15F053D5">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3.3.3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3FCCDFC8">
      <w:pPr>
        <w:keepNext/>
        <w:keepLines/>
        <w:adjustRightInd w:val="0"/>
        <w:snapToGrid w:val="0"/>
        <w:spacing w:line="440" w:lineRule="exact"/>
        <w:ind w:firstLine="422" w:firstLineChars="200"/>
        <w:outlineLvl w:val="2"/>
        <w:rPr>
          <w:rFonts w:ascii="黑体" w:hAnsi="黑体" w:eastAsia="黑体" w:cs="黑体"/>
          <w:b/>
          <w:bCs/>
          <w:color w:val="auto"/>
          <w:kern w:val="0"/>
          <w:szCs w:val="21"/>
          <w:highlight w:val="none"/>
        </w:rPr>
      </w:pPr>
      <w:bookmarkStart w:id="346" w:name="_Toc152042326"/>
      <w:bookmarkStart w:id="347" w:name="_Toc246996195"/>
      <w:bookmarkStart w:id="348" w:name="_Toc16172"/>
      <w:bookmarkStart w:id="349" w:name="_Toc296602440"/>
      <w:bookmarkStart w:id="350" w:name="_Toc95223358"/>
      <w:bookmarkStart w:id="351" w:name="_Toc10625"/>
      <w:bookmarkStart w:id="352" w:name="_Toc247085709"/>
      <w:bookmarkStart w:id="353" w:name="_Toc152045550"/>
      <w:bookmarkStart w:id="354" w:name="_Toc506107289"/>
      <w:bookmarkStart w:id="355" w:name="_Toc83301710"/>
      <w:bookmarkStart w:id="356" w:name="_Toc60061455"/>
      <w:bookmarkStart w:id="357" w:name="_Toc324404836"/>
      <w:bookmarkStart w:id="358" w:name="_Toc179632568"/>
      <w:bookmarkStart w:id="359" w:name="_Toc144974518"/>
      <w:bookmarkStart w:id="360" w:name="_Toc246996938"/>
      <w:bookmarkStart w:id="361" w:name="_Toc15058867"/>
      <w:r>
        <w:rPr>
          <w:rFonts w:hint="eastAsia" w:ascii="黑体" w:hAnsi="黑体" w:eastAsia="黑体" w:cs="黑体"/>
          <w:b/>
          <w:bCs/>
          <w:color w:val="auto"/>
          <w:kern w:val="0"/>
          <w:szCs w:val="21"/>
          <w:highlight w:val="none"/>
        </w:rPr>
        <w:t>3.4 投标保证金</w:t>
      </w:r>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p>
    <w:p w14:paraId="31B1C77C">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3.4.1 投标人须知前附表规定递交投标保证金的，投标人在递交投标文件的同时，应按投标人须知前附表规定的金额、担保形式和第八章“投标文件格式”规定的或者事先经过招标人认可的保证金格式递交保证金，并作为其投标文件的组成部分。联合体投标的，其投标保证金由牵头人递交，并应符合投标人须知前附表的规定。</w:t>
      </w:r>
    </w:p>
    <w:p w14:paraId="0C3EB2FF">
      <w:pPr>
        <w:adjustRightInd w:val="0"/>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 xml:space="preserve">    无论采取何种形式的投标保证金，投标保证金有效期均应与投标有效期一致（</w:t>
      </w:r>
      <w:r>
        <w:rPr>
          <w:rFonts w:hint="eastAsia" w:cs="Times New Roman"/>
          <w:color w:val="auto"/>
          <w:szCs w:val="24"/>
          <w:highlight w:val="none"/>
        </w:rPr>
        <w:t>采用投标电子保函的保证期截止时间不得早于该项目投标有效期的截止时间</w:t>
      </w:r>
      <w:r>
        <w:rPr>
          <w:rFonts w:hint="eastAsia" w:ascii="宋体" w:hAnsi="宋体" w:cs="宋体"/>
          <w:color w:val="auto"/>
          <w:szCs w:val="21"/>
          <w:highlight w:val="none"/>
        </w:rPr>
        <w:t>）。招标人如果按本章第 3.3.3 项的规定延长了投标有效期，则投标保证金的有效期也相应延长。</w:t>
      </w:r>
    </w:p>
    <w:p w14:paraId="5C659709">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3.4.2 投标人不按本章第3.4.1项要求提交投标保证金的，评标委员会将否决其投标。</w:t>
      </w:r>
    </w:p>
    <w:p w14:paraId="4060092A">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3.4.3 最迟在书面合同签订后5日内向中标人和未中标的投标人退还投标保证金。</w:t>
      </w:r>
    </w:p>
    <w:p w14:paraId="3F4C6261">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3.4.4 有下列情形之一的，投标保证金将不予退还： </w:t>
      </w:r>
    </w:p>
    <w:p w14:paraId="70670012">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（1）投标截止后投标人撤销投标文件的；</w:t>
      </w:r>
    </w:p>
    <w:p w14:paraId="3A7AB4C4">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（2）中标人无正当理由不与招标人订立合同，在签订合同时向招标人提出附加条件，或者不按照招标文件要求提交履约保证金的。</w:t>
      </w:r>
    </w:p>
    <w:p w14:paraId="1075915B">
      <w:pPr>
        <w:keepNext/>
        <w:keepLines/>
        <w:adjustRightInd w:val="0"/>
        <w:snapToGrid w:val="0"/>
        <w:spacing w:line="440" w:lineRule="exact"/>
        <w:ind w:firstLine="422" w:firstLineChars="200"/>
        <w:outlineLvl w:val="2"/>
        <w:rPr>
          <w:rFonts w:ascii="黑体" w:hAnsi="黑体" w:eastAsia="黑体" w:cs="黑体"/>
          <w:b/>
          <w:bCs/>
          <w:color w:val="auto"/>
          <w:kern w:val="0"/>
          <w:szCs w:val="21"/>
          <w:highlight w:val="none"/>
        </w:rPr>
      </w:pPr>
      <w:bookmarkStart w:id="362" w:name="_Toc15838"/>
      <w:bookmarkStart w:id="363" w:name="_Toc9336"/>
      <w:bookmarkStart w:id="364" w:name="_Toc60061456"/>
      <w:bookmarkStart w:id="365" w:name="_Toc324404837"/>
      <w:bookmarkStart w:id="366" w:name="_Toc506107290"/>
      <w:bookmarkStart w:id="367" w:name="_Toc83301711"/>
      <w:bookmarkStart w:id="368" w:name="_Toc296602442"/>
      <w:bookmarkStart w:id="369" w:name="_Toc15058868"/>
      <w:bookmarkStart w:id="370" w:name="_Toc95223359"/>
      <w:bookmarkStart w:id="371" w:name="_Toc152045553"/>
      <w:bookmarkStart w:id="372" w:name="_Toc246996940"/>
      <w:bookmarkStart w:id="373" w:name="_Toc144974521"/>
      <w:bookmarkStart w:id="374" w:name="_Toc152042329"/>
      <w:bookmarkStart w:id="375" w:name="_Toc179632571"/>
      <w:bookmarkStart w:id="376" w:name="_Toc247085711"/>
      <w:bookmarkStart w:id="377" w:name="_Toc246996197"/>
      <w:r>
        <w:rPr>
          <w:rFonts w:hint="eastAsia" w:ascii="黑体" w:hAnsi="黑体" w:eastAsia="黑体" w:cs="黑体"/>
          <w:b/>
          <w:bCs/>
          <w:color w:val="auto"/>
          <w:kern w:val="0"/>
          <w:szCs w:val="21"/>
          <w:highlight w:val="none"/>
        </w:rPr>
        <w:t>3.5投标文件的编制</w:t>
      </w:r>
      <w:bookmarkEnd w:id="362"/>
      <w:bookmarkEnd w:id="363"/>
      <w:bookmarkEnd w:id="364"/>
      <w:bookmarkEnd w:id="365"/>
      <w:bookmarkEnd w:id="366"/>
      <w:bookmarkEnd w:id="367"/>
      <w:bookmarkEnd w:id="368"/>
      <w:bookmarkEnd w:id="369"/>
      <w:bookmarkEnd w:id="370"/>
    </w:p>
    <w:p w14:paraId="095614D9">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3.5.1投标文件应按第八章“投标文件格式”进行编写，如有必要，可以增加附页，作为投标文件的组成部分。其中，投标函在满足招标文件实质性要求的基础上，可以提出比招标文件要求更有利于招标人的承诺。施工组织设计编制的特殊要求见投标人须知前附表。</w:t>
      </w:r>
    </w:p>
    <w:p w14:paraId="466A7291">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3.5.2本次投标不需要提供纸质投标文件，投标人应按照电子招标投标的要求，在投标人的电子系统中制作、签章、上传加密的电子投标文件。</w:t>
      </w:r>
    </w:p>
    <w:p w14:paraId="7CBA052E">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3.5.3 投标文件应当对招标文件有关服务期限、投标有效期、质量要求、委托人要求、招标范围等实质性内容作出响应。</w:t>
      </w:r>
    </w:p>
    <w:bookmarkEnd w:id="371"/>
    <w:bookmarkEnd w:id="372"/>
    <w:bookmarkEnd w:id="373"/>
    <w:bookmarkEnd w:id="374"/>
    <w:bookmarkEnd w:id="375"/>
    <w:bookmarkEnd w:id="376"/>
    <w:bookmarkEnd w:id="377"/>
    <w:p w14:paraId="0765B41E">
      <w:pPr>
        <w:adjustRightInd w:val="0"/>
        <w:snapToGrid w:val="0"/>
        <w:spacing w:line="440" w:lineRule="exact"/>
        <w:ind w:firstLine="420" w:firstLineChars="200"/>
        <w:rPr>
          <w:rFonts w:ascii="宋体" w:hAnsi="宋体" w:cs="宋体"/>
          <w:bCs/>
          <w:snapToGrid w:val="0"/>
          <w:color w:val="auto"/>
          <w:kern w:val="0"/>
          <w:szCs w:val="21"/>
          <w:highlight w:val="none"/>
        </w:rPr>
      </w:pPr>
      <w:bookmarkStart w:id="378" w:name="_Toc246996942"/>
      <w:bookmarkStart w:id="379" w:name="_Toc179632573"/>
      <w:bookmarkStart w:id="380" w:name="_Toc247085713"/>
      <w:bookmarkStart w:id="381" w:name="_Toc324404838"/>
      <w:bookmarkStart w:id="382" w:name="_Toc144974523"/>
      <w:bookmarkStart w:id="383" w:name="_Toc152045555"/>
      <w:bookmarkStart w:id="384" w:name="_Toc246996199"/>
      <w:bookmarkStart w:id="385" w:name="_Toc152042331"/>
      <w:r>
        <w:rPr>
          <w:rFonts w:hint="eastAsia" w:ascii="宋体" w:hAnsi="宋体" w:cs="宋体"/>
          <w:bCs/>
          <w:snapToGrid w:val="0"/>
          <w:color w:val="auto"/>
          <w:kern w:val="0"/>
          <w:szCs w:val="21"/>
          <w:highlight w:val="none"/>
        </w:rPr>
        <w:t>3.5.4 投标人须知前附表规定接受联合体投标的，资格审查资料应包括联合体各方相关情况。</w:t>
      </w:r>
    </w:p>
    <w:p w14:paraId="63BBA6DB">
      <w:pPr>
        <w:adjustRightInd w:val="0"/>
        <w:snapToGrid w:val="0"/>
        <w:spacing w:line="440" w:lineRule="exact"/>
        <w:ind w:firstLine="420" w:firstLineChars="200"/>
        <w:rPr>
          <w:rFonts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3.5.5招标人有权核查投标人在投标文件中提供的资料，若发现投标人以他人名义投标或者以其他方式弄虚作假骗取中标的，中标无效；</w:t>
      </w:r>
      <w:r>
        <w:rPr>
          <w:rFonts w:hint="eastAsia" w:ascii="宋体" w:hAnsi="宋体" w:cs="宋体"/>
          <w:b/>
          <w:snapToGrid w:val="0"/>
          <w:color w:val="auto"/>
          <w:kern w:val="0"/>
          <w:szCs w:val="21"/>
          <w:highlight w:val="none"/>
        </w:rPr>
        <w:t>如果签订合同后发现中标人提供了虚假材料，招标人有权解除合同</w:t>
      </w:r>
      <w:r>
        <w:rPr>
          <w:rFonts w:hint="eastAsia" w:ascii="宋体" w:hAnsi="宋体" w:cs="宋体"/>
          <w:bCs/>
          <w:snapToGrid w:val="0"/>
          <w:color w:val="auto"/>
          <w:kern w:val="0"/>
          <w:szCs w:val="21"/>
          <w:highlight w:val="none"/>
        </w:rPr>
        <w:t>。</w:t>
      </w:r>
    </w:p>
    <w:p w14:paraId="30FD1619">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3.5.6投标文件的制作应满足以下规定：</w:t>
      </w:r>
    </w:p>
    <w:p w14:paraId="78457E31">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（1）投标文件由投标人使用电子交易系统提供的“投标文件制作软件”制作生成。“投标文件制作软件”可以通过电子交易系统下载。</w:t>
      </w:r>
    </w:p>
    <w:p w14:paraId="1D071816">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b/>
          <w:color w:val="auto"/>
          <w:szCs w:val="21"/>
          <w:highlight w:val="none"/>
        </w:rPr>
        <w:t>招标文件中“签章”是指签字或盖章。</w:t>
      </w:r>
      <w:r>
        <w:rPr>
          <w:rFonts w:hint="eastAsia" w:ascii="宋体" w:hAnsi="宋体" w:cs="宋体"/>
          <w:color w:val="auto"/>
          <w:szCs w:val="21"/>
          <w:highlight w:val="none"/>
        </w:rPr>
        <w:t>在第八章“投标文件格式”中要求签章处，投标人应加盖投标人单位电子印章和法定代表人的个人电子印章/电子签名章或直接上传加盖投标人单位印章和法定代表人的印章（或签字）的原件彩色扫描件。联合体投标的，除联合体协议书外， 投标文件由联合体牵头人按上述规定加盖联合体牵头人单位电子印章和法定代表人的个人电子印章/电子签名章或直接上传加盖联合体牵头人单位印章和法定代表人的印章（或签字）的原件彩色扫描件。</w:t>
      </w:r>
    </w:p>
    <w:p w14:paraId="3433C841">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投标文件制作完成后，投标人应对投标文件进行文件加密，形成加密的投标文件。采用CA数字证书加密的，加密时投标文件的所有内容均只能使用同一把CA数字证书进行加密，否则引起的解密失败责任由投标人自行承担。</w:t>
      </w:r>
    </w:p>
    <w:p w14:paraId="41962B4C">
      <w:pPr>
        <w:adjustRightInd w:val="0"/>
        <w:snapToGrid w:val="0"/>
        <w:spacing w:line="44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3.5.7 因投标人自身原因而导致投标文件无法导入电子交易系统电子开标、评标系统，该投标视为无效投标，投标人自行承担由此导致的全部责任。</w:t>
      </w:r>
    </w:p>
    <w:p w14:paraId="3907D99A">
      <w:pPr>
        <w:adjustRightInd w:val="0"/>
        <w:snapToGrid w:val="0"/>
        <w:spacing w:line="44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3.5.8 投标人中标后须递交与网上电子投标文件完全一致的纸质版投标文件，在领取中标通知书时，一并递交给招标代理机构。</w:t>
      </w:r>
    </w:p>
    <w:p w14:paraId="7D33BE5C">
      <w:pPr>
        <w:keepNext/>
        <w:keepLines/>
        <w:adjustRightInd w:val="0"/>
        <w:snapToGrid w:val="0"/>
        <w:spacing w:line="440" w:lineRule="exact"/>
        <w:ind w:firstLine="422" w:firstLineChars="200"/>
        <w:outlineLvl w:val="2"/>
        <w:rPr>
          <w:rFonts w:ascii="黑体" w:hAnsi="黑体" w:eastAsia="黑体" w:cs="黑体"/>
          <w:b/>
          <w:bCs/>
          <w:color w:val="auto"/>
          <w:kern w:val="0"/>
          <w:szCs w:val="21"/>
          <w:highlight w:val="none"/>
        </w:rPr>
      </w:pPr>
      <w:bookmarkStart w:id="386" w:name="_Toc29222"/>
      <w:bookmarkStart w:id="387" w:name="_Toc9473"/>
      <w:r>
        <w:rPr>
          <w:rFonts w:hint="eastAsia" w:ascii="黑体" w:hAnsi="黑体" w:eastAsia="黑体" w:cs="黑体"/>
          <w:b/>
          <w:bCs/>
          <w:color w:val="auto"/>
          <w:kern w:val="0"/>
          <w:szCs w:val="21"/>
          <w:highlight w:val="none"/>
        </w:rPr>
        <w:t>3.6 备选投标方案</w:t>
      </w:r>
      <w:bookmarkEnd w:id="386"/>
      <w:bookmarkEnd w:id="387"/>
    </w:p>
    <w:p w14:paraId="451AD252">
      <w:pPr>
        <w:adjustRightInd w:val="0"/>
        <w:snapToGrid w:val="0"/>
        <w:spacing w:line="440" w:lineRule="exact"/>
        <w:ind w:firstLine="420" w:firstLineChars="200"/>
        <w:rPr>
          <w:rFonts w:ascii="宋体" w:hAnsi="宋体" w:cs="宋体"/>
          <w:color w:val="auto"/>
          <w:szCs w:val="24"/>
          <w:highlight w:val="none"/>
        </w:rPr>
      </w:pPr>
      <w:r>
        <w:rPr>
          <w:rFonts w:hint="eastAsia" w:ascii="宋体" w:hAnsi="宋体" w:cs="宋体"/>
          <w:color w:val="auto"/>
          <w:szCs w:val="24"/>
          <w:highlight w:val="none"/>
        </w:rPr>
        <w:t xml:space="preserve">3.6.1 </w:t>
      </w:r>
      <w:r>
        <w:rPr>
          <w:rFonts w:hint="eastAsia" w:ascii="宋体" w:hAnsi="宋体" w:cs="宋体"/>
          <w:bCs/>
          <w:snapToGrid w:val="0"/>
          <w:color w:val="auto"/>
          <w:kern w:val="0"/>
          <w:szCs w:val="21"/>
          <w:highlight w:val="none"/>
        </w:rPr>
        <w:t>除投标人须知前附表规定允许外，投标人不得递交备选投标方案，否则其投标将被否决。</w:t>
      </w:r>
    </w:p>
    <w:p w14:paraId="31037A38">
      <w:pPr>
        <w:adjustRightInd w:val="0"/>
        <w:snapToGrid w:val="0"/>
        <w:spacing w:line="440" w:lineRule="exact"/>
        <w:ind w:firstLine="420" w:firstLineChars="200"/>
        <w:rPr>
          <w:rFonts w:ascii="宋体" w:hAnsi="宋体" w:cs="宋体"/>
          <w:color w:val="auto"/>
          <w:szCs w:val="24"/>
          <w:highlight w:val="none"/>
        </w:rPr>
      </w:pPr>
      <w:r>
        <w:rPr>
          <w:rFonts w:hint="eastAsia" w:ascii="宋体" w:hAnsi="宋体" w:cs="宋体"/>
          <w:color w:val="auto"/>
          <w:szCs w:val="24"/>
          <w:highlight w:val="none"/>
        </w:rPr>
        <w:t xml:space="preserve">3.6.2 </w:t>
      </w:r>
      <w:r>
        <w:rPr>
          <w:rFonts w:hint="eastAsia" w:ascii="宋体" w:hAnsi="宋体" w:cs="宋体"/>
          <w:bCs/>
          <w:snapToGrid w:val="0"/>
          <w:color w:val="auto"/>
          <w:kern w:val="0"/>
          <w:szCs w:val="21"/>
          <w:highlight w:val="none"/>
        </w:rPr>
        <w:t>允许投标人递交备选投标方案的，只有中标人所递交的备选投标方案方可予以考虑。评标委员会认为中标人的备选投标方案优于其按照招标文件要求编制的投标方案的，招标人可以接受该备选投标方案。</w:t>
      </w:r>
    </w:p>
    <w:p w14:paraId="6D74756E">
      <w:pPr>
        <w:adjustRightInd w:val="0"/>
        <w:snapToGrid w:val="0"/>
        <w:spacing w:line="440" w:lineRule="exact"/>
        <w:ind w:firstLine="420" w:firstLineChars="200"/>
        <w:rPr>
          <w:rFonts w:ascii="宋体" w:hAnsi="宋体" w:cs="宋体"/>
          <w:bCs/>
          <w:snapToGrid w:val="0"/>
          <w:color w:val="auto"/>
          <w:kern w:val="0"/>
          <w:szCs w:val="21"/>
          <w:highlight w:val="none"/>
        </w:rPr>
      </w:pPr>
      <w:r>
        <w:rPr>
          <w:rFonts w:hint="eastAsia" w:ascii="宋体" w:hAnsi="宋体" w:cs="宋体"/>
          <w:color w:val="auto"/>
          <w:szCs w:val="24"/>
          <w:highlight w:val="none"/>
        </w:rPr>
        <w:t xml:space="preserve">3.6.3 </w:t>
      </w:r>
      <w:r>
        <w:rPr>
          <w:rFonts w:hint="eastAsia" w:ascii="宋体" w:hAnsi="宋体" w:cs="宋体"/>
          <w:bCs/>
          <w:snapToGrid w:val="0"/>
          <w:color w:val="auto"/>
          <w:kern w:val="0"/>
          <w:szCs w:val="21"/>
          <w:highlight w:val="none"/>
        </w:rPr>
        <w:t>投标人提供两个或两个以上投标报价，或在投标文件中提供一个报价，但同时提供两个或两个以上施工组织设计的，视为提供备选方案。</w:t>
      </w:r>
    </w:p>
    <w:p w14:paraId="27C9FAEB">
      <w:pPr>
        <w:keepNext/>
        <w:keepLines/>
        <w:adjustRightInd w:val="0"/>
        <w:snapToGrid w:val="0"/>
        <w:spacing w:line="440" w:lineRule="exact"/>
        <w:ind w:firstLine="422" w:firstLineChars="200"/>
        <w:outlineLvl w:val="1"/>
        <w:rPr>
          <w:rFonts w:ascii="黑体" w:hAnsi="黑体" w:eastAsia="黑体" w:cs="黑体"/>
          <w:b/>
          <w:bCs/>
          <w:color w:val="auto"/>
          <w:szCs w:val="21"/>
          <w:highlight w:val="none"/>
        </w:rPr>
      </w:pPr>
      <w:bookmarkStart w:id="388" w:name="_Toc95223360"/>
      <w:bookmarkStart w:id="389" w:name="_Toc83301712"/>
      <w:bookmarkStart w:id="390" w:name="_Toc15058869"/>
      <w:bookmarkStart w:id="391" w:name="_Toc31714"/>
      <w:bookmarkStart w:id="392" w:name="_Toc506107291"/>
      <w:bookmarkStart w:id="393" w:name="_Toc60061457"/>
      <w:bookmarkStart w:id="394" w:name="_Toc22288"/>
      <w:r>
        <w:rPr>
          <w:rFonts w:hint="eastAsia" w:ascii="黑体" w:hAnsi="黑体" w:eastAsia="黑体" w:cs="黑体"/>
          <w:b/>
          <w:bCs/>
          <w:color w:val="auto"/>
          <w:szCs w:val="21"/>
          <w:highlight w:val="none"/>
        </w:rPr>
        <w:t>4.投标</w:t>
      </w:r>
      <w:bookmarkEnd w:id="388"/>
      <w:bookmarkEnd w:id="389"/>
      <w:bookmarkEnd w:id="390"/>
      <w:bookmarkEnd w:id="391"/>
      <w:bookmarkEnd w:id="392"/>
      <w:bookmarkEnd w:id="393"/>
      <w:bookmarkEnd w:id="394"/>
    </w:p>
    <w:p w14:paraId="0AABC9E3">
      <w:pPr>
        <w:keepNext/>
        <w:keepLines/>
        <w:adjustRightInd w:val="0"/>
        <w:snapToGrid w:val="0"/>
        <w:spacing w:line="440" w:lineRule="exact"/>
        <w:ind w:firstLine="422" w:firstLineChars="200"/>
        <w:outlineLvl w:val="2"/>
        <w:rPr>
          <w:rFonts w:ascii="黑体" w:hAnsi="黑体" w:cs="黑体"/>
          <w:b/>
          <w:bCs/>
          <w:color w:val="auto"/>
          <w:kern w:val="0"/>
          <w:szCs w:val="21"/>
          <w:highlight w:val="none"/>
        </w:rPr>
      </w:pPr>
      <w:bookmarkStart w:id="395" w:name="_Toc5905"/>
      <w:bookmarkStart w:id="396" w:name="_Toc15076"/>
      <w:bookmarkStart w:id="397" w:name="_Toc95223361"/>
      <w:bookmarkStart w:id="398" w:name="_Toc83301713"/>
      <w:bookmarkStart w:id="399" w:name="_Toc60061458"/>
      <w:bookmarkStart w:id="400" w:name="_Toc15058870"/>
      <w:r>
        <w:rPr>
          <w:rFonts w:hint="eastAsia" w:ascii="黑体" w:hAnsi="黑体" w:eastAsia="黑体" w:cs="黑体"/>
          <w:b/>
          <w:bCs/>
          <w:color w:val="auto"/>
          <w:kern w:val="0"/>
          <w:szCs w:val="21"/>
          <w:highlight w:val="none"/>
        </w:rPr>
        <w:t>4.1投标文件上传</w:t>
      </w:r>
      <w:bookmarkEnd w:id="395"/>
      <w:bookmarkEnd w:id="396"/>
      <w:bookmarkEnd w:id="397"/>
      <w:bookmarkEnd w:id="398"/>
      <w:bookmarkEnd w:id="399"/>
      <w:bookmarkEnd w:id="400"/>
    </w:p>
    <w:p w14:paraId="7B6CCBFF">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4.1.1请投标人通过系统下载投标工具制作投标文件，并利用CA数字证书进行上传投标文件，上传已加密的投标文件，务必通过此方式上传投标文件。</w:t>
      </w:r>
    </w:p>
    <w:p w14:paraId="17DB013B">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4.1.2投标人在投标文件编制、签章、上传过程中如有任何</w:t>
      </w:r>
      <w:r>
        <w:rPr>
          <w:rFonts w:hint="eastAsia" w:ascii="宋体" w:hAnsi="宋体" w:cs="宋体"/>
          <w:color w:val="auto"/>
          <w:szCs w:val="21"/>
          <w:highlight w:val="none"/>
          <w:lang w:eastAsia="zh-CN"/>
        </w:rPr>
        <w:t>操作</w:t>
      </w:r>
      <w:r>
        <w:rPr>
          <w:rFonts w:hint="eastAsia" w:ascii="宋体" w:hAnsi="宋体" w:cs="宋体"/>
          <w:color w:val="auto"/>
          <w:szCs w:val="21"/>
          <w:highlight w:val="none"/>
        </w:rPr>
        <w:t>疑问请及时拨打技术支持服务热线4009280095或者网站首页在线客服。</w:t>
      </w:r>
    </w:p>
    <w:p w14:paraId="47CAF732">
      <w:pPr>
        <w:keepNext/>
        <w:keepLines/>
        <w:adjustRightInd w:val="0"/>
        <w:snapToGrid w:val="0"/>
        <w:spacing w:line="440" w:lineRule="exact"/>
        <w:ind w:firstLine="422" w:firstLineChars="200"/>
        <w:outlineLvl w:val="2"/>
        <w:rPr>
          <w:rFonts w:ascii="黑体" w:hAnsi="黑体" w:eastAsia="黑体" w:cs="黑体"/>
          <w:b/>
          <w:bCs/>
          <w:color w:val="auto"/>
          <w:kern w:val="0"/>
          <w:szCs w:val="21"/>
          <w:highlight w:val="none"/>
        </w:rPr>
      </w:pPr>
      <w:bookmarkStart w:id="401" w:name="_Toc14699"/>
      <w:bookmarkStart w:id="402" w:name="_Toc246996943"/>
      <w:bookmarkStart w:id="403" w:name="_Toc246996200"/>
      <w:bookmarkStart w:id="404" w:name="_Toc152045556"/>
      <w:bookmarkStart w:id="405" w:name="_Toc144974524"/>
      <w:bookmarkStart w:id="406" w:name="_Toc506107292"/>
      <w:bookmarkStart w:id="407" w:name="_Toc324404839"/>
      <w:bookmarkStart w:id="408" w:name="_Toc179632574"/>
      <w:bookmarkStart w:id="409" w:name="_Toc15058871"/>
      <w:bookmarkStart w:id="410" w:name="_Toc247085714"/>
      <w:bookmarkStart w:id="411" w:name="_Toc95223362"/>
      <w:bookmarkStart w:id="412" w:name="_Toc296602444"/>
      <w:bookmarkStart w:id="413" w:name="_Toc152042332"/>
      <w:bookmarkStart w:id="414" w:name="_Toc16621"/>
      <w:bookmarkStart w:id="415" w:name="_Toc60061459"/>
      <w:bookmarkStart w:id="416" w:name="_Toc83301714"/>
      <w:r>
        <w:rPr>
          <w:rFonts w:hint="eastAsia" w:ascii="黑体" w:hAnsi="黑体" w:eastAsia="黑体" w:cs="黑体"/>
          <w:b/>
          <w:bCs/>
          <w:color w:val="auto"/>
          <w:kern w:val="0"/>
          <w:szCs w:val="21"/>
          <w:highlight w:val="none"/>
        </w:rPr>
        <w:t>4.2投标文件的密封和标记</w:t>
      </w:r>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p>
    <w:p w14:paraId="507A0CEF">
      <w:pPr>
        <w:adjustRightInd w:val="0"/>
        <w:snapToGrid w:val="0"/>
        <w:spacing w:line="440" w:lineRule="exact"/>
        <w:ind w:firstLine="420" w:firstLineChars="200"/>
        <w:rPr>
          <w:rFonts w:ascii="宋体" w:hAnsi="宋体" w:cs="宋体"/>
          <w:color w:val="auto"/>
          <w:szCs w:val="21"/>
          <w:highlight w:val="none"/>
        </w:rPr>
      </w:pPr>
      <w:bookmarkStart w:id="417" w:name="_Toc246996201"/>
      <w:bookmarkStart w:id="418" w:name="_Toc246996944"/>
      <w:bookmarkStart w:id="419" w:name="_Toc247085715"/>
      <w:bookmarkStart w:id="420" w:name="_Toc152042333"/>
      <w:bookmarkStart w:id="421" w:name="_Toc144974525"/>
      <w:bookmarkStart w:id="422" w:name="_Toc179632575"/>
      <w:bookmarkStart w:id="423" w:name="_Toc324404840"/>
      <w:bookmarkStart w:id="424" w:name="_Toc296602445"/>
      <w:bookmarkStart w:id="425" w:name="_Toc152045557"/>
      <w:r>
        <w:rPr>
          <w:rFonts w:hint="eastAsia" w:ascii="宋体" w:hAnsi="宋体" w:cs="宋体"/>
          <w:color w:val="auto"/>
          <w:szCs w:val="21"/>
          <w:highlight w:val="none"/>
        </w:rPr>
        <w:t>4.2.1投标文件应按照本章第3.5.6项要求制作并加密，未按要求加密的投标文件将被拒绝接收。以投标人在投标截止时间前网上递交的电子投标文件为准。</w:t>
      </w:r>
    </w:p>
    <w:p w14:paraId="754F0982">
      <w:pPr>
        <w:keepNext/>
        <w:keepLines/>
        <w:adjustRightInd w:val="0"/>
        <w:snapToGrid w:val="0"/>
        <w:spacing w:line="440" w:lineRule="exact"/>
        <w:ind w:firstLine="422" w:firstLineChars="200"/>
        <w:outlineLvl w:val="2"/>
        <w:rPr>
          <w:rFonts w:ascii="黑体" w:hAnsi="黑体" w:eastAsia="黑体" w:cs="黑体"/>
          <w:b/>
          <w:bCs/>
          <w:color w:val="auto"/>
          <w:kern w:val="0"/>
          <w:szCs w:val="21"/>
          <w:highlight w:val="none"/>
        </w:rPr>
      </w:pPr>
      <w:bookmarkStart w:id="426" w:name="_Toc60061460"/>
      <w:bookmarkStart w:id="427" w:name="_Toc23198"/>
      <w:bookmarkStart w:id="428" w:name="_Toc506107293"/>
      <w:bookmarkStart w:id="429" w:name="_Toc110"/>
      <w:bookmarkStart w:id="430" w:name="_Toc83301715"/>
      <w:bookmarkStart w:id="431" w:name="_Toc15058872"/>
      <w:bookmarkStart w:id="432" w:name="_Toc95223363"/>
      <w:r>
        <w:rPr>
          <w:rFonts w:hint="eastAsia" w:ascii="黑体" w:hAnsi="黑体" w:eastAsia="黑体" w:cs="黑体"/>
          <w:b/>
          <w:bCs/>
          <w:color w:val="auto"/>
          <w:kern w:val="0"/>
          <w:szCs w:val="21"/>
          <w:highlight w:val="none"/>
        </w:rPr>
        <w:t>4.3 投标文件的递交</w:t>
      </w:r>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p>
    <w:p w14:paraId="742CB483">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4.3.1 投标人应当在第一章“招标公告”规定的投标截止时间前，将加密投标文件上传至电子交易系统。</w:t>
      </w:r>
    </w:p>
    <w:p w14:paraId="72160231">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4.3.2 除投标人须知前附表另有规定外，投标人所递交的投标文件不予退还。</w:t>
      </w:r>
    </w:p>
    <w:p w14:paraId="515F14B3">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4.3.3 投标人应当在投标截止时间前完成投标文件的网上递交，并可以补充、修改或者撤回投标文件。投标截止时间前未完成投标文件网上递交的，视为撤回投标文件。未按规定加密或投标截止时间后通过网上招标投标系统递交电子投标文件的，电子交易系统应当拒收，投标无效。</w:t>
      </w:r>
    </w:p>
    <w:p w14:paraId="47A9FD74">
      <w:pPr>
        <w:keepNext/>
        <w:keepLines/>
        <w:adjustRightInd w:val="0"/>
        <w:snapToGrid w:val="0"/>
        <w:spacing w:line="440" w:lineRule="exact"/>
        <w:ind w:firstLine="422" w:firstLineChars="200"/>
        <w:outlineLvl w:val="2"/>
        <w:rPr>
          <w:rFonts w:ascii="黑体" w:hAnsi="黑体" w:eastAsia="黑体" w:cs="黑体"/>
          <w:b/>
          <w:bCs/>
          <w:color w:val="auto"/>
          <w:kern w:val="0"/>
          <w:szCs w:val="21"/>
          <w:highlight w:val="none"/>
        </w:rPr>
      </w:pPr>
      <w:bookmarkStart w:id="433" w:name="_Toc179632576"/>
      <w:bookmarkStart w:id="434" w:name="_Toc95223364"/>
      <w:bookmarkStart w:id="435" w:name="_Toc29276"/>
      <w:bookmarkStart w:id="436" w:name="_Toc506107294"/>
      <w:bookmarkStart w:id="437" w:name="_Toc324404841"/>
      <w:bookmarkStart w:id="438" w:name="_Toc152045558"/>
      <w:bookmarkStart w:id="439" w:name="_Toc246996202"/>
      <w:bookmarkStart w:id="440" w:name="_Toc60061461"/>
      <w:bookmarkStart w:id="441" w:name="_Toc144974526"/>
      <w:bookmarkStart w:id="442" w:name="_Toc15058873"/>
      <w:bookmarkStart w:id="443" w:name="_Toc246996945"/>
      <w:bookmarkStart w:id="444" w:name="_Toc296602446"/>
      <w:bookmarkStart w:id="445" w:name="_Toc23201"/>
      <w:bookmarkStart w:id="446" w:name="_Toc83301716"/>
      <w:bookmarkStart w:id="447" w:name="_Toc152042334"/>
      <w:bookmarkStart w:id="448" w:name="_Toc247085716"/>
      <w:r>
        <w:rPr>
          <w:rFonts w:hint="eastAsia" w:ascii="黑体" w:hAnsi="黑体" w:eastAsia="黑体" w:cs="黑体"/>
          <w:b/>
          <w:bCs/>
          <w:color w:val="auto"/>
          <w:kern w:val="0"/>
          <w:szCs w:val="21"/>
          <w:highlight w:val="none"/>
        </w:rPr>
        <w:t>4.4 投标文件的修改与撤回</w:t>
      </w:r>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p>
    <w:p w14:paraId="5F6D3098">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4.4.1在第一章“招标公告”规定的投标截止时间前，投标人可以自行从网上开评标系统撤回已递交的投标文件，并可修改后重新加密上传，开标时以投标截止时间前投标人最终上传的投标文件为准。</w:t>
      </w:r>
    </w:p>
    <w:p w14:paraId="7AEE0ECF">
      <w:pPr>
        <w:keepNext/>
        <w:keepLines/>
        <w:adjustRightInd w:val="0"/>
        <w:snapToGrid w:val="0"/>
        <w:spacing w:line="440" w:lineRule="exact"/>
        <w:ind w:firstLine="422" w:firstLineChars="200"/>
        <w:outlineLvl w:val="1"/>
        <w:rPr>
          <w:rFonts w:ascii="黑体" w:hAnsi="黑体" w:eastAsia="黑体" w:cs="黑体"/>
          <w:b/>
          <w:bCs/>
          <w:color w:val="auto"/>
          <w:szCs w:val="21"/>
          <w:highlight w:val="none"/>
        </w:rPr>
      </w:pPr>
      <w:bookmarkStart w:id="449" w:name="_Toc247085717"/>
      <w:bookmarkStart w:id="450" w:name="_Toc1039"/>
      <w:bookmarkStart w:id="451" w:name="_Toc324404842"/>
      <w:bookmarkStart w:id="452" w:name="_Toc506107295"/>
      <w:bookmarkStart w:id="453" w:name="_Toc95223365"/>
      <w:bookmarkStart w:id="454" w:name="_Toc152042335"/>
      <w:bookmarkStart w:id="455" w:name="_Toc179632577"/>
      <w:bookmarkStart w:id="456" w:name="_Toc246996203"/>
      <w:bookmarkStart w:id="457" w:name="_Toc21014"/>
      <w:bookmarkStart w:id="458" w:name="_Toc152045559"/>
      <w:bookmarkStart w:id="459" w:name="_Toc246996946"/>
      <w:bookmarkStart w:id="460" w:name="_Toc60061462"/>
      <w:bookmarkStart w:id="461" w:name="_Toc144974527"/>
      <w:bookmarkStart w:id="462" w:name="_Toc83301717"/>
      <w:bookmarkStart w:id="463" w:name="_Toc15058874"/>
      <w:r>
        <w:rPr>
          <w:rFonts w:hint="eastAsia" w:ascii="黑体" w:hAnsi="黑体" w:eastAsia="黑体" w:cs="黑体"/>
          <w:b/>
          <w:bCs/>
          <w:color w:val="auto"/>
          <w:szCs w:val="21"/>
          <w:highlight w:val="none"/>
        </w:rPr>
        <w:t>5. 开标</w:t>
      </w:r>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p>
    <w:p w14:paraId="19BB0201">
      <w:pPr>
        <w:keepNext/>
        <w:keepLines/>
        <w:adjustRightInd w:val="0"/>
        <w:snapToGrid w:val="0"/>
        <w:spacing w:line="440" w:lineRule="exact"/>
        <w:ind w:firstLine="422" w:firstLineChars="200"/>
        <w:outlineLvl w:val="2"/>
        <w:rPr>
          <w:rFonts w:ascii="黑体" w:hAnsi="黑体" w:eastAsia="黑体" w:cs="黑体"/>
          <w:b/>
          <w:bCs/>
          <w:color w:val="auto"/>
          <w:kern w:val="0"/>
          <w:szCs w:val="21"/>
          <w:highlight w:val="none"/>
        </w:rPr>
      </w:pPr>
      <w:bookmarkStart w:id="464" w:name="_Toc152042336"/>
      <w:bookmarkStart w:id="465" w:name="_Toc144974528"/>
      <w:bookmarkStart w:id="466" w:name="_Toc95223366"/>
      <w:bookmarkStart w:id="467" w:name="_Toc10494"/>
      <w:bookmarkStart w:id="468" w:name="_Toc179632578"/>
      <w:bookmarkStart w:id="469" w:name="_Toc246996947"/>
      <w:bookmarkStart w:id="470" w:name="_Toc506107296"/>
      <w:bookmarkStart w:id="471" w:name="_Toc15058875"/>
      <w:bookmarkStart w:id="472" w:name="_Toc60061463"/>
      <w:bookmarkStart w:id="473" w:name="_Toc83301718"/>
      <w:bookmarkStart w:id="474" w:name="_Toc9053"/>
      <w:bookmarkStart w:id="475" w:name="_Toc246996204"/>
      <w:bookmarkStart w:id="476" w:name="_Toc152045560"/>
      <w:bookmarkStart w:id="477" w:name="_Toc247085718"/>
      <w:bookmarkStart w:id="478" w:name="_Toc324404843"/>
      <w:bookmarkStart w:id="479" w:name="_Toc296602448"/>
      <w:r>
        <w:rPr>
          <w:rFonts w:hint="eastAsia" w:ascii="黑体" w:hAnsi="黑体" w:eastAsia="黑体" w:cs="黑体"/>
          <w:b/>
          <w:bCs/>
          <w:color w:val="auto"/>
          <w:kern w:val="0"/>
          <w:szCs w:val="21"/>
          <w:highlight w:val="none"/>
        </w:rPr>
        <w:t>5.1 开标时间和地点</w:t>
      </w:r>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p>
    <w:p w14:paraId="36489BEF">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招标人在第一章“招标公告”规定的投标截止时间前（开标时间）和地点</w:t>
      </w:r>
      <w:r>
        <w:rPr>
          <w:rFonts w:hint="eastAsia" w:cs="Times New Roman"/>
          <w:color w:val="auto"/>
          <w:szCs w:val="24"/>
          <w:highlight w:val="none"/>
        </w:rPr>
        <w:t>通过电子交易系统公开开标</w:t>
      </w:r>
      <w:r>
        <w:rPr>
          <w:rFonts w:hint="eastAsia" w:ascii="宋体" w:hAnsi="宋体" w:cs="宋体"/>
          <w:color w:val="auto"/>
          <w:szCs w:val="21"/>
          <w:highlight w:val="none"/>
        </w:rPr>
        <w:t>。</w:t>
      </w:r>
    </w:p>
    <w:p w14:paraId="1A92E2D0">
      <w:pPr>
        <w:keepNext/>
        <w:keepLines/>
        <w:adjustRightInd w:val="0"/>
        <w:snapToGrid w:val="0"/>
        <w:spacing w:line="440" w:lineRule="exact"/>
        <w:ind w:firstLine="422" w:firstLineChars="200"/>
        <w:outlineLvl w:val="2"/>
        <w:rPr>
          <w:rFonts w:ascii="黑体" w:hAnsi="黑体" w:eastAsia="黑体" w:cs="黑体"/>
          <w:b/>
          <w:bCs/>
          <w:color w:val="auto"/>
          <w:kern w:val="0"/>
          <w:szCs w:val="21"/>
          <w:highlight w:val="none"/>
        </w:rPr>
      </w:pPr>
      <w:bookmarkStart w:id="480" w:name="_Toc246996205"/>
      <w:bookmarkStart w:id="481" w:name="_Toc296602449"/>
      <w:bookmarkStart w:id="482" w:name="_Toc179632579"/>
      <w:bookmarkStart w:id="483" w:name="_Toc144974529"/>
      <w:bookmarkStart w:id="484" w:name="_Toc324404844"/>
      <w:bookmarkStart w:id="485" w:name="_Toc95223367"/>
      <w:bookmarkStart w:id="486" w:name="_Toc15058876"/>
      <w:bookmarkStart w:id="487" w:name="_Toc60061464"/>
      <w:bookmarkStart w:id="488" w:name="_Toc27315"/>
      <w:bookmarkStart w:id="489" w:name="_Toc83301719"/>
      <w:bookmarkStart w:id="490" w:name="_Toc247085719"/>
      <w:bookmarkStart w:id="491" w:name="_Toc15900"/>
      <w:bookmarkStart w:id="492" w:name="_Toc246996948"/>
      <w:bookmarkStart w:id="493" w:name="_Toc152042337"/>
      <w:bookmarkStart w:id="494" w:name="_Toc506107297"/>
      <w:bookmarkStart w:id="495" w:name="_Toc152045561"/>
      <w:r>
        <w:rPr>
          <w:rFonts w:hint="eastAsia" w:ascii="黑体" w:hAnsi="黑体" w:eastAsia="黑体" w:cs="黑体"/>
          <w:b/>
          <w:bCs/>
          <w:color w:val="auto"/>
          <w:kern w:val="0"/>
          <w:szCs w:val="21"/>
          <w:highlight w:val="none"/>
        </w:rPr>
        <w:t>5.2 开标程序</w:t>
      </w:r>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p>
    <w:p w14:paraId="101407E1">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主持人按下列程序进行开标：</w:t>
      </w:r>
    </w:p>
    <w:p w14:paraId="6B7EECB2">
      <w:pPr>
        <w:adjustRightInd w:val="0"/>
        <w:snapToGrid w:val="0"/>
        <w:spacing w:line="440" w:lineRule="exact"/>
        <w:ind w:firstLine="420" w:firstLineChars="200"/>
        <w:rPr>
          <w:rFonts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（1）公布在投标截止时间前通过电子交易系统完成投标文件递交的投标人名称；</w:t>
      </w:r>
    </w:p>
    <w:p w14:paraId="7F4B5E13">
      <w:pPr>
        <w:adjustRightInd w:val="0"/>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 xml:space="preserve">    （2）投标人在投标截止时间后在投标人须知前附表规定的解密时间内完成投标文件的解密工作；</w:t>
      </w:r>
    </w:p>
    <w:p w14:paraId="0964F106">
      <w:pPr>
        <w:adjustRightInd w:val="0"/>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 xml:space="preserve">    （3）</w:t>
      </w:r>
      <w:r>
        <w:rPr>
          <w:rFonts w:hint="eastAsia" w:ascii="宋体" w:hAnsi="宋体" w:cs="宋体"/>
          <w:bCs/>
          <w:snapToGrid w:val="0"/>
          <w:color w:val="auto"/>
          <w:kern w:val="0"/>
          <w:szCs w:val="21"/>
          <w:highlight w:val="none"/>
        </w:rPr>
        <w:t>招标人或招标代理机构完成解密工作，导入并读取所有成功解密的投标文件；</w:t>
      </w:r>
    </w:p>
    <w:p w14:paraId="007F18DF">
      <w:pPr>
        <w:adjustRightInd w:val="0"/>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 xml:space="preserve">    （4）按投标人须知前附表规定公布投标人名称、标段名称、投标报价、服务期限及其他内容；</w:t>
      </w:r>
    </w:p>
    <w:p w14:paraId="26E9E480">
      <w:pPr>
        <w:adjustRightInd w:val="0"/>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 xml:space="preserve">    （5）开标结束。</w:t>
      </w:r>
    </w:p>
    <w:bookmarkEnd w:id="378"/>
    <w:bookmarkEnd w:id="379"/>
    <w:bookmarkEnd w:id="380"/>
    <w:bookmarkEnd w:id="381"/>
    <w:bookmarkEnd w:id="382"/>
    <w:bookmarkEnd w:id="383"/>
    <w:bookmarkEnd w:id="384"/>
    <w:bookmarkEnd w:id="385"/>
    <w:p w14:paraId="75EFD2E5">
      <w:pPr>
        <w:keepNext/>
        <w:keepLines/>
        <w:adjustRightInd w:val="0"/>
        <w:snapToGrid w:val="0"/>
        <w:spacing w:line="440" w:lineRule="exact"/>
        <w:ind w:firstLine="422" w:firstLineChars="200"/>
        <w:outlineLvl w:val="2"/>
        <w:rPr>
          <w:rFonts w:ascii="黑体" w:hAnsi="黑体" w:eastAsia="黑体" w:cs="黑体"/>
          <w:b/>
          <w:bCs/>
          <w:color w:val="auto"/>
          <w:kern w:val="0"/>
          <w:szCs w:val="21"/>
          <w:highlight w:val="none"/>
        </w:rPr>
      </w:pPr>
      <w:bookmarkStart w:id="496" w:name="_Toc31793"/>
      <w:bookmarkStart w:id="497" w:name="_Toc324404845"/>
      <w:bookmarkStart w:id="498" w:name="_Toc60061465"/>
      <w:bookmarkStart w:id="499" w:name="_Toc296602450"/>
      <w:bookmarkStart w:id="500" w:name="_Toc32166"/>
      <w:bookmarkStart w:id="501" w:name="_Toc95223368"/>
      <w:bookmarkStart w:id="502" w:name="_Toc506107298"/>
      <w:bookmarkStart w:id="503" w:name="_Toc83301720"/>
      <w:bookmarkStart w:id="504" w:name="_Toc15058883"/>
      <w:r>
        <w:rPr>
          <w:rFonts w:hint="eastAsia" w:ascii="黑体" w:hAnsi="黑体" w:eastAsia="黑体" w:cs="黑体"/>
          <w:b/>
          <w:bCs/>
          <w:color w:val="auto"/>
          <w:kern w:val="0"/>
          <w:szCs w:val="21"/>
          <w:highlight w:val="none"/>
        </w:rPr>
        <w:t>5.3 开标异议</w:t>
      </w:r>
      <w:bookmarkEnd w:id="496"/>
      <w:bookmarkEnd w:id="497"/>
      <w:bookmarkEnd w:id="498"/>
      <w:bookmarkEnd w:id="499"/>
      <w:bookmarkEnd w:id="500"/>
      <w:bookmarkEnd w:id="501"/>
      <w:bookmarkEnd w:id="502"/>
      <w:bookmarkEnd w:id="503"/>
      <w:bookmarkEnd w:id="504"/>
    </w:p>
    <w:p w14:paraId="0C7AA314">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投标人对开标有异议的，应当在开标过程中提出，招标人在开标过程中作出答复，并制作记录。</w:t>
      </w:r>
      <w:r>
        <w:rPr>
          <w:rFonts w:hint="eastAsia" w:cs="Times New Roman"/>
          <w:color w:val="auto"/>
          <w:spacing w:val="-5"/>
          <w:szCs w:val="24"/>
          <w:highlight w:val="none"/>
        </w:rPr>
        <w:t>异议与答复应通过电子交易系统进行。</w:t>
      </w:r>
    </w:p>
    <w:p w14:paraId="57CEE625">
      <w:pPr>
        <w:keepNext/>
        <w:keepLines/>
        <w:adjustRightInd w:val="0"/>
        <w:snapToGrid w:val="0"/>
        <w:spacing w:line="440" w:lineRule="exact"/>
        <w:ind w:firstLine="422" w:firstLineChars="200"/>
        <w:outlineLvl w:val="1"/>
        <w:rPr>
          <w:rFonts w:ascii="黑体" w:hAnsi="黑体" w:eastAsia="黑体" w:cs="黑体"/>
          <w:b/>
          <w:bCs/>
          <w:color w:val="auto"/>
          <w:szCs w:val="21"/>
          <w:highlight w:val="none"/>
        </w:rPr>
      </w:pPr>
      <w:bookmarkStart w:id="505" w:name="_Toc95223369"/>
      <w:bookmarkStart w:id="506" w:name="_Toc179632580"/>
      <w:bookmarkStart w:id="507" w:name="_Toc152045562"/>
      <w:bookmarkStart w:id="508" w:name="_Toc10455"/>
      <w:bookmarkStart w:id="509" w:name="_Toc324404846"/>
      <w:bookmarkStart w:id="510" w:name="_Toc246996206"/>
      <w:bookmarkStart w:id="511" w:name="_Toc16350"/>
      <w:bookmarkStart w:id="512" w:name="_Toc247085720"/>
      <w:bookmarkStart w:id="513" w:name="_Toc144974530"/>
      <w:bookmarkStart w:id="514" w:name="_Toc83301721"/>
      <w:bookmarkStart w:id="515" w:name="_Toc60061466"/>
      <w:bookmarkStart w:id="516" w:name="_Toc246996949"/>
      <w:bookmarkStart w:id="517" w:name="_Toc506107299"/>
      <w:bookmarkStart w:id="518" w:name="_Toc152042338"/>
      <w:bookmarkStart w:id="519" w:name="_Toc15058884"/>
      <w:r>
        <w:rPr>
          <w:rFonts w:hint="eastAsia" w:ascii="黑体" w:hAnsi="黑体" w:eastAsia="黑体" w:cs="黑体"/>
          <w:b/>
          <w:bCs/>
          <w:color w:val="auto"/>
          <w:szCs w:val="21"/>
          <w:highlight w:val="none"/>
        </w:rPr>
        <w:t>6. 评标</w:t>
      </w:r>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p>
    <w:p w14:paraId="375FF5E7">
      <w:pPr>
        <w:keepNext/>
        <w:keepLines/>
        <w:adjustRightInd w:val="0"/>
        <w:snapToGrid w:val="0"/>
        <w:spacing w:line="440" w:lineRule="exact"/>
        <w:ind w:firstLine="422" w:firstLineChars="200"/>
        <w:outlineLvl w:val="2"/>
        <w:rPr>
          <w:rFonts w:ascii="黑体" w:hAnsi="黑体" w:eastAsia="黑体" w:cs="黑体"/>
          <w:b/>
          <w:bCs/>
          <w:color w:val="auto"/>
          <w:kern w:val="0"/>
          <w:szCs w:val="21"/>
          <w:highlight w:val="none"/>
        </w:rPr>
      </w:pPr>
      <w:bookmarkStart w:id="520" w:name="_Toc9776"/>
      <w:bookmarkStart w:id="521" w:name="_Toc95223370"/>
      <w:bookmarkStart w:id="522" w:name="_Toc152042339"/>
      <w:bookmarkStart w:id="523" w:name="_Toc179632581"/>
      <w:bookmarkStart w:id="524" w:name="_Toc246996207"/>
      <w:bookmarkStart w:id="525" w:name="_Toc324404847"/>
      <w:bookmarkStart w:id="526" w:name="_Toc152045563"/>
      <w:bookmarkStart w:id="527" w:name="_Toc246996950"/>
      <w:bookmarkStart w:id="528" w:name="_Toc144974531"/>
      <w:bookmarkStart w:id="529" w:name="_Toc15058885"/>
      <w:bookmarkStart w:id="530" w:name="_Toc60061467"/>
      <w:bookmarkStart w:id="531" w:name="_Toc506107300"/>
      <w:bookmarkStart w:id="532" w:name="_Toc296602452"/>
      <w:bookmarkStart w:id="533" w:name="_Toc247085721"/>
      <w:bookmarkStart w:id="534" w:name="_Toc83301722"/>
      <w:bookmarkStart w:id="535" w:name="_Toc4260"/>
      <w:r>
        <w:rPr>
          <w:rFonts w:hint="eastAsia" w:ascii="黑体" w:hAnsi="黑体" w:eastAsia="黑体" w:cs="黑体"/>
          <w:b/>
          <w:bCs/>
          <w:color w:val="auto"/>
          <w:kern w:val="0"/>
          <w:szCs w:val="21"/>
          <w:highlight w:val="none"/>
        </w:rPr>
        <w:t>6.1 评标委员会</w:t>
      </w:r>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p>
    <w:p w14:paraId="77697E4C">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251F3295">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6.1.2 评标委员会成员有下列情形之一的，应当回避：</w:t>
      </w:r>
    </w:p>
    <w:p w14:paraId="38E4331B">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（1）项目主管部门或行政监督管理部门，项目属地的公共资源交易综合管理部门、交易中心的工作人员； </w:t>
      </w:r>
    </w:p>
    <w:p w14:paraId="25895665">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（2）与竞争主体主要负责人或者授权参与交易的代理人有近亲属关系的人员； </w:t>
      </w:r>
    </w:p>
    <w:p w14:paraId="20C43463">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（3）竞争主体的工作人员或者退休人员； </w:t>
      </w:r>
    </w:p>
    <w:p w14:paraId="221A8FAF">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（4）竞争主体的上级主管、控股或者被控股单位等相关利害关系的人员，或任职单位与竞争主体单位为同一法定代表人的； </w:t>
      </w:r>
    </w:p>
    <w:p w14:paraId="7006FE9E">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（5）存在其他法定回避情形的。</w:t>
      </w:r>
    </w:p>
    <w:p w14:paraId="5762EFA1">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评标委员会或评审机构成员有前两款规定情形的，应当主动提出回避；已经进入的应当更换，被更换的成员评标评审意见无效。 </w:t>
      </w:r>
    </w:p>
    <w:p w14:paraId="098FD3A0">
      <w:pPr>
        <w:adjustRightInd w:val="0"/>
        <w:snapToGrid w:val="0"/>
        <w:spacing w:line="440" w:lineRule="exact"/>
        <w:ind w:firstLine="420" w:firstLineChars="200"/>
        <w:rPr>
          <w:rFonts w:cs="Times New Roman"/>
          <w:color w:val="auto"/>
          <w:szCs w:val="24"/>
          <w:highlight w:val="none"/>
        </w:rPr>
      </w:pPr>
      <w:r>
        <w:rPr>
          <w:rFonts w:hint="eastAsia" w:ascii="宋体" w:hAnsi="宋体" w:cs="宋体"/>
          <w:color w:val="auto"/>
          <w:szCs w:val="21"/>
          <w:highlight w:val="none"/>
        </w:rPr>
        <w:t>6.1.3评标过程中，评标委员会成员有回避事由、擅离职守或因健康等原因不能继续评标的， 招标人有权更换。被更换的评标委员会成员作出的评审结论无效，由更换后的评标委员会成员重新进行评审。</w:t>
      </w:r>
    </w:p>
    <w:p w14:paraId="6DB65652">
      <w:pPr>
        <w:keepNext/>
        <w:keepLines/>
        <w:adjustRightInd w:val="0"/>
        <w:snapToGrid w:val="0"/>
        <w:spacing w:line="440" w:lineRule="exact"/>
        <w:ind w:firstLine="422" w:firstLineChars="200"/>
        <w:outlineLvl w:val="2"/>
        <w:rPr>
          <w:rFonts w:ascii="黑体" w:hAnsi="黑体" w:eastAsia="黑体" w:cs="黑体"/>
          <w:b/>
          <w:bCs/>
          <w:color w:val="auto"/>
          <w:kern w:val="0"/>
          <w:szCs w:val="21"/>
          <w:highlight w:val="none"/>
        </w:rPr>
      </w:pPr>
      <w:bookmarkStart w:id="536" w:name="_Toc324404848"/>
      <w:bookmarkStart w:id="537" w:name="_Toc95223371"/>
      <w:bookmarkStart w:id="538" w:name="_Toc26801"/>
      <w:bookmarkStart w:id="539" w:name="_Toc15058886"/>
      <w:bookmarkStart w:id="540" w:name="_Toc506107301"/>
      <w:bookmarkStart w:id="541" w:name="_Toc247085722"/>
      <w:bookmarkStart w:id="542" w:name="_Toc179632582"/>
      <w:bookmarkStart w:id="543" w:name="_Toc246996951"/>
      <w:bookmarkStart w:id="544" w:name="_Toc20923"/>
      <w:bookmarkStart w:id="545" w:name="_Toc60061468"/>
      <w:bookmarkStart w:id="546" w:name="_Toc83301723"/>
      <w:bookmarkStart w:id="547" w:name="_Toc152045564"/>
      <w:bookmarkStart w:id="548" w:name="_Toc246996208"/>
      <w:bookmarkStart w:id="549" w:name="_Toc296602453"/>
      <w:bookmarkStart w:id="550" w:name="_Toc152042340"/>
      <w:bookmarkStart w:id="551" w:name="_Toc144974532"/>
      <w:r>
        <w:rPr>
          <w:rFonts w:hint="eastAsia" w:ascii="黑体" w:hAnsi="黑体" w:eastAsia="黑体" w:cs="黑体"/>
          <w:b/>
          <w:bCs/>
          <w:color w:val="auto"/>
          <w:kern w:val="0"/>
          <w:szCs w:val="21"/>
          <w:highlight w:val="none"/>
        </w:rPr>
        <w:t>6.2 评标原则</w:t>
      </w:r>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p>
    <w:p w14:paraId="071A86A5">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评标活动遵循公平、公正、科学和择优的原则。</w:t>
      </w:r>
    </w:p>
    <w:p w14:paraId="1FAC2F5A">
      <w:pPr>
        <w:keepNext/>
        <w:keepLines/>
        <w:adjustRightInd w:val="0"/>
        <w:snapToGrid w:val="0"/>
        <w:spacing w:line="440" w:lineRule="exact"/>
        <w:ind w:firstLine="422" w:firstLineChars="200"/>
        <w:outlineLvl w:val="2"/>
        <w:rPr>
          <w:rFonts w:ascii="黑体" w:hAnsi="黑体" w:eastAsia="黑体" w:cs="黑体"/>
          <w:b/>
          <w:bCs/>
          <w:color w:val="auto"/>
          <w:kern w:val="0"/>
          <w:szCs w:val="21"/>
          <w:highlight w:val="none"/>
        </w:rPr>
      </w:pPr>
      <w:bookmarkStart w:id="552" w:name="_Toc247085723"/>
      <w:bookmarkStart w:id="553" w:name="_Toc95223372"/>
      <w:bookmarkStart w:id="554" w:name="_Toc296602454"/>
      <w:bookmarkStart w:id="555" w:name="_Toc506107302"/>
      <w:bookmarkStart w:id="556" w:name="_Toc60061469"/>
      <w:bookmarkStart w:id="557" w:name="_Toc17223"/>
      <w:bookmarkStart w:id="558" w:name="_Toc324404849"/>
      <w:bookmarkStart w:id="559" w:name="_Toc144974533"/>
      <w:bookmarkStart w:id="560" w:name="_Toc26654"/>
      <w:bookmarkStart w:id="561" w:name="_Toc152042341"/>
      <w:bookmarkStart w:id="562" w:name="_Toc15058887"/>
      <w:bookmarkStart w:id="563" w:name="_Toc246996952"/>
      <w:bookmarkStart w:id="564" w:name="_Toc179632583"/>
      <w:bookmarkStart w:id="565" w:name="_Toc152045565"/>
      <w:bookmarkStart w:id="566" w:name="_Toc246996209"/>
      <w:bookmarkStart w:id="567" w:name="_Toc83301724"/>
      <w:r>
        <w:rPr>
          <w:rFonts w:hint="eastAsia" w:ascii="黑体" w:hAnsi="黑体" w:eastAsia="黑体" w:cs="黑体"/>
          <w:b/>
          <w:bCs/>
          <w:color w:val="auto"/>
          <w:kern w:val="0"/>
          <w:szCs w:val="21"/>
          <w:highlight w:val="none"/>
        </w:rPr>
        <w:t>6.3 评标</w:t>
      </w:r>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Start w:id="568" w:name="_Toc324404850"/>
      <w:bookmarkStart w:id="569" w:name="_Toc152042342"/>
      <w:bookmarkStart w:id="570" w:name="_Toc179632584"/>
      <w:bookmarkStart w:id="571" w:name="_Toc144974534"/>
      <w:bookmarkStart w:id="572" w:name="_Toc152045566"/>
      <w:bookmarkStart w:id="573" w:name="_Toc506107303"/>
      <w:bookmarkStart w:id="574" w:name="_Toc246996953"/>
      <w:bookmarkStart w:id="575" w:name="_Toc60061470"/>
      <w:bookmarkStart w:id="576" w:name="_Toc247085724"/>
      <w:bookmarkStart w:id="577" w:name="_Toc246996210"/>
      <w:bookmarkStart w:id="578" w:name="_Toc15058888"/>
      <w:r>
        <w:rPr>
          <w:rFonts w:hint="eastAsia" w:ascii="黑体" w:hAnsi="黑体" w:eastAsia="黑体" w:cs="黑体"/>
          <w:b/>
          <w:bCs/>
          <w:color w:val="auto"/>
          <w:kern w:val="0"/>
          <w:szCs w:val="21"/>
          <w:highlight w:val="none"/>
        </w:rPr>
        <w:t xml:space="preserve">    </w:t>
      </w:r>
    </w:p>
    <w:p w14:paraId="2BA14725">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6.3.1评标委员会按照第四章“评标办法”规定的方法、评审因素、标准和程序对投标文件进行评审。第四章“评标办法”没有规定的方法、评审因素和标准，不作为评标依据。</w:t>
      </w:r>
    </w:p>
    <w:p w14:paraId="653319CD">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6.3.2评标完成后，评标委员会应向招标人提交书面评标报告和中标候选人名单。评标委员会推荐中标候选人的人数见投标人须知前附表。</w:t>
      </w:r>
    </w:p>
    <w:p w14:paraId="7471B29F">
      <w:pPr>
        <w:keepNext/>
        <w:keepLines/>
        <w:adjustRightInd w:val="0"/>
        <w:snapToGrid w:val="0"/>
        <w:spacing w:line="440" w:lineRule="exact"/>
        <w:ind w:firstLine="422" w:firstLineChars="200"/>
        <w:outlineLvl w:val="1"/>
        <w:rPr>
          <w:rFonts w:ascii="黑体" w:hAnsi="黑体" w:eastAsia="黑体" w:cs="黑体"/>
          <w:b/>
          <w:bCs/>
          <w:color w:val="auto"/>
          <w:szCs w:val="21"/>
          <w:highlight w:val="none"/>
        </w:rPr>
      </w:pPr>
      <w:bookmarkStart w:id="579" w:name="_Toc29009"/>
      <w:bookmarkStart w:id="580" w:name="_Toc95223373"/>
      <w:bookmarkStart w:id="581" w:name="_Toc8966"/>
      <w:bookmarkStart w:id="582" w:name="_Toc83301725"/>
      <w:r>
        <w:rPr>
          <w:rFonts w:hint="eastAsia" w:ascii="黑体" w:hAnsi="黑体" w:eastAsia="黑体" w:cs="黑体"/>
          <w:b/>
          <w:bCs/>
          <w:color w:val="auto"/>
          <w:szCs w:val="21"/>
          <w:highlight w:val="none"/>
        </w:rPr>
        <w:t>7. 合同授予</w:t>
      </w:r>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p>
    <w:p w14:paraId="48DE8635">
      <w:pPr>
        <w:keepNext/>
        <w:keepLines/>
        <w:adjustRightInd w:val="0"/>
        <w:snapToGrid w:val="0"/>
        <w:spacing w:line="440" w:lineRule="exact"/>
        <w:ind w:firstLine="422" w:firstLineChars="200"/>
        <w:outlineLvl w:val="2"/>
        <w:rPr>
          <w:rFonts w:ascii="黑体" w:hAnsi="黑体" w:eastAsia="黑体" w:cs="黑体"/>
          <w:b/>
          <w:bCs/>
          <w:color w:val="auto"/>
          <w:kern w:val="0"/>
          <w:szCs w:val="21"/>
          <w:highlight w:val="none"/>
        </w:rPr>
      </w:pPr>
      <w:bookmarkStart w:id="583" w:name="_Toc506107305"/>
      <w:bookmarkStart w:id="584" w:name="_Toc9399"/>
      <w:bookmarkStart w:id="585" w:name="_Toc15058890"/>
      <w:bookmarkStart w:id="586" w:name="_Toc324404852"/>
      <w:bookmarkStart w:id="587" w:name="_Toc95223374"/>
      <w:bookmarkStart w:id="588" w:name="_Toc83301726"/>
      <w:bookmarkStart w:id="589" w:name="_Toc29654"/>
      <w:bookmarkStart w:id="590" w:name="_Toc60061472"/>
      <w:bookmarkStart w:id="591" w:name="_Toc296602457"/>
      <w:r>
        <w:rPr>
          <w:rFonts w:hint="eastAsia" w:ascii="黑体" w:hAnsi="黑体" w:eastAsia="黑体" w:cs="黑体"/>
          <w:b/>
          <w:bCs/>
          <w:color w:val="auto"/>
          <w:kern w:val="0"/>
          <w:szCs w:val="21"/>
          <w:highlight w:val="none"/>
        </w:rPr>
        <w:t>7.1 中标候选人公示</w:t>
      </w:r>
      <w:bookmarkEnd w:id="583"/>
      <w:bookmarkEnd w:id="584"/>
      <w:bookmarkEnd w:id="585"/>
      <w:bookmarkEnd w:id="586"/>
      <w:bookmarkEnd w:id="587"/>
      <w:bookmarkEnd w:id="588"/>
      <w:bookmarkEnd w:id="589"/>
      <w:bookmarkEnd w:id="590"/>
      <w:bookmarkEnd w:id="591"/>
    </w:p>
    <w:p w14:paraId="1BCF7041">
      <w:pPr>
        <w:adjustRightInd w:val="0"/>
        <w:snapToGrid w:val="0"/>
        <w:spacing w:line="440" w:lineRule="exact"/>
        <w:ind w:firstLine="420" w:firstLineChars="200"/>
        <w:rPr>
          <w:rFonts w:ascii="宋体" w:hAnsi="宋体" w:cs="宋体"/>
          <w:color w:val="auto"/>
          <w:szCs w:val="21"/>
          <w:highlight w:val="none"/>
        </w:rPr>
      </w:pPr>
      <w:bookmarkStart w:id="592" w:name="_Toc60061473"/>
      <w:bookmarkStart w:id="593" w:name="_Toc144974536"/>
      <w:bookmarkStart w:id="594" w:name="_Toc246996955"/>
      <w:bookmarkStart w:id="595" w:name="_Toc246996212"/>
      <w:bookmarkStart w:id="596" w:name="_Toc152045568"/>
      <w:bookmarkStart w:id="597" w:name="_Toc324404853"/>
      <w:bookmarkStart w:id="598" w:name="_Toc247085726"/>
      <w:bookmarkStart w:id="599" w:name="_Toc152042344"/>
      <w:bookmarkStart w:id="600" w:name="_Toc179632586"/>
      <w:bookmarkStart w:id="601" w:name="_Toc296602458"/>
      <w:r>
        <w:rPr>
          <w:rFonts w:hint="eastAsia" w:ascii="宋体" w:hAnsi="宋体" w:cs="宋体"/>
          <w:color w:val="auto"/>
          <w:szCs w:val="21"/>
          <w:highlight w:val="none"/>
        </w:rPr>
        <w:t>招标人在收到评标报告之日起3日内，按照投标人须知前附表规定的公示媒介和期限依法公示。中标候选人公示期不得少于3日。</w:t>
      </w:r>
    </w:p>
    <w:p w14:paraId="00122EA8">
      <w:pPr>
        <w:adjustRightInd w:val="0"/>
        <w:snapToGrid w:val="0"/>
        <w:spacing w:line="440" w:lineRule="exact"/>
        <w:ind w:firstLine="422" w:firstLineChars="200"/>
        <w:rPr>
          <w:rFonts w:ascii="黑体" w:hAnsi="黑体" w:eastAsia="黑体" w:cs="黑体"/>
          <w:bCs/>
          <w:color w:val="auto"/>
          <w:kern w:val="0"/>
          <w:szCs w:val="21"/>
          <w:highlight w:val="none"/>
        </w:rPr>
      </w:pPr>
      <w:r>
        <w:rPr>
          <w:rFonts w:hint="eastAsia" w:ascii="黑体" w:hAnsi="黑体" w:eastAsia="黑体" w:cs="黑体"/>
          <w:b/>
          <w:bCs/>
          <w:color w:val="auto"/>
          <w:kern w:val="0"/>
          <w:szCs w:val="21"/>
          <w:highlight w:val="none"/>
        </w:rPr>
        <w:t>7.2 评标结果异议</w:t>
      </w:r>
    </w:p>
    <w:p w14:paraId="5494899E">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投标人或其他利害关系人对评标结果有异议的，应在中标候选人公示期内提出。招标人将在收到异议之日起3日内作出答复；作出答复前，将暂停招标投标活动。</w:t>
      </w:r>
    </w:p>
    <w:p w14:paraId="61706124">
      <w:pPr>
        <w:adjustRightInd w:val="0"/>
        <w:snapToGrid w:val="0"/>
        <w:spacing w:line="440" w:lineRule="exact"/>
        <w:ind w:firstLine="422" w:firstLineChars="200"/>
        <w:rPr>
          <w:rFonts w:ascii="黑体" w:hAnsi="黑体" w:eastAsia="黑体" w:cs="黑体"/>
          <w:b/>
          <w:bCs/>
          <w:color w:val="auto"/>
          <w:kern w:val="0"/>
          <w:szCs w:val="21"/>
          <w:highlight w:val="none"/>
        </w:rPr>
      </w:pPr>
      <w:r>
        <w:rPr>
          <w:rFonts w:hint="eastAsia" w:ascii="黑体" w:hAnsi="黑体" w:eastAsia="黑体" w:cs="黑体"/>
          <w:b/>
          <w:bCs/>
          <w:color w:val="auto"/>
          <w:kern w:val="0"/>
          <w:szCs w:val="21"/>
          <w:highlight w:val="none"/>
        </w:rPr>
        <w:t>7.3 中标候选人履约能力审查</w:t>
      </w:r>
    </w:p>
    <w:p w14:paraId="2F4B9B63">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中标候选人的经营、财务状况发生较大变化或者存在违法行为，招标人认为可能影响其履约能力的，应当在发出中标通知书前由原评标委员会按照招标文件规定的标准和方法审查确认。</w:t>
      </w:r>
    </w:p>
    <w:p w14:paraId="029501BB">
      <w:pPr>
        <w:adjustRightInd w:val="0"/>
        <w:snapToGrid w:val="0"/>
        <w:spacing w:line="440" w:lineRule="exact"/>
        <w:ind w:firstLine="422" w:firstLineChars="200"/>
        <w:rPr>
          <w:rFonts w:ascii="黑体" w:hAnsi="黑体" w:eastAsia="黑体" w:cs="黑体"/>
          <w:b/>
          <w:bCs/>
          <w:color w:val="auto"/>
          <w:kern w:val="0"/>
          <w:szCs w:val="21"/>
          <w:highlight w:val="none"/>
        </w:rPr>
      </w:pPr>
      <w:r>
        <w:rPr>
          <w:rFonts w:hint="eastAsia" w:ascii="黑体" w:hAnsi="黑体" w:eastAsia="黑体" w:cs="黑体"/>
          <w:b/>
          <w:bCs/>
          <w:color w:val="auto"/>
          <w:kern w:val="0"/>
          <w:szCs w:val="21"/>
          <w:highlight w:val="none"/>
        </w:rPr>
        <w:t>7.4 业绩奖项公示</w:t>
      </w:r>
      <w:bookmarkEnd w:id="592"/>
    </w:p>
    <w:p w14:paraId="29701177">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招标人对中标候选人的得分业绩和奖项进行公示。</w:t>
      </w:r>
    </w:p>
    <w:p w14:paraId="4B5AD45B">
      <w:pPr>
        <w:keepNext/>
        <w:keepLines/>
        <w:adjustRightInd w:val="0"/>
        <w:snapToGrid w:val="0"/>
        <w:spacing w:line="440" w:lineRule="exact"/>
        <w:ind w:firstLine="422" w:firstLineChars="200"/>
        <w:outlineLvl w:val="2"/>
        <w:rPr>
          <w:rFonts w:ascii="黑体" w:hAnsi="黑体" w:eastAsia="黑体" w:cs="黑体"/>
          <w:b/>
          <w:bCs/>
          <w:color w:val="auto"/>
          <w:kern w:val="0"/>
          <w:szCs w:val="21"/>
          <w:highlight w:val="none"/>
        </w:rPr>
      </w:pPr>
      <w:bookmarkStart w:id="602" w:name="_Toc83301727"/>
      <w:bookmarkStart w:id="603" w:name="_Toc18867"/>
      <w:bookmarkStart w:id="604" w:name="_Toc11573"/>
      <w:bookmarkStart w:id="605" w:name="_Toc95223375"/>
      <w:bookmarkStart w:id="606" w:name="_Toc60061474"/>
      <w:bookmarkStart w:id="607" w:name="_Toc15058891"/>
      <w:bookmarkStart w:id="608" w:name="_Toc506107306"/>
      <w:r>
        <w:rPr>
          <w:rFonts w:hint="eastAsia" w:ascii="黑体" w:hAnsi="黑体" w:eastAsia="黑体" w:cs="黑体"/>
          <w:b/>
          <w:bCs/>
          <w:color w:val="auto"/>
          <w:kern w:val="0"/>
          <w:szCs w:val="21"/>
          <w:highlight w:val="none"/>
        </w:rPr>
        <w:t>7.5 定标</w:t>
      </w:r>
      <w:bookmarkEnd w:id="602"/>
      <w:bookmarkEnd w:id="603"/>
      <w:bookmarkEnd w:id="604"/>
      <w:bookmarkEnd w:id="605"/>
    </w:p>
    <w:p w14:paraId="76917488">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按照投标人须知前附表的规定</w:t>
      </w:r>
      <w:r>
        <w:rPr>
          <w:rFonts w:hint="eastAsia" w:ascii="宋体" w:hAnsi="宋体" w:cs="宋体"/>
          <w:color w:val="auto"/>
          <w:szCs w:val="21"/>
          <w:highlight w:val="none"/>
          <w:lang w:eastAsia="zh-CN"/>
        </w:rPr>
        <w:t>，由</w:t>
      </w:r>
      <w:r>
        <w:rPr>
          <w:rFonts w:hint="eastAsia" w:ascii="宋体" w:hAnsi="宋体" w:cs="宋体"/>
          <w:color w:val="auto"/>
          <w:szCs w:val="21"/>
          <w:highlight w:val="none"/>
        </w:rPr>
        <w:t>招标人或招标人授权的评标委员会依法确定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45307E91">
      <w:pPr>
        <w:adjustRightInd w:val="0"/>
        <w:snapToGrid w:val="0"/>
        <w:spacing w:line="440" w:lineRule="exact"/>
        <w:ind w:firstLine="422" w:firstLineChars="200"/>
        <w:rPr>
          <w:rFonts w:ascii="黑体" w:hAnsi="黑体" w:eastAsia="黑体" w:cs="黑体"/>
          <w:b/>
          <w:bCs/>
          <w:color w:val="auto"/>
          <w:kern w:val="0"/>
          <w:szCs w:val="21"/>
          <w:highlight w:val="none"/>
        </w:rPr>
      </w:pPr>
      <w:bookmarkStart w:id="609" w:name="_Toc83301728"/>
      <w:bookmarkStart w:id="610" w:name="_Toc95223376"/>
      <w:r>
        <w:rPr>
          <w:rFonts w:hint="eastAsia" w:ascii="黑体" w:hAnsi="黑体" w:eastAsia="黑体" w:cs="黑体"/>
          <w:b/>
          <w:bCs/>
          <w:color w:val="auto"/>
          <w:kern w:val="0"/>
          <w:szCs w:val="21"/>
          <w:highlight w:val="none"/>
        </w:rPr>
        <w:t>7.6 中标通知</w:t>
      </w:r>
      <w:bookmarkEnd w:id="593"/>
      <w:bookmarkEnd w:id="594"/>
      <w:bookmarkEnd w:id="595"/>
      <w:bookmarkEnd w:id="596"/>
      <w:bookmarkEnd w:id="597"/>
      <w:bookmarkEnd w:id="598"/>
      <w:bookmarkEnd w:id="599"/>
      <w:bookmarkEnd w:id="600"/>
      <w:bookmarkEnd w:id="601"/>
      <w:bookmarkEnd w:id="606"/>
      <w:bookmarkEnd w:id="607"/>
      <w:bookmarkEnd w:id="608"/>
      <w:bookmarkEnd w:id="609"/>
      <w:bookmarkEnd w:id="610"/>
    </w:p>
    <w:p w14:paraId="70744F93">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在本招标文件规定的投标有效期内，招标人向中标人发出中标通知书。</w:t>
      </w:r>
    </w:p>
    <w:p w14:paraId="391D9E82">
      <w:pPr>
        <w:keepNext/>
        <w:keepLines/>
        <w:adjustRightInd w:val="0"/>
        <w:snapToGrid w:val="0"/>
        <w:spacing w:line="440" w:lineRule="exact"/>
        <w:ind w:firstLine="422" w:firstLineChars="200"/>
        <w:outlineLvl w:val="2"/>
        <w:rPr>
          <w:rFonts w:ascii="黑体" w:hAnsi="黑体" w:eastAsia="黑体" w:cs="黑体"/>
          <w:b/>
          <w:bCs/>
          <w:color w:val="auto"/>
          <w:kern w:val="0"/>
          <w:szCs w:val="21"/>
          <w:highlight w:val="none"/>
        </w:rPr>
      </w:pPr>
      <w:bookmarkStart w:id="611" w:name="_Toc26080"/>
      <w:bookmarkStart w:id="612" w:name="_Toc95223377"/>
      <w:bookmarkStart w:id="613" w:name="_Toc15515"/>
      <w:r>
        <w:rPr>
          <w:rFonts w:hint="eastAsia" w:ascii="黑体" w:hAnsi="黑体" w:eastAsia="黑体" w:cs="黑体"/>
          <w:b/>
          <w:bCs/>
          <w:color w:val="auto"/>
          <w:kern w:val="0"/>
          <w:szCs w:val="21"/>
          <w:highlight w:val="none"/>
        </w:rPr>
        <w:t>7.7 中标结果公示</w:t>
      </w:r>
      <w:bookmarkEnd w:id="611"/>
      <w:bookmarkEnd w:id="612"/>
      <w:bookmarkEnd w:id="613"/>
    </w:p>
    <w:p w14:paraId="4056AE7A">
      <w:pPr>
        <w:adjustRightInd w:val="0"/>
        <w:snapToGrid w:val="0"/>
        <w:spacing w:line="440" w:lineRule="exact"/>
        <w:ind w:firstLine="420" w:firstLineChars="200"/>
        <w:rPr>
          <w:rFonts w:ascii="宋体" w:hAnsi="宋体" w:cs="宋体"/>
          <w:bCs/>
          <w:snapToGrid w:val="0"/>
          <w:color w:val="auto"/>
          <w:kern w:val="0"/>
          <w:szCs w:val="21"/>
          <w:highlight w:val="none"/>
        </w:rPr>
      </w:pPr>
      <w:r>
        <w:rPr>
          <w:rFonts w:hint="eastAsia" w:ascii="宋体" w:hAnsi="宋体" w:cs="宋体"/>
          <w:color w:val="auto"/>
          <w:szCs w:val="21"/>
          <w:highlight w:val="none"/>
        </w:rPr>
        <w:t>中标候选人公示期满后，发出中标通知书</w:t>
      </w:r>
      <w:r>
        <w:rPr>
          <w:rFonts w:hint="eastAsia" w:ascii="宋体" w:hAnsi="宋体" w:cs="宋体"/>
          <w:bCs/>
          <w:snapToGrid w:val="0"/>
          <w:color w:val="auto"/>
          <w:kern w:val="0"/>
          <w:szCs w:val="21"/>
          <w:highlight w:val="none"/>
        </w:rPr>
        <w:t>。</w:t>
      </w:r>
    </w:p>
    <w:p w14:paraId="58706293">
      <w:pPr>
        <w:keepNext/>
        <w:keepLines/>
        <w:adjustRightInd w:val="0"/>
        <w:snapToGrid w:val="0"/>
        <w:spacing w:line="440" w:lineRule="exact"/>
        <w:ind w:firstLine="422" w:firstLineChars="200"/>
        <w:outlineLvl w:val="2"/>
        <w:rPr>
          <w:rFonts w:ascii="黑体" w:hAnsi="黑体" w:eastAsia="黑体" w:cs="黑体"/>
          <w:b/>
          <w:bCs/>
          <w:color w:val="auto"/>
          <w:kern w:val="0"/>
          <w:szCs w:val="21"/>
          <w:highlight w:val="none"/>
        </w:rPr>
      </w:pPr>
      <w:bookmarkStart w:id="614" w:name="_Toc324404854"/>
      <w:bookmarkStart w:id="615" w:name="_Toc246996956"/>
      <w:bookmarkStart w:id="616" w:name="_Toc15058892"/>
      <w:bookmarkStart w:id="617" w:name="_Toc506107307"/>
      <w:bookmarkStart w:id="618" w:name="_Toc247085727"/>
      <w:bookmarkStart w:id="619" w:name="_Toc246996213"/>
      <w:bookmarkStart w:id="620" w:name="_Toc152045569"/>
      <w:bookmarkStart w:id="621" w:name="_Toc60061476"/>
      <w:bookmarkStart w:id="622" w:name="_Toc296602459"/>
      <w:bookmarkStart w:id="623" w:name="_Toc95223378"/>
      <w:bookmarkStart w:id="624" w:name="_Toc83301730"/>
      <w:bookmarkStart w:id="625" w:name="_Toc144974537"/>
      <w:bookmarkStart w:id="626" w:name="_Toc152042345"/>
      <w:bookmarkStart w:id="627" w:name="_Toc5112"/>
      <w:bookmarkStart w:id="628" w:name="_Toc179632587"/>
      <w:bookmarkStart w:id="629" w:name="_Toc8439"/>
      <w:r>
        <w:rPr>
          <w:rFonts w:hint="eastAsia" w:ascii="黑体" w:hAnsi="黑体" w:eastAsia="黑体" w:cs="黑体"/>
          <w:b/>
          <w:bCs/>
          <w:color w:val="auto"/>
          <w:kern w:val="0"/>
          <w:szCs w:val="21"/>
          <w:highlight w:val="none"/>
        </w:rPr>
        <w:t>7.8 履约担保</w:t>
      </w:r>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p>
    <w:p w14:paraId="6A827C96">
      <w:pPr>
        <w:adjustRightInd w:val="0"/>
        <w:snapToGrid w:val="0"/>
        <w:spacing w:line="440" w:lineRule="exact"/>
        <w:ind w:firstLine="420" w:firstLineChars="200"/>
        <w:rPr>
          <w:rFonts w:ascii="宋体" w:hAnsi="宋体" w:cs="宋体"/>
          <w:b/>
          <w:color w:val="auto"/>
          <w:szCs w:val="21"/>
          <w:highlight w:val="none"/>
        </w:rPr>
      </w:pPr>
      <w:r>
        <w:rPr>
          <w:rFonts w:hint="eastAsia" w:ascii="宋体" w:hAnsi="宋体" w:cs="宋体"/>
          <w:color w:val="auto"/>
          <w:szCs w:val="21"/>
          <w:highlight w:val="none"/>
        </w:rPr>
        <w:t>7.8.1在签订合同前，中标人应按投标人须知前附表规定的担保形式和招标文件第五章“合同条款及格式”规定的或者事先经过招标人书面认可的履约担保格式向招标人提交履约担保。</w:t>
      </w:r>
      <w:r>
        <w:rPr>
          <w:rFonts w:hint="eastAsia" w:cs="Times New Roman"/>
          <w:color w:val="auto"/>
          <w:szCs w:val="24"/>
          <w:highlight w:val="none"/>
        </w:rPr>
        <w:t>联合体中标的，其履约担保应符合投标人须知前附表规定的金额、担保形式和招标文件第五章“合同条款及格式”规定的履约担保格式要求。</w:t>
      </w:r>
    </w:p>
    <w:p w14:paraId="2AF288DE">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7.8.2 中标人不能按本章第7.8.1项要求提交履约担保的，视为放弃中标，其投标保证金不予退还，给招标人造成的损失超过投标保证金数额的，中标人还应当对超过部分予以赔偿。</w:t>
      </w:r>
    </w:p>
    <w:p w14:paraId="35798896">
      <w:pPr>
        <w:keepNext/>
        <w:keepLines/>
        <w:adjustRightInd w:val="0"/>
        <w:snapToGrid w:val="0"/>
        <w:spacing w:line="440" w:lineRule="exact"/>
        <w:ind w:firstLine="422" w:firstLineChars="200"/>
        <w:outlineLvl w:val="2"/>
        <w:rPr>
          <w:rFonts w:ascii="黑体" w:hAnsi="黑体" w:eastAsia="黑体" w:cs="黑体"/>
          <w:b/>
          <w:bCs/>
          <w:color w:val="auto"/>
          <w:kern w:val="0"/>
          <w:szCs w:val="21"/>
          <w:highlight w:val="none"/>
        </w:rPr>
      </w:pPr>
      <w:bookmarkStart w:id="630" w:name="_Toc506107308"/>
      <w:bookmarkStart w:id="631" w:name="_Toc247085728"/>
      <w:bookmarkStart w:id="632" w:name="_Toc11785"/>
      <w:bookmarkStart w:id="633" w:name="_Toc152042346"/>
      <w:bookmarkStart w:id="634" w:name="_Toc179632588"/>
      <w:bookmarkStart w:id="635" w:name="_Toc60061477"/>
      <w:bookmarkStart w:id="636" w:name="_Toc15058893"/>
      <w:bookmarkStart w:id="637" w:name="_Toc246996957"/>
      <w:bookmarkStart w:id="638" w:name="_Toc83301731"/>
      <w:bookmarkStart w:id="639" w:name="_Toc324404855"/>
      <w:bookmarkStart w:id="640" w:name="_Toc296602460"/>
      <w:bookmarkStart w:id="641" w:name="_Toc152045570"/>
      <w:bookmarkStart w:id="642" w:name="_Toc95223379"/>
      <w:bookmarkStart w:id="643" w:name="_Toc144974538"/>
      <w:bookmarkStart w:id="644" w:name="_Toc21680"/>
      <w:bookmarkStart w:id="645" w:name="_Toc246996214"/>
      <w:r>
        <w:rPr>
          <w:rFonts w:hint="eastAsia" w:ascii="黑体" w:hAnsi="黑体" w:eastAsia="黑体" w:cs="黑体"/>
          <w:b/>
          <w:bCs/>
          <w:color w:val="auto"/>
          <w:kern w:val="0"/>
          <w:szCs w:val="21"/>
          <w:highlight w:val="none"/>
        </w:rPr>
        <w:t>7.9 签订合同</w:t>
      </w:r>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p>
    <w:p w14:paraId="1279B777">
      <w:pPr>
        <w:adjustRightInd w:val="0"/>
        <w:snapToGrid w:val="0"/>
        <w:spacing w:line="44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7.9.1本招标工程的施工合同将授予按本须知第7.6款规定所确定的中标人。</w:t>
      </w:r>
    </w:p>
    <w:p w14:paraId="628002F5">
      <w:pPr>
        <w:adjustRightInd w:val="0"/>
        <w:snapToGrid w:val="0"/>
        <w:spacing w:line="440" w:lineRule="exact"/>
        <w:ind w:firstLine="420" w:firstLineChars="200"/>
        <w:rPr>
          <w:rFonts w:ascii="宋体" w:hAnsi="宋体" w:cs="宋体"/>
          <w:bCs/>
          <w:color w:val="auto"/>
          <w:szCs w:val="21"/>
          <w:highlight w:val="none"/>
        </w:rPr>
      </w:pPr>
      <w:bookmarkStart w:id="646" w:name="_Toc324404856"/>
      <w:r>
        <w:rPr>
          <w:rFonts w:hint="eastAsia" w:ascii="宋体" w:hAnsi="宋体" w:cs="宋体"/>
          <w:bCs/>
          <w:color w:val="auto"/>
          <w:szCs w:val="21"/>
          <w:highlight w:val="none"/>
        </w:rPr>
        <w:t>7.9.2招标人和中标人应当自中标通知书发出之日起</w:t>
      </w:r>
      <w:r>
        <w:rPr>
          <w:rFonts w:ascii="宋体" w:hAnsi="宋体" w:cs="宋体"/>
          <w:bCs/>
          <w:color w:val="auto"/>
          <w:szCs w:val="21"/>
          <w:highlight w:val="none"/>
        </w:rPr>
        <w:t>7</w:t>
      </w:r>
      <w:r>
        <w:rPr>
          <w:rFonts w:hint="eastAsia" w:ascii="宋体" w:hAnsi="宋体" w:cs="宋体"/>
          <w:bCs/>
          <w:color w:val="auto"/>
          <w:szCs w:val="21"/>
          <w:highlight w:val="none"/>
        </w:rPr>
        <w:t>天内，根据招标文件和中标人的投标文件订立书面合同。中标人无正当理由拒签合同的，在签订合同时向招标人提出附加条件，或不按照招标文件要求提交履约保证金的，招标人取消其中标资格，其投标保证金不予退还；给招标人造成的损失超过投标保证金数额的，中标人还应当对超过部分予以赔偿。</w:t>
      </w:r>
    </w:p>
    <w:p w14:paraId="63FE49B8">
      <w:pPr>
        <w:adjustRightInd w:val="0"/>
        <w:snapToGrid w:val="0"/>
        <w:spacing w:line="44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7.9.3 发出中标通知书后，招标人无正当理由拒签合同的，招标人向中标人退还投标保证金；给中标人造成损失的，还应当赔偿损失。</w:t>
      </w:r>
    </w:p>
    <w:p w14:paraId="2D5EF415">
      <w:pPr>
        <w:adjustRightInd w:val="0"/>
        <w:snapToGrid w:val="0"/>
        <w:spacing w:line="44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7.9.4  除法定情形外，建设工程合同履行期间项目负责人不得更换。项目负责人确需变更的，应根据招标文件要求，变更后的项目负责人不低于投标文件中拟派项目负责人的资格条件。</w:t>
      </w:r>
    </w:p>
    <w:p w14:paraId="2EC6941C">
      <w:pPr>
        <w:adjustRightInd w:val="0"/>
        <w:snapToGrid w:val="0"/>
        <w:spacing w:line="440" w:lineRule="exact"/>
        <w:ind w:firstLine="420" w:firstLineChars="200"/>
        <w:rPr>
          <w:rFonts w:ascii="宋体" w:hAnsi="宋体" w:cs="宋体"/>
          <w:bCs/>
          <w:snapToGrid w:val="0"/>
          <w:color w:val="auto"/>
          <w:kern w:val="0"/>
          <w:szCs w:val="21"/>
          <w:highlight w:val="none"/>
        </w:rPr>
      </w:pPr>
      <w:r>
        <w:rPr>
          <w:rFonts w:hint="eastAsia" w:ascii="宋体" w:hAnsi="宋体" w:cs="宋体"/>
          <w:color w:val="auto"/>
          <w:szCs w:val="24"/>
          <w:highlight w:val="none"/>
        </w:rPr>
        <w:t xml:space="preserve">7.9.5 </w:t>
      </w:r>
      <w:r>
        <w:rPr>
          <w:rFonts w:hint="eastAsia" w:ascii="宋体" w:hAnsi="宋体" w:cs="宋体"/>
          <w:bCs/>
          <w:snapToGrid w:val="0"/>
          <w:color w:val="auto"/>
          <w:kern w:val="0"/>
          <w:szCs w:val="21"/>
          <w:highlight w:val="none"/>
        </w:rPr>
        <w:t>联合体中标的，联合体各方应当共同与招标人签订合同，就中标项目向招标人承担连带责任。</w:t>
      </w:r>
    </w:p>
    <w:p w14:paraId="132CBEC8">
      <w:pPr>
        <w:keepNext/>
        <w:keepLines/>
        <w:adjustRightInd w:val="0"/>
        <w:snapToGrid w:val="0"/>
        <w:spacing w:line="440" w:lineRule="exact"/>
        <w:ind w:firstLine="422" w:firstLineChars="200"/>
        <w:outlineLvl w:val="1"/>
        <w:rPr>
          <w:rFonts w:ascii="Arial" w:hAnsi="Arial" w:eastAsia="黑体" w:cs="Times New Roman"/>
          <w:b/>
          <w:bCs/>
          <w:color w:val="auto"/>
          <w:sz w:val="32"/>
          <w:szCs w:val="32"/>
          <w:highlight w:val="none"/>
        </w:rPr>
      </w:pPr>
      <w:bookmarkStart w:id="647" w:name="_Toc152045571"/>
      <w:bookmarkStart w:id="648" w:name="_Toc83301732"/>
      <w:bookmarkStart w:id="649" w:name="_Toc3530"/>
      <w:bookmarkStart w:id="650" w:name="_Toc144974539"/>
      <w:bookmarkStart w:id="651" w:name="_Toc179632589"/>
      <w:bookmarkStart w:id="652" w:name="_Toc11837"/>
      <w:bookmarkStart w:id="653" w:name="_Toc95223381"/>
      <w:bookmarkStart w:id="654" w:name="_Toc152042347"/>
      <w:bookmarkStart w:id="655" w:name="_Toc60061478"/>
      <w:r>
        <w:rPr>
          <w:rFonts w:hint="eastAsia" w:ascii="黑体" w:hAnsi="黑体" w:eastAsia="黑体" w:cs="黑体"/>
          <w:b/>
          <w:bCs/>
          <w:color w:val="auto"/>
          <w:szCs w:val="21"/>
          <w:highlight w:val="none"/>
        </w:rPr>
        <w:t>8. 重新招标和不再招标</w:t>
      </w:r>
      <w:bookmarkEnd w:id="647"/>
      <w:bookmarkEnd w:id="648"/>
      <w:bookmarkEnd w:id="649"/>
      <w:bookmarkEnd w:id="650"/>
      <w:bookmarkEnd w:id="651"/>
      <w:bookmarkEnd w:id="652"/>
      <w:bookmarkEnd w:id="653"/>
      <w:bookmarkEnd w:id="654"/>
      <w:bookmarkEnd w:id="655"/>
    </w:p>
    <w:p w14:paraId="369FB282">
      <w:pPr>
        <w:keepNext/>
        <w:keepLines/>
        <w:adjustRightInd w:val="0"/>
        <w:snapToGrid w:val="0"/>
        <w:spacing w:line="440" w:lineRule="exact"/>
        <w:ind w:firstLine="422" w:firstLineChars="200"/>
        <w:outlineLvl w:val="2"/>
        <w:rPr>
          <w:rFonts w:ascii="黑体" w:hAnsi="黑体" w:eastAsia="黑体" w:cs="黑体"/>
          <w:b/>
          <w:bCs/>
          <w:color w:val="auto"/>
          <w:kern w:val="0"/>
          <w:szCs w:val="21"/>
          <w:highlight w:val="none"/>
        </w:rPr>
      </w:pPr>
      <w:bookmarkStart w:id="656" w:name="_Toc152045572"/>
      <w:bookmarkStart w:id="657" w:name="_Toc95223382"/>
      <w:bookmarkStart w:id="658" w:name="_Toc152042348"/>
      <w:bookmarkStart w:id="659" w:name="_Toc144974540"/>
      <w:bookmarkStart w:id="660" w:name="_Toc60061479"/>
      <w:bookmarkStart w:id="661" w:name="_Toc83301733"/>
      <w:bookmarkStart w:id="662" w:name="_Toc20506"/>
      <w:bookmarkStart w:id="663" w:name="_Toc16794"/>
      <w:bookmarkStart w:id="664" w:name="_Toc179632590"/>
      <w:r>
        <w:rPr>
          <w:rFonts w:hint="eastAsia" w:ascii="黑体" w:hAnsi="黑体" w:eastAsia="黑体" w:cs="黑体"/>
          <w:b/>
          <w:bCs/>
          <w:color w:val="auto"/>
          <w:kern w:val="0"/>
          <w:szCs w:val="21"/>
          <w:highlight w:val="none"/>
        </w:rPr>
        <w:t>8.1 重新招标</w:t>
      </w:r>
      <w:bookmarkEnd w:id="656"/>
      <w:bookmarkEnd w:id="657"/>
      <w:bookmarkEnd w:id="658"/>
      <w:bookmarkEnd w:id="659"/>
      <w:bookmarkEnd w:id="660"/>
      <w:bookmarkEnd w:id="661"/>
      <w:bookmarkEnd w:id="662"/>
      <w:bookmarkEnd w:id="663"/>
      <w:bookmarkEnd w:id="664"/>
    </w:p>
    <w:p w14:paraId="278FF361">
      <w:pPr>
        <w:adjustRightInd w:val="0"/>
        <w:snapToGrid w:val="0"/>
        <w:spacing w:line="440" w:lineRule="exact"/>
        <w:ind w:firstLine="359" w:firstLineChars="171"/>
        <w:rPr>
          <w:rFonts w:ascii="宋体" w:hAnsi="宋体" w:cs="宋体"/>
          <w:color w:val="auto"/>
          <w:szCs w:val="24"/>
          <w:highlight w:val="none"/>
        </w:rPr>
      </w:pPr>
      <w:r>
        <w:rPr>
          <w:rFonts w:hint="eastAsia" w:ascii="宋体" w:hAnsi="宋体" w:cs="宋体"/>
          <w:color w:val="auto"/>
          <w:szCs w:val="24"/>
          <w:highlight w:val="none"/>
        </w:rPr>
        <w:t>依法必须招标的项目有下列情形之一的，招标人将重新招标：</w:t>
      </w:r>
    </w:p>
    <w:p w14:paraId="58789505">
      <w:pPr>
        <w:adjustRightInd w:val="0"/>
        <w:snapToGrid w:val="0"/>
        <w:spacing w:line="440" w:lineRule="exact"/>
        <w:ind w:firstLine="359" w:firstLineChars="171"/>
        <w:rPr>
          <w:rFonts w:ascii="宋体" w:hAnsi="宋体" w:cs="宋体"/>
          <w:color w:val="auto"/>
          <w:szCs w:val="24"/>
          <w:highlight w:val="none"/>
        </w:rPr>
      </w:pPr>
      <w:r>
        <w:rPr>
          <w:rFonts w:hint="eastAsia" w:ascii="宋体" w:hAnsi="宋体" w:cs="宋体"/>
          <w:color w:val="auto"/>
          <w:szCs w:val="24"/>
          <w:highlight w:val="none"/>
        </w:rPr>
        <w:t>（1）投标截止时间止，投标人少于3个的；</w:t>
      </w:r>
    </w:p>
    <w:p w14:paraId="24F9D748">
      <w:pPr>
        <w:adjustRightInd w:val="0"/>
        <w:snapToGrid w:val="0"/>
        <w:spacing w:line="440" w:lineRule="exact"/>
        <w:ind w:firstLine="359" w:firstLineChars="171"/>
        <w:rPr>
          <w:rFonts w:ascii="宋体" w:hAnsi="宋体" w:cs="宋体"/>
          <w:color w:val="auto"/>
          <w:szCs w:val="24"/>
          <w:highlight w:val="none"/>
        </w:rPr>
      </w:pPr>
      <w:r>
        <w:rPr>
          <w:rFonts w:hint="eastAsia" w:ascii="宋体" w:hAnsi="宋体" w:cs="宋体"/>
          <w:color w:val="auto"/>
          <w:szCs w:val="24"/>
          <w:highlight w:val="none"/>
        </w:rPr>
        <w:t>（2）经评标委员会评审后否决所有投标的；</w:t>
      </w:r>
    </w:p>
    <w:p w14:paraId="1FC49F4E">
      <w:pPr>
        <w:adjustRightInd w:val="0"/>
        <w:snapToGrid w:val="0"/>
        <w:spacing w:line="440" w:lineRule="exact"/>
        <w:ind w:firstLine="359" w:firstLineChars="171"/>
        <w:rPr>
          <w:rFonts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（3）中标候选人均未与招标人签订合同的；</w:t>
      </w:r>
    </w:p>
    <w:p w14:paraId="55202503">
      <w:pPr>
        <w:adjustRightInd w:val="0"/>
        <w:snapToGrid w:val="0"/>
        <w:spacing w:line="440" w:lineRule="exact"/>
        <w:ind w:firstLine="359" w:firstLineChars="171"/>
        <w:rPr>
          <w:rFonts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（4）</w:t>
      </w:r>
      <w:r>
        <w:rPr>
          <w:rFonts w:hint="eastAsia" w:ascii="宋体" w:hAnsi="宋体" w:cs="宋体"/>
          <w:bCs/>
          <w:snapToGrid w:val="0"/>
          <w:color w:val="auto"/>
          <w:kern w:val="0"/>
          <w:szCs w:val="21"/>
          <w:highlight w:val="none"/>
          <w:lang w:eastAsia="zh-CN"/>
        </w:rPr>
        <w:t>法律法规</w:t>
      </w:r>
      <w:r>
        <w:rPr>
          <w:rFonts w:hint="eastAsia" w:ascii="宋体" w:hAnsi="宋体" w:cs="宋体"/>
          <w:bCs/>
          <w:snapToGrid w:val="0"/>
          <w:color w:val="auto"/>
          <w:kern w:val="0"/>
          <w:szCs w:val="21"/>
          <w:highlight w:val="none"/>
        </w:rPr>
        <w:t>规定的其他情形。</w:t>
      </w:r>
    </w:p>
    <w:p w14:paraId="4D38CE56">
      <w:pPr>
        <w:keepNext/>
        <w:keepLines/>
        <w:adjustRightInd w:val="0"/>
        <w:snapToGrid w:val="0"/>
        <w:spacing w:line="440" w:lineRule="exact"/>
        <w:ind w:firstLine="422" w:firstLineChars="200"/>
        <w:outlineLvl w:val="2"/>
        <w:rPr>
          <w:rFonts w:cs="Times New Roman"/>
          <w:b/>
          <w:bCs/>
          <w:color w:val="auto"/>
          <w:kern w:val="0"/>
          <w:sz w:val="32"/>
          <w:szCs w:val="32"/>
          <w:highlight w:val="none"/>
        </w:rPr>
      </w:pPr>
      <w:bookmarkStart w:id="665" w:name="_Toc152045573"/>
      <w:bookmarkStart w:id="666" w:name="_Toc95223383"/>
      <w:bookmarkStart w:id="667" w:name="_Toc6664"/>
      <w:bookmarkStart w:id="668" w:name="_Toc144974541"/>
      <w:bookmarkStart w:id="669" w:name="_Toc152042349"/>
      <w:bookmarkStart w:id="670" w:name="_Toc13570"/>
      <w:bookmarkStart w:id="671" w:name="_Toc60061480"/>
      <w:bookmarkStart w:id="672" w:name="_Toc179632591"/>
      <w:bookmarkStart w:id="673" w:name="_Toc83301734"/>
      <w:r>
        <w:rPr>
          <w:rFonts w:hint="eastAsia" w:ascii="黑体" w:hAnsi="黑体" w:eastAsia="黑体" w:cs="黑体"/>
          <w:b/>
          <w:bCs/>
          <w:color w:val="auto"/>
          <w:kern w:val="0"/>
          <w:szCs w:val="21"/>
          <w:highlight w:val="none"/>
        </w:rPr>
        <w:t>8.2 不再招标</w:t>
      </w:r>
      <w:bookmarkEnd w:id="665"/>
      <w:bookmarkEnd w:id="666"/>
      <w:bookmarkEnd w:id="667"/>
      <w:bookmarkEnd w:id="668"/>
      <w:bookmarkEnd w:id="669"/>
      <w:bookmarkEnd w:id="670"/>
      <w:bookmarkEnd w:id="671"/>
      <w:bookmarkEnd w:id="672"/>
      <w:bookmarkEnd w:id="673"/>
    </w:p>
    <w:p w14:paraId="1750A8D0">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重新招标后投标人仍少于3个或者所有投标被否决的，属于必须审批或核准的工程建设项目，经原审批或核准部门批准后不再进行招标。</w:t>
      </w:r>
    </w:p>
    <w:p w14:paraId="0C68F8CD">
      <w:pPr>
        <w:keepNext/>
        <w:keepLines/>
        <w:adjustRightInd w:val="0"/>
        <w:snapToGrid w:val="0"/>
        <w:spacing w:line="440" w:lineRule="exact"/>
        <w:ind w:firstLine="422" w:firstLineChars="200"/>
        <w:outlineLvl w:val="1"/>
        <w:rPr>
          <w:rFonts w:ascii="黑体" w:hAnsi="黑体" w:eastAsia="黑体" w:cs="黑体"/>
          <w:b/>
          <w:bCs/>
          <w:color w:val="auto"/>
          <w:szCs w:val="21"/>
          <w:highlight w:val="none"/>
        </w:rPr>
      </w:pPr>
      <w:bookmarkStart w:id="674" w:name="_Toc506107309"/>
      <w:bookmarkStart w:id="675" w:name="_Toc60061481"/>
      <w:bookmarkStart w:id="676" w:name="_Toc10464"/>
      <w:bookmarkStart w:id="677" w:name="_Toc27059"/>
      <w:bookmarkStart w:id="678" w:name="_Toc95223384"/>
      <w:bookmarkStart w:id="679" w:name="_Toc83301735"/>
      <w:bookmarkStart w:id="680" w:name="_Toc15058894"/>
      <w:r>
        <w:rPr>
          <w:rFonts w:hint="eastAsia" w:ascii="黑体" w:hAnsi="黑体" w:eastAsia="黑体" w:cs="黑体"/>
          <w:b/>
          <w:bCs/>
          <w:color w:val="auto"/>
          <w:szCs w:val="21"/>
          <w:highlight w:val="none"/>
        </w:rPr>
        <w:t>9. 纪律和监督</w:t>
      </w:r>
      <w:bookmarkEnd w:id="646"/>
      <w:bookmarkEnd w:id="674"/>
      <w:bookmarkEnd w:id="675"/>
      <w:bookmarkEnd w:id="676"/>
      <w:bookmarkEnd w:id="677"/>
      <w:bookmarkEnd w:id="678"/>
      <w:bookmarkEnd w:id="679"/>
      <w:bookmarkEnd w:id="680"/>
    </w:p>
    <w:p w14:paraId="321D7DA8">
      <w:pPr>
        <w:keepNext/>
        <w:keepLines/>
        <w:adjustRightInd w:val="0"/>
        <w:snapToGrid w:val="0"/>
        <w:spacing w:line="440" w:lineRule="exact"/>
        <w:ind w:firstLine="422" w:firstLineChars="200"/>
        <w:outlineLvl w:val="2"/>
        <w:rPr>
          <w:rFonts w:ascii="黑体" w:hAnsi="黑体" w:eastAsia="黑体" w:cs="黑体"/>
          <w:b/>
          <w:bCs/>
          <w:color w:val="auto"/>
          <w:kern w:val="0"/>
          <w:szCs w:val="21"/>
          <w:highlight w:val="none"/>
        </w:rPr>
      </w:pPr>
      <w:bookmarkStart w:id="681" w:name="_Toc324404857"/>
      <w:bookmarkStart w:id="682" w:name="_Toc83301736"/>
      <w:bookmarkStart w:id="683" w:name="_Toc506107310"/>
      <w:bookmarkStart w:id="684" w:name="_Toc246996219"/>
      <w:bookmarkStart w:id="685" w:name="_Toc152045575"/>
      <w:bookmarkStart w:id="686" w:name="_Toc247085733"/>
      <w:bookmarkStart w:id="687" w:name="_Toc144974543"/>
      <w:bookmarkStart w:id="688" w:name="_Toc15058895"/>
      <w:bookmarkStart w:id="689" w:name="_Toc60061482"/>
      <w:bookmarkStart w:id="690" w:name="_Toc1253"/>
      <w:bookmarkStart w:id="691" w:name="_Toc246996962"/>
      <w:bookmarkStart w:id="692" w:name="_Toc296602462"/>
      <w:bookmarkStart w:id="693" w:name="_Toc296590983"/>
      <w:bookmarkStart w:id="694" w:name="_Toc152042351"/>
      <w:bookmarkStart w:id="695" w:name="_Toc11415"/>
      <w:bookmarkStart w:id="696" w:name="_Toc179632593"/>
      <w:bookmarkStart w:id="697" w:name="_Toc95223385"/>
      <w:r>
        <w:rPr>
          <w:rFonts w:hint="eastAsia" w:ascii="黑体" w:hAnsi="黑体" w:eastAsia="黑体" w:cs="黑体"/>
          <w:b/>
          <w:bCs/>
          <w:color w:val="auto"/>
          <w:kern w:val="0"/>
          <w:szCs w:val="21"/>
          <w:highlight w:val="none"/>
        </w:rPr>
        <w:t>9.1 对招标人的纪律要求</w:t>
      </w:r>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p>
    <w:p w14:paraId="306A5DD0">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招标人</w:t>
      </w:r>
      <w:r>
        <w:rPr>
          <w:rFonts w:hint="eastAsia" w:ascii="宋体" w:hAnsi="宋体" w:cs="宋体"/>
          <w:color w:val="auto"/>
          <w:szCs w:val="21"/>
          <w:highlight w:val="none"/>
          <w:lang w:eastAsia="zh-CN"/>
        </w:rPr>
        <w:t>不得泄露</w:t>
      </w:r>
      <w:r>
        <w:rPr>
          <w:rFonts w:hint="eastAsia" w:ascii="宋体" w:hAnsi="宋体" w:cs="宋体"/>
          <w:color w:val="auto"/>
          <w:szCs w:val="21"/>
          <w:highlight w:val="none"/>
        </w:rPr>
        <w:t>招标投标活动中应当保密的情况和资料，不得与投标人串通损害国家利益、社会公共利益或者他人合法权益。</w:t>
      </w:r>
    </w:p>
    <w:p w14:paraId="7B9DCED9">
      <w:pPr>
        <w:keepNext/>
        <w:keepLines/>
        <w:adjustRightInd w:val="0"/>
        <w:snapToGrid w:val="0"/>
        <w:spacing w:line="440" w:lineRule="exact"/>
        <w:ind w:firstLine="422" w:firstLineChars="200"/>
        <w:outlineLvl w:val="2"/>
        <w:rPr>
          <w:rFonts w:ascii="黑体" w:hAnsi="黑体" w:eastAsia="黑体" w:cs="黑体"/>
          <w:b/>
          <w:bCs/>
          <w:color w:val="auto"/>
          <w:kern w:val="0"/>
          <w:szCs w:val="21"/>
          <w:highlight w:val="none"/>
        </w:rPr>
      </w:pPr>
      <w:bookmarkStart w:id="698" w:name="_Toc95223386"/>
      <w:bookmarkStart w:id="699" w:name="_Toc246996220"/>
      <w:bookmarkStart w:id="700" w:name="_Toc22512"/>
      <w:bookmarkStart w:id="701" w:name="_Toc11229"/>
      <w:bookmarkStart w:id="702" w:name="_Toc152045576"/>
      <w:bookmarkStart w:id="703" w:name="_Toc15058896"/>
      <w:bookmarkStart w:id="704" w:name="_Toc60061483"/>
      <w:bookmarkStart w:id="705" w:name="_Toc296602463"/>
      <w:bookmarkStart w:id="706" w:name="_Toc506107311"/>
      <w:bookmarkStart w:id="707" w:name="_Toc246996963"/>
      <w:bookmarkStart w:id="708" w:name="_Toc324404858"/>
      <w:bookmarkStart w:id="709" w:name="_Toc144974544"/>
      <w:bookmarkStart w:id="710" w:name="_Toc247085734"/>
      <w:bookmarkStart w:id="711" w:name="_Toc179632594"/>
      <w:bookmarkStart w:id="712" w:name="_Toc83301737"/>
      <w:bookmarkStart w:id="713" w:name="_Toc152042352"/>
      <w:r>
        <w:rPr>
          <w:rFonts w:hint="eastAsia" w:ascii="黑体" w:hAnsi="黑体" w:eastAsia="黑体" w:cs="黑体"/>
          <w:b/>
          <w:bCs/>
          <w:color w:val="auto"/>
          <w:kern w:val="0"/>
          <w:szCs w:val="21"/>
          <w:highlight w:val="none"/>
        </w:rPr>
        <w:t>9.2 对投标人的纪律要求</w:t>
      </w:r>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p>
    <w:p w14:paraId="70155650">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7D9D2216">
      <w:pPr>
        <w:keepNext/>
        <w:keepLines/>
        <w:adjustRightInd w:val="0"/>
        <w:snapToGrid w:val="0"/>
        <w:spacing w:line="440" w:lineRule="exact"/>
        <w:ind w:firstLine="422" w:firstLineChars="200"/>
        <w:outlineLvl w:val="2"/>
        <w:rPr>
          <w:rFonts w:ascii="黑体" w:hAnsi="黑体" w:eastAsia="黑体" w:cs="黑体"/>
          <w:b/>
          <w:bCs/>
          <w:color w:val="auto"/>
          <w:kern w:val="0"/>
          <w:szCs w:val="21"/>
          <w:highlight w:val="none"/>
        </w:rPr>
      </w:pPr>
      <w:bookmarkStart w:id="714" w:name="_Toc60061484"/>
      <w:bookmarkStart w:id="715" w:name="_Toc296602464"/>
      <w:bookmarkStart w:id="716" w:name="_Toc29960"/>
      <w:bookmarkStart w:id="717" w:name="_Toc18382"/>
      <w:bookmarkStart w:id="718" w:name="_Toc179632595"/>
      <w:bookmarkStart w:id="719" w:name="_Toc246996221"/>
      <w:bookmarkStart w:id="720" w:name="_Toc324404859"/>
      <w:bookmarkStart w:id="721" w:name="_Toc15058897"/>
      <w:bookmarkStart w:id="722" w:name="_Toc152042353"/>
      <w:bookmarkStart w:id="723" w:name="_Toc95223387"/>
      <w:bookmarkStart w:id="724" w:name="_Toc83301738"/>
      <w:bookmarkStart w:id="725" w:name="_Toc152045577"/>
      <w:bookmarkStart w:id="726" w:name="_Toc246996964"/>
      <w:bookmarkStart w:id="727" w:name="_Toc506107312"/>
      <w:bookmarkStart w:id="728" w:name="_Toc247085735"/>
      <w:bookmarkStart w:id="729" w:name="_Toc144974545"/>
      <w:r>
        <w:rPr>
          <w:rFonts w:hint="eastAsia" w:ascii="黑体" w:hAnsi="黑体" w:eastAsia="黑体" w:cs="黑体"/>
          <w:b/>
          <w:bCs/>
          <w:color w:val="auto"/>
          <w:kern w:val="0"/>
          <w:szCs w:val="21"/>
          <w:highlight w:val="none"/>
        </w:rPr>
        <w:t>9.3 对评标委员会成员的纪律要求</w:t>
      </w:r>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p>
    <w:p w14:paraId="10319CE8">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评标委员会成员不得收受他人的财物或者其他好处，不得向他人</w:t>
      </w:r>
      <w:r>
        <w:rPr>
          <w:rFonts w:hint="eastAsia" w:ascii="宋体" w:hAnsi="宋体" w:cs="宋体"/>
          <w:color w:val="auto"/>
          <w:szCs w:val="21"/>
          <w:highlight w:val="none"/>
          <w:lang w:eastAsia="zh-CN"/>
        </w:rPr>
        <w:t>透露</w:t>
      </w:r>
      <w:r>
        <w:rPr>
          <w:rFonts w:hint="eastAsia" w:ascii="宋体" w:hAnsi="宋体" w:cs="宋体"/>
          <w:color w:val="auto"/>
          <w:szCs w:val="21"/>
          <w:highlight w:val="none"/>
        </w:rPr>
        <w:t>对投标文件的评审和比较、中标候选人的推荐情况以及评标有关的其他情况。在评标活动中，评标委员会成员应当客观、公正地履行职责，遵守职业道德，不得擅离职守，影响评标程序正常进行，不得使用第四章“评标办法”没有规定的评审因素和标准进行评标。</w:t>
      </w:r>
    </w:p>
    <w:p w14:paraId="5A5D2DF2">
      <w:pPr>
        <w:keepNext/>
        <w:keepLines/>
        <w:adjustRightInd w:val="0"/>
        <w:snapToGrid w:val="0"/>
        <w:spacing w:line="440" w:lineRule="exact"/>
        <w:ind w:firstLine="422" w:firstLineChars="200"/>
        <w:outlineLvl w:val="2"/>
        <w:rPr>
          <w:rFonts w:ascii="黑体" w:hAnsi="黑体" w:eastAsia="黑体" w:cs="黑体"/>
          <w:b/>
          <w:bCs/>
          <w:color w:val="auto"/>
          <w:kern w:val="0"/>
          <w:szCs w:val="21"/>
          <w:highlight w:val="none"/>
        </w:rPr>
      </w:pPr>
      <w:bookmarkStart w:id="730" w:name="_Toc246996222"/>
      <w:bookmarkStart w:id="731" w:name="_Toc152042354"/>
      <w:bookmarkStart w:id="732" w:name="_Toc15264"/>
      <w:bookmarkStart w:id="733" w:name="_Toc179632596"/>
      <w:bookmarkStart w:id="734" w:name="_Toc152045578"/>
      <w:bookmarkStart w:id="735" w:name="_Toc95223388"/>
      <w:bookmarkStart w:id="736" w:name="_Toc324404860"/>
      <w:bookmarkStart w:id="737" w:name="_Toc296602465"/>
      <w:bookmarkStart w:id="738" w:name="_Toc506107313"/>
      <w:bookmarkStart w:id="739" w:name="_Toc15058898"/>
      <w:bookmarkStart w:id="740" w:name="_Toc3789"/>
      <w:bookmarkStart w:id="741" w:name="_Toc247085736"/>
      <w:bookmarkStart w:id="742" w:name="_Toc60061485"/>
      <w:bookmarkStart w:id="743" w:name="_Toc246996965"/>
      <w:bookmarkStart w:id="744" w:name="_Toc83301739"/>
      <w:bookmarkStart w:id="745" w:name="_Toc144974546"/>
      <w:r>
        <w:rPr>
          <w:rFonts w:hint="eastAsia" w:ascii="黑体" w:hAnsi="黑体" w:eastAsia="黑体" w:cs="黑体"/>
          <w:b/>
          <w:bCs/>
          <w:color w:val="auto"/>
          <w:kern w:val="0"/>
          <w:szCs w:val="21"/>
          <w:highlight w:val="none"/>
        </w:rPr>
        <w:t>9.4 对与评标活动有关的工作人员的纪律要求</w:t>
      </w:r>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p>
    <w:p w14:paraId="43B8898F">
      <w:pPr>
        <w:adjustRightInd w:val="0"/>
        <w:snapToGrid w:val="0"/>
        <w:spacing w:line="440" w:lineRule="exact"/>
        <w:ind w:firstLine="420" w:firstLineChars="200"/>
        <w:rPr>
          <w:rFonts w:ascii="宋体" w:hAnsi="宋体" w:cs="宋体"/>
          <w:color w:val="auto"/>
          <w:szCs w:val="21"/>
          <w:highlight w:val="none"/>
        </w:rPr>
      </w:pPr>
      <w:bookmarkStart w:id="746" w:name="_Toc152042355"/>
      <w:r>
        <w:rPr>
          <w:rFonts w:hint="eastAsia" w:ascii="宋体" w:hAnsi="宋体" w:cs="宋体"/>
          <w:color w:val="auto"/>
          <w:szCs w:val="21"/>
          <w:highlight w:val="none"/>
        </w:rPr>
        <w:t>与评标活动有关的工作人员不得收受他人的财物或者其他好处，不得向他人</w:t>
      </w:r>
      <w:r>
        <w:rPr>
          <w:rFonts w:hint="eastAsia" w:ascii="宋体" w:hAnsi="宋体" w:cs="宋体"/>
          <w:color w:val="auto"/>
          <w:szCs w:val="21"/>
          <w:highlight w:val="none"/>
          <w:lang w:eastAsia="zh-CN"/>
        </w:rPr>
        <w:t>透露</w:t>
      </w:r>
      <w:r>
        <w:rPr>
          <w:rFonts w:hint="eastAsia" w:ascii="宋体" w:hAnsi="宋体" w:cs="宋体"/>
          <w:color w:val="auto"/>
          <w:szCs w:val="21"/>
          <w:highlight w:val="none"/>
        </w:rPr>
        <w:t>对投标文件的评审和比较、中标候选人的推荐情况以</w:t>
      </w:r>
      <w:r>
        <w:rPr>
          <w:rFonts w:hint="eastAsia" w:ascii="宋体" w:hAnsi="宋体" w:cs="宋体"/>
          <w:color w:val="auto"/>
          <w:szCs w:val="21"/>
          <w:highlight w:val="none"/>
          <w:lang w:eastAsia="zh-CN"/>
        </w:rPr>
        <w:t>及与</w:t>
      </w:r>
      <w:r>
        <w:rPr>
          <w:rFonts w:hint="eastAsia" w:ascii="宋体" w:hAnsi="宋体" w:cs="宋体"/>
          <w:color w:val="auto"/>
          <w:szCs w:val="21"/>
          <w:highlight w:val="none"/>
        </w:rPr>
        <w:t>评标有关的其他情况。在评标活动中，与评标活动有关的工作人员不得擅离职守，影响评标程序正常进行。</w:t>
      </w:r>
      <w:bookmarkEnd w:id="746"/>
    </w:p>
    <w:p w14:paraId="19821B54">
      <w:pPr>
        <w:keepNext/>
        <w:keepLines/>
        <w:adjustRightInd w:val="0"/>
        <w:snapToGrid w:val="0"/>
        <w:spacing w:line="440" w:lineRule="exact"/>
        <w:ind w:firstLine="422" w:firstLineChars="200"/>
        <w:outlineLvl w:val="2"/>
        <w:rPr>
          <w:rFonts w:ascii="黑体" w:hAnsi="黑体" w:eastAsia="黑体" w:cs="黑体"/>
          <w:b/>
          <w:bCs/>
          <w:color w:val="auto"/>
          <w:kern w:val="0"/>
          <w:szCs w:val="21"/>
          <w:highlight w:val="none"/>
        </w:rPr>
      </w:pPr>
      <w:bookmarkStart w:id="747" w:name="_Toc83301740"/>
      <w:bookmarkStart w:id="748" w:name="_Toc179632597"/>
      <w:bookmarkStart w:id="749" w:name="_Toc95223389"/>
      <w:bookmarkStart w:id="750" w:name="_Toc246996966"/>
      <w:bookmarkStart w:id="751" w:name="_Toc23208"/>
      <w:bookmarkStart w:id="752" w:name="_Toc296602466"/>
      <w:bookmarkStart w:id="753" w:name="_Toc152042356"/>
      <w:bookmarkStart w:id="754" w:name="_Toc506107314"/>
      <w:bookmarkStart w:id="755" w:name="_Toc246996223"/>
      <w:bookmarkStart w:id="756" w:name="_Toc247085737"/>
      <w:bookmarkStart w:id="757" w:name="_Toc60061486"/>
      <w:bookmarkStart w:id="758" w:name="_Toc324404861"/>
      <w:bookmarkStart w:id="759" w:name="_Toc15058899"/>
      <w:bookmarkStart w:id="760" w:name="_Toc17158"/>
      <w:bookmarkStart w:id="761" w:name="_Toc152045579"/>
      <w:r>
        <w:rPr>
          <w:rFonts w:hint="eastAsia" w:ascii="黑体" w:hAnsi="黑体" w:eastAsia="黑体" w:cs="黑体"/>
          <w:b/>
          <w:bCs/>
          <w:color w:val="auto"/>
          <w:kern w:val="0"/>
          <w:szCs w:val="21"/>
          <w:highlight w:val="none"/>
        </w:rPr>
        <w:t>9.5 投诉</w:t>
      </w:r>
      <w:bookmarkEnd w:id="745"/>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p>
    <w:p w14:paraId="2F5F19F7">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9.5.1投标人或者其他利害关系人认为招标投标活动违反</w:t>
      </w:r>
      <w:r>
        <w:rPr>
          <w:rFonts w:hint="eastAsia" w:ascii="宋体" w:hAnsi="宋体" w:cs="宋体"/>
          <w:color w:val="auto"/>
          <w:szCs w:val="21"/>
          <w:highlight w:val="none"/>
          <w:lang w:eastAsia="zh-CN"/>
        </w:rPr>
        <w:t>法律法规</w:t>
      </w:r>
      <w:r>
        <w:rPr>
          <w:rFonts w:hint="eastAsia" w:ascii="宋体" w:hAnsi="宋体" w:cs="宋体"/>
          <w:color w:val="auto"/>
          <w:szCs w:val="21"/>
          <w:highlight w:val="none"/>
        </w:rPr>
        <w:t>和规章规定的，有权向相关部门投诉。投诉应当有明确的请求和必要的证明材料。</w:t>
      </w:r>
    </w:p>
    <w:p w14:paraId="6E73F843">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9.5.2投标人和其他利害关系人对招标文件、开标和评标结果事项投诉的，应当按照投标人须知的规定先向招标人提出异议。异议答复期间不计算在第9.5.1</w:t>
      </w:r>
      <w:r>
        <w:rPr>
          <w:rFonts w:hint="eastAsia" w:cs="Times New Roman"/>
          <w:color w:val="auto"/>
          <w:szCs w:val="24"/>
          <w:highlight w:val="none"/>
        </w:rPr>
        <w:t>项</w:t>
      </w:r>
      <w:r>
        <w:rPr>
          <w:rFonts w:hint="eastAsia" w:ascii="宋体" w:hAnsi="宋体" w:cs="宋体"/>
          <w:color w:val="auto"/>
          <w:szCs w:val="21"/>
          <w:highlight w:val="none"/>
        </w:rPr>
        <w:t>规定的期限内。</w:t>
      </w:r>
    </w:p>
    <w:p w14:paraId="720812E1">
      <w:pPr>
        <w:keepNext/>
        <w:keepLines/>
        <w:adjustRightInd w:val="0"/>
        <w:snapToGrid w:val="0"/>
        <w:spacing w:line="440" w:lineRule="exact"/>
        <w:ind w:firstLine="422" w:firstLineChars="200"/>
        <w:outlineLvl w:val="1"/>
        <w:rPr>
          <w:rFonts w:ascii="黑体" w:hAnsi="黑体" w:eastAsia="黑体" w:cs="黑体"/>
          <w:b/>
          <w:bCs/>
          <w:color w:val="auto"/>
          <w:szCs w:val="21"/>
          <w:highlight w:val="none"/>
        </w:rPr>
      </w:pPr>
      <w:bookmarkStart w:id="762" w:name="_Toc152042357"/>
      <w:bookmarkStart w:id="763" w:name="_Toc95223390"/>
      <w:bookmarkStart w:id="764" w:name="_Toc152045580"/>
      <w:bookmarkStart w:id="765" w:name="_Toc324404862"/>
      <w:bookmarkStart w:id="766" w:name="_Toc144974547"/>
      <w:bookmarkStart w:id="767" w:name="_Toc22979"/>
      <w:bookmarkStart w:id="768" w:name="_Toc179632598"/>
      <w:bookmarkStart w:id="769" w:name="_Toc25523"/>
      <w:bookmarkStart w:id="770" w:name="_Toc83301741"/>
      <w:bookmarkStart w:id="771" w:name="_Toc60061487"/>
      <w:bookmarkStart w:id="772" w:name="_Toc247085738"/>
      <w:bookmarkStart w:id="773" w:name="_Toc246996224"/>
      <w:bookmarkStart w:id="774" w:name="_Toc246996967"/>
      <w:bookmarkStart w:id="775" w:name="_Toc506107315"/>
      <w:bookmarkStart w:id="776" w:name="_Toc15058900"/>
      <w:r>
        <w:rPr>
          <w:rFonts w:hint="eastAsia" w:ascii="黑体" w:hAnsi="黑体" w:eastAsia="黑体" w:cs="黑体"/>
          <w:b/>
          <w:bCs/>
          <w:color w:val="auto"/>
          <w:szCs w:val="21"/>
          <w:highlight w:val="none"/>
        </w:rPr>
        <w:t>10.需要补充的其他内容</w:t>
      </w:r>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Start w:id="777" w:name="_Toc60061488"/>
      <w:bookmarkStart w:id="778" w:name="_Toc15058901"/>
    </w:p>
    <w:p w14:paraId="3AC93B59">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需要补充的其他内容：见投标人须知前附表。</w:t>
      </w:r>
      <w:bookmarkEnd w:id="777"/>
      <w:bookmarkEnd w:id="778"/>
    </w:p>
    <w:p w14:paraId="54F697AD">
      <w:pPr>
        <w:spacing w:after="120" w:line="440" w:lineRule="exact"/>
        <w:ind w:left="420" w:leftChars="200" w:firstLine="420" w:firstLineChars="200"/>
        <w:rPr>
          <w:rFonts w:cs="Times New Roman"/>
          <w:color w:val="auto"/>
          <w:szCs w:val="24"/>
          <w:highlight w:val="none"/>
        </w:rPr>
      </w:pPr>
    </w:p>
    <w:p w14:paraId="1325B998">
      <w:pPr>
        <w:spacing w:line="440" w:lineRule="exact"/>
        <w:rPr>
          <w:rFonts w:cs="Times New Roman"/>
          <w:color w:val="auto"/>
          <w:szCs w:val="24"/>
          <w:highlight w:val="none"/>
        </w:rPr>
      </w:pPr>
    </w:p>
    <w:p w14:paraId="294DA55B">
      <w:pPr>
        <w:spacing w:after="120" w:line="440" w:lineRule="exact"/>
        <w:ind w:left="420" w:leftChars="200" w:firstLine="420" w:firstLineChars="200"/>
        <w:rPr>
          <w:rFonts w:cs="Times New Roman"/>
          <w:color w:val="auto"/>
          <w:szCs w:val="24"/>
          <w:highlight w:val="none"/>
        </w:rPr>
      </w:pPr>
    </w:p>
    <w:p w14:paraId="22CD632F">
      <w:pPr>
        <w:spacing w:line="440" w:lineRule="exact"/>
        <w:rPr>
          <w:rFonts w:cs="Times New Roman"/>
          <w:color w:val="auto"/>
          <w:szCs w:val="24"/>
          <w:highlight w:val="none"/>
        </w:rPr>
      </w:pPr>
    </w:p>
    <w:p w14:paraId="3C62D4B8">
      <w:pPr>
        <w:spacing w:after="120" w:line="440" w:lineRule="exact"/>
        <w:ind w:left="420" w:leftChars="200" w:firstLine="420" w:firstLineChars="200"/>
        <w:rPr>
          <w:rFonts w:cs="Times New Roman"/>
          <w:color w:val="auto"/>
          <w:szCs w:val="24"/>
          <w:highlight w:val="none"/>
        </w:rPr>
      </w:pPr>
    </w:p>
    <w:p w14:paraId="36877E19">
      <w:pPr>
        <w:keepNext/>
        <w:keepLines/>
        <w:pageBreakBefore/>
        <w:spacing w:line="360" w:lineRule="auto"/>
        <w:jc w:val="center"/>
        <w:outlineLvl w:val="0"/>
        <w:rPr>
          <w:rFonts w:cs="Times New Roman"/>
          <w:b/>
          <w:bCs/>
          <w:color w:val="auto"/>
          <w:kern w:val="44"/>
          <w:sz w:val="44"/>
          <w:szCs w:val="44"/>
          <w:highlight w:val="none"/>
        </w:rPr>
      </w:pPr>
      <w:bookmarkStart w:id="779" w:name="_Toc17360"/>
      <w:bookmarkStart w:id="780" w:name="_Toc324404865"/>
      <w:bookmarkStart w:id="781" w:name="_Toc95223393"/>
      <w:bookmarkStart w:id="782" w:name="_Toc506107318"/>
      <w:bookmarkStart w:id="783" w:name="_Toc15058903"/>
      <w:bookmarkStart w:id="784" w:name="_Toc60061490"/>
      <w:bookmarkStart w:id="785" w:name="_Toc296602475"/>
      <w:r>
        <w:rPr>
          <w:rFonts w:hint="eastAsia" w:cs="Times New Roman"/>
          <w:b/>
          <w:bCs/>
          <w:color w:val="auto"/>
          <w:kern w:val="44"/>
          <w:sz w:val="44"/>
          <w:szCs w:val="44"/>
          <w:highlight w:val="none"/>
        </w:rPr>
        <w:t>第三章</w:t>
      </w:r>
      <w:r>
        <w:rPr>
          <w:rFonts w:cs="Times New Roman"/>
          <w:b/>
          <w:bCs/>
          <w:color w:val="auto"/>
          <w:kern w:val="44"/>
          <w:sz w:val="44"/>
          <w:szCs w:val="44"/>
          <w:highlight w:val="none"/>
        </w:rPr>
        <w:t xml:space="preserve">  </w:t>
      </w:r>
      <w:r>
        <w:rPr>
          <w:rFonts w:hint="eastAsia" w:cs="Times New Roman"/>
          <w:b/>
          <w:bCs/>
          <w:color w:val="auto"/>
          <w:kern w:val="44"/>
          <w:sz w:val="44"/>
          <w:szCs w:val="44"/>
          <w:highlight w:val="none"/>
        </w:rPr>
        <w:t>资格审查办法</w:t>
      </w:r>
      <w:bookmarkEnd w:id="779"/>
    </w:p>
    <w:p w14:paraId="06FD441A">
      <w:pPr>
        <w:keepNext/>
        <w:keepLines/>
        <w:tabs>
          <w:tab w:val="left" w:pos="2796"/>
          <w:tab w:val="center" w:pos="4479"/>
        </w:tabs>
        <w:adjustRightInd w:val="0"/>
        <w:snapToGrid w:val="0"/>
        <w:spacing w:line="440" w:lineRule="exact"/>
        <w:jc w:val="center"/>
        <w:outlineLvl w:val="1"/>
        <w:rPr>
          <w:rFonts w:ascii="Arial" w:hAnsi="Arial" w:eastAsia="黑体" w:cs="Times New Roman"/>
          <w:b/>
          <w:bCs/>
          <w:color w:val="auto"/>
          <w:sz w:val="28"/>
          <w:szCs w:val="28"/>
          <w:highlight w:val="none"/>
        </w:rPr>
      </w:pPr>
      <w:bookmarkStart w:id="786" w:name="_Toc11898"/>
      <w:bookmarkStart w:id="787" w:name="_Toc5077"/>
      <w:r>
        <w:rPr>
          <w:rFonts w:hint="eastAsia" w:ascii="Arial" w:hAnsi="Arial" w:eastAsia="黑体" w:cs="Times New Roman"/>
          <w:b/>
          <w:bCs/>
          <w:color w:val="auto"/>
          <w:sz w:val="28"/>
          <w:szCs w:val="28"/>
          <w:highlight w:val="none"/>
        </w:rPr>
        <w:t>资格审查办法前附表</w:t>
      </w:r>
      <w:bookmarkEnd w:id="786"/>
      <w:bookmarkEnd w:id="787"/>
    </w:p>
    <w:tbl>
      <w:tblPr>
        <w:tblStyle w:val="25"/>
        <w:tblW w:w="100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258"/>
        <w:gridCol w:w="6043"/>
        <w:gridCol w:w="1999"/>
      </w:tblGrid>
      <w:tr w14:paraId="74F29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2023" w:type="dxa"/>
            <w:gridSpan w:val="2"/>
            <w:tcBorders>
              <w:top w:val="single" w:color="auto" w:sz="4" w:space="0"/>
              <w:left w:val="single" w:color="auto" w:sz="4" w:space="0"/>
              <w:bottom w:val="single" w:color="auto" w:sz="4" w:space="0"/>
              <w:right w:val="single" w:color="auto" w:sz="4" w:space="0"/>
            </w:tcBorders>
            <w:vAlign w:val="center"/>
          </w:tcPr>
          <w:p w14:paraId="3D2A43B5">
            <w:pPr>
              <w:adjustRightInd w:val="0"/>
              <w:snapToGrid w:val="0"/>
              <w:spacing w:line="440" w:lineRule="exact"/>
              <w:jc w:val="center"/>
              <w:rPr>
                <w:rFonts w:ascii="黑体" w:hAnsi="黑体" w:eastAsia="黑体" w:cs="宋体"/>
                <w:b/>
                <w:bCs/>
                <w:color w:val="auto"/>
                <w:szCs w:val="21"/>
                <w:highlight w:val="none"/>
              </w:rPr>
            </w:pPr>
            <w:r>
              <w:rPr>
                <w:rFonts w:hint="eastAsia" w:ascii="黑体" w:hAnsi="黑体" w:eastAsia="黑体" w:cs="宋体"/>
                <w:b/>
                <w:bCs/>
                <w:color w:val="auto"/>
                <w:szCs w:val="21"/>
                <w:highlight w:val="none"/>
              </w:rPr>
              <w:t>条款号</w:t>
            </w:r>
          </w:p>
        </w:tc>
        <w:tc>
          <w:tcPr>
            <w:tcW w:w="6044" w:type="dxa"/>
            <w:tcBorders>
              <w:top w:val="single" w:color="auto" w:sz="4" w:space="0"/>
              <w:left w:val="single" w:color="auto" w:sz="4" w:space="0"/>
              <w:bottom w:val="single" w:color="auto" w:sz="4" w:space="0"/>
              <w:right w:val="single" w:color="auto" w:sz="4" w:space="0"/>
            </w:tcBorders>
            <w:vAlign w:val="center"/>
          </w:tcPr>
          <w:p w14:paraId="19743B51">
            <w:pPr>
              <w:adjustRightInd w:val="0"/>
              <w:snapToGrid w:val="0"/>
              <w:spacing w:line="440" w:lineRule="exact"/>
              <w:jc w:val="center"/>
              <w:rPr>
                <w:rFonts w:ascii="黑体" w:hAnsi="黑体" w:eastAsia="黑体" w:cs="宋体"/>
                <w:b/>
                <w:bCs/>
                <w:color w:val="auto"/>
                <w:szCs w:val="21"/>
                <w:highlight w:val="none"/>
              </w:rPr>
            </w:pPr>
            <w:r>
              <w:rPr>
                <w:rFonts w:hint="eastAsia" w:ascii="黑体" w:hAnsi="黑体" w:eastAsia="黑体" w:cs="宋体"/>
                <w:b/>
                <w:bCs/>
                <w:color w:val="auto"/>
                <w:szCs w:val="21"/>
                <w:highlight w:val="none"/>
              </w:rPr>
              <w:t>审查内容</w:t>
            </w:r>
          </w:p>
        </w:tc>
        <w:tc>
          <w:tcPr>
            <w:tcW w:w="1999" w:type="dxa"/>
            <w:tcBorders>
              <w:top w:val="single" w:color="auto" w:sz="4" w:space="0"/>
              <w:left w:val="single" w:color="auto" w:sz="4" w:space="0"/>
              <w:bottom w:val="single" w:color="auto" w:sz="4" w:space="0"/>
              <w:right w:val="single" w:color="auto" w:sz="4" w:space="0"/>
            </w:tcBorders>
            <w:vAlign w:val="center"/>
          </w:tcPr>
          <w:p w14:paraId="1B144D9F">
            <w:pPr>
              <w:adjustRightInd w:val="0"/>
              <w:snapToGrid w:val="0"/>
              <w:spacing w:line="440" w:lineRule="exact"/>
              <w:jc w:val="center"/>
              <w:rPr>
                <w:rFonts w:ascii="黑体" w:hAnsi="黑体" w:eastAsia="黑体" w:cs="宋体"/>
                <w:b/>
                <w:bCs/>
                <w:color w:val="auto"/>
                <w:szCs w:val="21"/>
                <w:highlight w:val="none"/>
              </w:rPr>
            </w:pPr>
            <w:r>
              <w:rPr>
                <w:rFonts w:hint="eastAsia" w:ascii="黑体" w:hAnsi="黑体" w:eastAsia="黑体" w:cs="宋体"/>
                <w:b/>
                <w:bCs/>
                <w:color w:val="auto"/>
                <w:szCs w:val="21"/>
                <w:highlight w:val="none"/>
              </w:rPr>
              <w:t>评审标准</w:t>
            </w:r>
          </w:p>
        </w:tc>
      </w:tr>
      <w:tr w14:paraId="33FB9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65" w:type="dxa"/>
            <w:vMerge w:val="restart"/>
            <w:tcBorders>
              <w:top w:val="single" w:color="auto" w:sz="4" w:space="0"/>
              <w:left w:val="single" w:color="auto" w:sz="4" w:space="0"/>
              <w:bottom w:val="single" w:color="auto" w:sz="4" w:space="0"/>
              <w:right w:val="single" w:color="auto" w:sz="4" w:space="0"/>
            </w:tcBorders>
            <w:vAlign w:val="center"/>
          </w:tcPr>
          <w:p w14:paraId="190894FC">
            <w:pPr>
              <w:adjustRightInd w:val="0"/>
              <w:snapToGri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1258" w:type="dxa"/>
            <w:vMerge w:val="restart"/>
            <w:tcBorders>
              <w:top w:val="single" w:color="auto" w:sz="4" w:space="0"/>
              <w:left w:val="single" w:color="auto" w:sz="4" w:space="0"/>
              <w:bottom w:val="single" w:color="auto" w:sz="4" w:space="0"/>
              <w:right w:val="single" w:color="auto" w:sz="4" w:space="0"/>
            </w:tcBorders>
            <w:vAlign w:val="center"/>
          </w:tcPr>
          <w:p w14:paraId="794855FE">
            <w:pPr>
              <w:adjustRightInd w:val="0"/>
              <w:snapToGrid w:val="0"/>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审查资料</w:t>
            </w:r>
          </w:p>
        </w:tc>
        <w:tc>
          <w:tcPr>
            <w:tcW w:w="6044" w:type="dxa"/>
            <w:tcBorders>
              <w:top w:val="single" w:color="auto" w:sz="4" w:space="0"/>
              <w:left w:val="single" w:color="auto" w:sz="4" w:space="0"/>
              <w:bottom w:val="single" w:color="auto" w:sz="4" w:space="0"/>
              <w:right w:val="single" w:color="auto" w:sz="4" w:space="0"/>
            </w:tcBorders>
          </w:tcPr>
          <w:p w14:paraId="6717F84B">
            <w:pPr>
              <w:adjustRightInd w:val="0"/>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法定代表人身份证明和本人有效身份证(或法定代表人授权委托书和委托代理人有效身份证)</w:t>
            </w:r>
          </w:p>
        </w:tc>
        <w:tc>
          <w:tcPr>
            <w:tcW w:w="1999" w:type="dxa"/>
            <w:vMerge w:val="restart"/>
            <w:tcBorders>
              <w:top w:val="single" w:color="auto" w:sz="4" w:space="0"/>
              <w:left w:val="single" w:color="auto" w:sz="4" w:space="0"/>
              <w:bottom w:val="single" w:color="auto" w:sz="4" w:space="0"/>
              <w:right w:val="single" w:color="auto" w:sz="4" w:space="0"/>
            </w:tcBorders>
            <w:vAlign w:val="center"/>
          </w:tcPr>
          <w:p w14:paraId="1D9D3B60">
            <w:pPr>
              <w:adjustRightInd w:val="0"/>
              <w:snapToGrid w:val="0"/>
              <w:spacing w:line="440" w:lineRule="exact"/>
              <w:jc w:val="center"/>
              <w:rPr>
                <w:rFonts w:ascii="宋体" w:hAnsi="宋体" w:cs="宋体"/>
                <w:b/>
                <w:color w:val="auto"/>
                <w:szCs w:val="21"/>
                <w:highlight w:val="none"/>
              </w:rPr>
            </w:pPr>
            <w:r>
              <w:rPr>
                <w:rFonts w:hint="eastAsia" w:ascii="宋体" w:hAnsi="宋体" w:cs="宋体"/>
                <w:b/>
                <w:color w:val="auto"/>
                <w:szCs w:val="21"/>
                <w:highlight w:val="none"/>
              </w:rPr>
              <w:t>检验电子标书</w:t>
            </w:r>
          </w:p>
        </w:tc>
      </w:tr>
      <w:tr w14:paraId="1E279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23" w:type="dxa"/>
            <w:vMerge w:val="continue"/>
            <w:tcBorders>
              <w:top w:val="single" w:color="auto" w:sz="4" w:space="0"/>
              <w:left w:val="single" w:color="auto" w:sz="4" w:space="0"/>
              <w:bottom w:val="single" w:color="auto" w:sz="4" w:space="0"/>
              <w:right w:val="single" w:color="auto" w:sz="4" w:space="0"/>
            </w:tcBorders>
            <w:vAlign w:val="center"/>
          </w:tcPr>
          <w:p w14:paraId="56879937">
            <w:pPr>
              <w:widowControl/>
              <w:jc w:val="left"/>
              <w:rPr>
                <w:rFonts w:ascii="宋体" w:hAnsi="宋体" w:cs="宋体"/>
                <w:color w:val="auto"/>
                <w:szCs w:val="21"/>
                <w:highlight w:val="none"/>
              </w:rPr>
            </w:pPr>
          </w:p>
        </w:tc>
        <w:tc>
          <w:tcPr>
            <w:tcW w:w="1258" w:type="dxa"/>
            <w:vMerge w:val="continue"/>
            <w:tcBorders>
              <w:top w:val="single" w:color="auto" w:sz="4" w:space="0"/>
              <w:left w:val="single" w:color="auto" w:sz="4" w:space="0"/>
              <w:bottom w:val="single" w:color="auto" w:sz="4" w:space="0"/>
              <w:right w:val="single" w:color="auto" w:sz="4" w:space="0"/>
            </w:tcBorders>
            <w:vAlign w:val="center"/>
          </w:tcPr>
          <w:p w14:paraId="2B0DB849">
            <w:pPr>
              <w:widowControl/>
              <w:jc w:val="left"/>
              <w:rPr>
                <w:rFonts w:ascii="宋体" w:hAnsi="宋体" w:cs="宋体"/>
                <w:b/>
                <w:bCs/>
                <w:color w:val="auto"/>
                <w:szCs w:val="21"/>
                <w:highlight w:val="none"/>
              </w:rPr>
            </w:pPr>
          </w:p>
        </w:tc>
        <w:tc>
          <w:tcPr>
            <w:tcW w:w="6044" w:type="dxa"/>
            <w:tcBorders>
              <w:top w:val="single" w:color="auto" w:sz="4" w:space="0"/>
              <w:left w:val="single" w:color="auto" w:sz="4" w:space="0"/>
              <w:bottom w:val="single" w:color="auto" w:sz="4" w:space="0"/>
              <w:right w:val="single" w:color="auto" w:sz="4" w:space="0"/>
            </w:tcBorders>
          </w:tcPr>
          <w:p w14:paraId="4863922D">
            <w:pPr>
              <w:adjustRightInd w:val="0"/>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诚信投标承诺书</w:t>
            </w:r>
          </w:p>
        </w:tc>
        <w:tc>
          <w:tcPr>
            <w:tcW w:w="1999" w:type="dxa"/>
            <w:vMerge w:val="continue"/>
            <w:tcBorders>
              <w:top w:val="single" w:color="auto" w:sz="4" w:space="0"/>
              <w:left w:val="single" w:color="auto" w:sz="4" w:space="0"/>
              <w:bottom w:val="single" w:color="auto" w:sz="4" w:space="0"/>
              <w:right w:val="single" w:color="auto" w:sz="4" w:space="0"/>
            </w:tcBorders>
            <w:vAlign w:val="center"/>
          </w:tcPr>
          <w:p w14:paraId="2EEB9108">
            <w:pPr>
              <w:widowControl/>
              <w:jc w:val="left"/>
              <w:rPr>
                <w:rFonts w:ascii="宋体" w:hAnsi="宋体" w:cs="宋体"/>
                <w:b/>
                <w:color w:val="auto"/>
                <w:szCs w:val="21"/>
                <w:highlight w:val="none"/>
              </w:rPr>
            </w:pPr>
          </w:p>
        </w:tc>
      </w:tr>
      <w:tr w14:paraId="0C436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023" w:type="dxa"/>
            <w:vMerge w:val="continue"/>
            <w:tcBorders>
              <w:top w:val="single" w:color="auto" w:sz="4" w:space="0"/>
              <w:left w:val="single" w:color="auto" w:sz="4" w:space="0"/>
              <w:bottom w:val="single" w:color="auto" w:sz="4" w:space="0"/>
              <w:right w:val="single" w:color="auto" w:sz="4" w:space="0"/>
            </w:tcBorders>
            <w:vAlign w:val="center"/>
          </w:tcPr>
          <w:p w14:paraId="70679B99">
            <w:pPr>
              <w:widowControl/>
              <w:jc w:val="left"/>
              <w:rPr>
                <w:rFonts w:ascii="宋体" w:hAnsi="宋体" w:cs="宋体"/>
                <w:color w:val="auto"/>
                <w:szCs w:val="21"/>
                <w:highlight w:val="none"/>
              </w:rPr>
            </w:pPr>
          </w:p>
        </w:tc>
        <w:tc>
          <w:tcPr>
            <w:tcW w:w="1258" w:type="dxa"/>
            <w:vMerge w:val="continue"/>
            <w:tcBorders>
              <w:top w:val="single" w:color="auto" w:sz="4" w:space="0"/>
              <w:left w:val="single" w:color="auto" w:sz="4" w:space="0"/>
              <w:bottom w:val="single" w:color="auto" w:sz="4" w:space="0"/>
              <w:right w:val="single" w:color="auto" w:sz="4" w:space="0"/>
            </w:tcBorders>
            <w:vAlign w:val="center"/>
          </w:tcPr>
          <w:p w14:paraId="51C9281A">
            <w:pPr>
              <w:widowControl/>
              <w:jc w:val="left"/>
              <w:rPr>
                <w:rFonts w:ascii="宋体" w:hAnsi="宋体" w:cs="宋体"/>
                <w:b/>
                <w:bCs/>
                <w:color w:val="auto"/>
                <w:szCs w:val="21"/>
                <w:highlight w:val="none"/>
              </w:rPr>
            </w:pPr>
          </w:p>
        </w:tc>
        <w:tc>
          <w:tcPr>
            <w:tcW w:w="6044" w:type="dxa"/>
            <w:tcBorders>
              <w:top w:val="single" w:color="auto" w:sz="4" w:space="0"/>
              <w:left w:val="single" w:color="auto" w:sz="4" w:space="0"/>
              <w:bottom w:val="single" w:color="auto" w:sz="4" w:space="0"/>
              <w:right w:val="single" w:color="auto" w:sz="4" w:space="0"/>
            </w:tcBorders>
          </w:tcPr>
          <w:p w14:paraId="2D146076">
            <w:pPr>
              <w:adjustRightInd w:val="0"/>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企业法人营业执照</w:t>
            </w:r>
          </w:p>
        </w:tc>
        <w:tc>
          <w:tcPr>
            <w:tcW w:w="1999" w:type="dxa"/>
            <w:vMerge w:val="continue"/>
            <w:tcBorders>
              <w:top w:val="single" w:color="auto" w:sz="4" w:space="0"/>
              <w:left w:val="single" w:color="auto" w:sz="4" w:space="0"/>
              <w:bottom w:val="single" w:color="auto" w:sz="4" w:space="0"/>
              <w:right w:val="single" w:color="auto" w:sz="4" w:space="0"/>
            </w:tcBorders>
            <w:vAlign w:val="center"/>
          </w:tcPr>
          <w:p w14:paraId="01C561BE">
            <w:pPr>
              <w:widowControl/>
              <w:jc w:val="left"/>
              <w:rPr>
                <w:rFonts w:ascii="宋体" w:hAnsi="宋体" w:cs="宋体"/>
                <w:b/>
                <w:color w:val="auto"/>
                <w:szCs w:val="21"/>
                <w:highlight w:val="none"/>
              </w:rPr>
            </w:pPr>
          </w:p>
        </w:tc>
      </w:tr>
      <w:tr w14:paraId="5A8FF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2023" w:type="dxa"/>
            <w:vMerge w:val="continue"/>
            <w:tcBorders>
              <w:top w:val="single" w:color="auto" w:sz="4" w:space="0"/>
              <w:left w:val="single" w:color="auto" w:sz="4" w:space="0"/>
              <w:bottom w:val="single" w:color="auto" w:sz="4" w:space="0"/>
              <w:right w:val="single" w:color="auto" w:sz="4" w:space="0"/>
            </w:tcBorders>
            <w:vAlign w:val="center"/>
          </w:tcPr>
          <w:p w14:paraId="1097EC29">
            <w:pPr>
              <w:widowControl/>
              <w:jc w:val="left"/>
              <w:rPr>
                <w:rFonts w:ascii="宋体" w:hAnsi="宋体" w:cs="宋体"/>
                <w:color w:val="auto"/>
                <w:szCs w:val="21"/>
                <w:highlight w:val="none"/>
              </w:rPr>
            </w:pPr>
          </w:p>
        </w:tc>
        <w:tc>
          <w:tcPr>
            <w:tcW w:w="1258" w:type="dxa"/>
            <w:vMerge w:val="continue"/>
            <w:tcBorders>
              <w:top w:val="single" w:color="auto" w:sz="4" w:space="0"/>
              <w:left w:val="single" w:color="auto" w:sz="4" w:space="0"/>
              <w:bottom w:val="single" w:color="auto" w:sz="4" w:space="0"/>
              <w:right w:val="single" w:color="auto" w:sz="4" w:space="0"/>
            </w:tcBorders>
            <w:vAlign w:val="center"/>
          </w:tcPr>
          <w:p w14:paraId="2F4BA346">
            <w:pPr>
              <w:widowControl/>
              <w:jc w:val="left"/>
              <w:rPr>
                <w:rFonts w:ascii="宋体" w:hAnsi="宋体" w:cs="宋体"/>
                <w:b/>
                <w:bCs/>
                <w:color w:val="auto"/>
                <w:szCs w:val="21"/>
                <w:highlight w:val="none"/>
              </w:rPr>
            </w:pPr>
          </w:p>
        </w:tc>
        <w:tc>
          <w:tcPr>
            <w:tcW w:w="6044" w:type="dxa"/>
            <w:tcBorders>
              <w:top w:val="single" w:color="auto" w:sz="4" w:space="0"/>
              <w:left w:val="single" w:color="auto" w:sz="4" w:space="0"/>
              <w:bottom w:val="single" w:color="auto" w:sz="4" w:space="0"/>
              <w:right w:val="single" w:color="auto" w:sz="4" w:space="0"/>
            </w:tcBorders>
          </w:tcPr>
          <w:p w14:paraId="03C37C7A">
            <w:pPr>
              <w:adjustRightInd w:val="0"/>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有效资质证书</w:t>
            </w:r>
          </w:p>
        </w:tc>
        <w:tc>
          <w:tcPr>
            <w:tcW w:w="1999" w:type="dxa"/>
            <w:vMerge w:val="continue"/>
            <w:tcBorders>
              <w:top w:val="single" w:color="auto" w:sz="4" w:space="0"/>
              <w:left w:val="single" w:color="auto" w:sz="4" w:space="0"/>
              <w:bottom w:val="single" w:color="auto" w:sz="4" w:space="0"/>
              <w:right w:val="single" w:color="auto" w:sz="4" w:space="0"/>
            </w:tcBorders>
            <w:vAlign w:val="center"/>
          </w:tcPr>
          <w:p w14:paraId="7D8B0D73">
            <w:pPr>
              <w:widowControl/>
              <w:jc w:val="left"/>
              <w:rPr>
                <w:rFonts w:ascii="宋体" w:hAnsi="宋体" w:cs="宋体"/>
                <w:b/>
                <w:color w:val="auto"/>
                <w:szCs w:val="21"/>
                <w:highlight w:val="none"/>
              </w:rPr>
            </w:pPr>
          </w:p>
        </w:tc>
      </w:tr>
      <w:tr w14:paraId="51A7A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2023" w:type="dxa"/>
            <w:vMerge w:val="continue"/>
            <w:tcBorders>
              <w:top w:val="single" w:color="auto" w:sz="4" w:space="0"/>
              <w:left w:val="single" w:color="auto" w:sz="4" w:space="0"/>
              <w:bottom w:val="single" w:color="auto" w:sz="4" w:space="0"/>
              <w:right w:val="single" w:color="auto" w:sz="4" w:space="0"/>
            </w:tcBorders>
            <w:vAlign w:val="center"/>
          </w:tcPr>
          <w:p w14:paraId="5FB782D4">
            <w:pPr>
              <w:widowControl/>
              <w:jc w:val="left"/>
              <w:rPr>
                <w:rFonts w:ascii="宋体" w:hAnsi="宋体" w:cs="宋体"/>
                <w:color w:val="auto"/>
                <w:szCs w:val="21"/>
                <w:highlight w:val="none"/>
              </w:rPr>
            </w:pPr>
          </w:p>
        </w:tc>
        <w:tc>
          <w:tcPr>
            <w:tcW w:w="1258" w:type="dxa"/>
            <w:vMerge w:val="continue"/>
            <w:tcBorders>
              <w:top w:val="single" w:color="auto" w:sz="4" w:space="0"/>
              <w:left w:val="single" w:color="auto" w:sz="4" w:space="0"/>
              <w:bottom w:val="single" w:color="auto" w:sz="4" w:space="0"/>
              <w:right w:val="single" w:color="auto" w:sz="4" w:space="0"/>
            </w:tcBorders>
            <w:vAlign w:val="center"/>
          </w:tcPr>
          <w:p w14:paraId="1E22D9D5">
            <w:pPr>
              <w:widowControl/>
              <w:jc w:val="left"/>
              <w:rPr>
                <w:rFonts w:ascii="宋体" w:hAnsi="宋体" w:cs="宋体"/>
                <w:b/>
                <w:bCs/>
                <w:color w:val="auto"/>
                <w:szCs w:val="21"/>
                <w:highlight w:val="none"/>
              </w:rPr>
            </w:pPr>
          </w:p>
        </w:tc>
        <w:tc>
          <w:tcPr>
            <w:tcW w:w="6044" w:type="dxa"/>
            <w:tcBorders>
              <w:top w:val="single" w:color="auto" w:sz="4" w:space="0"/>
              <w:left w:val="single" w:color="auto" w:sz="4" w:space="0"/>
              <w:bottom w:val="single" w:color="auto" w:sz="4" w:space="0"/>
              <w:right w:val="single" w:color="auto" w:sz="4" w:space="0"/>
            </w:tcBorders>
          </w:tcPr>
          <w:p w14:paraId="3A0B798D">
            <w:pPr>
              <w:adjustRightInd w:val="0"/>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项目负责人身份证和有效的证书</w:t>
            </w:r>
          </w:p>
        </w:tc>
        <w:tc>
          <w:tcPr>
            <w:tcW w:w="1999" w:type="dxa"/>
            <w:vMerge w:val="continue"/>
            <w:tcBorders>
              <w:top w:val="single" w:color="auto" w:sz="4" w:space="0"/>
              <w:left w:val="single" w:color="auto" w:sz="4" w:space="0"/>
              <w:bottom w:val="single" w:color="auto" w:sz="4" w:space="0"/>
              <w:right w:val="single" w:color="auto" w:sz="4" w:space="0"/>
            </w:tcBorders>
            <w:vAlign w:val="center"/>
          </w:tcPr>
          <w:p w14:paraId="6542E066">
            <w:pPr>
              <w:widowControl/>
              <w:jc w:val="left"/>
              <w:rPr>
                <w:rFonts w:ascii="宋体" w:hAnsi="宋体" w:cs="宋体"/>
                <w:b/>
                <w:color w:val="auto"/>
                <w:szCs w:val="21"/>
                <w:highlight w:val="none"/>
              </w:rPr>
            </w:pPr>
          </w:p>
        </w:tc>
      </w:tr>
      <w:tr w14:paraId="6EC89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023" w:type="dxa"/>
            <w:vMerge w:val="continue"/>
            <w:tcBorders>
              <w:top w:val="single" w:color="auto" w:sz="4" w:space="0"/>
              <w:left w:val="single" w:color="auto" w:sz="4" w:space="0"/>
              <w:bottom w:val="single" w:color="auto" w:sz="4" w:space="0"/>
              <w:right w:val="single" w:color="auto" w:sz="4" w:space="0"/>
            </w:tcBorders>
            <w:vAlign w:val="center"/>
          </w:tcPr>
          <w:p w14:paraId="2712664A">
            <w:pPr>
              <w:widowControl/>
              <w:jc w:val="left"/>
              <w:rPr>
                <w:rFonts w:ascii="宋体" w:hAnsi="宋体" w:cs="宋体"/>
                <w:color w:val="auto"/>
                <w:szCs w:val="21"/>
                <w:highlight w:val="none"/>
              </w:rPr>
            </w:pPr>
          </w:p>
        </w:tc>
        <w:tc>
          <w:tcPr>
            <w:tcW w:w="1258" w:type="dxa"/>
            <w:vMerge w:val="continue"/>
            <w:tcBorders>
              <w:top w:val="single" w:color="auto" w:sz="4" w:space="0"/>
              <w:left w:val="single" w:color="auto" w:sz="4" w:space="0"/>
              <w:bottom w:val="single" w:color="auto" w:sz="4" w:space="0"/>
              <w:right w:val="single" w:color="auto" w:sz="4" w:space="0"/>
            </w:tcBorders>
            <w:vAlign w:val="center"/>
          </w:tcPr>
          <w:p w14:paraId="07EAF18A">
            <w:pPr>
              <w:widowControl/>
              <w:jc w:val="left"/>
              <w:rPr>
                <w:rFonts w:ascii="宋体" w:hAnsi="宋体" w:cs="宋体"/>
                <w:b/>
                <w:bCs/>
                <w:color w:val="auto"/>
                <w:szCs w:val="21"/>
                <w:highlight w:val="none"/>
              </w:rPr>
            </w:pPr>
          </w:p>
        </w:tc>
        <w:tc>
          <w:tcPr>
            <w:tcW w:w="6044" w:type="dxa"/>
            <w:tcBorders>
              <w:top w:val="single" w:color="auto" w:sz="4" w:space="0"/>
              <w:left w:val="single" w:color="auto" w:sz="4" w:space="0"/>
              <w:bottom w:val="single" w:color="auto" w:sz="4" w:space="0"/>
              <w:right w:val="single" w:color="auto" w:sz="4" w:space="0"/>
            </w:tcBorders>
          </w:tcPr>
          <w:p w14:paraId="5B40E7A4">
            <w:pPr>
              <w:adjustRightInd w:val="0"/>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投标人的法定代表人(或委托代理人)和拟任项目负责人须持有社保部门出具的本单位为其缴纳的投标前近三个月连续的养老保险证明（证明文件两个月内有效）（同一人担任不同公司法定代表人的，该法定代表人参加本项目投标时须提供本人在其他公司任法定代表人的营业执照及为其缴纳养老保险证明材料），投标人是事业单位的，暂未缴纳养老保险的，须由其主管部门出具证明</w:t>
            </w:r>
          </w:p>
        </w:tc>
        <w:tc>
          <w:tcPr>
            <w:tcW w:w="1999" w:type="dxa"/>
            <w:vMerge w:val="continue"/>
            <w:tcBorders>
              <w:top w:val="single" w:color="auto" w:sz="4" w:space="0"/>
              <w:left w:val="single" w:color="auto" w:sz="4" w:space="0"/>
              <w:bottom w:val="single" w:color="auto" w:sz="4" w:space="0"/>
              <w:right w:val="single" w:color="auto" w:sz="4" w:space="0"/>
            </w:tcBorders>
            <w:vAlign w:val="center"/>
          </w:tcPr>
          <w:p w14:paraId="6403545F">
            <w:pPr>
              <w:widowControl/>
              <w:jc w:val="left"/>
              <w:rPr>
                <w:rFonts w:ascii="宋体" w:hAnsi="宋体" w:cs="宋体"/>
                <w:b/>
                <w:color w:val="auto"/>
                <w:szCs w:val="21"/>
                <w:highlight w:val="none"/>
              </w:rPr>
            </w:pPr>
          </w:p>
        </w:tc>
      </w:tr>
      <w:tr w14:paraId="68806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023" w:type="dxa"/>
            <w:vMerge w:val="continue"/>
            <w:tcBorders>
              <w:top w:val="single" w:color="auto" w:sz="4" w:space="0"/>
              <w:left w:val="single" w:color="auto" w:sz="4" w:space="0"/>
              <w:bottom w:val="single" w:color="auto" w:sz="4" w:space="0"/>
              <w:right w:val="single" w:color="auto" w:sz="4" w:space="0"/>
            </w:tcBorders>
            <w:vAlign w:val="center"/>
          </w:tcPr>
          <w:p w14:paraId="20B6A1CB">
            <w:pPr>
              <w:widowControl/>
              <w:jc w:val="left"/>
              <w:rPr>
                <w:rFonts w:ascii="宋体" w:hAnsi="宋体" w:cs="宋体"/>
                <w:color w:val="auto"/>
                <w:szCs w:val="21"/>
                <w:highlight w:val="none"/>
              </w:rPr>
            </w:pPr>
          </w:p>
        </w:tc>
        <w:tc>
          <w:tcPr>
            <w:tcW w:w="1258" w:type="dxa"/>
            <w:vMerge w:val="continue"/>
            <w:tcBorders>
              <w:top w:val="single" w:color="auto" w:sz="4" w:space="0"/>
              <w:left w:val="single" w:color="auto" w:sz="4" w:space="0"/>
              <w:bottom w:val="single" w:color="auto" w:sz="4" w:space="0"/>
              <w:right w:val="single" w:color="auto" w:sz="4" w:space="0"/>
            </w:tcBorders>
            <w:vAlign w:val="center"/>
          </w:tcPr>
          <w:p w14:paraId="1969A2D1">
            <w:pPr>
              <w:widowControl/>
              <w:jc w:val="left"/>
              <w:rPr>
                <w:rFonts w:ascii="宋体" w:hAnsi="宋体" w:cs="宋体"/>
                <w:b/>
                <w:bCs/>
                <w:color w:val="auto"/>
                <w:szCs w:val="21"/>
                <w:highlight w:val="none"/>
              </w:rPr>
            </w:pPr>
          </w:p>
        </w:tc>
        <w:tc>
          <w:tcPr>
            <w:tcW w:w="6044" w:type="dxa"/>
            <w:tcBorders>
              <w:top w:val="single" w:color="auto" w:sz="4" w:space="0"/>
              <w:left w:val="single" w:color="auto" w:sz="4" w:space="0"/>
              <w:bottom w:val="single" w:color="auto" w:sz="4" w:space="0"/>
              <w:right w:val="single" w:color="auto" w:sz="4" w:space="0"/>
            </w:tcBorders>
          </w:tcPr>
          <w:p w14:paraId="0497FD01">
            <w:pPr>
              <w:adjustRightInd w:val="0"/>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服务承诺书</w:t>
            </w:r>
          </w:p>
        </w:tc>
        <w:tc>
          <w:tcPr>
            <w:tcW w:w="1999" w:type="dxa"/>
            <w:tcBorders>
              <w:top w:val="single" w:color="auto" w:sz="4" w:space="0"/>
              <w:left w:val="single" w:color="auto" w:sz="4" w:space="0"/>
              <w:bottom w:val="single" w:color="auto" w:sz="4" w:space="0"/>
              <w:right w:val="single" w:color="auto" w:sz="4" w:space="0"/>
            </w:tcBorders>
            <w:vAlign w:val="center"/>
          </w:tcPr>
          <w:p w14:paraId="55D1B101">
            <w:pPr>
              <w:adjustRightInd w:val="0"/>
              <w:snapToGrid w:val="0"/>
              <w:spacing w:line="440" w:lineRule="exact"/>
              <w:jc w:val="center"/>
              <w:rPr>
                <w:rFonts w:ascii="宋体" w:hAnsi="宋体" w:cs="宋体"/>
                <w:color w:val="auto"/>
                <w:szCs w:val="21"/>
                <w:highlight w:val="none"/>
              </w:rPr>
            </w:pPr>
          </w:p>
        </w:tc>
      </w:tr>
    </w:tbl>
    <w:p w14:paraId="2051D0B5">
      <w:pPr>
        <w:adjustRightInd w:val="0"/>
        <w:snapToGrid w:val="0"/>
        <w:spacing w:line="440" w:lineRule="exact"/>
        <w:ind w:firstLine="422" w:firstLineChars="200"/>
        <w:jc w:val="left"/>
        <w:rPr>
          <w:rFonts w:ascii="黑体" w:hAnsi="黑体" w:eastAsia="黑体" w:cs="黑体"/>
          <w:b/>
          <w:bCs/>
          <w:color w:val="auto"/>
          <w:szCs w:val="21"/>
          <w:highlight w:val="none"/>
        </w:rPr>
      </w:pPr>
      <w:r>
        <w:rPr>
          <w:rFonts w:hint="eastAsia" w:ascii="黑体" w:hAnsi="黑体" w:eastAsia="黑体" w:cs="黑体"/>
          <w:b/>
          <w:bCs/>
          <w:color w:val="auto"/>
          <w:szCs w:val="21"/>
          <w:highlight w:val="none"/>
        </w:rPr>
        <w:t>重要提示：</w:t>
      </w:r>
    </w:p>
    <w:p w14:paraId="7DC0718A">
      <w:pPr>
        <w:adjustRightInd w:val="0"/>
        <w:snapToGrid w:val="0"/>
        <w:spacing w:line="440" w:lineRule="exact"/>
        <w:ind w:firstLine="422" w:firstLineChars="200"/>
        <w:jc w:val="left"/>
        <w:rPr>
          <w:rFonts w:ascii="黑体" w:hAnsi="黑体" w:eastAsia="黑体" w:cs="黑体"/>
          <w:b/>
          <w:bCs/>
          <w:color w:val="auto"/>
          <w:szCs w:val="21"/>
          <w:highlight w:val="none"/>
        </w:rPr>
      </w:pPr>
      <w:r>
        <w:rPr>
          <w:rFonts w:hint="eastAsia" w:ascii="黑体" w:hAnsi="黑体" w:eastAsia="黑体" w:cs="黑体"/>
          <w:b/>
          <w:bCs/>
          <w:color w:val="auto"/>
          <w:szCs w:val="21"/>
          <w:highlight w:val="none"/>
        </w:rPr>
        <w:t>（1）资格审查材料可以按招标文件要求上传至指定位置。</w:t>
      </w:r>
    </w:p>
    <w:p w14:paraId="5AD0A767">
      <w:pPr>
        <w:adjustRightInd w:val="0"/>
        <w:snapToGrid w:val="0"/>
        <w:spacing w:line="440" w:lineRule="exact"/>
        <w:ind w:firstLine="422" w:firstLineChars="200"/>
        <w:jc w:val="left"/>
        <w:rPr>
          <w:rFonts w:ascii="黑体" w:hAnsi="黑体" w:eastAsia="黑体" w:cs="黑体"/>
          <w:b/>
          <w:bCs/>
          <w:color w:val="auto"/>
          <w:szCs w:val="21"/>
          <w:highlight w:val="none"/>
        </w:rPr>
      </w:pPr>
      <w:r>
        <w:rPr>
          <w:rFonts w:hint="eastAsia" w:ascii="黑体" w:hAnsi="黑体" w:eastAsia="黑体" w:cs="黑体"/>
          <w:b/>
          <w:bCs/>
          <w:color w:val="auto"/>
          <w:szCs w:val="21"/>
          <w:highlight w:val="none"/>
        </w:rPr>
        <w:t>（2）评标专家在检验电子投标文件过程中，如果由于投标人自身原因导致评标专家无法查看并检验电子投标文件中相关资料的，视为无效标处理。即使投标人将原件携带至现场的，同样按无效标处理。</w:t>
      </w:r>
    </w:p>
    <w:p w14:paraId="11B30665">
      <w:pPr>
        <w:keepNext/>
        <w:keepLines/>
        <w:adjustRightInd w:val="0"/>
        <w:snapToGrid w:val="0"/>
        <w:spacing w:line="440" w:lineRule="exact"/>
        <w:ind w:firstLine="422" w:firstLineChars="200"/>
        <w:outlineLvl w:val="1"/>
        <w:rPr>
          <w:rFonts w:ascii="黑体" w:hAnsi="黑体" w:eastAsia="黑体" w:cs="黑体"/>
          <w:b/>
          <w:bCs/>
          <w:color w:val="auto"/>
          <w:szCs w:val="21"/>
          <w:highlight w:val="none"/>
        </w:rPr>
      </w:pPr>
      <w:bookmarkStart w:id="788" w:name="_Toc6447"/>
      <w:bookmarkStart w:id="789" w:name="_Toc6839"/>
      <w:r>
        <w:rPr>
          <w:rFonts w:hint="eastAsia" w:ascii="黑体" w:hAnsi="黑体" w:eastAsia="黑体" w:cs="黑体"/>
          <w:b/>
          <w:bCs/>
          <w:color w:val="auto"/>
          <w:szCs w:val="21"/>
          <w:highlight w:val="none"/>
        </w:rPr>
        <w:t>1.审查资料</w:t>
      </w:r>
      <w:bookmarkEnd w:id="788"/>
      <w:bookmarkEnd w:id="789"/>
    </w:p>
    <w:p w14:paraId="1C08FA5B">
      <w:pPr>
        <w:widowControl/>
        <w:adjustRightInd w:val="0"/>
        <w:snapToGri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详见资格审查办法前附表；</w:t>
      </w:r>
    </w:p>
    <w:p w14:paraId="1F79283D">
      <w:pPr>
        <w:adjustRightInd w:val="0"/>
        <w:snapToGrid w:val="0"/>
        <w:spacing w:line="440" w:lineRule="exact"/>
        <w:ind w:firstLine="422" w:firstLineChars="200"/>
        <w:jc w:val="left"/>
        <w:rPr>
          <w:rFonts w:ascii="黑体" w:hAnsi="黑体" w:eastAsia="黑体" w:cs="黑体"/>
          <w:b/>
          <w:color w:val="auto"/>
          <w:szCs w:val="21"/>
          <w:highlight w:val="none"/>
        </w:rPr>
      </w:pPr>
      <w:r>
        <w:rPr>
          <w:rFonts w:hint="eastAsia" w:ascii="黑体" w:hAnsi="黑体" w:eastAsia="黑体" w:cs="黑体"/>
          <w:b/>
          <w:color w:val="auto"/>
          <w:szCs w:val="21"/>
          <w:highlight w:val="none"/>
        </w:rPr>
        <w:t>温馨提示：请投标人认真准备投标文件资格审查资料,如评标专家在检验电子标书过程中，如果由于投标人自身原因导致评标专家无法查看并检验电子标书中相关资料的，视为无效标处理。即使投标人将原件携带至现场的，同样按无效标处理。</w:t>
      </w:r>
    </w:p>
    <w:p w14:paraId="060961F6">
      <w:pPr>
        <w:keepNext/>
        <w:keepLines/>
        <w:adjustRightInd w:val="0"/>
        <w:snapToGrid w:val="0"/>
        <w:spacing w:line="440" w:lineRule="exact"/>
        <w:ind w:firstLine="422" w:firstLineChars="200"/>
        <w:outlineLvl w:val="1"/>
        <w:rPr>
          <w:rFonts w:ascii="黑体" w:hAnsi="黑体" w:eastAsia="黑体" w:cs="黑体"/>
          <w:b/>
          <w:bCs/>
          <w:color w:val="auto"/>
          <w:szCs w:val="21"/>
          <w:highlight w:val="none"/>
        </w:rPr>
      </w:pPr>
      <w:bookmarkStart w:id="790" w:name="_Toc31948"/>
      <w:bookmarkStart w:id="791" w:name="_Toc13799"/>
      <w:r>
        <w:rPr>
          <w:rFonts w:hint="eastAsia" w:ascii="黑体" w:hAnsi="黑体" w:eastAsia="黑体" w:cs="黑体"/>
          <w:b/>
          <w:bCs/>
          <w:color w:val="auto"/>
          <w:szCs w:val="21"/>
          <w:highlight w:val="none"/>
        </w:rPr>
        <w:t>2.审查办法</w:t>
      </w:r>
      <w:bookmarkEnd w:id="790"/>
      <w:bookmarkEnd w:id="791"/>
    </w:p>
    <w:p w14:paraId="30FFDDE1">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由资格审查委员会（评标委员会）按资格审查办法前附表中资格审查必要合格条件评审表要求对投标人审查资料进行核验。</w:t>
      </w:r>
    </w:p>
    <w:p w14:paraId="62EFCD77">
      <w:pPr>
        <w:keepNext/>
        <w:keepLines/>
        <w:adjustRightInd w:val="0"/>
        <w:snapToGrid w:val="0"/>
        <w:spacing w:line="440" w:lineRule="exact"/>
        <w:ind w:firstLine="422" w:firstLineChars="200"/>
        <w:outlineLvl w:val="1"/>
        <w:rPr>
          <w:rFonts w:ascii="黑体" w:hAnsi="黑体" w:eastAsia="黑体" w:cs="黑体"/>
          <w:b/>
          <w:bCs/>
          <w:color w:val="auto"/>
          <w:szCs w:val="21"/>
          <w:highlight w:val="none"/>
        </w:rPr>
      </w:pPr>
      <w:bookmarkStart w:id="792" w:name="_Toc23122"/>
      <w:bookmarkStart w:id="793" w:name="_Toc29285"/>
      <w:r>
        <w:rPr>
          <w:rFonts w:hint="eastAsia" w:ascii="黑体" w:hAnsi="黑体" w:eastAsia="黑体" w:cs="黑体"/>
          <w:b/>
          <w:bCs/>
          <w:color w:val="auto"/>
          <w:szCs w:val="21"/>
          <w:highlight w:val="none"/>
        </w:rPr>
        <w:t>3.资格审查委员会和审查标准</w:t>
      </w:r>
      <w:bookmarkEnd w:id="792"/>
      <w:bookmarkEnd w:id="793"/>
    </w:p>
    <w:p w14:paraId="24AA2812">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3.1资格审查由招标人依法组建的资格审查委员会（或评标委员会）负责。审查标准见资格审查办法前附表。</w:t>
      </w:r>
    </w:p>
    <w:p w14:paraId="2ED00C36">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3.2由资格审查委员会（评标委员会）按资格审查办法前附表要求对投标人的审查资料进行核验。投标申请人有下列情形之一的，其资格审查为不合格： </w:t>
      </w:r>
    </w:p>
    <w:p w14:paraId="7E714D01">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（1）未上传电子标书或电子标书经审查不合格；</w:t>
      </w:r>
    </w:p>
    <w:p w14:paraId="5BA413F3">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（2）联合体投标人没有提交联合体协议书；</w:t>
      </w:r>
    </w:p>
    <w:p w14:paraId="409E4365">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（3）保证金不按第二章“投标人须知”及其前附表要求提交投标保证金的； </w:t>
      </w:r>
    </w:p>
    <w:p w14:paraId="128C45AC">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eastAsia="zh-CN"/>
        </w:rPr>
        <w:t>法律法规</w:t>
      </w:r>
      <w:r>
        <w:rPr>
          <w:rFonts w:hint="eastAsia" w:ascii="宋体" w:hAnsi="宋体" w:cs="宋体"/>
          <w:color w:val="auto"/>
          <w:szCs w:val="21"/>
          <w:highlight w:val="none"/>
        </w:rPr>
        <w:t>规定的其他情形。</w:t>
      </w:r>
    </w:p>
    <w:p w14:paraId="2A599201">
      <w:pPr>
        <w:keepNext/>
        <w:keepLines/>
        <w:adjustRightInd w:val="0"/>
        <w:snapToGrid w:val="0"/>
        <w:spacing w:line="440" w:lineRule="exact"/>
        <w:ind w:firstLine="422" w:firstLineChars="200"/>
        <w:outlineLvl w:val="1"/>
        <w:rPr>
          <w:rFonts w:ascii="黑体" w:hAnsi="黑体" w:eastAsia="黑体" w:cs="黑体"/>
          <w:b/>
          <w:bCs/>
          <w:color w:val="auto"/>
          <w:szCs w:val="21"/>
          <w:highlight w:val="none"/>
        </w:rPr>
      </w:pPr>
      <w:bookmarkStart w:id="794" w:name="_Toc18794"/>
      <w:bookmarkStart w:id="795" w:name="_Toc16034"/>
      <w:r>
        <w:rPr>
          <w:rFonts w:hint="eastAsia" w:ascii="黑体" w:hAnsi="黑体" w:eastAsia="黑体" w:cs="黑体"/>
          <w:b/>
          <w:bCs/>
          <w:color w:val="auto"/>
          <w:szCs w:val="21"/>
          <w:highlight w:val="none"/>
        </w:rPr>
        <w:t>4.审查结果</w:t>
      </w:r>
      <w:bookmarkEnd w:id="794"/>
      <w:bookmarkEnd w:id="795"/>
    </w:p>
    <w:p w14:paraId="494304E2">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只有通过资格审查的投标人才能被推荐为中标候选人。</w:t>
      </w:r>
    </w:p>
    <w:bookmarkEnd w:id="780"/>
    <w:bookmarkEnd w:id="781"/>
    <w:bookmarkEnd w:id="782"/>
    <w:bookmarkEnd w:id="783"/>
    <w:bookmarkEnd w:id="784"/>
    <w:p w14:paraId="2B1F27BF">
      <w:pPr>
        <w:spacing w:line="440" w:lineRule="exact"/>
        <w:rPr>
          <w:rFonts w:cs="Times New Roman"/>
          <w:color w:val="auto"/>
          <w:szCs w:val="24"/>
          <w:highlight w:val="none"/>
        </w:rPr>
      </w:pPr>
      <w:bookmarkStart w:id="796" w:name="_Toc15058912"/>
      <w:bookmarkStart w:id="797" w:name="_Toc60061495"/>
      <w:bookmarkStart w:id="798" w:name="_Toc506107323"/>
      <w:bookmarkStart w:id="799" w:name="_Toc95223398"/>
    </w:p>
    <w:bookmarkEnd w:id="785"/>
    <w:bookmarkEnd w:id="796"/>
    <w:bookmarkEnd w:id="797"/>
    <w:bookmarkEnd w:id="798"/>
    <w:bookmarkEnd w:id="799"/>
    <w:p w14:paraId="65449577">
      <w:pPr>
        <w:keepNext/>
        <w:keepLines/>
        <w:pageBreakBefore/>
        <w:spacing w:line="360" w:lineRule="auto"/>
        <w:jc w:val="center"/>
        <w:outlineLvl w:val="0"/>
        <w:rPr>
          <w:rFonts w:cs="Times New Roman"/>
          <w:b/>
          <w:bCs/>
          <w:color w:val="auto"/>
          <w:kern w:val="44"/>
          <w:sz w:val="44"/>
          <w:szCs w:val="44"/>
          <w:highlight w:val="none"/>
        </w:rPr>
      </w:pPr>
      <w:bookmarkStart w:id="800" w:name="_Toc4500"/>
      <w:r>
        <w:rPr>
          <w:rFonts w:hint="eastAsia" w:cs="Times New Roman"/>
          <w:b/>
          <w:bCs/>
          <w:color w:val="auto"/>
          <w:kern w:val="44"/>
          <w:sz w:val="44"/>
          <w:szCs w:val="44"/>
          <w:highlight w:val="none"/>
        </w:rPr>
        <w:t>第四章</w:t>
      </w:r>
      <w:r>
        <w:rPr>
          <w:rFonts w:cs="Times New Roman"/>
          <w:b/>
          <w:bCs/>
          <w:color w:val="auto"/>
          <w:kern w:val="44"/>
          <w:sz w:val="44"/>
          <w:szCs w:val="44"/>
          <w:highlight w:val="none"/>
        </w:rPr>
        <w:t xml:space="preserve">  </w:t>
      </w:r>
      <w:r>
        <w:rPr>
          <w:rFonts w:hint="eastAsia" w:cs="Times New Roman"/>
          <w:b/>
          <w:bCs/>
          <w:color w:val="auto"/>
          <w:kern w:val="44"/>
          <w:sz w:val="44"/>
          <w:szCs w:val="44"/>
          <w:highlight w:val="none"/>
        </w:rPr>
        <w:t>评标办法</w:t>
      </w:r>
      <w:bookmarkEnd w:id="800"/>
    </w:p>
    <w:p w14:paraId="1326D039">
      <w:pPr>
        <w:adjustRightInd w:val="0"/>
        <w:snapToGrid w:val="0"/>
        <w:spacing w:line="440" w:lineRule="exact"/>
        <w:jc w:val="center"/>
        <w:rPr>
          <w:rFonts w:cs="Times New Roman"/>
          <w:b/>
          <w:color w:val="auto"/>
          <w:sz w:val="36"/>
          <w:szCs w:val="24"/>
          <w:highlight w:val="none"/>
        </w:rPr>
      </w:pPr>
      <w:r>
        <w:rPr>
          <w:rFonts w:hint="eastAsia" w:cs="Times New Roman"/>
          <w:b/>
          <w:color w:val="auto"/>
          <w:sz w:val="28"/>
          <w:szCs w:val="21"/>
          <w:highlight w:val="none"/>
        </w:rPr>
        <w:t>（一）中标候选人的确定</w:t>
      </w:r>
    </w:p>
    <w:p w14:paraId="530ED3F4">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评标委员会对满足要求的投标人进行各项评审因素打分，合计的总得分按照从高到低进行排序，总得分第一的投标人为第一中标候选人。如总得分相等，以投标报价低的优先，投标报价仍相等，由评标委员会主任委员或招标人随机抽取确定排名。</w:t>
      </w:r>
    </w:p>
    <w:p w14:paraId="7AE608C9">
      <w:pPr>
        <w:adjustRightInd w:val="0"/>
        <w:snapToGrid w:val="0"/>
        <w:spacing w:line="440" w:lineRule="exact"/>
        <w:jc w:val="center"/>
        <w:rPr>
          <w:rFonts w:cs="Times New Roman"/>
          <w:b/>
          <w:color w:val="auto"/>
          <w:sz w:val="36"/>
          <w:szCs w:val="24"/>
          <w:highlight w:val="none"/>
        </w:rPr>
      </w:pPr>
      <w:r>
        <w:rPr>
          <w:rFonts w:hint="eastAsia" w:cs="Times New Roman"/>
          <w:b/>
          <w:color w:val="auto"/>
          <w:sz w:val="28"/>
          <w:szCs w:val="21"/>
          <w:highlight w:val="none"/>
        </w:rPr>
        <w:t>（二）评分办法</w:t>
      </w:r>
    </w:p>
    <w:tbl>
      <w:tblPr>
        <w:tblStyle w:val="25"/>
        <w:tblW w:w="9254" w:type="dxa"/>
        <w:tblInd w:w="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
        <w:gridCol w:w="1276"/>
        <w:gridCol w:w="1183"/>
        <w:gridCol w:w="5917"/>
      </w:tblGrid>
      <w:tr w14:paraId="6E0CC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878" w:type="dxa"/>
            <w:tcBorders>
              <w:top w:val="single" w:color="auto" w:sz="4" w:space="0"/>
              <w:left w:val="single" w:color="auto" w:sz="4" w:space="0"/>
              <w:bottom w:val="single" w:color="auto" w:sz="4" w:space="0"/>
              <w:right w:val="single" w:color="auto" w:sz="4" w:space="0"/>
            </w:tcBorders>
          </w:tcPr>
          <w:p w14:paraId="65EBFC5B">
            <w:pPr>
              <w:adjustRightInd w:val="0"/>
              <w:snapToGrid w:val="0"/>
              <w:spacing w:line="460" w:lineRule="exact"/>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276" w:type="dxa"/>
            <w:tcBorders>
              <w:top w:val="single" w:color="auto" w:sz="4" w:space="0"/>
              <w:left w:val="single" w:color="auto" w:sz="4" w:space="0"/>
              <w:bottom w:val="single" w:color="auto" w:sz="4" w:space="0"/>
              <w:right w:val="single" w:color="auto" w:sz="4" w:space="0"/>
            </w:tcBorders>
          </w:tcPr>
          <w:p w14:paraId="293D1A48">
            <w:pPr>
              <w:adjustRightInd w:val="0"/>
              <w:snapToGrid w:val="0"/>
              <w:spacing w:line="460" w:lineRule="exact"/>
              <w:jc w:val="center"/>
              <w:rPr>
                <w:rFonts w:ascii="宋体" w:hAnsi="宋体" w:cs="宋体"/>
                <w:color w:val="auto"/>
                <w:szCs w:val="21"/>
                <w:highlight w:val="none"/>
              </w:rPr>
            </w:pPr>
            <w:r>
              <w:rPr>
                <w:rFonts w:hint="eastAsia" w:ascii="宋体" w:hAnsi="宋体" w:cs="宋体"/>
                <w:color w:val="auto"/>
                <w:szCs w:val="21"/>
                <w:highlight w:val="none"/>
              </w:rPr>
              <w:t>评审因素</w:t>
            </w:r>
          </w:p>
        </w:tc>
        <w:tc>
          <w:tcPr>
            <w:tcW w:w="1183" w:type="dxa"/>
            <w:tcBorders>
              <w:top w:val="single" w:color="auto" w:sz="4" w:space="0"/>
              <w:left w:val="single" w:color="auto" w:sz="4" w:space="0"/>
              <w:bottom w:val="single" w:color="auto" w:sz="4" w:space="0"/>
              <w:right w:val="single" w:color="auto" w:sz="4" w:space="0"/>
            </w:tcBorders>
          </w:tcPr>
          <w:p w14:paraId="2826133A">
            <w:pPr>
              <w:adjustRightInd w:val="0"/>
              <w:snapToGrid w:val="0"/>
              <w:spacing w:line="460" w:lineRule="exact"/>
              <w:jc w:val="center"/>
              <w:rPr>
                <w:rFonts w:ascii="宋体" w:hAnsi="宋体" w:cs="宋体"/>
                <w:color w:val="auto"/>
                <w:szCs w:val="21"/>
                <w:highlight w:val="none"/>
              </w:rPr>
            </w:pPr>
            <w:r>
              <w:rPr>
                <w:rFonts w:hint="eastAsia" w:ascii="宋体" w:hAnsi="宋体" w:cs="宋体"/>
                <w:color w:val="auto"/>
                <w:szCs w:val="21"/>
                <w:highlight w:val="none"/>
              </w:rPr>
              <w:t>分值设置</w:t>
            </w:r>
          </w:p>
        </w:tc>
        <w:tc>
          <w:tcPr>
            <w:tcW w:w="5917" w:type="dxa"/>
            <w:tcBorders>
              <w:top w:val="single" w:color="auto" w:sz="4" w:space="0"/>
              <w:left w:val="single" w:color="auto" w:sz="4" w:space="0"/>
              <w:bottom w:val="single" w:color="auto" w:sz="4" w:space="0"/>
              <w:right w:val="single" w:color="auto" w:sz="4" w:space="0"/>
            </w:tcBorders>
          </w:tcPr>
          <w:p w14:paraId="57BC4E18">
            <w:pPr>
              <w:adjustRightInd w:val="0"/>
              <w:snapToGrid w:val="0"/>
              <w:spacing w:line="460" w:lineRule="exact"/>
              <w:jc w:val="center"/>
              <w:rPr>
                <w:rFonts w:ascii="宋体" w:hAnsi="宋体" w:cs="宋体"/>
                <w:color w:val="auto"/>
                <w:szCs w:val="21"/>
                <w:highlight w:val="none"/>
              </w:rPr>
            </w:pPr>
            <w:r>
              <w:rPr>
                <w:rFonts w:hint="eastAsia" w:ascii="宋体" w:hAnsi="宋体" w:cs="宋体"/>
                <w:color w:val="auto"/>
                <w:szCs w:val="21"/>
                <w:highlight w:val="none"/>
              </w:rPr>
              <w:t>评审标准</w:t>
            </w:r>
          </w:p>
        </w:tc>
      </w:tr>
      <w:tr w14:paraId="733B5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8" w:type="dxa"/>
            <w:tcBorders>
              <w:top w:val="single" w:color="auto" w:sz="4" w:space="0"/>
              <w:left w:val="single" w:color="auto" w:sz="4" w:space="0"/>
              <w:bottom w:val="single" w:color="auto" w:sz="4" w:space="0"/>
              <w:right w:val="single" w:color="auto" w:sz="4" w:space="0"/>
            </w:tcBorders>
            <w:vAlign w:val="center"/>
          </w:tcPr>
          <w:p w14:paraId="7B404A13">
            <w:pPr>
              <w:adjustRightInd w:val="0"/>
              <w:snapToGrid w:val="0"/>
              <w:spacing w:line="46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1276" w:type="dxa"/>
            <w:tcBorders>
              <w:top w:val="single" w:color="auto" w:sz="4" w:space="0"/>
              <w:left w:val="single" w:color="auto" w:sz="4" w:space="0"/>
              <w:bottom w:val="single" w:color="auto" w:sz="4" w:space="0"/>
              <w:right w:val="single" w:color="auto" w:sz="4" w:space="0"/>
            </w:tcBorders>
            <w:vAlign w:val="center"/>
          </w:tcPr>
          <w:p w14:paraId="6C66BC4D">
            <w:pPr>
              <w:adjustRightInd w:val="0"/>
              <w:snapToGrid w:val="0"/>
              <w:spacing w:line="460" w:lineRule="exact"/>
              <w:jc w:val="center"/>
              <w:rPr>
                <w:rFonts w:ascii="宋体" w:hAnsi="宋体" w:cs="宋体"/>
                <w:color w:val="auto"/>
                <w:szCs w:val="21"/>
                <w:highlight w:val="none"/>
              </w:rPr>
            </w:pPr>
            <w:r>
              <w:rPr>
                <w:rFonts w:hint="eastAsia" w:ascii="宋体" w:hAnsi="宋体" w:cs="宋体"/>
                <w:color w:val="auto"/>
                <w:szCs w:val="21"/>
                <w:highlight w:val="none"/>
              </w:rPr>
              <w:t>投标人业绩</w:t>
            </w:r>
          </w:p>
        </w:tc>
        <w:tc>
          <w:tcPr>
            <w:tcW w:w="1183" w:type="dxa"/>
            <w:tcBorders>
              <w:top w:val="single" w:color="auto" w:sz="4" w:space="0"/>
              <w:left w:val="single" w:color="auto" w:sz="4" w:space="0"/>
              <w:bottom w:val="single" w:color="auto" w:sz="4" w:space="0"/>
              <w:right w:val="single" w:color="auto" w:sz="4" w:space="0"/>
            </w:tcBorders>
            <w:vAlign w:val="center"/>
          </w:tcPr>
          <w:p w14:paraId="3C52CA7D">
            <w:pPr>
              <w:adjustRightInd w:val="0"/>
              <w:snapToGrid w:val="0"/>
              <w:spacing w:line="460" w:lineRule="exact"/>
              <w:jc w:val="center"/>
              <w:rPr>
                <w:rFonts w:ascii="宋体" w:hAnsi="宋体" w:cs="宋体"/>
                <w:color w:val="auto"/>
                <w:szCs w:val="21"/>
                <w:highlight w:val="none"/>
              </w:rPr>
            </w:pPr>
            <w:r>
              <w:rPr>
                <w:rFonts w:hint="eastAsia" w:ascii="宋体" w:hAnsi="宋体" w:cs="宋体"/>
                <w:color w:val="auto"/>
                <w:szCs w:val="21"/>
                <w:highlight w:val="none"/>
              </w:rPr>
              <w:t>10分</w:t>
            </w:r>
          </w:p>
        </w:tc>
        <w:tc>
          <w:tcPr>
            <w:tcW w:w="5917" w:type="dxa"/>
            <w:tcBorders>
              <w:top w:val="single" w:color="auto" w:sz="4" w:space="0"/>
              <w:left w:val="single" w:color="auto" w:sz="4" w:space="0"/>
              <w:bottom w:val="single" w:color="auto" w:sz="4" w:space="0"/>
              <w:right w:val="single" w:color="auto" w:sz="4" w:space="0"/>
            </w:tcBorders>
          </w:tcPr>
          <w:p w14:paraId="4F2EE245">
            <w:pPr>
              <w:spacing w:line="460" w:lineRule="exact"/>
              <w:jc w:val="left"/>
              <w:rPr>
                <w:rFonts w:cs="Times New Roman"/>
                <w:color w:val="auto"/>
                <w:szCs w:val="24"/>
                <w:highlight w:val="none"/>
              </w:rPr>
            </w:pPr>
            <w:r>
              <w:rPr>
                <w:rFonts w:cs="Times New Roman"/>
                <w:color w:val="auto"/>
                <w:szCs w:val="24"/>
                <w:highlight w:val="none"/>
              </w:rPr>
              <w:t>2023</w:t>
            </w:r>
            <w:r>
              <w:rPr>
                <w:rFonts w:hint="eastAsia" w:cs="Times New Roman"/>
                <w:color w:val="auto"/>
                <w:szCs w:val="24"/>
                <w:highlight w:val="none"/>
              </w:rPr>
              <w:t>年</w:t>
            </w:r>
            <w:r>
              <w:rPr>
                <w:rFonts w:cs="Times New Roman"/>
                <w:color w:val="auto"/>
                <w:szCs w:val="24"/>
                <w:highlight w:val="none"/>
              </w:rPr>
              <w:t>1</w:t>
            </w:r>
            <w:r>
              <w:rPr>
                <w:rFonts w:hint="eastAsia" w:cs="Times New Roman"/>
                <w:color w:val="auto"/>
                <w:szCs w:val="24"/>
                <w:highlight w:val="none"/>
              </w:rPr>
              <w:t>月</w:t>
            </w:r>
            <w:r>
              <w:rPr>
                <w:rFonts w:cs="Times New Roman"/>
                <w:color w:val="auto"/>
                <w:szCs w:val="24"/>
                <w:highlight w:val="none"/>
              </w:rPr>
              <w:t>1</w:t>
            </w:r>
            <w:r>
              <w:rPr>
                <w:rFonts w:hint="eastAsia" w:cs="Times New Roman"/>
                <w:color w:val="auto"/>
                <w:szCs w:val="24"/>
                <w:highlight w:val="none"/>
              </w:rPr>
              <w:t>日以来至投标截止时间，投标单位承担</w:t>
            </w:r>
            <w:r>
              <w:rPr>
                <w:rFonts w:hint="eastAsia" w:cs="Times New Roman"/>
                <w:color w:val="auto"/>
                <w:szCs w:val="24"/>
                <w:highlight w:val="none"/>
                <w:lang w:val="en-US" w:eastAsia="zh-CN"/>
              </w:rPr>
              <w:t>尾矿库或</w:t>
            </w:r>
            <w:r>
              <w:rPr>
                <w:rFonts w:hint="eastAsia" w:ascii="宋体" w:hAnsi="宋体" w:cs="宋体"/>
                <w:color w:val="auto"/>
                <w:szCs w:val="24"/>
                <w:highlight w:val="none"/>
              </w:rPr>
              <w:t>水库库容复核项目的测绘业绩</w:t>
            </w:r>
            <w:r>
              <w:rPr>
                <w:rFonts w:hint="eastAsia" w:cs="Times New Roman"/>
                <w:color w:val="auto"/>
                <w:szCs w:val="24"/>
                <w:highlight w:val="none"/>
              </w:rPr>
              <w:t>，每提供一个得</w:t>
            </w:r>
            <w:r>
              <w:rPr>
                <w:rFonts w:cs="Times New Roman"/>
                <w:color w:val="auto"/>
                <w:szCs w:val="24"/>
                <w:highlight w:val="none"/>
              </w:rPr>
              <w:t>5</w:t>
            </w:r>
            <w:r>
              <w:rPr>
                <w:rFonts w:hint="eastAsia" w:cs="Times New Roman"/>
                <w:color w:val="auto"/>
                <w:szCs w:val="24"/>
                <w:highlight w:val="none"/>
              </w:rPr>
              <w:t>分，本项最高得</w:t>
            </w:r>
            <w:r>
              <w:rPr>
                <w:rFonts w:cs="Times New Roman"/>
                <w:color w:val="auto"/>
                <w:szCs w:val="24"/>
                <w:highlight w:val="none"/>
              </w:rPr>
              <w:t>10</w:t>
            </w:r>
            <w:r>
              <w:rPr>
                <w:rFonts w:hint="eastAsia" w:cs="Times New Roman"/>
                <w:color w:val="auto"/>
                <w:szCs w:val="24"/>
                <w:highlight w:val="none"/>
              </w:rPr>
              <w:t>分。</w:t>
            </w:r>
          </w:p>
          <w:p w14:paraId="54AB4822">
            <w:pPr>
              <w:spacing w:line="460" w:lineRule="exact"/>
              <w:jc w:val="left"/>
              <w:rPr>
                <w:rFonts w:cs="Times New Roman"/>
                <w:color w:val="auto"/>
                <w:szCs w:val="24"/>
                <w:highlight w:val="none"/>
              </w:rPr>
            </w:pPr>
            <w:r>
              <w:rPr>
                <w:rFonts w:hint="eastAsia" w:cs="Times New Roman"/>
                <w:color w:val="auto"/>
                <w:szCs w:val="24"/>
                <w:highlight w:val="none"/>
              </w:rPr>
              <w:t>投标文件中提供项目合同扫描件。</w:t>
            </w:r>
          </w:p>
          <w:p w14:paraId="49FB1CBD">
            <w:pPr>
              <w:spacing w:line="460" w:lineRule="exact"/>
              <w:jc w:val="left"/>
              <w:rPr>
                <w:rFonts w:cs="Times New Roman"/>
                <w:color w:val="auto"/>
                <w:szCs w:val="24"/>
                <w:highlight w:val="none"/>
              </w:rPr>
            </w:pPr>
            <w:r>
              <w:rPr>
                <w:rFonts w:hint="eastAsia" w:cs="Times New Roman"/>
                <w:color w:val="auto"/>
                <w:szCs w:val="24"/>
                <w:highlight w:val="none"/>
              </w:rPr>
              <w:t>注：①业绩时间以合同签订时间为准；</w:t>
            </w:r>
          </w:p>
          <w:p w14:paraId="418A5713">
            <w:pPr>
              <w:spacing w:line="460" w:lineRule="exact"/>
              <w:jc w:val="left"/>
              <w:rPr>
                <w:rFonts w:cs="Times New Roman"/>
                <w:color w:val="auto"/>
                <w:szCs w:val="24"/>
                <w:highlight w:val="none"/>
              </w:rPr>
            </w:pPr>
            <w:r>
              <w:rPr>
                <w:rFonts w:hint="eastAsia" w:ascii="宋体" w:hAnsi="宋体" w:cs="Times New Roman"/>
                <w:b/>
                <w:bCs/>
                <w:color w:val="auto"/>
                <w:szCs w:val="21"/>
                <w:highlight w:val="none"/>
              </w:rPr>
              <w:t>②如业绩证明材料中不能够充分有效证明该业绩的关键评审因素，须另行提供合同甲方盖章的证明材料。</w:t>
            </w:r>
          </w:p>
        </w:tc>
      </w:tr>
      <w:tr w14:paraId="49B2D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8" w:type="dxa"/>
            <w:tcBorders>
              <w:top w:val="single" w:color="auto" w:sz="4" w:space="0"/>
              <w:left w:val="single" w:color="auto" w:sz="4" w:space="0"/>
              <w:bottom w:val="single" w:color="auto" w:sz="4" w:space="0"/>
              <w:right w:val="single" w:color="auto" w:sz="4" w:space="0"/>
            </w:tcBorders>
            <w:vAlign w:val="center"/>
          </w:tcPr>
          <w:p w14:paraId="4710AD73">
            <w:pPr>
              <w:adjustRightInd w:val="0"/>
              <w:snapToGrid w:val="0"/>
              <w:spacing w:line="460" w:lineRule="exact"/>
              <w:jc w:val="center"/>
              <w:rPr>
                <w:rFonts w:ascii="宋体" w:hAnsi="宋体" w:cs="宋体"/>
                <w:color w:val="auto"/>
                <w:szCs w:val="21"/>
                <w:highlight w:val="none"/>
              </w:rPr>
            </w:pPr>
            <w:r>
              <w:rPr>
                <w:rFonts w:hint="eastAsia" w:ascii="宋体" w:hAnsi="宋体" w:cs="宋体"/>
                <w:color w:val="auto"/>
                <w:szCs w:val="21"/>
                <w:highlight w:val="none"/>
              </w:rPr>
              <w:t>2</w:t>
            </w:r>
          </w:p>
        </w:tc>
        <w:tc>
          <w:tcPr>
            <w:tcW w:w="1276" w:type="dxa"/>
            <w:tcBorders>
              <w:top w:val="single" w:color="auto" w:sz="4" w:space="0"/>
              <w:left w:val="single" w:color="auto" w:sz="4" w:space="0"/>
              <w:bottom w:val="single" w:color="auto" w:sz="4" w:space="0"/>
              <w:right w:val="single" w:color="auto" w:sz="4" w:space="0"/>
            </w:tcBorders>
            <w:vAlign w:val="center"/>
          </w:tcPr>
          <w:p w14:paraId="65DB0265">
            <w:pPr>
              <w:adjustRightInd w:val="0"/>
              <w:snapToGrid w:val="0"/>
              <w:spacing w:line="460" w:lineRule="exact"/>
              <w:jc w:val="center"/>
              <w:rPr>
                <w:rFonts w:ascii="宋体" w:hAnsi="宋体" w:cs="宋体"/>
                <w:color w:val="auto"/>
                <w:szCs w:val="21"/>
                <w:highlight w:val="none"/>
              </w:rPr>
            </w:pPr>
            <w:r>
              <w:rPr>
                <w:rFonts w:hint="eastAsia" w:ascii="宋体" w:hAnsi="宋体" w:cs="宋体"/>
                <w:color w:val="auto"/>
                <w:szCs w:val="21"/>
                <w:highlight w:val="none"/>
              </w:rPr>
              <w:t>投标人实力</w:t>
            </w:r>
          </w:p>
        </w:tc>
        <w:tc>
          <w:tcPr>
            <w:tcW w:w="1183" w:type="dxa"/>
            <w:tcBorders>
              <w:top w:val="single" w:color="auto" w:sz="4" w:space="0"/>
              <w:left w:val="single" w:color="auto" w:sz="4" w:space="0"/>
              <w:bottom w:val="single" w:color="auto" w:sz="4" w:space="0"/>
              <w:right w:val="single" w:color="auto" w:sz="4" w:space="0"/>
            </w:tcBorders>
            <w:vAlign w:val="center"/>
          </w:tcPr>
          <w:p w14:paraId="1DF7D2EE">
            <w:pPr>
              <w:adjustRightInd w:val="0"/>
              <w:snapToGrid w:val="0"/>
              <w:spacing w:line="460" w:lineRule="exact"/>
              <w:jc w:val="center"/>
              <w:rPr>
                <w:rFonts w:ascii="宋体" w:hAnsi="宋体" w:cs="宋体"/>
                <w:color w:val="auto"/>
                <w:szCs w:val="21"/>
                <w:highlight w:val="none"/>
              </w:rPr>
            </w:pPr>
            <w:r>
              <w:rPr>
                <w:rFonts w:hint="eastAsia" w:ascii="宋体" w:hAnsi="宋体" w:cs="宋体"/>
                <w:color w:val="auto"/>
                <w:szCs w:val="21"/>
                <w:highlight w:val="none"/>
              </w:rPr>
              <w:t>15分</w:t>
            </w:r>
          </w:p>
        </w:tc>
        <w:tc>
          <w:tcPr>
            <w:tcW w:w="5917" w:type="dxa"/>
            <w:tcBorders>
              <w:top w:val="single" w:color="auto" w:sz="4" w:space="0"/>
              <w:left w:val="single" w:color="auto" w:sz="4" w:space="0"/>
              <w:bottom w:val="single" w:color="auto" w:sz="4" w:space="0"/>
              <w:right w:val="single" w:color="auto" w:sz="4" w:space="0"/>
            </w:tcBorders>
          </w:tcPr>
          <w:p w14:paraId="4763C010">
            <w:pPr>
              <w:spacing w:line="460" w:lineRule="exact"/>
              <w:jc w:val="left"/>
              <w:rPr>
                <w:rFonts w:ascii="宋体" w:hAnsi="宋体" w:cs="Times New Roman"/>
                <w:color w:val="auto"/>
                <w:szCs w:val="21"/>
                <w:highlight w:val="none"/>
              </w:rPr>
            </w:pPr>
            <w:r>
              <w:rPr>
                <w:rFonts w:hint="eastAsia" w:ascii="宋体" w:hAnsi="宋体" w:cs="Times New Roman"/>
                <w:color w:val="auto"/>
                <w:szCs w:val="21"/>
                <w:highlight w:val="none"/>
              </w:rPr>
              <w:t xml:space="preserve">投标人具有经国家市场监督管理总局全国认证认可信息公共服务平台的认证机构颁发有效的： </w:t>
            </w:r>
          </w:p>
          <w:p w14:paraId="58CC0A37">
            <w:pPr>
              <w:spacing w:line="460" w:lineRule="exact"/>
              <w:jc w:val="left"/>
              <w:rPr>
                <w:rFonts w:ascii="宋体" w:hAnsi="宋体" w:cs="Times New Roman"/>
                <w:color w:val="auto"/>
                <w:szCs w:val="21"/>
                <w:highlight w:val="none"/>
              </w:rPr>
            </w:pPr>
            <w:r>
              <w:rPr>
                <w:rFonts w:hint="eastAsia" w:ascii="宋体" w:hAnsi="宋体" w:cs="Times New Roman"/>
                <w:color w:val="auto"/>
                <w:szCs w:val="21"/>
                <w:highlight w:val="none"/>
              </w:rPr>
              <w:t>1.质量管理体系认证证书得2分；内容有测绘服务（工程测量、测绘航空摄影、地理信息系统工程、界线与不动产测绘）的另加3分，</w:t>
            </w:r>
            <w:r>
              <w:rPr>
                <w:rFonts w:hint="eastAsia" w:ascii="宋体" w:hAnsi="宋体" w:cs="Times New Roman"/>
                <w:color w:val="auto"/>
                <w:szCs w:val="21"/>
                <w:highlight w:val="none"/>
                <w:lang w:val="en-US" w:eastAsia="zh-CN"/>
              </w:rPr>
              <w:t>本项</w:t>
            </w:r>
            <w:r>
              <w:rPr>
                <w:rFonts w:hint="eastAsia" w:ascii="宋体" w:hAnsi="宋体" w:cs="Times New Roman"/>
                <w:color w:val="auto"/>
                <w:szCs w:val="21"/>
                <w:highlight w:val="none"/>
              </w:rPr>
              <w:t xml:space="preserve">最高得5分； </w:t>
            </w:r>
          </w:p>
          <w:p w14:paraId="26B0C91B">
            <w:pPr>
              <w:spacing w:line="460" w:lineRule="exact"/>
              <w:jc w:val="left"/>
              <w:rPr>
                <w:rFonts w:ascii="宋体" w:hAnsi="宋体" w:cs="Times New Roman"/>
                <w:color w:val="auto"/>
                <w:szCs w:val="21"/>
                <w:highlight w:val="none"/>
              </w:rPr>
            </w:pPr>
            <w:r>
              <w:rPr>
                <w:rFonts w:hint="eastAsia" w:ascii="宋体" w:hAnsi="宋体" w:cs="Times New Roman"/>
                <w:color w:val="auto"/>
                <w:szCs w:val="21"/>
                <w:highlight w:val="none"/>
              </w:rPr>
              <w:t>2.环境管理体系认证证书得2分；内容测绘服务（工程测量、测绘航空摄影、地理信息系统工程、界线与不动产测绘）的另加3分，</w:t>
            </w:r>
            <w:r>
              <w:rPr>
                <w:rFonts w:hint="eastAsia" w:ascii="宋体" w:hAnsi="宋体" w:cs="Times New Roman"/>
                <w:color w:val="auto"/>
                <w:szCs w:val="21"/>
                <w:highlight w:val="none"/>
                <w:lang w:val="en-US" w:eastAsia="zh-CN"/>
              </w:rPr>
              <w:t>本项</w:t>
            </w:r>
            <w:r>
              <w:rPr>
                <w:rFonts w:hint="eastAsia" w:ascii="宋体" w:hAnsi="宋体" w:cs="Times New Roman"/>
                <w:color w:val="auto"/>
                <w:szCs w:val="21"/>
                <w:highlight w:val="none"/>
              </w:rPr>
              <w:t>最高得5分；</w:t>
            </w:r>
          </w:p>
          <w:p w14:paraId="671FE494">
            <w:pPr>
              <w:spacing w:line="460" w:lineRule="exact"/>
              <w:jc w:val="left"/>
              <w:rPr>
                <w:rFonts w:hint="eastAsia" w:ascii="宋体" w:hAnsi="宋体" w:eastAsia="宋体" w:cs="Times New Roman"/>
                <w:color w:val="auto"/>
                <w:szCs w:val="21"/>
                <w:highlight w:val="none"/>
                <w:lang w:eastAsia="zh-CN"/>
              </w:rPr>
            </w:pPr>
            <w:r>
              <w:rPr>
                <w:rFonts w:hint="eastAsia" w:ascii="宋体" w:hAnsi="宋体" w:cs="Times New Roman"/>
                <w:color w:val="auto"/>
                <w:szCs w:val="21"/>
                <w:highlight w:val="none"/>
              </w:rPr>
              <w:t>3.职业健康安全管理体系认证证书得2分；内容有测绘服务（工程测量、测绘航空摄影、地理信息系统工程、界线与不动产测绘）的另加3分，</w:t>
            </w:r>
            <w:r>
              <w:rPr>
                <w:rFonts w:hint="eastAsia" w:ascii="宋体" w:hAnsi="宋体" w:cs="Times New Roman"/>
                <w:color w:val="auto"/>
                <w:szCs w:val="21"/>
                <w:highlight w:val="none"/>
                <w:lang w:val="en-US" w:eastAsia="zh-CN"/>
              </w:rPr>
              <w:t>本项</w:t>
            </w:r>
            <w:r>
              <w:rPr>
                <w:rFonts w:hint="eastAsia" w:ascii="宋体" w:hAnsi="宋体" w:cs="Times New Roman"/>
                <w:color w:val="auto"/>
                <w:szCs w:val="21"/>
                <w:highlight w:val="none"/>
              </w:rPr>
              <w:t>最高得5分</w:t>
            </w:r>
            <w:r>
              <w:rPr>
                <w:rFonts w:hint="eastAsia" w:ascii="宋体" w:hAnsi="宋体" w:cs="Times New Roman"/>
                <w:color w:val="auto"/>
                <w:szCs w:val="21"/>
                <w:highlight w:val="none"/>
                <w:lang w:eastAsia="zh-CN"/>
              </w:rPr>
              <w:t>。</w:t>
            </w:r>
          </w:p>
          <w:p w14:paraId="4D90DE74">
            <w:pPr>
              <w:spacing w:line="460" w:lineRule="exact"/>
              <w:jc w:val="left"/>
              <w:rPr>
                <w:rFonts w:ascii="宋体" w:hAnsi="宋体" w:cs="Times New Roman"/>
                <w:b/>
                <w:bCs/>
                <w:color w:val="auto"/>
                <w:szCs w:val="21"/>
                <w:highlight w:val="none"/>
              </w:rPr>
            </w:pPr>
            <w:r>
              <w:rPr>
                <w:rFonts w:hint="eastAsia" w:ascii="宋体" w:hAnsi="宋体" w:cs="Times New Roman"/>
                <w:b/>
                <w:bCs/>
                <w:color w:val="auto"/>
                <w:szCs w:val="21"/>
                <w:highlight w:val="none"/>
              </w:rPr>
              <w:t>注：投标文件中须提供以上国家市场监督管理总局全国认证认可信息公共服务平台网站查询截图，否则不得分。</w:t>
            </w:r>
          </w:p>
        </w:tc>
      </w:tr>
      <w:tr w14:paraId="2586C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78" w:type="dxa"/>
            <w:tcBorders>
              <w:top w:val="single" w:color="auto" w:sz="4" w:space="0"/>
              <w:left w:val="single" w:color="auto" w:sz="4" w:space="0"/>
              <w:bottom w:val="single" w:color="auto" w:sz="4" w:space="0"/>
              <w:right w:val="single" w:color="auto" w:sz="4" w:space="0"/>
            </w:tcBorders>
            <w:vAlign w:val="center"/>
          </w:tcPr>
          <w:p w14:paraId="6CCB206A">
            <w:pPr>
              <w:adjustRightInd w:val="0"/>
              <w:snapToGrid w:val="0"/>
              <w:spacing w:line="460" w:lineRule="exact"/>
              <w:jc w:val="center"/>
              <w:rPr>
                <w:rFonts w:ascii="宋体" w:hAnsi="宋体" w:cs="宋体"/>
                <w:color w:val="auto"/>
                <w:szCs w:val="21"/>
                <w:highlight w:val="none"/>
              </w:rPr>
            </w:pPr>
            <w:r>
              <w:rPr>
                <w:rFonts w:hint="eastAsia" w:ascii="宋体" w:hAnsi="宋体" w:cs="宋体"/>
                <w:color w:val="auto"/>
                <w:szCs w:val="21"/>
                <w:highlight w:val="none"/>
              </w:rPr>
              <w:t>3</w:t>
            </w:r>
          </w:p>
        </w:tc>
        <w:tc>
          <w:tcPr>
            <w:tcW w:w="1276" w:type="dxa"/>
            <w:tcBorders>
              <w:top w:val="single" w:color="auto" w:sz="4" w:space="0"/>
              <w:left w:val="single" w:color="auto" w:sz="4" w:space="0"/>
              <w:bottom w:val="single" w:color="auto" w:sz="4" w:space="0"/>
              <w:right w:val="single" w:color="auto" w:sz="4" w:space="0"/>
            </w:tcBorders>
            <w:vAlign w:val="center"/>
          </w:tcPr>
          <w:p w14:paraId="47A78555">
            <w:pPr>
              <w:adjustRightInd w:val="0"/>
              <w:snapToGrid w:val="0"/>
              <w:spacing w:line="460" w:lineRule="exact"/>
              <w:jc w:val="center"/>
              <w:rPr>
                <w:rFonts w:ascii="宋体" w:hAnsi="宋体" w:cs="宋体"/>
                <w:color w:val="auto"/>
                <w:szCs w:val="21"/>
                <w:highlight w:val="none"/>
              </w:rPr>
            </w:pPr>
            <w:r>
              <w:rPr>
                <w:rFonts w:hint="eastAsia" w:ascii="宋体" w:hAnsi="宋体" w:cs="宋体"/>
                <w:color w:val="auto"/>
                <w:szCs w:val="21"/>
                <w:highlight w:val="none"/>
              </w:rPr>
              <w:t>人员配备</w:t>
            </w:r>
          </w:p>
        </w:tc>
        <w:tc>
          <w:tcPr>
            <w:tcW w:w="1183" w:type="dxa"/>
            <w:tcBorders>
              <w:top w:val="single" w:color="auto" w:sz="4" w:space="0"/>
              <w:left w:val="single" w:color="auto" w:sz="4" w:space="0"/>
              <w:bottom w:val="single" w:color="auto" w:sz="4" w:space="0"/>
              <w:right w:val="single" w:color="auto" w:sz="4" w:space="0"/>
            </w:tcBorders>
            <w:vAlign w:val="center"/>
          </w:tcPr>
          <w:p w14:paraId="00B2ED6B">
            <w:pPr>
              <w:adjustRightInd w:val="0"/>
              <w:snapToGrid w:val="0"/>
              <w:spacing w:line="460" w:lineRule="exact"/>
              <w:jc w:val="center"/>
              <w:rPr>
                <w:rFonts w:ascii="宋体" w:hAnsi="宋体" w:cs="宋体"/>
                <w:color w:val="auto"/>
                <w:szCs w:val="21"/>
                <w:highlight w:val="none"/>
              </w:rPr>
            </w:pPr>
            <w:r>
              <w:rPr>
                <w:rFonts w:hint="eastAsia" w:ascii="宋体" w:hAnsi="宋体" w:cs="宋体"/>
                <w:color w:val="auto"/>
                <w:szCs w:val="21"/>
                <w:highlight w:val="none"/>
              </w:rPr>
              <w:t>25分</w:t>
            </w:r>
          </w:p>
        </w:tc>
        <w:tc>
          <w:tcPr>
            <w:tcW w:w="5917" w:type="dxa"/>
            <w:tcBorders>
              <w:top w:val="single" w:color="auto" w:sz="4" w:space="0"/>
              <w:left w:val="single" w:color="auto" w:sz="4" w:space="0"/>
              <w:bottom w:val="single" w:color="auto" w:sz="4" w:space="0"/>
              <w:right w:val="single" w:color="auto" w:sz="4" w:space="0"/>
            </w:tcBorders>
          </w:tcPr>
          <w:p w14:paraId="6B4AC5AF">
            <w:pPr>
              <w:spacing w:line="460" w:lineRule="exact"/>
              <w:jc w:val="left"/>
              <w:rPr>
                <w:rFonts w:ascii="宋体" w:hAnsi="宋体" w:cs="宋体"/>
                <w:color w:val="auto"/>
                <w:szCs w:val="21"/>
                <w:highlight w:val="none"/>
              </w:rPr>
            </w:pPr>
            <w:r>
              <w:rPr>
                <w:rFonts w:hint="eastAsia" w:ascii="宋体" w:hAnsi="宋体" w:cs="宋体"/>
                <w:color w:val="auto"/>
                <w:szCs w:val="21"/>
                <w:highlight w:val="none"/>
              </w:rPr>
              <w:t>1.项目负责人具备测绘高级</w:t>
            </w:r>
            <w:r>
              <w:rPr>
                <w:rFonts w:hint="eastAsia" w:ascii="宋体" w:hAnsi="宋体" w:cs="宋体"/>
                <w:color w:val="auto"/>
                <w:szCs w:val="21"/>
                <w:highlight w:val="none"/>
                <w:lang w:val="en-US" w:eastAsia="zh-CN"/>
              </w:rPr>
              <w:t>及以上</w:t>
            </w:r>
            <w:r>
              <w:rPr>
                <w:rFonts w:hint="eastAsia" w:ascii="宋体" w:hAnsi="宋体" w:cs="宋体"/>
                <w:color w:val="auto"/>
                <w:szCs w:val="21"/>
                <w:highlight w:val="none"/>
              </w:rPr>
              <w:t>工程师技术职称得3分，有注册测绘师</w:t>
            </w:r>
            <w:r>
              <w:rPr>
                <w:rFonts w:hint="eastAsia" w:ascii="宋体" w:hAnsi="宋体" w:cs="Times New Roman"/>
                <w:color w:val="auto"/>
                <w:szCs w:val="21"/>
                <w:highlight w:val="none"/>
              </w:rPr>
              <w:t>另加</w:t>
            </w:r>
            <w:r>
              <w:rPr>
                <w:rFonts w:hint="eastAsia" w:ascii="宋体" w:hAnsi="宋体" w:cs="宋体"/>
                <w:color w:val="auto"/>
                <w:szCs w:val="21"/>
                <w:highlight w:val="none"/>
              </w:rPr>
              <w:t>2分，有民用无人驾驶航空器操控员执照</w:t>
            </w:r>
            <w:r>
              <w:rPr>
                <w:rFonts w:hint="eastAsia" w:ascii="宋体" w:hAnsi="宋体" w:cs="Times New Roman"/>
                <w:color w:val="auto"/>
                <w:szCs w:val="21"/>
                <w:highlight w:val="none"/>
              </w:rPr>
              <w:t>另加2</w:t>
            </w:r>
            <w:r>
              <w:rPr>
                <w:rFonts w:hint="eastAsia" w:ascii="宋体" w:hAnsi="宋体" w:cs="宋体"/>
                <w:color w:val="auto"/>
                <w:szCs w:val="21"/>
                <w:highlight w:val="none"/>
              </w:rPr>
              <w:t>分，有测绘地理信息涉密人员资格证书</w:t>
            </w:r>
            <w:r>
              <w:rPr>
                <w:rFonts w:hint="eastAsia" w:ascii="宋体" w:hAnsi="宋体" w:cs="Times New Roman"/>
                <w:color w:val="auto"/>
                <w:szCs w:val="21"/>
                <w:highlight w:val="none"/>
              </w:rPr>
              <w:t>另加2</w:t>
            </w:r>
            <w:r>
              <w:rPr>
                <w:rFonts w:hint="eastAsia" w:ascii="宋体" w:hAnsi="宋体" w:cs="宋体"/>
                <w:color w:val="auto"/>
                <w:szCs w:val="21"/>
                <w:highlight w:val="none"/>
              </w:rPr>
              <w:t>分，最高得9分；</w:t>
            </w:r>
          </w:p>
          <w:p w14:paraId="2E8EC409">
            <w:pPr>
              <w:spacing w:line="460" w:lineRule="exact"/>
              <w:jc w:val="left"/>
              <w:rPr>
                <w:rFonts w:ascii="宋体" w:hAnsi="宋体" w:cs="宋体"/>
                <w:color w:val="auto"/>
                <w:szCs w:val="21"/>
                <w:highlight w:val="none"/>
              </w:rPr>
            </w:pPr>
            <w:r>
              <w:rPr>
                <w:rFonts w:hint="eastAsia" w:ascii="宋体" w:hAnsi="宋体" w:cs="宋体"/>
                <w:color w:val="auto"/>
                <w:szCs w:val="21"/>
                <w:highlight w:val="none"/>
              </w:rPr>
              <w:t>2.项目团队</w:t>
            </w:r>
            <w:r>
              <w:rPr>
                <w:rFonts w:hint="eastAsia" w:ascii="宋体" w:hAnsi="宋体" w:eastAsia="宋体" w:cs="宋体"/>
                <w:color w:val="auto"/>
                <w:szCs w:val="21"/>
                <w:highlight w:val="none"/>
              </w:rPr>
              <w:t>（不含项目负责人）</w:t>
            </w:r>
            <w:r>
              <w:rPr>
                <w:rFonts w:hint="eastAsia" w:ascii="宋体" w:hAnsi="宋体" w:cs="宋体"/>
                <w:color w:val="auto"/>
                <w:szCs w:val="21"/>
                <w:highlight w:val="none"/>
              </w:rPr>
              <w:t>中有测绘中级职称</w:t>
            </w:r>
            <w:r>
              <w:rPr>
                <w:rFonts w:hint="eastAsia" w:ascii="宋体" w:hAnsi="宋体" w:cs="宋体"/>
                <w:color w:val="auto"/>
                <w:szCs w:val="21"/>
                <w:highlight w:val="none"/>
                <w:lang w:val="en-US" w:eastAsia="zh-CN"/>
              </w:rPr>
              <w:t>或</w:t>
            </w:r>
            <w:r>
              <w:rPr>
                <w:rFonts w:hint="eastAsia" w:ascii="宋体" w:hAnsi="宋体" w:cs="宋体"/>
                <w:color w:val="auto"/>
                <w:szCs w:val="21"/>
                <w:highlight w:val="none"/>
              </w:rPr>
              <w:t>测绘地理信息涉密人员资格证书，得4分，最高得8分；</w:t>
            </w:r>
          </w:p>
          <w:p w14:paraId="36035D38">
            <w:pPr>
              <w:spacing w:line="460" w:lineRule="exact"/>
              <w:jc w:val="left"/>
              <w:rPr>
                <w:rFonts w:hint="eastAsia" w:ascii="宋体" w:hAnsi="宋体" w:eastAsia="宋体" w:cs="宋体"/>
                <w:color w:val="auto"/>
                <w:szCs w:val="21"/>
                <w:highlight w:val="none"/>
              </w:rPr>
            </w:pPr>
            <w:r>
              <w:rPr>
                <w:rFonts w:hint="eastAsia" w:ascii="宋体" w:hAnsi="宋体" w:cs="宋体"/>
                <w:color w:val="auto"/>
                <w:szCs w:val="21"/>
                <w:highlight w:val="none"/>
              </w:rPr>
              <w:t>3.项目</w:t>
            </w:r>
            <w:r>
              <w:rPr>
                <w:rFonts w:hint="eastAsia" w:ascii="宋体" w:hAnsi="宋体" w:eastAsia="宋体" w:cs="宋体"/>
                <w:color w:val="auto"/>
                <w:szCs w:val="21"/>
                <w:highlight w:val="none"/>
              </w:rPr>
              <w:t>团队中其他人员（不含项目负责人）同时具有水利水电高级工程师职称、注册岩土工程师及测绘地理信息涉密人员资格证书，得4分，最高得4分；</w:t>
            </w:r>
          </w:p>
          <w:p w14:paraId="3A1BFFEA">
            <w:pPr>
              <w:spacing w:line="46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4.项目团队中有水利中级职称得2分，最高得4分；</w:t>
            </w:r>
          </w:p>
          <w:p w14:paraId="5F35944A">
            <w:pPr>
              <w:spacing w:line="460" w:lineRule="exact"/>
              <w:jc w:val="left"/>
              <w:rPr>
                <w:rFonts w:ascii="宋体" w:hAnsi="宋体" w:cs="宋体"/>
                <w:color w:val="auto"/>
                <w:szCs w:val="21"/>
                <w:highlight w:val="none"/>
              </w:rPr>
            </w:pPr>
            <w:r>
              <w:rPr>
                <w:rFonts w:hint="eastAsia" w:ascii="宋体" w:hAnsi="宋体" w:eastAsia="宋体" w:cs="宋体"/>
                <w:color w:val="auto"/>
                <w:szCs w:val="21"/>
                <w:highlight w:val="none"/>
              </w:rPr>
              <w:t>备注：①提供人员证书原件扫描件</w:t>
            </w:r>
            <w:r>
              <w:rPr>
                <w:rFonts w:hint="eastAsia" w:ascii="宋体" w:hAnsi="宋体" w:cs="宋体"/>
                <w:color w:val="auto"/>
                <w:szCs w:val="21"/>
                <w:highlight w:val="none"/>
              </w:rPr>
              <w:t>及社保部门出具的投标人为其缴纳的投标前近三个月连续的养老保险证明</w:t>
            </w:r>
            <w:r>
              <w:rPr>
                <w:rFonts w:hint="eastAsia" w:ascii="宋体" w:hAnsi="宋体" w:cs="宋体"/>
                <w:color w:val="auto"/>
                <w:szCs w:val="21"/>
                <w:highlight w:val="none"/>
                <w:lang w:eastAsia="zh-CN"/>
              </w:rPr>
              <w:t>，</w:t>
            </w:r>
            <w:r>
              <w:rPr>
                <w:rFonts w:hint="eastAsia" w:ascii="宋体" w:hAnsi="宋体" w:cs="宋体"/>
                <w:color w:val="auto"/>
                <w:szCs w:val="21"/>
                <w:highlight w:val="none"/>
              </w:rPr>
              <w:t>证明文件两个月内有效； ②上述人员不重复、不累计计分，按各分项分值高的记取，同一人员具有多个证书的，只按一个证书记取。③相关证书扫描件及其它证明材料均须加盖供应商单位公章。④若职称证书无法体现专业类别，须在投标文件中提供其他能证明以上专业的相关证明材料，否则评标小组不予计分。</w:t>
            </w:r>
          </w:p>
        </w:tc>
      </w:tr>
      <w:tr w14:paraId="14B36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78" w:type="dxa"/>
            <w:tcBorders>
              <w:top w:val="single" w:color="auto" w:sz="4" w:space="0"/>
              <w:left w:val="single" w:color="auto" w:sz="4" w:space="0"/>
              <w:bottom w:val="single" w:color="auto" w:sz="4" w:space="0"/>
              <w:right w:val="single" w:color="auto" w:sz="4" w:space="0"/>
            </w:tcBorders>
            <w:vAlign w:val="center"/>
          </w:tcPr>
          <w:p w14:paraId="3E28B3DA">
            <w:pPr>
              <w:adjustRightInd w:val="0"/>
              <w:snapToGrid w:val="0"/>
              <w:spacing w:line="460" w:lineRule="exact"/>
              <w:jc w:val="center"/>
              <w:rPr>
                <w:rFonts w:ascii="宋体" w:hAnsi="宋体" w:cs="宋体"/>
                <w:color w:val="auto"/>
                <w:szCs w:val="21"/>
                <w:highlight w:val="none"/>
              </w:rPr>
            </w:pPr>
            <w:r>
              <w:rPr>
                <w:rFonts w:hint="eastAsia" w:ascii="宋体" w:hAnsi="宋体" w:cs="宋体"/>
                <w:color w:val="auto"/>
                <w:szCs w:val="24"/>
                <w:highlight w:val="none"/>
              </w:rPr>
              <w:t>4</w:t>
            </w:r>
          </w:p>
        </w:tc>
        <w:tc>
          <w:tcPr>
            <w:tcW w:w="1276" w:type="dxa"/>
            <w:tcBorders>
              <w:top w:val="single" w:color="auto" w:sz="4" w:space="0"/>
              <w:left w:val="single" w:color="auto" w:sz="4" w:space="0"/>
              <w:bottom w:val="single" w:color="auto" w:sz="4" w:space="0"/>
              <w:right w:val="single" w:color="auto" w:sz="4" w:space="0"/>
            </w:tcBorders>
            <w:vAlign w:val="center"/>
          </w:tcPr>
          <w:p w14:paraId="3A887A47">
            <w:pPr>
              <w:adjustRightInd w:val="0"/>
              <w:snapToGrid w:val="0"/>
              <w:spacing w:line="460" w:lineRule="exact"/>
              <w:jc w:val="center"/>
              <w:rPr>
                <w:rFonts w:ascii="宋体" w:hAnsi="宋体" w:cs="宋体"/>
                <w:color w:val="auto"/>
                <w:szCs w:val="21"/>
                <w:highlight w:val="none"/>
              </w:rPr>
            </w:pPr>
            <w:r>
              <w:rPr>
                <w:rFonts w:hint="eastAsia" w:ascii="宋体" w:hAnsi="宋体" w:cs="宋体"/>
                <w:color w:val="auto"/>
                <w:szCs w:val="21"/>
                <w:highlight w:val="none"/>
              </w:rPr>
              <w:t>服务方案</w:t>
            </w:r>
          </w:p>
        </w:tc>
        <w:tc>
          <w:tcPr>
            <w:tcW w:w="1183" w:type="dxa"/>
            <w:tcBorders>
              <w:top w:val="single" w:color="auto" w:sz="4" w:space="0"/>
              <w:left w:val="single" w:color="auto" w:sz="4" w:space="0"/>
              <w:bottom w:val="single" w:color="auto" w:sz="4" w:space="0"/>
              <w:right w:val="single" w:color="auto" w:sz="4" w:space="0"/>
            </w:tcBorders>
            <w:vAlign w:val="center"/>
          </w:tcPr>
          <w:p w14:paraId="20C7C598">
            <w:pPr>
              <w:adjustRightInd w:val="0"/>
              <w:snapToGrid w:val="0"/>
              <w:spacing w:line="460" w:lineRule="exact"/>
              <w:jc w:val="center"/>
              <w:rPr>
                <w:rFonts w:ascii="宋体" w:hAnsi="宋体" w:cs="宋体"/>
                <w:color w:val="auto"/>
                <w:szCs w:val="21"/>
                <w:highlight w:val="none"/>
              </w:rPr>
            </w:pPr>
            <w:r>
              <w:rPr>
                <w:rFonts w:hint="eastAsia" w:ascii="宋体" w:hAnsi="宋体" w:cs="宋体"/>
                <w:color w:val="auto"/>
                <w:szCs w:val="21"/>
                <w:highlight w:val="none"/>
              </w:rPr>
              <w:t>20分</w:t>
            </w:r>
          </w:p>
        </w:tc>
        <w:tc>
          <w:tcPr>
            <w:tcW w:w="5917" w:type="dxa"/>
            <w:tcBorders>
              <w:top w:val="single" w:color="auto" w:sz="4" w:space="0"/>
              <w:left w:val="single" w:color="auto" w:sz="4" w:space="0"/>
              <w:bottom w:val="single" w:color="auto" w:sz="4" w:space="0"/>
              <w:right w:val="single" w:color="auto" w:sz="4" w:space="0"/>
            </w:tcBorders>
          </w:tcPr>
          <w:p w14:paraId="2AF41CDB">
            <w:pPr>
              <w:spacing w:line="460" w:lineRule="exact"/>
              <w:jc w:val="left"/>
              <w:rPr>
                <w:rFonts w:ascii="宋体" w:hAnsi="宋体" w:cs="宋体"/>
                <w:b/>
                <w:bCs/>
                <w:color w:val="auto"/>
                <w:szCs w:val="21"/>
                <w:highlight w:val="none"/>
              </w:rPr>
            </w:pPr>
            <w:r>
              <w:rPr>
                <w:rFonts w:hint="eastAsia" w:ascii="宋体" w:hAnsi="宋体" w:cs="宋体"/>
                <w:b/>
                <w:bCs/>
                <w:color w:val="auto"/>
                <w:szCs w:val="21"/>
                <w:highlight w:val="none"/>
              </w:rPr>
              <w:t>1、对项目的工作思路、流程、目标（4分）</w:t>
            </w:r>
          </w:p>
          <w:p w14:paraId="7203BFB8">
            <w:pPr>
              <w:spacing w:line="460" w:lineRule="exact"/>
              <w:jc w:val="left"/>
              <w:rPr>
                <w:rFonts w:ascii="宋体" w:hAnsi="宋体" w:cs="宋体"/>
                <w:color w:val="auto"/>
                <w:szCs w:val="21"/>
                <w:highlight w:val="none"/>
              </w:rPr>
            </w:pPr>
            <w:r>
              <w:rPr>
                <w:rFonts w:hint="eastAsia" w:ascii="宋体" w:hAnsi="宋体" w:cs="宋体"/>
                <w:color w:val="auto"/>
                <w:szCs w:val="21"/>
                <w:highlight w:val="none"/>
              </w:rPr>
              <w:t>评标委员会根据服务方案中该部分内容进行综合评审，满足或优于项目需求的得4分，良好的得3分，一般的得2分，合格得1分，差的及未提供的不得分。</w:t>
            </w:r>
          </w:p>
          <w:p w14:paraId="14DEDE99">
            <w:pPr>
              <w:spacing w:line="460" w:lineRule="exact"/>
              <w:jc w:val="left"/>
              <w:rPr>
                <w:rFonts w:ascii="宋体" w:hAnsi="宋体" w:cs="宋体"/>
                <w:b/>
                <w:bCs/>
                <w:color w:val="auto"/>
                <w:szCs w:val="21"/>
                <w:highlight w:val="none"/>
              </w:rPr>
            </w:pPr>
            <w:r>
              <w:rPr>
                <w:rFonts w:hint="eastAsia" w:ascii="宋体" w:hAnsi="宋体" w:cs="宋体"/>
                <w:b/>
                <w:bCs/>
                <w:color w:val="auto"/>
                <w:szCs w:val="21"/>
                <w:highlight w:val="none"/>
              </w:rPr>
              <w:t>2、实施方案（4分）</w:t>
            </w:r>
          </w:p>
          <w:p w14:paraId="450E44A9">
            <w:pPr>
              <w:spacing w:line="460" w:lineRule="exact"/>
              <w:jc w:val="left"/>
              <w:rPr>
                <w:rFonts w:ascii="宋体" w:hAnsi="宋体" w:cs="宋体"/>
                <w:color w:val="auto"/>
                <w:szCs w:val="21"/>
                <w:highlight w:val="none"/>
              </w:rPr>
            </w:pPr>
            <w:r>
              <w:rPr>
                <w:rFonts w:hint="eastAsia" w:ascii="宋体" w:hAnsi="宋体" w:cs="宋体"/>
                <w:color w:val="auto"/>
                <w:szCs w:val="21"/>
                <w:highlight w:val="none"/>
              </w:rPr>
              <w:t>评标委员会根据服务方案中该部分内容进行综合评审，满足或优于项目需求的得4分，良好的得3分，一般的得2分，合格得1分，差的及未提供的不得分。</w:t>
            </w:r>
          </w:p>
          <w:p w14:paraId="4F6CE042">
            <w:pPr>
              <w:spacing w:line="460" w:lineRule="exact"/>
              <w:jc w:val="left"/>
              <w:rPr>
                <w:rFonts w:ascii="宋体" w:hAnsi="宋体" w:cs="宋体"/>
                <w:color w:val="auto"/>
                <w:szCs w:val="21"/>
                <w:highlight w:val="none"/>
              </w:rPr>
            </w:pPr>
            <w:r>
              <w:rPr>
                <w:rFonts w:hint="eastAsia" w:ascii="宋体" w:hAnsi="宋体" w:cs="宋体"/>
                <w:b/>
                <w:bCs/>
                <w:color w:val="auto"/>
                <w:szCs w:val="21"/>
                <w:highlight w:val="none"/>
              </w:rPr>
              <w:t>3、质量、进度保证措施、安全管理措施及服务保障承诺（3分）</w:t>
            </w:r>
          </w:p>
          <w:p w14:paraId="1EE42E27">
            <w:pPr>
              <w:spacing w:line="460" w:lineRule="exact"/>
              <w:jc w:val="left"/>
              <w:rPr>
                <w:rFonts w:ascii="宋体" w:hAnsi="宋体" w:cs="宋体"/>
                <w:color w:val="auto"/>
                <w:szCs w:val="21"/>
                <w:highlight w:val="none"/>
              </w:rPr>
            </w:pPr>
            <w:r>
              <w:rPr>
                <w:rFonts w:hint="eastAsia" w:ascii="宋体" w:hAnsi="宋体" w:cs="宋体"/>
                <w:color w:val="auto"/>
                <w:szCs w:val="21"/>
                <w:highlight w:val="none"/>
              </w:rPr>
              <w:t>评标委员会根据服务方案中该部分内容进行综合评审，满足或优于项目需求的3分，一般的得2分，合格得 1分，差的及未提供的不得分。</w:t>
            </w:r>
          </w:p>
          <w:p w14:paraId="32CB5068">
            <w:pPr>
              <w:spacing w:line="460" w:lineRule="exact"/>
              <w:jc w:val="left"/>
              <w:rPr>
                <w:rFonts w:ascii="宋体" w:hAnsi="宋体" w:cs="宋体"/>
                <w:b/>
                <w:bCs/>
                <w:color w:val="auto"/>
                <w:szCs w:val="21"/>
                <w:highlight w:val="none"/>
              </w:rPr>
            </w:pPr>
            <w:r>
              <w:rPr>
                <w:rFonts w:hint="eastAsia" w:ascii="宋体" w:hAnsi="宋体" w:cs="宋体"/>
                <w:b/>
                <w:bCs/>
                <w:color w:val="auto"/>
                <w:szCs w:val="21"/>
                <w:highlight w:val="none"/>
              </w:rPr>
              <w:t>4、本项目工作重点、难点分析与对策（3分）</w:t>
            </w:r>
          </w:p>
          <w:p w14:paraId="3CD86F23">
            <w:pPr>
              <w:spacing w:line="460" w:lineRule="exact"/>
              <w:jc w:val="left"/>
              <w:rPr>
                <w:rFonts w:ascii="宋体" w:hAnsi="宋体" w:cs="宋体"/>
                <w:color w:val="auto"/>
                <w:szCs w:val="21"/>
                <w:highlight w:val="none"/>
              </w:rPr>
            </w:pPr>
            <w:r>
              <w:rPr>
                <w:rFonts w:hint="eastAsia" w:ascii="宋体" w:hAnsi="宋体" w:cs="宋体"/>
                <w:color w:val="auto"/>
                <w:szCs w:val="21"/>
                <w:highlight w:val="none"/>
              </w:rPr>
              <w:t>评标委员会根据服务方案中该部分内容进行综合评审，满足或优于项目需求的3分，一般的得2分，合格得 1分，差的及未提供的不得分。</w:t>
            </w:r>
          </w:p>
          <w:p w14:paraId="562C64E2">
            <w:pPr>
              <w:spacing w:line="460" w:lineRule="exact"/>
              <w:jc w:val="left"/>
              <w:rPr>
                <w:rFonts w:ascii="宋体" w:hAnsi="宋体" w:cs="宋体"/>
                <w:b/>
                <w:bCs/>
                <w:color w:val="auto"/>
                <w:szCs w:val="21"/>
                <w:highlight w:val="none"/>
              </w:rPr>
            </w:pPr>
            <w:r>
              <w:rPr>
                <w:rFonts w:hint="eastAsia" w:ascii="宋体" w:hAnsi="宋体" w:cs="宋体"/>
                <w:b/>
                <w:bCs/>
                <w:color w:val="auto"/>
                <w:szCs w:val="21"/>
                <w:highlight w:val="none"/>
              </w:rPr>
              <w:t>5、拟投入测绘设备情况（3分）</w:t>
            </w:r>
          </w:p>
          <w:p w14:paraId="002723C6">
            <w:pPr>
              <w:spacing w:line="460" w:lineRule="exact"/>
              <w:jc w:val="left"/>
              <w:rPr>
                <w:rFonts w:ascii="宋体" w:hAnsi="宋体" w:cs="宋体"/>
                <w:color w:val="auto"/>
                <w:szCs w:val="21"/>
                <w:highlight w:val="none"/>
              </w:rPr>
            </w:pPr>
            <w:r>
              <w:rPr>
                <w:rFonts w:hint="eastAsia" w:ascii="宋体" w:hAnsi="宋体" w:cs="宋体"/>
                <w:color w:val="auto"/>
                <w:szCs w:val="21"/>
                <w:highlight w:val="none"/>
              </w:rPr>
              <w:t>评标委员会根据服务方案中该部分内容进行综合评审，满足或优于项目需求的3分，一般的得2分，合格得 1分，差的及未提供的不得分。</w:t>
            </w:r>
          </w:p>
          <w:p w14:paraId="78940518">
            <w:pPr>
              <w:spacing w:line="460" w:lineRule="exact"/>
              <w:jc w:val="left"/>
              <w:rPr>
                <w:rFonts w:ascii="宋体" w:hAnsi="宋体" w:cs="宋体"/>
                <w:b/>
                <w:bCs/>
                <w:color w:val="auto"/>
                <w:szCs w:val="21"/>
                <w:highlight w:val="none"/>
              </w:rPr>
            </w:pPr>
            <w:r>
              <w:rPr>
                <w:rFonts w:hint="eastAsia" w:ascii="宋体" w:hAnsi="宋体" w:cs="宋体"/>
                <w:b/>
                <w:bCs/>
                <w:color w:val="auto"/>
                <w:szCs w:val="21"/>
                <w:highlight w:val="none"/>
              </w:rPr>
              <w:t>6、合理化建议（3分）</w:t>
            </w:r>
          </w:p>
          <w:p w14:paraId="61946354">
            <w:pPr>
              <w:spacing w:line="460" w:lineRule="exact"/>
              <w:jc w:val="left"/>
              <w:rPr>
                <w:rFonts w:ascii="宋体" w:hAnsi="宋体" w:cs="宋体"/>
                <w:color w:val="auto"/>
                <w:szCs w:val="21"/>
                <w:highlight w:val="none"/>
              </w:rPr>
            </w:pPr>
            <w:r>
              <w:rPr>
                <w:rFonts w:hint="eastAsia" w:ascii="宋体" w:hAnsi="宋体" w:cs="宋体"/>
                <w:color w:val="auto"/>
                <w:szCs w:val="21"/>
                <w:highlight w:val="none"/>
              </w:rPr>
              <w:t>评标委员会根据服务方案中该部分内容进行综合评审，满足或优于项目需求的3分，一般的得2分，合格得 1分，差的及未提供的不得分。</w:t>
            </w:r>
          </w:p>
        </w:tc>
      </w:tr>
      <w:tr w14:paraId="7D576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78" w:type="dxa"/>
            <w:tcBorders>
              <w:top w:val="single" w:color="auto" w:sz="4" w:space="0"/>
              <w:left w:val="single" w:color="auto" w:sz="4" w:space="0"/>
              <w:bottom w:val="single" w:color="auto" w:sz="4" w:space="0"/>
              <w:right w:val="single" w:color="auto" w:sz="4" w:space="0"/>
            </w:tcBorders>
            <w:vAlign w:val="center"/>
          </w:tcPr>
          <w:p w14:paraId="429953D5">
            <w:pPr>
              <w:adjustRightInd w:val="0"/>
              <w:snapToGrid w:val="0"/>
              <w:spacing w:line="460" w:lineRule="exact"/>
              <w:jc w:val="center"/>
              <w:rPr>
                <w:rFonts w:ascii="宋体" w:hAnsi="宋体" w:cs="Times New Roman"/>
                <w:color w:val="auto"/>
                <w:szCs w:val="21"/>
                <w:highlight w:val="none"/>
              </w:rPr>
            </w:pPr>
            <w:r>
              <w:rPr>
                <w:rFonts w:hint="eastAsia" w:ascii="宋体" w:hAnsi="宋体" w:cs="Times New Roman"/>
                <w:color w:val="auto"/>
                <w:szCs w:val="21"/>
                <w:highlight w:val="none"/>
              </w:rPr>
              <w:t>3</w:t>
            </w:r>
          </w:p>
        </w:tc>
        <w:tc>
          <w:tcPr>
            <w:tcW w:w="1276" w:type="dxa"/>
            <w:tcBorders>
              <w:top w:val="single" w:color="auto" w:sz="4" w:space="0"/>
              <w:left w:val="single" w:color="auto" w:sz="4" w:space="0"/>
              <w:bottom w:val="single" w:color="auto" w:sz="4" w:space="0"/>
              <w:right w:val="single" w:color="auto" w:sz="4" w:space="0"/>
            </w:tcBorders>
            <w:vAlign w:val="center"/>
          </w:tcPr>
          <w:p w14:paraId="0F31F044">
            <w:pPr>
              <w:adjustRightInd w:val="0"/>
              <w:snapToGrid w:val="0"/>
              <w:spacing w:line="460" w:lineRule="exact"/>
              <w:jc w:val="center"/>
              <w:rPr>
                <w:rFonts w:ascii="宋体" w:hAnsi="宋体" w:cs="宋体"/>
                <w:color w:val="auto"/>
                <w:szCs w:val="21"/>
                <w:highlight w:val="none"/>
              </w:rPr>
            </w:pPr>
            <w:r>
              <w:rPr>
                <w:rFonts w:hint="eastAsia" w:ascii="宋体" w:hAnsi="宋体" w:cs="宋体"/>
                <w:color w:val="auto"/>
                <w:szCs w:val="21"/>
                <w:highlight w:val="none"/>
              </w:rPr>
              <w:t>投标报价</w:t>
            </w:r>
          </w:p>
        </w:tc>
        <w:tc>
          <w:tcPr>
            <w:tcW w:w="1183" w:type="dxa"/>
            <w:tcBorders>
              <w:top w:val="single" w:color="auto" w:sz="4" w:space="0"/>
              <w:left w:val="single" w:color="auto" w:sz="4" w:space="0"/>
              <w:bottom w:val="single" w:color="auto" w:sz="4" w:space="0"/>
              <w:right w:val="single" w:color="auto" w:sz="4" w:space="0"/>
            </w:tcBorders>
            <w:vAlign w:val="center"/>
          </w:tcPr>
          <w:p w14:paraId="09DB2B09">
            <w:pPr>
              <w:adjustRightInd w:val="0"/>
              <w:snapToGrid w:val="0"/>
              <w:spacing w:line="460" w:lineRule="exact"/>
              <w:jc w:val="center"/>
              <w:rPr>
                <w:rFonts w:ascii="宋体" w:hAnsi="宋体" w:cs="宋体"/>
                <w:color w:val="auto"/>
                <w:szCs w:val="21"/>
                <w:highlight w:val="none"/>
              </w:rPr>
            </w:pPr>
            <w:r>
              <w:rPr>
                <w:rFonts w:hint="eastAsia" w:ascii="宋体" w:hAnsi="宋体" w:cs="宋体"/>
                <w:color w:val="auto"/>
                <w:szCs w:val="21"/>
                <w:highlight w:val="none"/>
              </w:rPr>
              <w:t>30分</w:t>
            </w:r>
          </w:p>
        </w:tc>
        <w:tc>
          <w:tcPr>
            <w:tcW w:w="5917" w:type="dxa"/>
            <w:tcBorders>
              <w:top w:val="single" w:color="auto" w:sz="4" w:space="0"/>
              <w:left w:val="single" w:color="auto" w:sz="4" w:space="0"/>
              <w:bottom w:val="single" w:color="auto" w:sz="4" w:space="0"/>
              <w:right w:val="single" w:color="auto" w:sz="4" w:space="0"/>
            </w:tcBorders>
            <w:vAlign w:val="center"/>
          </w:tcPr>
          <w:p w14:paraId="380EB2F0">
            <w:pPr>
              <w:spacing w:line="440" w:lineRule="exact"/>
              <w:rPr>
                <w:rFonts w:ascii="宋体" w:hAnsi="宋体" w:cs="宋体"/>
                <w:color w:val="auto"/>
                <w:szCs w:val="24"/>
                <w:highlight w:val="none"/>
              </w:rPr>
            </w:pPr>
            <w:r>
              <w:rPr>
                <w:rFonts w:hint="eastAsia" w:ascii="宋体" w:hAnsi="宋体" w:cs="宋体"/>
                <w:color w:val="auto"/>
                <w:szCs w:val="24"/>
                <w:highlight w:val="none"/>
              </w:rPr>
              <w:t>商务标评分按下列步骤计算：</w:t>
            </w:r>
          </w:p>
          <w:p w14:paraId="26F383A5">
            <w:pPr>
              <w:spacing w:line="440" w:lineRule="exact"/>
              <w:rPr>
                <w:rFonts w:ascii="宋体" w:hAnsi="宋体" w:cs="宋体"/>
                <w:color w:val="auto"/>
                <w:szCs w:val="24"/>
                <w:highlight w:val="none"/>
              </w:rPr>
            </w:pPr>
            <w:r>
              <w:rPr>
                <w:rFonts w:hint="eastAsia" w:ascii="宋体" w:hAnsi="宋体" w:cs="宋体"/>
                <w:color w:val="auto"/>
                <w:szCs w:val="24"/>
                <w:highlight w:val="none"/>
              </w:rPr>
              <w:t>第一步：计算F值。</w:t>
            </w:r>
          </w:p>
          <w:p w14:paraId="670E1E57">
            <w:pPr>
              <w:spacing w:line="440" w:lineRule="exact"/>
              <w:rPr>
                <w:rFonts w:ascii="宋体" w:hAnsi="宋体" w:cs="宋体"/>
                <w:color w:val="auto"/>
                <w:szCs w:val="21"/>
                <w:highlight w:val="none"/>
              </w:rPr>
            </w:pPr>
            <w:r>
              <w:rPr>
                <w:rFonts w:hint="eastAsia" w:ascii="宋体" w:hAnsi="宋体" w:cs="宋体"/>
                <w:color w:val="auto"/>
                <w:szCs w:val="21"/>
                <w:highlight w:val="none"/>
              </w:rPr>
              <w:t>F值为所有有效投标人的有效投标报价的算术平均值。</w:t>
            </w:r>
          </w:p>
          <w:p w14:paraId="23AEE1CC">
            <w:pPr>
              <w:spacing w:line="440" w:lineRule="exact"/>
              <w:rPr>
                <w:rFonts w:ascii="宋体" w:hAnsi="宋体" w:cs="宋体"/>
                <w:color w:val="auto"/>
                <w:szCs w:val="21"/>
                <w:highlight w:val="none"/>
              </w:rPr>
            </w:pPr>
            <w:r>
              <w:rPr>
                <w:rFonts w:hint="eastAsia" w:ascii="宋体" w:hAnsi="宋体" w:cs="宋体"/>
                <w:color w:val="auto"/>
                <w:szCs w:val="21"/>
                <w:highlight w:val="none"/>
              </w:rPr>
              <w:t>第二步：计算报价偏差率。</w:t>
            </w:r>
          </w:p>
          <w:p w14:paraId="0719220F">
            <w:pPr>
              <w:spacing w:line="440" w:lineRule="exact"/>
              <w:rPr>
                <w:rFonts w:ascii="宋体" w:hAnsi="宋体" w:cs="宋体"/>
                <w:color w:val="auto"/>
                <w:szCs w:val="21"/>
                <w:highlight w:val="none"/>
              </w:rPr>
            </w:pPr>
            <w:r>
              <w:rPr>
                <w:rFonts w:hint="eastAsia" w:ascii="宋体" w:hAnsi="宋体" w:cs="宋体"/>
                <w:color w:val="auto"/>
                <w:szCs w:val="21"/>
                <w:highlight w:val="none"/>
              </w:rPr>
              <w:t>①偏差率=|（投标报价-评标基准价）/评标基准价|×100%</w:t>
            </w:r>
          </w:p>
          <w:p w14:paraId="6A3C4FD8">
            <w:pPr>
              <w:spacing w:line="440" w:lineRule="exact"/>
              <w:rPr>
                <w:rFonts w:ascii="宋体" w:hAnsi="宋体" w:cs="宋体"/>
                <w:color w:val="auto"/>
                <w:szCs w:val="21"/>
                <w:highlight w:val="none"/>
              </w:rPr>
            </w:pPr>
            <w:r>
              <w:rPr>
                <w:rFonts w:hint="eastAsia" w:ascii="宋体" w:hAnsi="宋体" w:cs="宋体"/>
                <w:color w:val="auto"/>
                <w:szCs w:val="21"/>
                <w:highlight w:val="none"/>
              </w:rPr>
              <w:t>第三步：计算报价得分</w:t>
            </w:r>
          </w:p>
          <w:p w14:paraId="26D00CBA">
            <w:pPr>
              <w:spacing w:line="440" w:lineRule="exact"/>
              <w:rPr>
                <w:rFonts w:ascii="宋体" w:hAnsi="宋体" w:cs="宋体"/>
                <w:color w:val="auto"/>
                <w:szCs w:val="21"/>
                <w:highlight w:val="none"/>
              </w:rPr>
            </w:pPr>
            <w:r>
              <w:rPr>
                <w:rFonts w:hint="eastAsia" w:ascii="宋体" w:hAnsi="宋体" w:cs="宋体"/>
                <w:color w:val="auto"/>
                <w:szCs w:val="21"/>
                <w:highlight w:val="none"/>
              </w:rPr>
              <w:t>①投标报价等于评标基准价的得满分。</w:t>
            </w:r>
          </w:p>
          <w:p w14:paraId="16850DB2">
            <w:pPr>
              <w:spacing w:line="440" w:lineRule="exact"/>
              <w:rPr>
                <w:rFonts w:ascii="宋体" w:hAnsi="宋体" w:cs="宋体"/>
                <w:color w:val="auto"/>
                <w:szCs w:val="21"/>
                <w:highlight w:val="none"/>
              </w:rPr>
            </w:pPr>
            <w:r>
              <w:rPr>
                <w:rFonts w:hint="eastAsia" w:ascii="宋体" w:hAnsi="宋体" w:cs="宋体"/>
                <w:color w:val="auto"/>
                <w:szCs w:val="21"/>
                <w:highlight w:val="none"/>
              </w:rPr>
              <w:t>②投标报价高于评标基准价的，投标报价得分=报价满分值-偏差率×100×0.2</w:t>
            </w:r>
          </w:p>
          <w:p w14:paraId="096B1C24">
            <w:pPr>
              <w:spacing w:line="440" w:lineRule="exact"/>
              <w:rPr>
                <w:rFonts w:ascii="宋体" w:hAnsi="宋体" w:cs="宋体"/>
                <w:color w:val="auto"/>
                <w:szCs w:val="21"/>
                <w:highlight w:val="none"/>
              </w:rPr>
            </w:pPr>
            <w:r>
              <w:rPr>
                <w:rFonts w:hint="eastAsia" w:ascii="宋体" w:hAnsi="宋体" w:cs="宋体"/>
                <w:color w:val="auto"/>
                <w:szCs w:val="21"/>
                <w:highlight w:val="none"/>
              </w:rPr>
              <w:t>③投标报价低于评标基准价的，投标报价得分=报价满分值-偏差率×100×0.1</w:t>
            </w:r>
          </w:p>
          <w:p w14:paraId="6D234693">
            <w:pPr>
              <w:adjustRightInd w:val="0"/>
              <w:snapToGrid w:val="0"/>
              <w:spacing w:line="440" w:lineRule="exact"/>
              <w:jc w:val="left"/>
              <w:rPr>
                <w:rFonts w:ascii="宋体" w:hAnsi="宋体" w:cs="宋体"/>
                <w:color w:val="auto"/>
                <w:szCs w:val="21"/>
                <w:highlight w:val="none"/>
              </w:rPr>
            </w:pPr>
            <w:r>
              <w:rPr>
                <w:rFonts w:hint="eastAsia" w:ascii="宋体" w:hAnsi="宋体" w:cs="宋体"/>
                <w:b/>
                <w:color w:val="auto"/>
                <w:szCs w:val="21"/>
                <w:highlight w:val="none"/>
              </w:rPr>
              <w:t>注：计算过程中，标基准价F值、偏差率、报价得分均保留两位小数，小数点后第三位四舍五入。</w:t>
            </w:r>
          </w:p>
        </w:tc>
      </w:tr>
    </w:tbl>
    <w:p w14:paraId="1D81617E">
      <w:pPr>
        <w:adjustRightInd w:val="0"/>
        <w:snapToGrid w:val="0"/>
        <w:spacing w:line="440" w:lineRule="exact"/>
        <w:ind w:firstLine="316" w:firstLineChars="150"/>
        <w:rPr>
          <w:rFonts w:ascii="黑体" w:hAnsi="黑体" w:eastAsia="黑体" w:cs="黑体"/>
          <w:b/>
          <w:color w:val="auto"/>
          <w:szCs w:val="21"/>
          <w:highlight w:val="none"/>
        </w:rPr>
      </w:pPr>
      <w:r>
        <w:rPr>
          <w:rFonts w:hint="eastAsia" w:ascii="黑体" w:hAnsi="黑体" w:eastAsia="黑体" w:cs="黑体"/>
          <w:b/>
          <w:color w:val="auto"/>
          <w:szCs w:val="21"/>
          <w:highlight w:val="none"/>
        </w:rPr>
        <w:t>商务标评审表注：</w:t>
      </w:r>
    </w:p>
    <w:p w14:paraId="0785D7CC">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1、只有投标报价不高于最高限价的投标人才能参加评分。</w:t>
      </w:r>
    </w:p>
    <w:p w14:paraId="34B4695A">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2、本表所称投标报价是指按招标文件规定修正后的投标总报价（多算投标报价、多报费用不扣减）。</w:t>
      </w:r>
    </w:p>
    <w:p w14:paraId="083A7D09">
      <w:pPr>
        <w:adjustRightInd w:val="0"/>
        <w:snapToGrid w:val="0"/>
        <w:spacing w:line="440" w:lineRule="exact"/>
        <w:ind w:firstLine="420" w:firstLineChars="200"/>
        <w:rPr>
          <w:rFonts w:ascii="宋体" w:hAnsi="宋体" w:cs="宋体"/>
          <w:b/>
          <w:color w:val="auto"/>
          <w:szCs w:val="21"/>
          <w:highlight w:val="none"/>
          <w:u w:val="single"/>
        </w:rPr>
      </w:pPr>
      <w:r>
        <w:rPr>
          <w:rFonts w:hint="eastAsia" w:ascii="宋体" w:hAnsi="宋体" w:cs="宋体"/>
          <w:color w:val="auto"/>
          <w:szCs w:val="21"/>
          <w:highlight w:val="none"/>
        </w:rPr>
        <w:t>3、</w:t>
      </w:r>
      <w:r>
        <w:rPr>
          <w:rFonts w:hint="eastAsia" w:ascii="宋体" w:hAnsi="宋体" w:cs="宋体"/>
          <w:b/>
          <w:color w:val="auto"/>
          <w:szCs w:val="21"/>
          <w:highlight w:val="none"/>
          <w:u w:val="single"/>
        </w:rPr>
        <w:t>评标办法中的评标基准价计算出来后，除数字计算错误外，其他情况均不再调整。</w:t>
      </w:r>
    </w:p>
    <w:p w14:paraId="46DB85DB">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4、其他</w:t>
      </w:r>
    </w:p>
    <w:p w14:paraId="6EAAF640">
      <w:pPr>
        <w:adjustRightInd w:val="0"/>
        <w:snapToGri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报价修正原则：</w:t>
      </w:r>
    </w:p>
    <w:p w14:paraId="2FB5F155">
      <w:pPr>
        <w:adjustRightInd w:val="0"/>
        <w:snapToGri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（1）投标文件中的大写金额与小写金额不一致的，以大写金额为准。</w:t>
      </w:r>
    </w:p>
    <w:p w14:paraId="71F81BEC">
      <w:pPr>
        <w:adjustRightInd w:val="0"/>
        <w:snapToGri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（2）根据费率计算出的报价不正确的，以费率为准修正报价。</w:t>
      </w:r>
    </w:p>
    <w:p w14:paraId="565428F7">
      <w:pPr>
        <w:adjustRightInd w:val="0"/>
        <w:snapToGri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按上述修正错误的原则及方法调整或修正投标文件的投标报价，调整或修正的价格经投标人书面确认后具有约束力。投标人不接受的，其投标将被拒绝。</w:t>
      </w:r>
    </w:p>
    <w:p w14:paraId="75B46BDC">
      <w:pPr>
        <w:keepNext/>
        <w:keepLines/>
        <w:adjustRightInd w:val="0"/>
        <w:snapToGrid w:val="0"/>
        <w:spacing w:line="440" w:lineRule="exact"/>
        <w:ind w:firstLine="422" w:firstLineChars="200"/>
        <w:outlineLvl w:val="1"/>
        <w:rPr>
          <w:rFonts w:ascii="黑体" w:hAnsi="黑体" w:eastAsia="黑体" w:cs="黑体"/>
          <w:b/>
          <w:bCs/>
          <w:color w:val="auto"/>
          <w:szCs w:val="21"/>
          <w:highlight w:val="none"/>
        </w:rPr>
      </w:pPr>
      <w:bookmarkStart w:id="801" w:name="_Toc28243"/>
      <w:bookmarkStart w:id="802" w:name="_Toc95223429"/>
      <w:bookmarkStart w:id="803" w:name="_Toc14682"/>
      <w:r>
        <w:rPr>
          <w:rFonts w:hint="eastAsia" w:ascii="黑体" w:hAnsi="黑体" w:eastAsia="黑体" w:cs="黑体"/>
          <w:b/>
          <w:bCs/>
          <w:color w:val="auto"/>
          <w:szCs w:val="21"/>
          <w:highlight w:val="none"/>
        </w:rPr>
        <w:t>1. 评标方法</w:t>
      </w:r>
      <w:bookmarkEnd w:id="801"/>
      <w:bookmarkEnd w:id="802"/>
      <w:bookmarkEnd w:id="803"/>
    </w:p>
    <w:p w14:paraId="259AD8D9">
      <w:pPr>
        <w:adjustRightInd w:val="0"/>
        <w:snapToGri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本次评标采用综合评估法。评标委员会按照本章规定的评分标准计算得分，推荐满足招标文件实质性要求投标人按总得分由高到低顺序推荐中标候选人（3名），并标明排序，但投标报价低于其成本的除外。</w:t>
      </w:r>
    </w:p>
    <w:p w14:paraId="407DD579">
      <w:pPr>
        <w:keepNext/>
        <w:keepLines/>
        <w:adjustRightInd w:val="0"/>
        <w:snapToGrid w:val="0"/>
        <w:spacing w:line="440" w:lineRule="exact"/>
        <w:ind w:firstLine="422" w:firstLineChars="200"/>
        <w:outlineLvl w:val="1"/>
        <w:rPr>
          <w:rFonts w:ascii="黑体" w:hAnsi="黑体" w:eastAsia="黑体" w:cs="黑体"/>
          <w:b/>
          <w:bCs/>
          <w:color w:val="auto"/>
          <w:szCs w:val="21"/>
          <w:highlight w:val="none"/>
        </w:rPr>
      </w:pPr>
      <w:bookmarkStart w:id="804" w:name="_Toc95223430"/>
      <w:bookmarkStart w:id="805" w:name="_Toc18793"/>
      <w:bookmarkStart w:id="806" w:name="_Toc10143"/>
      <w:r>
        <w:rPr>
          <w:rFonts w:hint="eastAsia" w:ascii="黑体" w:hAnsi="黑体" w:eastAsia="黑体" w:cs="黑体"/>
          <w:b/>
          <w:bCs/>
          <w:color w:val="auto"/>
          <w:szCs w:val="21"/>
          <w:highlight w:val="none"/>
        </w:rPr>
        <w:t>2.评标委员会的职责</w:t>
      </w:r>
      <w:bookmarkEnd w:id="804"/>
      <w:bookmarkEnd w:id="805"/>
      <w:bookmarkEnd w:id="806"/>
    </w:p>
    <w:p w14:paraId="3673583A">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评标委员会应当根据本评标办法，应进行系统地评审和比较，向招标人推荐中标候选人或根据招标人的授权直接确定中标人。各评委必须独立评审，提出评审意见，不受任何单位或者个人的干预。各评委对其各自评审结果负责，并在评标报告上签字确认。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020C77AD">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评标委员会应加强对报价合理性审查。</w:t>
      </w:r>
      <w:bookmarkStart w:id="807" w:name="_Toc95223431"/>
      <w:r>
        <w:rPr>
          <w:rFonts w:hint="eastAsia" w:ascii="宋体" w:hAnsi="宋体" w:cs="宋体"/>
          <w:color w:val="auto"/>
          <w:szCs w:val="21"/>
          <w:highlight w:val="none"/>
        </w:rPr>
        <w:t>评标评审委员会认为拟推荐的中标候选人的报价明显低于其他通过符合性审查投标人的报价，存在异常低价，有可能影响项目质量或者不能诚信履约的，应当要求投标人在评标现场合理的时间内提供书面说明，必要时提交相关证明材料；投标人不能证明其报价合理性的，或评标委员会认定其存在履约及质量安全风险的，评标评审委员会应当将其作为无效投标处理。</w:t>
      </w:r>
    </w:p>
    <w:p w14:paraId="3357C9B7">
      <w:pPr>
        <w:keepNext/>
        <w:keepLines/>
        <w:adjustRightInd w:val="0"/>
        <w:snapToGrid w:val="0"/>
        <w:spacing w:line="440" w:lineRule="exact"/>
        <w:ind w:firstLine="422" w:firstLineChars="200"/>
        <w:outlineLvl w:val="1"/>
        <w:rPr>
          <w:rFonts w:ascii="黑体" w:hAnsi="黑体" w:eastAsia="黑体" w:cs="黑体"/>
          <w:b/>
          <w:bCs/>
          <w:color w:val="auto"/>
          <w:szCs w:val="21"/>
          <w:highlight w:val="none"/>
        </w:rPr>
      </w:pPr>
      <w:bookmarkStart w:id="808" w:name="_Toc23638"/>
      <w:bookmarkStart w:id="809" w:name="_Toc10884"/>
      <w:r>
        <w:rPr>
          <w:rFonts w:hint="eastAsia" w:ascii="黑体" w:hAnsi="黑体" w:eastAsia="黑体" w:cs="黑体"/>
          <w:b/>
          <w:bCs/>
          <w:color w:val="auto"/>
          <w:szCs w:val="21"/>
          <w:highlight w:val="none"/>
        </w:rPr>
        <w:t>3.评标程序</w:t>
      </w:r>
      <w:bookmarkEnd w:id="807"/>
      <w:bookmarkEnd w:id="808"/>
      <w:bookmarkEnd w:id="809"/>
    </w:p>
    <w:p w14:paraId="49E24F38">
      <w:pPr>
        <w:adjustRightInd w:val="0"/>
        <w:snapToGrid w:val="0"/>
        <w:spacing w:line="440" w:lineRule="exact"/>
        <w:ind w:firstLine="420" w:firstLineChars="200"/>
        <w:rPr>
          <w:rFonts w:ascii="宋体" w:hAnsi="宋体" w:cs="Times New Roman"/>
          <w:color w:val="auto"/>
          <w:szCs w:val="21"/>
          <w:highlight w:val="none"/>
        </w:rPr>
      </w:pPr>
      <w:r>
        <w:rPr>
          <w:rFonts w:hint="eastAsia" w:ascii="宋体" w:hAnsi="宋体" w:cs="Times New Roman"/>
          <w:color w:val="auto"/>
          <w:szCs w:val="21"/>
          <w:highlight w:val="none"/>
        </w:rPr>
        <w:t>评标先做准备工作，再进行价格评分，然后进行资信评审。</w:t>
      </w:r>
    </w:p>
    <w:p w14:paraId="0A05EABE">
      <w:pPr>
        <w:keepNext/>
        <w:keepLines/>
        <w:adjustRightInd w:val="0"/>
        <w:snapToGrid w:val="0"/>
        <w:spacing w:line="440" w:lineRule="exact"/>
        <w:ind w:firstLine="422" w:firstLineChars="200"/>
        <w:outlineLvl w:val="1"/>
        <w:rPr>
          <w:rFonts w:ascii="黑体" w:hAnsi="黑体" w:eastAsia="黑体" w:cs="黑体"/>
          <w:b/>
          <w:bCs/>
          <w:color w:val="auto"/>
          <w:szCs w:val="21"/>
          <w:highlight w:val="none"/>
        </w:rPr>
      </w:pPr>
      <w:bookmarkStart w:id="810" w:name="_Toc7438"/>
      <w:bookmarkStart w:id="811" w:name="_Toc5838"/>
      <w:bookmarkStart w:id="812" w:name="_Toc95223432"/>
      <w:r>
        <w:rPr>
          <w:rFonts w:hint="eastAsia" w:ascii="黑体" w:hAnsi="黑体" w:eastAsia="黑体" w:cs="黑体"/>
          <w:b/>
          <w:bCs/>
          <w:color w:val="auto"/>
          <w:szCs w:val="21"/>
          <w:highlight w:val="none"/>
        </w:rPr>
        <w:t>3.1评标准备工作</w:t>
      </w:r>
      <w:bookmarkEnd w:id="810"/>
      <w:bookmarkEnd w:id="811"/>
      <w:bookmarkEnd w:id="812"/>
    </w:p>
    <w:p w14:paraId="200B34DF">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评标委员会熟悉评标工作情况：</w:t>
      </w:r>
    </w:p>
    <w:p w14:paraId="68F80B2D">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（1）阅读由招标人或者其委托的工程代理机构编制的招标项目情况材料。</w:t>
      </w:r>
    </w:p>
    <w:p w14:paraId="0ED1B815">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（2）阅读、研究招标文件和相关评标资料，获取评标所需要的重要信息和数据，至少应了解和熟悉以下内容：招标项目的范围和性质，招标文件规定的主要技术要求、标准和商务条款。</w:t>
      </w:r>
    </w:p>
    <w:p w14:paraId="1E8FC556">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（3）熟悉招标文件规定的评标标准和评标方法及在评标过程中需要考虑的相关因素。</w:t>
      </w:r>
    </w:p>
    <w:p w14:paraId="0C924791">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（4）核对评标工作用表。</w:t>
      </w:r>
    </w:p>
    <w:p w14:paraId="62D0388D">
      <w:pPr>
        <w:keepNext/>
        <w:keepLines/>
        <w:adjustRightInd w:val="0"/>
        <w:snapToGrid w:val="0"/>
        <w:spacing w:line="440" w:lineRule="exact"/>
        <w:ind w:firstLine="422" w:firstLineChars="200"/>
        <w:outlineLvl w:val="1"/>
        <w:rPr>
          <w:rFonts w:ascii="黑体" w:hAnsi="黑体" w:eastAsia="黑体" w:cs="黑体"/>
          <w:b/>
          <w:bCs/>
          <w:color w:val="auto"/>
          <w:szCs w:val="21"/>
          <w:highlight w:val="none"/>
        </w:rPr>
      </w:pPr>
      <w:bookmarkStart w:id="813" w:name="_Toc26317"/>
      <w:bookmarkStart w:id="814" w:name="_Toc11840"/>
      <w:bookmarkStart w:id="815" w:name="_Toc95223433"/>
      <w:r>
        <w:rPr>
          <w:rFonts w:hint="eastAsia" w:ascii="黑体" w:hAnsi="黑体" w:eastAsia="黑体" w:cs="黑体"/>
          <w:b/>
          <w:bCs/>
          <w:color w:val="auto"/>
          <w:szCs w:val="21"/>
          <w:highlight w:val="none"/>
        </w:rPr>
        <w:t>3.2投标文件评审</w:t>
      </w:r>
      <w:bookmarkEnd w:id="813"/>
      <w:bookmarkEnd w:id="814"/>
      <w:bookmarkEnd w:id="815"/>
    </w:p>
    <w:p w14:paraId="69165FDF">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详见评审表。</w:t>
      </w:r>
    </w:p>
    <w:p w14:paraId="1A68E85F">
      <w:pPr>
        <w:keepNext/>
        <w:keepLines/>
        <w:adjustRightInd w:val="0"/>
        <w:snapToGrid w:val="0"/>
        <w:spacing w:line="440" w:lineRule="exact"/>
        <w:ind w:firstLine="422" w:firstLineChars="200"/>
        <w:outlineLvl w:val="1"/>
        <w:rPr>
          <w:rFonts w:ascii="黑体" w:hAnsi="黑体" w:eastAsia="黑体" w:cs="黑体"/>
          <w:b/>
          <w:bCs/>
          <w:color w:val="auto"/>
          <w:szCs w:val="21"/>
          <w:highlight w:val="none"/>
        </w:rPr>
      </w:pPr>
      <w:bookmarkStart w:id="816" w:name="_Toc12863"/>
      <w:bookmarkStart w:id="817" w:name="_Toc7212"/>
      <w:r>
        <w:rPr>
          <w:rFonts w:hint="eastAsia" w:ascii="黑体" w:hAnsi="黑体" w:eastAsia="黑体" w:cs="黑体"/>
          <w:b/>
          <w:bCs/>
          <w:color w:val="auto"/>
          <w:szCs w:val="21"/>
          <w:highlight w:val="none"/>
        </w:rPr>
        <w:t>3.3推荐中标候选人</w:t>
      </w:r>
      <w:bookmarkEnd w:id="816"/>
      <w:bookmarkEnd w:id="817"/>
    </w:p>
    <w:p w14:paraId="45A74FBD">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资信评审标评审后，推荐中标候选人，并标明排序。</w:t>
      </w:r>
    </w:p>
    <w:p w14:paraId="3EAAED96">
      <w:pPr>
        <w:keepNext/>
        <w:keepLines/>
        <w:adjustRightInd w:val="0"/>
        <w:snapToGrid w:val="0"/>
        <w:spacing w:line="440" w:lineRule="exact"/>
        <w:ind w:firstLine="422" w:firstLineChars="200"/>
        <w:outlineLvl w:val="1"/>
        <w:rPr>
          <w:rFonts w:ascii="黑体" w:hAnsi="黑体" w:eastAsia="黑体" w:cs="黑体"/>
          <w:b/>
          <w:bCs/>
          <w:color w:val="auto"/>
          <w:szCs w:val="21"/>
          <w:highlight w:val="none"/>
        </w:rPr>
      </w:pPr>
      <w:bookmarkStart w:id="818" w:name="_Toc95223435"/>
      <w:bookmarkStart w:id="819" w:name="_Toc11015"/>
      <w:bookmarkStart w:id="820" w:name="_Toc16026"/>
      <w:r>
        <w:rPr>
          <w:rFonts w:hint="eastAsia" w:ascii="黑体" w:hAnsi="黑体" w:eastAsia="黑体" w:cs="黑体"/>
          <w:b/>
          <w:bCs/>
          <w:color w:val="auto"/>
          <w:szCs w:val="21"/>
          <w:highlight w:val="none"/>
        </w:rPr>
        <w:t>4.评审内容</w:t>
      </w:r>
      <w:bookmarkEnd w:id="818"/>
      <w:bookmarkEnd w:id="819"/>
      <w:bookmarkEnd w:id="820"/>
    </w:p>
    <w:p w14:paraId="3E696ADC">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见评审表。评标委员会依据上述标准对投标文件进行初步评审。有一项不符合评审标准的，作无效投标处理。</w:t>
      </w:r>
    </w:p>
    <w:p w14:paraId="6D354BD1">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4.2.4评标委员会审查投标文件，看其是否有计算或表达上的错误，投标报价有错误的，评标委员会按以下原则对投标报价进行修正。</w:t>
      </w:r>
    </w:p>
    <w:p w14:paraId="30AA7F39">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（1）投标文件中的大写金额与小写金额不一致的，以大写金额为准。</w:t>
      </w:r>
    </w:p>
    <w:p w14:paraId="17DF6F92">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（2）总价金额与依据单价计算出的结果不一致的，以单价金额为准修正总价，但单价金额小数点有明显错误的除外。</w:t>
      </w:r>
    </w:p>
    <w:p w14:paraId="71C800EA">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（3）工程量清单报价表中综合单价与工程量清单项目价格分析表相对应综合单价不一致时，以工程量清单项目价格分析表中标出的综合单价为准。</w:t>
      </w:r>
    </w:p>
    <w:p w14:paraId="20D7F8C9">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按上述修正错误的原则及方法调整或修正投标文件的投标报价，调整或修正的价格经投标人书面确认后具有约束力。中标价原则上以调整或修正后的价格为准，调整或修正后的价格与投标报价相比，价格低的为中标价。投标人不接受的，其投标将被拒绝。</w:t>
      </w:r>
    </w:p>
    <w:p w14:paraId="18700087">
      <w:pPr>
        <w:keepNext/>
        <w:keepLines/>
        <w:adjustRightInd w:val="0"/>
        <w:snapToGrid w:val="0"/>
        <w:spacing w:line="440" w:lineRule="exact"/>
        <w:ind w:firstLine="422" w:firstLineChars="200"/>
        <w:outlineLvl w:val="1"/>
        <w:rPr>
          <w:rFonts w:ascii="黑体" w:hAnsi="黑体" w:eastAsia="黑体" w:cs="黑体"/>
          <w:b/>
          <w:bCs/>
          <w:color w:val="auto"/>
          <w:szCs w:val="21"/>
          <w:highlight w:val="none"/>
        </w:rPr>
      </w:pPr>
      <w:bookmarkStart w:id="821" w:name="_Toc705"/>
      <w:bookmarkStart w:id="822" w:name="_Toc3779"/>
      <w:bookmarkStart w:id="823" w:name="_Toc95223438"/>
      <w:r>
        <w:rPr>
          <w:rFonts w:hint="eastAsia" w:ascii="黑体" w:hAnsi="黑体" w:eastAsia="黑体" w:cs="黑体"/>
          <w:b/>
          <w:bCs/>
          <w:color w:val="auto"/>
          <w:szCs w:val="21"/>
          <w:highlight w:val="none"/>
        </w:rPr>
        <w:t>5.无效投标条款</w:t>
      </w:r>
      <w:bookmarkEnd w:id="821"/>
      <w:bookmarkEnd w:id="822"/>
      <w:bookmarkEnd w:id="823"/>
    </w:p>
    <w:p w14:paraId="1BD0F5CA">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5.1投标人存在下列情形的招标人将拒收投标文件：</w:t>
      </w:r>
    </w:p>
    <w:p w14:paraId="3A720972">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 未在投标截止时间前通过网上招标投标系统递交有效电子投标文件的，开标系统不予接收，投标将被拒绝。</w:t>
      </w:r>
    </w:p>
    <w:p w14:paraId="43E123B2">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所有投标人应在规定时间里完成投标文件的解密工作（投标企业接到远程解密指令后，须在规定时间内解密（以网上开评标系统解密倒计时为准）。因投标人自身原因导致投标文件在规定时间内未能解密、解密失败或解密超时，投标文件无效；因招标人或代理公司原因或网上平台发生故障，导致无法按时完成投标文件解密的，经代理公司申请后可延迟解密时间）。</w:t>
      </w:r>
    </w:p>
    <w:p w14:paraId="2F232FDE">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5.2投标人有下列情形的，经评审后其投标作无效投标处理：</w:t>
      </w:r>
    </w:p>
    <w:p w14:paraId="73F02712">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评标委员会进行形式性评审和响应性评审。有一项不符合评审标准的，做无效投标处理。</w:t>
      </w:r>
    </w:p>
    <w:p w14:paraId="5F17CC0F">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5.3其他无效投标情况：</w:t>
      </w:r>
    </w:p>
    <w:p w14:paraId="2EFC324B">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评标委员会发现投标人的投标报价明显低于其他投标报价，使得其投标报价可能低于其成本的，应当要求该投标人作出书面说明并提供相应的证明材料。投标人不能合理说明或者不能提供相应证明材料的，由评标委员会认定该投标人以低于成本报价竞标，其投标作无效投标处理。</w:t>
      </w:r>
    </w:p>
    <w:p w14:paraId="1C222EBB">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（2）按第四章“评标方法”第4.2.4项修正错误的原则及方法调整或修正投标文件的投标报价，调整或修正的价格经投标人书面确认后具有约束力。投标人不接受修正价格的，其投标将被拒绝。</w:t>
      </w:r>
    </w:p>
    <w:p w14:paraId="66677A59">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（3）第二章“投标人须知”第1.4.3项规定的任何一种情形的。</w:t>
      </w:r>
    </w:p>
    <w:p w14:paraId="2ACD8DF0">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（4）投标人有串通投标、视为串通投标、弄虚作假、行贿等违法行为。</w:t>
      </w:r>
    </w:p>
    <w:p w14:paraId="2ACAEF5B">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（5）投标文件没有对招标文件的实质性要求和条件作出响应。</w:t>
      </w:r>
    </w:p>
    <w:p w14:paraId="464D2E41">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（6）未按规定的格式填写导致实质性内容不全以及实质上不响应，或者关键字迹模糊、无法辨认。</w:t>
      </w:r>
    </w:p>
    <w:p w14:paraId="19F4564C">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（7）同一投标人提交两个以上不同的投标文件或者投标报价，但招标文件规定提交备选投标的除外。</w:t>
      </w:r>
    </w:p>
    <w:p w14:paraId="4D9F5D8D">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（8）投标文件中存在招标人不能接受的其他实质性条件。</w:t>
      </w:r>
    </w:p>
    <w:p w14:paraId="75D4D00C">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（9）投标文件中填报的拟任项目负责人与资格审查通过的项目负责人前后不一致的。</w:t>
      </w:r>
    </w:p>
    <w:p w14:paraId="003E56CC">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（10）投标人拒不按照要求对投标文件进行澄清、说明、补正的，或评标委员会根据招标文件的规定对招标文件的计算错误进行修正后，投标人不接受修正的投标报价的。</w:t>
      </w:r>
    </w:p>
    <w:p w14:paraId="72947C17">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（11）投标人单方面出现其他投标人材料。</w:t>
      </w:r>
    </w:p>
    <w:p w14:paraId="45697019">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（12）</w:t>
      </w:r>
      <w:r>
        <w:rPr>
          <w:rFonts w:hint="eastAsia" w:ascii="宋体" w:hAnsi="宋体" w:cs="宋体"/>
          <w:color w:val="auto"/>
          <w:szCs w:val="21"/>
          <w:highlight w:val="none"/>
          <w:lang w:eastAsia="zh-CN"/>
        </w:rPr>
        <w:t>法律法规</w:t>
      </w:r>
      <w:r>
        <w:rPr>
          <w:rFonts w:hint="eastAsia" w:ascii="宋体" w:hAnsi="宋体" w:cs="宋体"/>
          <w:color w:val="auto"/>
          <w:szCs w:val="21"/>
          <w:highlight w:val="none"/>
        </w:rPr>
        <w:t>规定的其他情形。</w:t>
      </w:r>
    </w:p>
    <w:p w14:paraId="78FE4CF7">
      <w:pPr>
        <w:keepNext/>
        <w:keepLines/>
        <w:adjustRightInd w:val="0"/>
        <w:snapToGrid w:val="0"/>
        <w:spacing w:line="440" w:lineRule="exact"/>
        <w:ind w:firstLine="422" w:firstLineChars="200"/>
        <w:outlineLvl w:val="1"/>
        <w:rPr>
          <w:rFonts w:ascii="黑体" w:hAnsi="黑体" w:eastAsia="黑体" w:cs="黑体"/>
          <w:b/>
          <w:bCs/>
          <w:color w:val="auto"/>
          <w:szCs w:val="21"/>
          <w:highlight w:val="none"/>
        </w:rPr>
      </w:pPr>
      <w:bookmarkStart w:id="824" w:name="_Toc95223439"/>
      <w:bookmarkStart w:id="825" w:name="_Toc26242"/>
      <w:bookmarkStart w:id="826" w:name="_Toc27114"/>
      <w:r>
        <w:rPr>
          <w:rFonts w:hint="eastAsia" w:ascii="黑体" w:hAnsi="黑体" w:eastAsia="黑体" w:cs="黑体"/>
          <w:b/>
          <w:bCs/>
          <w:color w:val="auto"/>
          <w:szCs w:val="21"/>
          <w:highlight w:val="none"/>
        </w:rPr>
        <w:t>6.投标文件的澄清和补正</w:t>
      </w:r>
      <w:bookmarkEnd w:id="824"/>
      <w:bookmarkEnd w:id="825"/>
      <w:bookmarkEnd w:id="826"/>
    </w:p>
    <w:p w14:paraId="4EDB906C">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6.1在评标过程中，评标委员会可以书面形式要求投标人对所提交的投标文件中含义不明确、对同类问题表述不一致或者有明显文字和计算错误”，其他评标办法请一并修改的内容进行书面澄清或说明，或者对细微偏差进行补正。评标委员会不接受投标人主动提出的澄清、说明或补正。</w:t>
      </w:r>
    </w:p>
    <w:p w14:paraId="58406044">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6.2澄清、说明和补正不得改变投标文件的实质性内容（算术性错误修正的除外）。投标人的书面澄清、说明和补正属于投标文件的组成部分。</w:t>
      </w:r>
    </w:p>
    <w:p w14:paraId="38B9F329">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6.3评标委员会对投标人提交的澄清、说明和补正有疑问的，可以要求投标人进一步澄清、说明或补正</w:t>
      </w:r>
      <w:r>
        <w:rPr>
          <w:rFonts w:hint="eastAsia" w:ascii="宋体" w:hAnsi="宋体" w:cs="宋体"/>
          <w:color w:val="auto"/>
          <w:szCs w:val="21"/>
          <w:highlight w:val="none"/>
          <w:lang w:eastAsia="zh-CN"/>
        </w:rPr>
        <w:t>直至</w:t>
      </w:r>
      <w:r>
        <w:rPr>
          <w:rFonts w:hint="eastAsia" w:ascii="宋体" w:hAnsi="宋体" w:cs="宋体"/>
          <w:color w:val="auto"/>
          <w:szCs w:val="21"/>
          <w:highlight w:val="none"/>
        </w:rPr>
        <w:t>满足评标委员会的要求。</w:t>
      </w:r>
    </w:p>
    <w:p w14:paraId="50B2394B">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按照投标文件规定进行澄清、补正后的投标报价经投标人的法定代表人或其委托代理人确认后即为该投标人的最终投标报价。投标人一旦中标，此报价即为中标价。</w:t>
      </w:r>
    </w:p>
    <w:p w14:paraId="604CE46F">
      <w:pPr>
        <w:keepNext/>
        <w:keepLines/>
        <w:adjustRightInd w:val="0"/>
        <w:snapToGrid w:val="0"/>
        <w:spacing w:line="440" w:lineRule="exact"/>
        <w:ind w:firstLine="422" w:firstLineChars="200"/>
        <w:outlineLvl w:val="1"/>
        <w:rPr>
          <w:rFonts w:ascii="黑体" w:hAnsi="黑体" w:eastAsia="黑体" w:cs="黑体"/>
          <w:b/>
          <w:bCs/>
          <w:color w:val="auto"/>
          <w:szCs w:val="21"/>
          <w:highlight w:val="none"/>
        </w:rPr>
      </w:pPr>
      <w:bookmarkStart w:id="827" w:name="_Toc29696"/>
      <w:bookmarkStart w:id="828" w:name="_Toc95223440"/>
      <w:bookmarkStart w:id="829" w:name="_Toc16562"/>
      <w:r>
        <w:rPr>
          <w:rFonts w:hint="eastAsia" w:ascii="黑体" w:hAnsi="黑体" w:eastAsia="黑体" w:cs="黑体"/>
          <w:b/>
          <w:bCs/>
          <w:color w:val="auto"/>
          <w:szCs w:val="21"/>
          <w:highlight w:val="none"/>
        </w:rPr>
        <w:t>7.评分标准</w:t>
      </w:r>
      <w:bookmarkEnd w:id="827"/>
      <w:bookmarkEnd w:id="828"/>
      <w:bookmarkEnd w:id="829"/>
    </w:p>
    <w:p w14:paraId="00E46FA3">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7.1评分标准：见评分表。</w:t>
      </w:r>
    </w:p>
    <w:p w14:paraId="569B769D">
      <w:pPr>
        <w:keepNext/>
        <w:keepLines/>
        <w:adjustRightInd w:val="0"/>
        <w:snapToGrid w:val="0"/>
        <w:spacing w:line="440" w:lineRule="exact"/>
        <w:ind w:firstLine="422" w:firstLineChars="200"/>
        <w:outlineLvl w:val="1"/>
        <w:rPr>
          <w:rFonts w:ascii="黑体" w:hAnsi="黑体" w:eastAsia="黑体" w:cs="黑体"/>
          <w:b/>
          <w:bCs/>
          <w:color w:val="auto"/>
          <w:szCs w:val="21"/>
          <w:highlight w:val="none"/>
        </w:rPr>
      </w:pPr>
      <w:bookmarkStart w:id="830" w:name="_Toc460"/>
      <w:bookmarkStart w:id="831" w:name="_Toc23616"/>
      <w:bookmarkStart w:id="832" w:name="_Toc95223441"/>
      <w:r>
        <w:rPr>
          <w:rFonts w:hint="eastAsia" w:ascii="黑体" w:hAnsi="黑体" w:eastAsia="黑体" w:cs="黑体"/>
          <w:b/>
          <w:bCs/>
          <w:color w:val="auto"/>
          <w:szCs w:val="21"/>
          <w:highlight w:val="none"/>
        </w:rPr>
        <w:t>8.评审结果</w:t>
      </w:r>
      <w:bookmarkEnd w:id="830"/>
      <w:bookmarkEnd w:id="831"/>
      <w:bookmarkEnd w:id="832"/>
    </w:p>
    <w:p w14:paraId="252239EF">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8.1除第二章“投标人须知”及其前附表授权直接确定中标人外，评标委员会按照总得分由高到低顺序推荐中标候选人。</w:t>
      </w:r>
    </w:p>
    <w:p w14:paraId="2D153D0C">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8.2评标委员会完成评标后，应当向招标人提交书面评标报告。评标报告应当如实记载以下内容：（1）基本情况和数据表。</w:t>
      </w:r>
    </w:p>
    <w:p w14:paraId="22D3CA2E">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（2）评标委员会成员名单。</w:t>
      </w:r>
    </w:p>
    <w:p w14:paraId="320011DD">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（3）开标记录。</w:t>
      </w:r>
    </w:p>
    <w:p w14:paraId="47BA2C3E">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（4）符合要求的投标人一览表。</w:t>
      </w:r>
    </w:p>
    <w:p w14:paraId="4C402203">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（5）否决投标情况说明。</w:t>
      </w:r>
    </w:p>
    <w:p w14:paraId="53659E9C">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（6）评标标准、评标方法或者评标因素。</w:t>
      </w:r>
    </w:p>
    <w:p w14:paraId="7C82B87C">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（7）评标情况一览表。</w:t>
      </w:r>
    </w:p>
    <w:p w14:paraId="3DEC69E1">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（8）经评审的投标人排序。</w:t>
      </w:r>
    </w:p>
    <w:p w14:paraId="31A6A7E4">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（9）推荐的中标候选人名单与签订合同前要处理的事宜。</w:t>
      </w:r>
    </w:p>
    <w:p w14:paraId="6183B6C9">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（10）澄清、说明、补正事项纪要。</w:t>
      </w:r>
    </w:p>
    <w:p w14:paraId="15081883">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8.3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72A104BF">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依法必须进行招标的项目，除第一中标候选人或者中标人以外的其他投标人存在串通投标、弄虚作假、行贿情形且在评标过程中未被发现的，视为对中标结果没有造成实质性影响，招标人可以依法继续开展招标活动。</w:t>
      </w:r>
    </w:p>
    <w:p w14:paraId="26400534">
      <w:pPr>
        <w:keepNext/>
        <w:keepLines/>
        <w:adjustRightInd w:val="0"/>
        <w:snapToGrid w:val="0"/>
        <w:spacing w:line="440" w:lineRule="exact"/>
        <w:ind w:firstLine="422" w:firstLineChars="200"/>
        <w:outlineLvl w:val="1"/>
        <w:rPr>
          <w:rFonts w:ascii="黑体" w:hAnsi="黑体" w:eastAsia="黑体" w:cs="黑体"/>
          <w:b/>
          <w:bCs/>
          <w:color w:val="auto"/>
          <w:szCs w:val="21"/>
          <w:highlight w:val="none"/>
        </w:rPr>
      </w:pPr>
      <w:bookmarkStart w:id="833" w:name="_Toc13228"/>
      <w:bookmarkStart w:id="834" w:name="_Toc106"/>
      <w:bookmarkStart w:id="835" w:name="_Toc95223442"/>
      <w:r>
        <w:rPr>
          <w:rFonts w:hint="eastAsia" w:ascii="黑体" w:hAnsi="黑体" w:eastAsia="黑体" w:cs="黑体"/>
          <w:b/>
          <w:bCs/>
          <w:color w:val="auto"/>
          <w:szCs w:val="21"/>
          <w:highlight w:val="none"/>
        </w:rPr>
        <w:t>9.其他</w:t>
      </w:r>
      <w:bookmarkEnd w:id="833"/>
      <w:bookmarkEnd w:id="834"/>
      <w:bookmarkEnd w:id="835"/>
    </w:p>
    <w:p w14:paraId="01147270">
      <w:pPr>
        <w:adjustRightInd w:val="0"/>
        <w:snapToGrid w:val="0"/>
        <w:spacing w:line="440" w:lineRule="exact"/>
        <w:ind w:firstLine="420" w:firstLineChars="200"/>
        <w:rPr>
          <w:rFonts w:cs="Times New Roman"/>
          <w:color w:val="auto"/>
          <w:szCs w:val="24"/>
          <w:highlight w:val="none"/>
        </w:rPr>
      </w:pPr>
      <w:r>
        <w:rPr>
          <w:rFonts w:hint="eastAsia" w:ascii="宋体" w:hAnsi="宋体" w:cs="宋体"/>
          <w:color w:val="auto"/>
          <w:szCs w:val="21"/>
          <w:highlight w:val="none"/>
        </w:rPr>
        <w:t>投标人提供的与投标文件有关的各类证书、证明、文件、资料等的真实性、合法性由投标人负全责。</w:t>
      </w:r>
    </w:p>
    <w:p w14:paraId="0876DE4D">
      <w:pPr>
        <w:widowControl/>
        <w:jc w:val="left"/>
        <w:rPr>
          <w:rFonts w:cs="Times New Roman"/>
          <w:b/>
          <w:bCs/>
          <w:color w:val="auto"/>
          <w:kern w:val="44"/>
          <w:sz w:val="44"/>
          <w:szCs w:val="44"/>
          <w:highlight w:val="none"/>
        </w:rPr>
        <w:sectPr>
          <w:footnotePr>
            <w:numFmt w:val="decimalEnclosedCircleChinese"/>
            <w:numRestart w:val="eachPage"/>
          </w:footnotePr>
          <w:pgSz w:w="11911" w:h="16838"/>
          <w:pgMar w:top="1134" w:right="1417" w:bottom="1134" w:left="1417" w:header="0" w:footer="833" w:gutter="0"/>
          <w:cols w:space="720" w:num="1"/>
        </w:sectPr>
      </w:pPr>
    </w:p>
    <w:p w14:paraId="533AD882">
      <w:pPr>
        <w:keepNext/>
        <w:keepLines/>
        <w:pageBreakBefore/>
        <w:spacing w:line="360" w:lineRule="auto"/>
        <w:jc w:val="center"/>
        <w:outlineLvl w:val="0"/>
        <w:rPr>
          <w:rFonts w:cs="Times New Roman"/>
          <w:b/>
          <w:bCs/>
          <w:color w:val="auto"/>
          <w:kern w:val="44"/>
          <w:sz w:val="44"/>
          <w:szCs w:val="44"/>
          <w:highlight w:val="none"/>
        </w:rPr>
      </w:pPr>
      <w:bookmarkStart w:id="836" w:name="_Toc27608"/>
      <w:r>
        <w:rPr>
          <w:rFonts w:hint="eastAsia" w:cs="Times New Roman"/>
          <w:b/>
          <w:bCs/>
          <w:color w:val="auto"/>
          <w:kern w:val="44"/>
          <w:sz w:val="44"/>
          <w:szCs w:val="44"/>
          <w:highlight w:val="none"/>
        </w:rPr>
        <w:t>第五章</w:t>
      </w:r>
      <w:r>
        <w:rPr>
          <w:rFonts w:cs="Times New Roman"/>
          <w:b/>
          <w:bCs/>
          <w:color w:val="auto"/>
          <w:kern w:val="44"/>
          <w:sz w:val="44"/>
          <w:szCs w:val="44"/>
          <w:highlight w:val="none"/>
        </w:rPr>
        <w:t xml:space="preserve">  </w:t>
      </w:r>
      <w:r>
        <w:rPr>
          <w:rFonts w:hint="eastAsia" w:cs="Times New Roman"/>
          <w:b/>
          <w:bCs/>
          <w:color w:val="auto"/>
          <w:kern w:val="44"/>
          <w:sz w:val="44"/>
          <w:szCs w:val="44"/>
          <w:highlight w:val="none"/>
        </w:rPr>
        <w:t>合同条款及格式</w:t>
      </w:r>
      <w:bookmarkEnd w:id="836"/>
    </w:p>
    <w:p w14:paraId="1390E2D6">
      <w:pPr>
        <w:adjustRightInd w:val="0"/>
        <w:snapToGrid w:val="0"/>
        <w:spacing w:line="440" w:lineRule="exact"/>
        <w:jc w:val="center"/>
        <w:rPr>
          <w:rFonts w:eastAsia="仿宋_GB2312" w:cs="Times New Roman"/>
          <w:bCs/>
          <w:color w:val="auto"/>
          <w:sz w:val="32"/>
          <w:szCs w:val="32"/>
          <w:highlight w:val="none"/>
        </w:rPr>
      </w:pPr>
    </w:p>
    <w:p w14:paraId="385AE13E">
      <w:pPr>
        <w:adjustRightInd w:val="0"/>
        <w:snapToGrid w:val="0"/>
        <w:spacing w:line="440" w:lineRule="exact"/>
        <w:jc w:val="center"/>
        <w:rPr>
          <w:rFonts w:eastAsia="仿宋_GB2312" w:cs="Times New Roman"/>
          <w:bCs/>
          <w:color w:val="auto"/>
          <w:sz w:val="32"/>
          <w:szCs w:val="32"/>
          <w:highlight w:val="none"/>
        </w:rPr>
      </w:pPr>
    </w:p>
    <w:p w14:paraId="117FD587">
      <w:pPr>
        <w:spacing w:line="480" w:lineRule="auto"/>
        <w:ind w:firstLine="643" w:firstLineChars="200"/>
        <w:rPr>
          <w:rFonts w:ascii="宋体" w:hAnsi="宋体" w:cs="宋体"/>
          <w:b/>
          <w:color w:val="auto"/>
          <w:sz w:val="32"/>
          <w:szCs w:val="32"/>
          <w:highlight w:val="none"/>
        </w:rPr>
      </w:pPr>
      <w:bookmarkStart w:id="837" w:name="_Toc184263479"/>
      <w:bookmarkStart w:id="838" w:name="_Toc2094516902"/>
      <w:r>
        <w:rPr>
          <w:rFonts w:hint="eastAsia" w:ascii="宋体" w:hAnsi="宋体" w:cs="宋体"/>
          <w:b/>
          <w:color w:val="auto"/>
          <w:sz w:val="32"/>
          <w:szCs w:val="32"/>
          <w:highlight w:val="none"/>
        </w:rPr>
        <w:t>本项目合同待确定中标人后双方制定,主要内容包括但不限于中标价、供货期、结算价、付款方式等。其他详细内</w:t>
      </w:r>
      <w:r>
        <w:rPr>
          <w:rFonts w:hint="eastAsia" w:ascii="宋体" w:hAnsi="宋体" w:cs="宋体"/>
          <w:b/>
          <w:color w:val="auto"/>
          <w:sz w:val="32"/>
          <w:szCs w:val="32"/>
          <w:highlight w:val="none"/>
          <w:lang w:eastAsia="zh-CN"/>
        </w:rPr>
        <w:t>容由</w:t>
      </w:r>
      <w:r>
        <w:rPr>
          <w:rFonts w:hint="eastAsia" w:ascii="宋体" w:hAnsi="宋体" w:cs="宋体"/>
          <w:b/>
          <w:color w:val="auto"/>
          <w:sz w:val="32"/>
          <w:szCs w:val="32"/>
          <w:highlight w:val="none"/>
        </w:rPr>
        <w:t>双方协商确定。</w:t>
      </w:r>
      <w:bookmarkEnd w:id="837"/>
      <w:bookmarkEnd w:id="838"/>
    </w:p>
    <w:p w14:paraId="702F52E3">
      <w:pPr>
        <w:spacing w:after="120" w:line="440" w:lineRule="exact"/>
        <w:outlineLvl w:val="2"/>
        <w:rPr>
          <w:rFonts w:cs="Times New Roman"/>
          <w:color w:val="auto"/>
          <w:szCs w:val="24"/>
          <w:highlight w:val="none"/>
        </w:rPr>
      </w:pPr>
    </w:p>
    <w:p w14:paraId="628BCD2B">
      <w:pPr>
        <w:keepNext/>
        <w:keepLines/>
        <w:pageBreakBefore/>
        <w:spacing w:line="360" w:lineRule="auto"/>
        <w:jc w:val="center"/>
        <w:outlineLvl w:val="0"/>
        <w:rPr>
          <w:rFonts w:cs="Times New Roman"/>
          <w:b/>
          <w:bCs/>
          <w:color w:val="auto"/>
          <w:kern w:val="44"/>
          <w:sz w:val="44"/>
          <w:szCs w:val="44"/>
          <w:highlight w:val="none"/>
        </w:rPr>
      </w:pPr>
      <w:bookmarkStart w:id="839" w:name="_Toc14273"/>
      <w:r>
        <w:rPr>
          <w:rFonts w:hint="eastAsia" w:cs="Times New Roman"/>
          <w:b/>
          <w:bCs/>
          <w:color w:val="auto"/>
          <w:kern w:val="44"/>
          <w:sz w:val="44"/>
          <w:szCs w:val="44"/>
          <w:highlight w:val="none"/>
        </w:rPr>
        <w:t>第六章</w:t>
      </w:r>
      <w:r>
        <w:rPr>
          <w:rFonts w:cs="Times New Roman"/>
          <w:b/>
          <w:bCs/>
          <w:color w:val="auto"/>
          <w:kern w:val="44"/>
          <w:sz w:val="44"/>
          <w:szCs w:val="44"/>
          <w:highlight w:val="none"/>
        </w:rPr>
        <w:t xml:space="preserve"> </w:t>
      </w:r>
      <w:bookmarkStart w:id="840" w:name="_Toc10656"/>
      <w:r>
        <w:rPr>
          <w:rFonts w:cs="Times New Roman"/>
          <w:b/>
          <w:bCs/>
          <w:color w:val="auto"/>
          <w:kern w:val="44"/>
          <w:sz w:val="44"/>
          <w:szCs w:val="44"/>
          <w:highlight w:val="none"/>
        </w:rPr>
        <w:t xml:space="preserve"> </w:t>
      </w:r>
      <w:r>
        <w:rPr>
          <w:rFonts w:hint="eastAsia" w:cs="Times New Roman"/>
          <w:b/>
          <w:bCs/>
          <w:color w:val="auto"/>
          <w:kern w:val="44"/>
          <w:sz w:val="44"/>
          <w:szCs w:val="44"/>
          <w:highlight w:val="none"/>
        </w:rPr>
        <w:t>图</w:t>
      </w:r>
      <w:r>
        <w:rPr>
          <w:rFonts w:cs="Times New Roman"/>
          <w:b/>
          <w:bCs/>
          <w:color w:val="auto"/>
          <w:kern w:val="44"/>
          <w:sz w:val="44"/>
          <w:szCs w:val="44"/>
          <w:highlight w:val="none"/>
        </w:rPr>
        <w:t xml:space="preserve">  </w:t>
      </w:r>
      <w:r>
        <w:rPr>
          <w:rFonts w:hint="eastAsia" w:cs="Times New Roman"/>
          <w:b/>
          <w:bCs/>
          <w:color w:val="auto"/>
          <w:kern w:val="44"/>
          <w:sz w:val="44"/>
          <w:szCs w:val="44"/>
          <w:highlight w:val="none"/>
        </w:rPr>
        <w:t>纸</w:t>
      </w:r>
      <w:bookmarkEnd w:id="839"/>
      <w:bookmarkEnd w:id="840"/>
    </w:p>
    <w:p w14:paraId="5845AA31">
      <w:pPr>
        <w:spacing w:line="440" w:lineRule="exact"/>
        <w:rPr>
          <w:rFonts w:hint="default" w:ascii="宋体" w:hAnsi="宋体" w:eastAsia="宋体" w:cs="宋体"/>
          <w:color w:val="auto"/>
          <w:szCs w:val="24"/>
          <w:highlight w:val="none"/>
          <w:lang w:val="en-US" w:eastAsia="zh-CN"/>
        </w:rPr>
      </w:pPr>
      <w:r>
        <w:rPr>
          <w:rFonts w:hint="eastAsia" w:ascii="宋体" w:hAnsi="宋体" w:cs="宋体"/>
          <w:color w:val="auto"/>
          <w:szCs w:val="24"/>
          <w:highlight w:val="none"/>
          <w:lang w:val="en-US" w:eastAsia="zh-CN"/>
        </w:rPr>
        <w:t>另附，见附件。</w:t>
      </w:r>
    </w:p>
    <w:p w14:paraId="039F02C8">
      <w:pPr>
        <w:keepNext/>
        <w:keepLines/>
        <w:pageBreakBefore/>
        <w:spacing w:line="360" w:lineRule="auto"/>
        <w:jc w:val="center"/>
        <w:outlineLvl w:val="0"/>
        <w:rPr>
          <w:rFonts w:cs="Times New Roman"/>
          <w:b/>
          <w:bCs/>
          <w:color w:val="auto"/>
          <w:kern w:val="44"/>
          <w:sz w:val="44"/>
          <w:szCs w:val="44"/>
          <w:highlight w:val="none"/>
        </w:rPr>
      </w:pPr>
      <w:bookmarkStart w:id="841" w:name="_Toc925"/>
      <w:bookmarkStart w:id="842" w:name="_Toc4608"/>
      <w:r>
        <w:rPr>
          <w:rFonts w:hint="eastAsia" w:cs="Times New Roman"/>
          <w:b/>
          <w:bCs/>
          <w:color w:val="auto"/>
          <w:kern w:val="44"/>
          <w:sz w:val="44"/>
          <w:szCs w:val="44"/>
          <w:highlight w:val="none"/>
        </w:rPr>
        <w:t>第七章</w:t>
      </w:r>
      <w:r>
        <w:rPr>
          <w:rFonts w:cs="Times New Roman"/>
          <w:b/>
          <w:bCs/>
          <w:color w:val="auto"/>
          <w:kern w:val="44"/>
          <w:sz w:val="44"/>
          <w:szCs w:val="44"/>
          <w:highlight w:val="none"/>
        </w:rPr>
        <w:t xml:space="preserve">  </w:t>
      </w:r>
      <w:bookmarkEnd w:id="841"/>
      <w:bookmarkEnd w:id="842"/>
      <w:r>
        <w:rPr>
          <w:rFonts w:hint="eastAsia" w:cs="Times New Roman"/>
          <w:b/>
          <w:bCs/>
          <w:color w:val="auto"/>
          <w:kern w:val="44"/>
          <w:sz w:val="44"/>
          <w:szCs w:val="44"/>
          <w:highlight w:val="none"/>
        </w:rPr>
        <w:t>委托人要求</w:t>
      </w:r>
    </w:p>
    <w:p w14:paraId="063A5221">
      <w:pPr>
        <w:spacing w:line="440" w:lineRule="exact"/>
        <w:ind w:firstLine="420" w:firstLineChars="200"/>
        <w:outlineLvl w:val="1"/>
        <w:rPr>
          <w:rFonts w:ascii="宋体" w:hAnsi="宋体" w:cs="宋体"/>
          <w:color w:val="auto"/>
          <w:szCs w:val="21"/>
          <w:highlight w:val="none"/>
        </w:rPr>
      </w:pPr>
      <w:r>
        <w:rPr>
          <w:rFonts w:hint="eastAsia" w:ascii="宋体" w:hAnsi="宋体" w:cs="宋体"/>
          <w:color w:val="auto"/>
          <w:szCs w:val="21"/>
          <w:highlight w:val="none"/>
        </w:rPr>
        <w:t>（1）第三方测绘单位应根据第三方测绘服务大纲以及合同要求，在合同签订后7天内编制详细的工程第三方测绘方案报合同甲方审批，报质量监督部门核备。按照批准的工程第三方测绘方案按时开展工程第三方测绘工作。</w:t>
      </w:r>
    </w:p>
    <w:p w14:paraId="066D7A8F">
      <w:pPr>
        <w:spacing w:line="440" w:lineRule="exact"/>
        <w:outlineLvl w:val="1"/>
        <w:rPr>
          <w:rFonts w:ascii="宋体" w:hAnsi="宋体" w:cs="宋体"/>
          <w:color w:val="auto"/>
          <w:szCs w:val="21"/>
          <w:highlight w:val="none"/>
        </w:rPr>
      </w:pPr>
      <w:r>
        <w:rPr>
          <w:rFonts w:hint="eastAsia" w:ascii="宋体" w:hAnsi="宋体" w:cs="宋体"/>
          <w:color w:val="auto"/>
          <w:szCs w:val="21"/>
          <w:highlight w:val="none"/>
        </w:rPr>
        <w:t>第三方测绘方案至少应包括：测绘工程情况；</w:t>
      </w:r>
      <w:bookmarkStart w:id="843" w:name="OLE_LINK7"/>
      <w:bookmarkStart w:id="844" w:name="OLE_LINK6"/>
      <w:r>
        <w:rPr>
          <w:rFonts w:hint="eastAsia" w:ascii="宋体" w:hAnsi="宋体" w:cs="宋体"/>
          <w:color w:val="auto"/>
          <w:szCs w:val="21"/>
          <w:highlight w:val="none"/>
        </w:rPr>
        <w:t>测绘</w:t>
      </w:r>
      <w:bookmarkEnd w:id="843"/>
      <w:bookmarkEnd w:id="844"/>
      <w:r>
        <w:rPr>
          <w:rFonts w:hint="eastAsia" w:ascii="宋体" w:hAnsi="宋体" w:cs="宋体"/>
          <w:color w:val="auto"/>
          <w:szCs w:val="21"/>
          <w:highlight w:val="none"/>
        </w:rPr>
        <w:t>具体项目内容和要求；测绘的依据；测绘方法、测绘仪器设备、测绘方式；工程第三方测绘实施细则；第三方测绘机构及主要检测人员；其他合同约定事项的安排。</w:t>
      </w:r>
    </w:p>
    <w:p w14:paraId="310366C3">
      <w:pPr>
        <w:spacing w:line="440" w:lineRule="exact"/>
        <w:ind w:firstLine="420" w:firstLineChars="200"/>
        <w:outlineLvl w:val="1"/>
        <w:rPr>
          <w:rFonts w:ascii="宋体" w:hAnsi="宋体" w:cs="宋体"/>
          <w:color w:val="auto"/>
          <w:szCs w:val="21"/>
          <w:highlight w:val="none"/>
        </w:rPr>
      </w:pPr>
      <w:r>
        <w:rPr>
          <w:rFonts w:hint="eastAsia" w:ascii="宋体" w:hAnsi="宋体" w:cs="宋体"/>
          <w:color w:val="auto"/>
          <w:szCs w:val="21"/>
          <w:highlight w:val="none"/>
        </w:rPr>
        <w:t>（2）做好试验测绘数据的记录与存档，按统一标准和格式及时编制并向合同甲方提交第三方测绘和评价报告，为合同甲方实施质量监督管理提供可靠的依据。</w:t>
      </w:r>
    </w:p>
    <w:p w14:paraId="6A8A2420">
      <w:pPr>
        <w:spacing w:line="440" w:lineRule="exact"/>
        <w:ind w:firstLine="420" w:firstLineChars="200"/>
        <w:outlineLvl w:val="1"/>
        <w:rPr>
          <w:rFonts w:ascii="宋体" w:hAnsi="宋体" w:cs="宋体"/>
          <w:color w:val="auto"/>
          <w:szCs w:val="21"/>
          <w:highlight w:val="none"/>
        </w:rPr>
      </w:pPr>
      <w:r>
        <w:rPr>
          <w:rFonts w:hint="eastAsia" w:ascii="宋体" w:hAnsi="宋体" w:cs="宋体"/>
          <w:color w:val="auto"/>
          <w:szCs w:val="21"/>
          <w:highlight w:val="none"/>
        </w:rPr>
        <w:t>（3）档案管理应标准化、规范化，满足国家相关规定。项目完工后向合同甲方提供完整的档案资料原件一套，复印件四套。</w:t>
      </w:r>
    </w:p>
    <w:p w14:paraId="5098BEEF">
      <w:pPr>
        <w:spacing w:line="440" w:lineRule="exact"/>
        <w:ind w:firstLine="420" w:firstLineChars="200"/>
        <w:outlineLvl w:val="1"/>
        <w:rPr>
          <w:rFonts w:ascii="宋体" w:hAnsi="宋体" w:cs="宋体"/>
          <w:color w:val="auto"/>
          <w:szCs w:val="21"/>
          <w:highlight w:val="none"/>
        </w:rPr>
      </w:pPr>
      <w:r>
        <w:rPr>
          <w:rFonts w:hint="eastAsia" w:ascii="宋体" w:hAnsi="宋体" w:cs="宋体"/>
          <w:color w:val="auto"/>
          <w:szCs w:val="21"/>
          <w:highlight w:val="none"/>
        </w:rPr>
        <w:t>（4）测绘单位应通过第三方测绘工作及时、真实地向合同甲方反映工程质量情况， 提出解决问题的建议和方案。</w:t>
      </w:r>
    </w:p>
    <w:p w14:paraId="0EE1B277">
      <w:pPr>
        <w:spacing w:line="440" w:lineRule="exact"/>
        <w:ind w:firstLine="420" w:firstLineChars="200"/>
        <w:outlineLvl w:val="1"/>
        <w:rPr>
          <w:rFonts w:ascii="宋体" w:hAnsi="宋体" w:cs="宋体"/>
          <w:color w:val="auto"/>
          <w:szCs w:val="21"/>
          <w:highlight w:val="none"/>
        </w:rPr>
      </w:pPr>
      <w:r>
        <w:rPr>
          <w:rFonts w:hint="eastAsia" w:ascii="宋体" w:hAnsi="宋体" w:cs="宋体"/>
          <w:color w:val="auto"/>
          <w:szCs w:val="21"/>
          <w:highlight w:val="none"/>
        </w:rPr>
        <w:t>（5）定期的和不定期的向合同甲方报告工程第三方测绘情况。</w:t>
      </w:r>
    </w:p>
    <w:p w14:paraId="03883854">
      <w:pPr>
        <w:spacing w:line="440" w:lineRule="exact"/>
        <w:ind w:firstLine="420" w:firstLineChars="200"/>
        <w:outlineLvl w:val="1"/>
        <w:rPr>
          <w:rFonts w:ascii="宋体" w:hAnsi="宋体" w:cs="宋体"/>
          <w:color w:val="auto"/>
          <w:szCs w:val="21"/>
          <w:highlight w:val="none"/>
        </w:rPr>
      </w:pPr>
      <w:r>
        <w:rPr>
          <w:rFonts w:hint="eastAsia" w:ascii="宋体" w:hAnsi="宋体" w:cs="宋体"/>
          <w:color w:val="auto"/>
          <w:szCs w:val="21"/>
          <w:highlight w:val="none"/>
        </w:rPr>
        <w:t>（6）第三方测绘单位应对合同甲方提供的有关工程技术资料中按国家规定应予以保密的技术信息、检测成果中相关信息承担保密义务。</w:t>
      </w:r>
    </w:p>
    <w:p w14:paraId="1BE5B1BB">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（7）测绘服务成果应达到或满足国家规程、规范及合同甲方要求的质量目标，满足竣工验收 需要；对可能危及工程安全、形成质量隐患或影响工程正常运行的检测结果应在 24 小时内</w:t>
      </w:r>
      <w:r>
        <w:rPr>
          <w:rFonts w:hint="eastAsia" w:ascii="宋体" w:hAnsi="宋体" w:cs="宋体"/>
          <w:color w:val="auto"/>
          <w:szCs w:val="24"/>
          <w:highlight w:val="none"/>
        </w:rPr>
        <w:t>报送甲方</w:t>
      </w:r>
      <w:r>
        <w:rPr>
          <w:rFonts w:hint="eastAsia" w:ascii="宋体" w:hAnsi="宋体" w:cs="宋体"/>
          <w:color w:val="auto"/>
          <w:szCs w:val="21"/>
          <w:highlight w:val="none"/>
        </w:rPr>
        <w:t>。</w:t>
      </w:r>
    </w:p>
    <w:p w14:paraId="55E003C9">
      <w:pPr>
        <w:adjustRightInd w:val="0"/>
        <w:snapToGrid w:val="0"/>
        <w:spacing w:line="440" w:lineRule="exact"/>
        <w:ind w:firstLine="422" w:firstLineChars="200"/>
        <w:rPr>
          <w:rFonts w:cs="Times New Roman"/>
          <w:b/>
          <w:bCs/>
          <w:color w:val="auto"/>
          <w:szCs w:val="24"/>
          <w:highlight w:val="none"/>
        </w:rPr>
      </w:pPr>
      <w:r>
        <w:rPr>
          <w:rFonts w:hint="eastAsia" w:ascii="宋体" w:hAnsi="宋体" w:cs="宋体"/>
          <w:b/>
          <w:bCs/>
          <w:color w:val="auto"/>
          <w:szCs w:val="21"/>
          <w:highlight w:val="none"/>
        </w:rPr>
        <w:t>说明:中标人若不具备测绘相关资质的，由中标单位自行委托有相应资质单位且经招标人认可后进行相关测绘工作,出具成果必须是有资质的单位出具，其服务费用均包含在投标报价中，招标人将不再支付任何费用。</w:t>
      </w:r>
      <w:bookmarkStart w:id="933" w:name="_GoBack"/>
      <w:bookmarkEnd w:id="933"/>
    </w:p>
    <w:p w14:paraId="0DFE2059">
      <w:pPr>
        <w:keepNext/>
        <w:keepLines/>
        <w:pageBreakBefore/>
        <w:spacing w:line="360" w:lineRule="auto"/>
        <w:jc w:val="center"/>
        <w:outlineLvl w:val="0"/>
        <w:rPr>
          <w:rFonts w:cs="Times New Roman"/>
          <w:b/>
          <w:bCs/>
          <w:color w:val="auto"/>
          <w:kern w:val="44"/>
          <w:sz w:val="44"/>
          <w:szCs w:val="44"/>
          <w:highlight w:val="none"/>
        </w:rPr>
      </w:pPr>
      <w:bookmarkStart w:id="845" w:name="_Toc30130"/>
      <w:r>
        <w:rPr>
          <w:rFonts w:hint="eastAsia" w:cs="Times New Roman"/>
          <w:b/>
          <w:bCs/>
          <w:color w:val="auto"/>
          <w:kern w:val="44"/>
          <w:sz w:val="44"/>
          <w:szCs w:val="44"/>
          <w:highlight w:val="none"/>
        </w:rPr>
        <w:t>第八章</w:t>
      </w:r>
      <w:r>
        <w:rPr>
          <w:rFonts w:cs="Times New Roman"/>
          <w:b/>
          <w:bCs/>
          <w:color w:val="auto"/>
          <w:kern w:val="44"/>
          <w:sz w:val="44"/>
          <w:szCs w:val="44"/>
          <w:highlight w:val="none"/>
        </w:rPr>
        <w:t xml:space="preserve">  </w:t>
      </w:r>
      <w:r>
        <w:rPr>
          <w:rFonts w:hint="eastAsia" w:cs="Times New Roman"/>
          <w:b/>
          <w:bCs/>
          <w:color w:val="auto"/>
          <w:kern w:val="44"/>
          <w:sz w:val="44"/>
          <w:szCs w:val="44"/>
          <w:highlight w:val="none"/>
        </w:rPr>
        <w:t>投标文件格式</w:t>
      </w:r>
      <w:bookmarkEnd w:id="845"/>
    </w:p>
    <w:p w14:paraId="692BA024">
      <w:pPr>
        <w:adjustRightInd w:val="0"/>
        <w:snapToGrid w:val="0"/>
        <w:spacing w:line="440" w:lineRule="exact"/>
        <w:rPr>
          <w:rFonts w:cs="Times New Roman"/>
          <w:color w:val="auto"/>
          <w:szCs w:val="24"/>
          <w:highlight w:val="none"/>
        </w:rPr>
      </w:pPr>
    </w:p>
    <w:p w14:paraId="49AB6C8E">
      <w:pPr>
        <w:adjustRightInd w:val="0"/>
        <w:snapToGrid w:val="0"/>
        <w:spacing w:line="440" w:lineRule="exact"/>
        <w:rPr>
          <w:rFonts w:cs="Times New Roman"/>
          <w:color w:val="auto"/>
          <w:szCs w:val="24"/>
          <w:highlight w:val="none"/>
        </w:rPr>
      </w:pPr>
    </w:p>
    <w:p w14:paraId="50705781">
      <w:pPr>
        <w:adjustRightInd w:val="0"/>
        <w:snapToGrid w:val="0"/>
        <w:spacing w:line="360" w:lineRule="auto"/>
        <w:rPr>
          <w:rFonts w:cs="Times New Roman"/>
          <w:color w:val="auto"/>
          <w:szCs w:val="24"/>
          <w:highlight w:val="none"/>
        </w:rPr>
      </w:pPr>
    </w:p>
    <w:p w14:paraId="00D9DA7E">
      <w:pPr>
        <w:adjustRightInd w:val="0"/>
        <w:snapToGrid w:val="0"/>
        <w:spacing w:line="360" w:lineRule="auto"/>
        <w:jc w:val="center"/>
        <w:rPr>
          <w:rFonts w:eastAsia="黑体" w:cs="Times New Roman"/>
          <w:color w:val="auto"/>
          <w:sz w:val="20"/>
          <w:highlight w:val="none"/>
        </w:rPr>
      </w:pPr>
      <w:r>
        <w:rPr>
          <w:rFonts w:eastAsia="黑体" w:cs="Times New Roman"/>
          <w:color w:val="auto"/>
          <w:sz w:val="28"/>
          <w:szCs w:val="28"/>
          <w:highlight w:val="none"/>
          <w:u w:val="single"/>
        </w:rPr>
        <w:t xml:space="preserve"> </w:t>
      </w:r>
      <w:bookmarkStart w:id="846" w:name="_Toc484173788"/>
      <w:bookmarkStart w:id="847" w:name="_Toc506107339"/>
      <w:bookmarkStart w:id="848" w:name="_Toc15058933"/>
      <w:bookmarkStart w:id="849" w:name="_Toc60061573"/>
      <w:r>
        <w:rPr>
          <w:rFonts w:eastAsia="黑体" w:cs="Times New Roman"/>
          <w:color w:val="auto"/>
          <w:sz w:val="28"/>
          <w:szCs w:val="28"/>
          <w:highlight w:val="none"/>
          <w:u w:val="single"/>
        </w:rPr>
        <w:t xml:space="preserve">            </w:t>
      </w:r>
      <w:bookmarkEnd w:id="846"/>
      <w:bookmarkEnd w:id="847"/>
      <w:bookmarkEnd w:id="848"/>
      <w:bookmarkEnd w:id="849"/>
      <w:r>
        <w:rPr>
          <w:rFonts w:eastAsia="黑体" w:cs="Times New Roman"/>
          <w:color w:val="auto"/>
          <w:sz w:val="28"/>
          <w:szCs w:val="28"/>
          <w:highlight w:val="none"/>
          <w:u w:val="single"/>
        </w:rPr>
        <w:t xml:space="preserve">   </w:t>
      </w:r>
      <w:r>
        <w:rPr>
          <w:rFonts w:hint="eastAsia" w:eastAsia="黑体" w:cs="Times New Roman"/>
          <w:color w:val="auto"/>
          <w:sz w:val="28"/>
          <w:szCs w:val="28"/>
          <w:highlight w:val="none"/>
        </w:rPr>
        <w:t>（项目名称</w:t>
      </w:r>
      <w:bookmarkStart w:id="850" w:name="_Toc152042575"/>
      <w:bookmarkStart w:id="851" w:name="_Toc247085872"/>
      <w:bookmarkStart w:id="852" w:name="_Toc144974855"/>
      <w:bookmarkStart w:id="853" w:name="_Toc246997097"/>
      <w:bookmarkStart w:id="854" w:name="_Toc246996354"/>
      <w:bookmarkStart w:id="855" w:name="_Toc152045786"/>
      <w:bookmarkStart w:id="856" w:name="_Toc179632806"/>
      <w:r>
        <w:rPr>
          <w:rFonts w:hint="eastAsia" w:eastAsia="黑体" w:cs="Times New Roman"/>
          <w:color w:val="auto"/>
          <w:sz w:val="28"/>
          <w:szCs w:val="28"/>
          <w:highlight w:val="none"/>
        </w:rPr>
        <w:t>）</w:t>
      </w:r>
      <w:bookmarkStart w:id="857" w:name="_Toc324404888"/>
      <w:bookmarkStart w:id="858" w:name="_Toc60061574"/>
      <w:bookmarkStart w:id="859" w:name="_Toc506107340"/>
      <w:bookmarkStart w:id="860" w:name="_Toc15058934"/>
    </w:p>
    <w:p w14:paraId="409FB318">
      <w:pPr>
        <w:adjustRightInd w:val="0"/>
        <w:snapToGrid w:val="0"/>
        <w:spacing w:line="360" w:lineRule="auto"/>
        <w:jc w:val="center"/>
        <w:rPr>
          <w:rFonts w:eastAsia="黑体" w:cs="Times New Roman"/>
          <w:color w:val="auto"/>
          <w:sz w:val="20"/>
          <w:highlight w:val="none"/>
        </w:rPr>
      </w:pPr>
    </w:p>
    <w:p w14:paraId="49A676B6">
      <w:pPr>
        <w:adjustRightInd w:val="0"/>
        <w:snapToGrid w:val="0"/>
        <w:spacing w:line="360" w:lineRule="auto"/>
        <w:jc w:val="center"/>
        <w:rPr>
          <w:rFonts w:eastAsia="黑体" w:cs="Times New Roman"/>
          <w:color w:val="auto"/>
          <w:sz w:val="20"/>
          <w:highlight w:val="none"/>
        </w:rPr>
      </w:pPr>
    </w:p>
    <w:p w14:paraId="12250501">
      <w:pPr>
        <w:adjustRightInd w:val="0"/>
        <w:snapToGrid w:val="0"/>
        <w:spacing w:line="360" w:lineRule="auto"/>
        <w:jc w:val="center"/>
        <w:rPr>
          <w:rFonts w:eastAsia="黑体" w:cs="Times New Roman"/>
          <w:color w:val="auto"/>
          <w:sz w:val="20"/>
          <w:highlight w:val="none"/>
        </w:rPr>
      </w:pPr>
    </w:p>
    <w:p w14:paraId="313DA585">
      <w:pPr>
        <w:adjustRightInd w:val="0"/>
        <w:snapToGrid w:val="0"/>
        <w:spacing w:line="360" w:lineRule="auto"/>
        <w:rPr>
          <w:rFonts w:eastAsia="黑体" w:cs="Times New Roman"/>
          <w:color w:val="auto"/>
          <w:sz w:val="20"/>
          <w:highlight w:val="none"/>
        </w:rPr>
      </w:pPr>
    </w:p>
    <w:p w14:paraId="2503B4F6">
      <w:pPr>
        <w:adjustRightInd w:val="0"/>
        <w:snapToGrid w:val="0"/>
        <w:spacing w:line="360" w:lineRule="auto"/>
        <w:jc w:val="center"/>
        <w:rPr>
          <w:rFonts w:eastAsia="黑体" w:cs="Times New Roman"/>
          <w:color w:val="auto"/>
          <w:sz w:val="44"/>
          <w:szCs w:val="44"/>
          <w:highlight w:val="none"/>
        </w:rPr>
      </w:pPr>
      <w:r>
        <w:rPr>
          <w:rFonts w:hint="eastAsia" w:eastAsia="黑体" w:cs="Times New Roman"/>
          <w:color w:val="auto"/>
          <w:sz w:val="44"/>
          <w:szCs w:val="44"/>
          <w:highlight w:val="none"/>
        </w:rPr>
        <w:t>投</w:t>
      </w:r>
      <w:r>
        <w:rPr>
          <w:rFonts w:eastAsia="黑体" w:cs="Times New Roman"/>
          <w:color w:val="auto"/>
          <w:sz w:val="44"/>
          <w:szCs w:val="44"/>
          <w:highlight w:val="none"/>
        </w:rPr>
        <w:t xml:space="preserve">  </w:t>
      </w:r>
      <w:r>
        <w:rPr>
          <w:rFonts w:hint="eastAsia" w:eastAsia="黑体" w:cs="Times New Roman"/>
          <w:color w:val="auto"/>
          <w:sz w:val="44"/>
          <w:szCs w:val="44"/>
          <w:highlight w:val="none"/>
        </w:rPr>
        <w:t>标</w:t>
      </w:r>
      <w:r>
        <w:rPr>
          <w:rFonts w:eastAsia="黑体" w:cs="Times New Roman"/>
          <w:color w:val="auto"/>
          <w:sz w:val="44"/>
          <w:szCs w:val="44"/>
          <w:highlight w:val="none"/>
        </w:rPr>
        <w:t xml:space="preserve">  </w:t>
      </w:r>
      <w:r>
        <w:rPr>
          <w:rFonts w:hint="eastAsia" w:eastAsia="黑体" w:cs="Times New Roman"/>
          <w:color w:val="auto"/>
          <w:sz w:val="44"/>
          <w:szCs w:val="44"/>
          <w:highlight w:val="none"/>
        </w:rPr>
        <w:t>文</w:t>
      </w:r>
      <w:bookmarkEnd w:id="850"/>
      <w:bookmarkEnd w:id="851"/>
      <w:bookmarkEnd w:id="852"/>
      <w:bookmarkEnd w:id="853"/>
      <w:bookmarkEnd w:id="854"/>
      <w:bookmarkEnd w:id="855"/>
      <w:bookmarkEnd w:id="856"/>
      <w:bookmarkEnd w:id="857"/>
      <w:bookmarkEnd w:id="858"/>
      <w:bookmarkEnd w:id="859"/>
      <w:bookmarkEnd w:id="860"/>
      <w:r>
        <w:rPr>
          <w:rFonts w:eastAsia="黑体" w:cs="Times New Roman"/>
          <w:color w:val="auto"/>
          <w:sz w:val="44"/>
          <w:szCs w:val="44"/>
          <w:highlight w:val="none"/>
        </w:rPr>
        <w:t xml:space="preserve">  </w:t>
      </w:r>
      <w:r>
        <w:rPr>
          <w:rFonts w:hint="eastAsia" w:eastAsia="黑体" w:cs="Times New Roman"/>
          <w:color w:val="auto"/>
          <w:sz w:val="44"/>
          <w:szCs w:val="44"/>
          <w:highlight w:val="none"/>
        </w:rPr>
        <w:t>件</w:t>
      </w:r>
    </w:p>
    <w:p w14:paraId="1A420C73">
      <w:pPr>
        <w:adjustRightInd w:val="0"/>
        <w:snapToGrid w:val="0"/>
        <w:spacing w:line="360" w:lineRule="auto"/>
        <w:rPr>
          <w:rFonts w:eastAsia="黑体" w:cs="Times New Roman"/>
          <w:color w:val="auto"/>
          <w:sz w:val="28"/>
          <w:szCs w:val="28"/>
          <w:highlight w:val="none"/>
        </w:rPr>
      </w:pPr>
    </w:p>
    <w:p w14:paraId="72E44B66">
      <w:pPr>
        <w:adjustRightInd w:val="0"/>
        <w:snapToGrid w:val="0"/>
        <w:spacing w:line="360" w:lineRule="auto"/>
        <w:rPr>
          <w:rFonts w:eastAsia="黑体" w:cs="Times New Roman"/>
          <w:color w:val="auto"/>
          <w:sz w:val="28"/>
          <w:szCs w:val="28"/>
          <w:highlight w:val="none"/>
        </w:rPr>
      </w:pPr>
    </w:p>
    <w:p w14:paraId="3B2D8E07">
      <w:pPr>
        <w:adjustRightInd w:val="0"/>
        <w:snapToGrid w:val="0"/>
        <w:spacing w:line="360" w:lineRule="auto"/>
        <w:rPr>
          <w:rFonts w:eastAsia="黑体" w:cs="Times New Roman"/>
          <w:color w:val="auto"/>
          <w:sz w:val="28"/>
          <w:szCs w:val="28"/>
          <w:highlight w:val="none"/>
        </w:rPr>
      </w:pPr>
    </w:p>
    <w:p w14:paraId="5DAE73B0">
      <w:pPr>
        <w:adjustRightInd w:val="0"/>
        <w:snapToGrid w:val="0"/>
        <w:spacing w:line="360" w:lineRule="auto"/>
        <w:rPr>
          <w:rFonts w:eastAsia="黑体" w:cs="Times New Roman"/>
          <w:color w:val="auto"/>
          <w:sz w:val="28"/>
          <w:szCs w:val="28"/>
          <w:highlight w:val="none"/>
        </w:rPr>
      </w:pPr>
    </w:p>
    <w:p w14:paraId="08991C47">
      <w:pPr>
        <w:adjustRightInd w:val="0"/>
        <w:snapToGrid w:val="0"/>
        <w:spacing w:line="360" w:lineRule="auto"/>
        <w:rPr>
          <w:rFonts w:eastAsia="黑体" w:cs="Times New Roman"/>
          <w:color w:val="auto"/>
          <w:sz w:val="28"/>
          <w:szCs w:val="28"/>
          <w:highlight w:val="none"/>
        </w:rPr>
      </w:pPr>
    </w:p>
    <w:p w14:paraId="74DE9480">
      <w:pPr>
        <w:adjustRightInd w:val="0"/>
        <w:snapToGrid w:val="0"/>
        <w:spacing w:line="360" w:lineRule="auto"/>
        <w:rPr>
          <w:rFonts w:eastAsia="黑体" w:cs="Times New Roman"/>
          <w:color w:val="auto"/>
          <w:sz w:val="28"/>
          <w:szCs w:val="28"/>
          <w:highlight w:val="none"/>
        </w:rPr>
      </w:pPr>
    </w:p>
    <w:p w14:paraId="19F3E1FF">
      <w:pPr>
        <w:adjustRightInd w:val="0"/>
        <w:snapToGrid w:val="0"/>
        <w:spacing w:line="360" w:lineRule="auto"/>
        <w:rPr>
          <w:rFonts w:eastAsia="黑体" w:cs="Times New Roman"/>
          <w:color w:val="auto"/>
          <w:sz w:val="28"/>
          <w:szCs w:val="28"/>
          <w:highlight w:val="none"/>
        </w:rPr>
      </w:pPr>
    </w:p>
    <w:p w14:paraId="3C31B1E7">
      <w:pPr>
        <w:adjustRightInd w:val="0"/>
        <w:snapToGrid w:val="0"/>
        <w:spacing w:line="360" w:lineRule="auto"/>
        <w:rPr>
          <w:rFonts w:eastAsia="黑体" w:cs="Times New Roman"/>
          <w:color w:val="auto"/>
          <w:sz w:val="28"/>
          <w:szCs w:val="28"/>
          <w:highlight w:val="none"/>
        </w:rPr>
      </w:pPr>
    </w:p>
    <w:p w14:paraId="5982C295">
      <w:pPr>
        <w:adjustRightInd w:val="0"/>
        <w:snapToGrid w:val="0"/>
        <w:spacing w:line="480" w:lineRule="auto"/>
        <w:jc w:val="center"/>
        <w:rPr>
          <w:rFonts w:eastAsia="黑体" w:cs="Times New Roman"/>
          <w:color w:val="auto"/>
          <w:sz w:val="28"/>
          <w:szCs w:val="28"/>
          <w:highlight w:val="none"/>
          <w:u w:val="single"/>
        </w:rPr>
      </w:pPr>
      <w:r>
        <w:rPr>
          <w:rFonts w:hint="eastAsia" w:eastAsia="黑体" w:cs="Times New Roman"/>
          <w:color w:val="auto"/>
          <w:sz w:val="28"/>
          <w:szCs w:val="28"/>
          <w:highlight w:val="none"/>
        </w:rPr>
        <w:t>投标人：</w:t>
      </w:r>
      <w:r>
        <w:rPr>
          <w:rFonts w:eastAsia="黑体" w:cs="Times New Roman"/>
          <w:color w:val="auto"/>
          <w:sz w:val="28"/>
          <w:szCs w:val="28"/>
          <w:highlight w:val="none"/>
          <w:u w:val="single"/>
        </w:rPr>
        <w:t xml:space="preserve">                              </w:t>
      </w:r>
      <w:r>
        <w:rPr>
          <w:rFonts w:hint="eastAsia" w:eastAsia="黑体" w:cs="Times New Roman"/>
          <w:color w:val="auto"/>
          <w:sz w:val="28"/>
          <w:szCs w:val="28"/>
          <w:highlight w:val="none"/>
        </w:rPr>
        <w:t>（签章）</w:t>
      </w:r>
    </w:p>
    <w:p w14:paraId="086FBBE7">
      <w:pPr>
        <w:adjustRightInd w:val="0"/>
        <w:snapToGrid w:val="0"/>
        <w:spacing w:line="480" w:lineRule="auto"/>
        <w:jc w:val="center"/>
        <w:rPr>
          <w:rFonts w:eastAsia="黑体" w:cs="Times New Roman"/>
          <w:color w:val="auto"/>
          <w:sz w:val="28"/>
          <w:szCs w:val="28"/>
          <w:highlight w:val="none"/>
        </w:rPr>
      </w:pPr>
      <w:r>
        <w:rPr>
          <w:rFonts w:hint="eastAsia" w:eastAsia="黑体" w:cs="Times New Roman"/>
          <w:color w:val="auto"/>
          <w:sz w:val="28"/>
          <w:szCs w:val="28"/>
          <w:highlight w:val="none"/>
        </w:rPr>
        <w:t>法定代表人：</w:t>
      </w:r>
      <w:r>
        <w:rPr>
          <w:rFonts w:eastAsia="黑体" w:cs="Times New Roman"/>
          <w:color w:val="auto"/>
          <w:sz w:val="28"/>
          <w:szCs w:val="28"/>
          <w:highlight w:val="none"/>
          <w:u w:val="single"/>
        </w:rPr>
        <w:t xml:space="preserve">                </w:t>
      </w:r>
      <w:r>
        <w:rPr>
          <w:rFonts w:hint="eastAsia" w:eastAsia="黑体" w:cs="Times New Roman"/>
          <w:color w:val="auto"/>
          <w:sz w:val="28"/>
          <w:szCs w:val="28"/>
          <w:highlight w:val="none"/>
        </w:rPr>
        <w:t>（签章）</w:t>
      </w:r>
    </w:p>
    <w:p w14:paraId="4188445D">
      <w:pPr>
        <w:adjustRightInd w:val="0"/>
        <w:snapToGrid w:val="0"/>
        <w:spacing w:line="480" w:lineRule="auto"/>
        <w:jc w:val="center"/>
        <w:rPr>
          <w:rFonts w:eastAsia="黑体" w:cs="Times New Roman"/>
          <w:color w:val="auto"/>
          <w:sz w:val="28"/>
          <w:szCs w:val="28"/>
          <w:highlight w:val="none"/>
        </w:rPr>
      </w:pPr>
      <w:r>
        <w:rPr>
          <w:rFonts w:eastAsia="黑体" w:cs="Times New Roman"/>
          <w:color w:val="auto"/>
          <w:sz w:val="28"/>
          <w:szCs w:val="28"/>
          <w:highlight w:val="none"/>
          <w:u w:val="single"/>
        </w:rPr>
        <w:t xml:space="preserve">        </w:t>
      </w:r>
      <w:r>
        <w:rPr>
          <w:rFonts w:hint="eastAsia" w:eastAsia="黑体" w:cs="Times New Roman"/>
          <w:color w:val="auto"/>
          <w:sz w:val="28"/>
          <w:szCs w:val="28"/>
          <w:highlight w:val="none"/>
        </w:rPr>
        <w:t>年</w:t>
      </w:r>
      <w:r>
        <w:rPr>
          <w:rFonts w:eastAsia="黑体" w:cs="Times New Roman"/>
          <w:color w:val="auto"/>
          <w:sz w:val="28"/>
          <w:szCs w:val="28"/>
          <w:highlight w:val="none"/>
          <w:u w:val="single"/>
        </w:rPr>
        <w:t xml:space="preserve">        </w:t>
      </w:r>
      <w:r>
        <w:rPr>
          <w:rFonts w:hint="eastAsia" w:eastAsia="黑体" w:cs="Times New Roman"/>
          <w:color w:val="auto"/>
          <w:sz w:val="28"/>
          <w:szCs w:val="28"/>
          <w:highlight w:val="none"/>
        </w:rPr>
        <w:t>月</w:t>
      </w:r>
      <w:r>
        <w:rPr>
          <w:rFonts w:eastAsia="黑体" w:cs="Times New Roman"/>
          <w:color w:val="auto"/>
          <w:sz w:val="28"/>
          <w:szCs w:val="28"/>
          <w:highlight w:val="none"/>
          <w:u w:val="single"/>
        </w:rPr>
        <w:t xml:space="preserve">        </w:t>
      </w:r>
      <w:r>
        <w:rPr>
          <w:rFonts w:hint="eastAsia" w:eastAsia="黑体" w:cs="Times New Roman"/>
          <w:color w:val="auto"/>
          <w:sz w:val="28"/>
          <w:szCs w:val="28"/>
          <w:highlight w:val="none"/>
        </w:rPr>
        <w:t>日</w:t>
      </w:r>
    </w:p>
    <w:p w14:paraId="23B38D83">
      <w:pPr>
        <w:keepNext/>
        <w:keepLines/>
        <w:pageBreakBefore/>
        <w:spacing w:before="260" w:after="260" w:line="440" w:lineRule="exact"/>
        <w:outlineLvl w:val="1"/>
        <w:rPr>
          <w:rFonts w:ascii="Arial" w:hAnsi="Arial" w:eastAsia="黑体" w:cs="Times New Roman"/>
          <w:b/>
          <w:bCs/>
          <w:color w:val="auto"/>
          <w:sz w:val="32"/>
          <w:szCs w:val="32"/>
          <w:highlight w:val="none"/>
        </w:rPr>
      </w:pPr>
      <w:bookmarkStart w:id="861" w:name="_Toc28130"/>
      <w:bookmarkStart w:id="862" w:name="_Toc95223532"/>
      <w:bookmarkStart w:id="863" w:name="_Toc1415"/>
      <w:bookmarkStart w:id="864" w:name="_Toc296602622"/>
      <w:bookmarkStart w:id="865" w:name="_Toc144974881"/>
      <w:bookmarkStart w:id="866" w:name="_Toc152045813"/>
      <w:bookmarkStart w:id="867" w:name="_Toc179632833"/>
      <w:bookmarkStart w:id="868" w:name="_Toc246996374"/>
      <w:bookmarkStart w:id="869" w:name="_Toc246997117"/>
      <w:bookmarkStart w:id="870" w:name="_Toc152042602"/>
      <w:bookmarkStart w:id="871" w:name="_Toc247085892"/>
      <w:r>
        <w:rPr>
          <w:rFonts w:hint="eastAsia" w:ascii="Arial" w:hAnsi="Arial" w:eastAsia="黑体" w:cs="Times New Roman"/>
          <w:b/>
          <w:bCs/>
          <w:color w:val="auto"/>
          <w:sz w:val="32"/>
          <w:szCs w:val="32"/>
          <w:highlight w:val="none"/>
        </w:rPr>
        <w:t>投标文件目录</w:t>
      </w:r>
      <w:bookmarkEnd w:id="861"/>
      <w:bookmarkEnd w:id="862"/>
      <w:bookmarkEnd w:id="863"/>
    </w:p>
    <w:p w14:paraId="3A489961">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（1）投标函；</w:t>
      </w:r>
    </w:p>
    <w:p w14:paraId="0E310053">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（2）法定代表人身份证明和本人身份证(或法定代表人授权委托书和委托代理人身份证)；</w:t>
      </w:r>
    </w:p>
    <w:p w14:paraId="08E61AB7">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（3）诚信投标承诺书；</w:t>
      </w:r>
    </w:p>
    <w:p w14:paraId="7E9B988C">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（4）企业法人营业执照；</w:t>
      </w:r>
    </w:p>
    <w:p w14:paraId="32382A4C">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（5）资质证书；</w:t>
      </w:r>
    </w:p>
    <w:p w14:paraId="2FBB6DC4">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（6）项目负责人身份证和证书</w:t>
      </w:r>
    </w:p>
    <w:p w14:paraId="446ECEF8">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7）投标人的法定代表人(或委托代理人)和拟任项目负责人须持有社保部门出具的本单位为其缴纳的投标前近三个月连续的养老保险证明（或官网在线打印件，证明文件两个月内有效）（同一人担任不同公司法定代表人的，该法定代表人参加本项目投标时须提供本人在其他公司任法定代表人的营业执照及为其缴纳养老保险证明材料），投标人是事业单位的，暂未缴纳社保的，须由其主管部门出具证明； </w:t>
      </w:r>
    </w:p>
    <w:p w14:paraId="6A06E6F8">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（8）服务承诺书；</w:t>
      </w:r>
    </w:p>
    <w:p w14:paraId="25D7A0FF">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（9）评分</w:t>
      </w:r>
      <w:r>
        <w:rPr>
          <w:rFonts w:hint="eastAsia" w:ascii="宋体" w:hAnsi="宋体" w:cs="宋体"/>
          <w:color w:val="auto"/>
          <w:szCs w:val="21"/>
          <w:highlight w:val="none"/>
          <w:lang w:val="en-US" w:eastAsia="zh-CN"/>
        </w:rPr>
        <w:t>办法中</w:t>
      </w:r>
      <w:r>
        <w:rPr>
          <w:rFonts w:hint="eastAsia" w:ascii="宋体" w:hAnsi="宋体" w:cs="宋体"/>
          <w:color w:val="auto"/>
          <w:szCs w:val="21"/>
          <w:highlight w:val="none"/>
        </w:rPr>
        <w:t>所需材料；</w:t>
      </w:r>
    </w:p>
    <w:p w14:paraId="5C481580">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（10）投标人认为需要提供的其他材料。</w:t>
      </w:r>
    </w:p>
    <w:p w14:paraId="546DB88C">
      <w:pPr>
        <w:adjustRightInd w:val="0"/>
        <w:snapToGrid w:val="0"/>
        <w:spacing w:line="440" w:lineRule="exact"/>
        <w:rPr>
          <w:rFonts w:eastAsia="黑体" w:cs="Times New Roman"/>
          <w:color w:val="auto"/>
          <w:sz w:val="20"/>
          <w:highlight w:val="none"/>
        </w:rPr>
      </w:pPr>
    </w:p>
    <w:p w14:paraId="104DC607">
      <w:pPr>
        <w:adjustRightInd w:val="0"/>
        <w:snapToGrid w:val="0"/>
        <w:spacing w:line="440" w:lineRule="exact"/>
        <w:rPr>
          <w:rFonts w:cs="Times New Roman"/>
          <w:color w:val="auto"/>
          <w:szCs w:val="24"/>
          <w:highlight w:val="none"/>
        </w:rPr>
      </w:pPr>
    </w:p>
    <w:p w14:paraId="12B2B4FD">
      <w:pPr>
        <w:adjustRightInd w:val="0"/>
        <w:snapToGrid w:val="0"/>
        <w:spacing w:line="440" w:lineRule="exact"/>
        <w:rPr>
          <w:rFonts w:cs="Times New Roman"/>
          <w:b/>
          <w:color w:val="auto"/>
          <w:sz w:val="28"/>
          <w:szCs w:val="28"/>
          <w:highlight w:val="none"/>
        </w:rPr>
      </w:pPr>
    </w:p>
    <w:p w14:paraId="6CD61B75">
      <w:pPr>
        <w:widowControl/>
        <w:jc w:val="left"/>
        <w:rPr>
          <w:rFonts w:cs="Times New Roman"/>
          <w:b/>
          <w:bCs/>
          <w:color w:val="auto"/>
          <w:kern w:val="0"/>
          <w:sz w:val="32"/>
          <w:szCs w:val="32"/>
          <w:highlight w:val="none"/>
        </w:rPr>
        <w:sectPr>
          <w:pgSz w:w="11911" w:h="16838"/>
          <w:pgMar w:top="1134" w:right="1417" w:bottom="1134" w:left="1417" w:header="0" w:footer="833" w:gutter="0"/>
          <w:cols w:space="720" w:num="1"/>
        </w:sectPr>
      </w:pPr>
    </w:p>
    <w:bookmarkEnd w:id="864"/>
    <w:bookmarkEnd w:id="865"/>
    <w:bookmarkEnd w:id="866"/>
    <w:bookmarkEnd w:id="867"/>
    <w:bookmarkEnd w:id="868"/>
    <w:bookmarkEnd w:id="869"/>
    <w:bookmarkEnd w:id="870"/>
    <w:bookmarkEnd w:id="871"/>
    <w:p w14:paraId="6CE857A1">
      <w:pPr>
        <w:keepNext/>
        <w:keepLines/>
        <w:adjustRightInd w:val="0"/>
        <w:snapToGrid w:val="0"/>
        <w:spacing w:line="440" w:lineRule="exact"/>
        <w:jc w:val="center"/>
        <w:outlineLvl w:val="2"/>
        <w:rPr>
          <w:rFonts w:ascii="宋体" w:hAnsi="宋体" w:cs="宋体"/>
          <w:b/>
          <w:color w:val="auto"/>
          <w:sz w:val="28"/>
          <w:szCs w:val="28"/>
          <w:highlight w:val="none"/>
        </w:rPr>
      </w:pPr>
      <w:bookmarkStart w:id="872" w:name="_Toc95223533"/>
      <w:bookmarkEnd w:id="872"/>
      <w:r>
        <w:rPr>
          <w:rFonts w:hint="eastAsia" w:ascii="宋体" w:hAnsi="宋体" w:cs="宋体"/>
          <w:b/>
          <w:color w:val="auto"/>
          <w:sz w:val="28"/>
          <w:szCs w:val="28"/>
          <w:highlight w:val="none"/>
        </w:rPr>
        <w:t>（1）投 标 函</w:t>
      </w:r>
    </w:p>
    <w:p w14:paraId="2876ACB5">
      <w:pPr>
        <w:adjustRightInd w:val="0"/>
        <w:snapToGrid w:val="0"/>
        <w:spacing w:line="440" w:lineRule="exact"/>
        <w:rPr>
          <w:rFonts w:ascii="宋体" w:hAnsi="宋体" w:cs="Times New Roman"/>
          <w:color w:val="auto"/>
          <w:szCs w:val="21"/>
          <w:highlight w:val="none"/>
          <w:u w:val="single"/>
        </w:rPr>
      </w:pPr>
      <w:r>
        <w:rPr>
          <w:rFonts w:hint="eastAsia" w:ascii="宋体" w:hAnsi="宋体" w:cs="Times New Roman"/>
          <w:color w:val="auto"/>
          <w:szCs w:val="21"/>
          <w:highlight w:val="none"/>
        </w:rPr>
        <w:t>致：</w:t>
      </w:r>
      <w:r>
        <w:rPr>
          <w:rFonts w:hint="eastAsia" w:ascii="宋体" w:hAnsi="宋体" w:cs="Times New Roman"/>
          <w:color w:val="auto"/>
          <w:szCs w:val="21"/>
          <w:highlight w:val="none"/>
          <w:u w:val="single"/>
        </w:rPr>
        <w:t xml:space="preserve">        （招标人）      </w:t>
      </w:r>
    </w:p>
    <w:p w14:paraId="6BCC60E9">
      <w:pPr>
        <w:adjustRightInd w:val="0"/>
        <w:snapToGrid w:val="0"/>
        <w:spacing w:line="440" w:lineRule="exact"/>
        <w:ind w:firstLine="420" w:firstLineChars="200"/>
        <w:rPr>
          <w:rFonts w:ascii="宋体" w:hAnsi="宋体" w:cs="Times New Roman"/>
          <w:color w:val="auto"/>
          <w:szCs w:val="21"/>
          <w:highlight w:val="none"/>
        </w:rPr>
      </w:pPr>
      <w:r>
        <w:rPr>
          <w:rFonts w:hint="eastAsia" w:ascii="宋体" w:hAnsi="宋体" w:cs="Times New Roman"/>
          <w:color w:val="auto"/>
          <w:szCs w:val="21"/>
          <w:highlight w:val="none"/>
        </w:rPr>
        <w:t>1、根据你方招标项目编号为</w:t>
      </w:r>
      <w:r>
        <w:rPr>
          <w:rFonts w:hint="eastAsia" w:ascii="宋体" w:hAnsi="宋体" w:cs="Times New Roman"/>
          <w:color w:val="auto"/>
          <w:szCs w:val="21"/>
          <w:highlight w:val="none"/>
          <w:u w:val="single"/>
        </w:rPr>
        <w:t xml:space="preserve">        </w:t>
      </w:r>
      <w:r>
        <w:rPr>
          <w:rFonts w:hint="eastAsia" w:ascii="宋体" w:hAnsi="宋体" w:cs="Times New Roman"/>
          <w:color w:val="auto"/>
          <w:szCs w:val="21"/>
          <w:highlight w:val="none"/>
        </w:rPr>
        <w:t xml:space="preserve"> 的 </w:t>
      </w:r>
      <w:r>
        <w:rPr>
          <w:rFonts w:hint="eastAsia" w:ascii="宋体" w:hAnsi="宋体" w:cs="Times New Roman"/>
          <w:color w:val="auto"/>
          <w:szCs w:val="21"/>
          <w:highlight w:val="none"/>
          <w:u w:val="single"/>
        </w:rPr>
        <w:t xml:space="preserve">                </w:t>
      </w:r>
      <w:r>
        <w:rPr>
          <w:rFonts w:hint="eastAsia" w:ascii="宋体" w:hAnsi="宋体" w:cs="Times New Roman"/>
          <w:color w:val="auto"/>
          <w:szCs w:val="21"/>
          <w:highlight w:val="none"/>
        </w:rPr>
        <w:t>招标文件，遵照《中华人民共和国招标投标法》等有关规定，经踏勘项目现场和研究上述招标文件的投标须知、合同条件、技术规范、和其他有关文件后，我方愿以人民币：大写</w:t>
      </w:r>
      <w:r>
        <w:rPr>
          <w:rFonts w:hint="eastAsia" w:ascii="宋体" w:hAnsi="宋体" w:cs="Times New Roman"/>
          <w:color w:val="auto"/>
          <w:szCs w:val="21"/>
          <w:highlight w:val="none"/>
          <w:u w:val="single"/>
        </w:rPr>
        <w:t xml:space="preserve">        </w:t>
      </w:r>
      <w:r>
        <w:rPr>
          <w:rFonts w:hint="eastAsia" w:ascii="宋体" w:hAnsi="宋体" w:cs="Times New Roman"/>
          <w:color w:val="auto"/>
          <w:szCs w:val="21"/>
          <w:highlight w:val="none"/>
        </w:rPr>
        <w:t>，小写：</w:t>
      </w:r>
      <w:r>
        <w:rPr>
          <w:rFonts w:hint="eastAsia" w:ascii="宋体" w:hAnsi="宋体" w:cs="Times New Roman"/>
          <w:color w:val="auto"/>
          <w:szCs w:val="21"/>
          <w:highlight w:val="none"/>
          <w:u w:val="single"/>
        </w:rPr>
        <w:t xml:space="preserve">       </w:t>
      </w:r>
      <w:r>
        <w:rPr>
          <w:rFonts w:hint="eastAsia" w:ascii="宋体" w:hAnsi="宋体" w:cs="Times New Roman"/>
          <w:color w:val="auto"/>
          <w:szCs w:val="21"/>
          <w:highlight w:val="none"/>
        </w:rPr>
        <w:t>的投标总报价承包上述项目。</w:t>
      </w:r>
    </w:p>
    <w:p w14:paraId="1AAEBD96">
      <w:pPr>
        <w:tabs>
          <w:tab w:val="left" w:pos="840"/>
        </w:tabs>
        <w:adjustRightInd w:val="0"/>
        <w:snapToGrid w:val="0"/>
        <w:spacing w:line="440" w:lineRule="exact"/>
        <w:ind w:firstLine="420" w:firstLineChars="200"/>
        <w:rPr>
          <w:rFonts w:ascii="宋体" w:hAnsi="宋体" w:cs="Times New Roman"/>
          <w:color w:val="auto"/>
          <w:szCs w:val="21"/>
          <w:highlight w:val="none"/>
        </w:rPr>
      </w:pPr>
      <w:r>
        <w:rPr>
          <w:rFonts w:hint="eastAsia" w:ascii="宋体" w:hAnsi="宋体" w:cs="Times New Roman"/>
          <w:color w:val="auto"/>
          <w:szCs w:val="21"/>
          <w:highlight w:val="none"/>
        </w:rPr>
        <w:t>2、我方已详细审核全部招标文件及有关附件，承诺招标文件及有关附件中所有条款。</w:t>
      </w:r>
    </w:p>
    <w:p w14:paraId="3CABEF8C">
      <w:pPr>
        <w:adjustRightInd w:val="0"/>
        <w:snapToGrid w:val="0"/>
        <w:spacing w:line="440" w:lineRule="exact"/>
        <w:ind w:firstLine="420" w:firstLineChars="200"/>
        <w:rPr>
          <w:rFonts w:ascii="宋体" w:hAnsi="宋体" w:cs="Times New Roman"/>
          <w:color w:val="auto"/>
          <w:szCs w:val="21"/>
          <w:highlight w:val="none"/>
        </w:rPr>
      </w:pPr>
      <w:r>
        <w:rPr>
          <w:rFonts w:hint="eastAsia" w:ascii="宋体" w:hAnsi="宋体" w:cs="Times New Roman"/>
          <w:color w:val="auto"/>
          <w:szCs w:val="21"/>
          <w:highlight w:val="none"/>
        </w:rPr>
        <w:t>3、一旦我方中标，我方将派出</w:t>
      </w:r>
      <w:r>
        <w:rPr>
          <w:rFonts w:hint="eastAsia" w:ascii="宋体" w:hAnsi="宋体" w:cs="Times New Roman"/>
          <w:color w:val="auto"/>
          <w:szCs w:val="21"/>
          <w:highlight w:val="none"/>
          <w:u w:val="single"/>
        </w:rPr>
        <w:t xml:space="preserve">        </w:t>
      </w:r>
      <w:r>
        <w:rPr>
          <w:rFonts w:hint="eastAsia" w:ascii="宋体" w:hAnsi="宋体" w:cs="Times New Roman"/>
          <w:color w:val="auto"/>
          <w:szCs w:val="21"/>
          <w:highlight w:val="none"/>
        </w:rPr>
        <w:t>作为项目负责人，保证按照招标人要求开始本项目服务，</w:t>
      </w:r>
      <w:r>
        <w:rPr>
          <w:rFonts w:hint="eastAsia" w:ascii="宋体" w:hAnsi="宋体" w:cs="宋体"/>
          <w:color w:val="auto"/>
          <w:szCs w:val="21"/>
          <w:highlight w:val="none"/>
        </w:rPr>
        <w:t>我方将严格履行合同规定的责任和义务</w:t>
      </w:r>
      <w:r>
        <w:rPr>
          <w:rFonts w:hint="eastAsia" w:ascii="宋体" w:hAnsi="宋体" w:cs="Times New Roman"/>
          <w:color w:val="auto"/>
          <w:szCs w:val="21"/>
          <w:highlight w:val="none"/>
        </w:rPr>
        <w:t>。</w:t>
      </w:r>
    </w:p>
    <w:p w14:paraId="5BB519BB">
      <w:pPr>
        <w:adjustRightInd w:val="0"/>
        <w:snapToGrid w:val="0"/>
        <w:spacing w:line="440" w:lineRule="exact"/>
        <w:ind w:firstLine="420" w:firstLineChars="200"/>
        <w:rPr>
          <w:rFonts w:ascii="宋体" w:hAnsi="宋体" w:cs="Times New Roman"/>
          <w:color w:val="auto"/>
          <w:szCs w:val="21"/>
          <w:highlight w:val="none"/>
        </w:rPr>
      </w:pPr>
      <w:r>
        <w:rPr>
          <w:rFonts w:hint="eastAsia" w:ascii="宋体" w:hAnsi="宋体" w:cs="Times New Roman"/>
          <w:color w:val="auto"/>
          <w:szCs w:val="21"/>
          <w:highlight w:val="none"/>
        </w:rPr>
        <w:t>4、如果我方中标我方将按照招标文件的规定提交履约担保。履约完成并合格后，方可退还。</w:t>
      </w:r>
    </w:p>
    <w:p w14:paraId="4DA8F0F3">
      <w:pPr>
        <w:adjustRightInd w:val="0"/>
        <w:snapToGrid w:val="0"/>
        <w:spacing w:line="440" w:lineRule="exact"/>
        <w:ind w:firstLine="420" w:firstLineChars="200"/>
        <w:jc w:val="left"/>
        <w:rPr>
          <w:rFonts w:ascii="宋体" w:hAnsi="宋体" w:cs="Times New Roman"/>
          <w:color w:val="auto"/>
          <w:szCs w:val="21"/>
          <w:highlight w:val="none"/>
        </w:rPr>
      </w:pPr>
      <w:r>
        <w:rPr>
          <w:rFonts w:hint="eastAsia" w:ascii="宋体" w:hAnsi="宋体" w:cs="Times New Roman"/>
          <w:color w:val="auto"/>
          <w:szCs w:val="21"/>
          <w:highlight w:val="none"/>
          <w:lang w:val="en-US" w:eastAsia="zh-CN"/>
        </w:rPr>
        <w:t>5</w:t>
      </w:r>
      <w:r>
        <w:rPr>
          <w:rFonts w:hint="eastAsia" w:ascii="宋体" w:hAnsi="宋体" w:cs="Times New Roman"/>
          <w:color w:val="auto"/>
          <w:szCs w:val="21"/>
          <w:highlight w:val="none"/>
        </w:rPr>
        <w:t>、我方承诺在招标文件规定的投标有效期内不撤销投标文件。</w:t>
      </w:r>
    </w:p>
    <w:p w14:paraId="65308832">
      <w:pPr>
        <w:adjustRightInd w:val="0"/>
        <w:snapToGrid w:val="0"/>
        <w:spacing w:line="440" w:lineRule="exact"/>
        <w:ind w:firstLine="420" w:firstLineChars="200"/>
        <w:jc w:val="left"/>
        <w:rPr>
          <w:rFonts w:ascii="宋体" w:hAnsi="宋体" w:cs="Times New Roman"/>
          <w:color w:val="auto"/>
          <w:szCs w:val="21"/>
          <w:highlight w:val="none"/>
        </w:rPr>
      </w:pPr>
      <w:r>
        <w:rPr>
          <w:rFonts w:hint="eastAsia" w:ascii="宋体" w:hAnsi="宋体" w:cs="Times New Roman"/>
          <w:color w:val="auto"/>
          <w:szCs w:val="21"/>
          <w:highlight w:val="none"/>
          <w:lang w:val="en-US" w:eastAsia="zh-CN"/>
        </w:rPr>
        <w:t>6</w:t>
      </w:r>
      <w:r>
        <w:rPr>
          <w:rFonts w:hint="eastAsia" w:ascii="宋体" w:hAnsi="宋体" w:cs="Times New Roman"/>
          <w:color w:val="auto"/>
          <w:szCs w:val="21"/>
          <w:highlight w:val="none"/>
        </w:rPr>
        <w:t>、我单位提供如下通讯地址：</w:t>
      </w:r>
      <w:r>
        <w:rPr>
          <w:rFonts w:hint="eastAsia" w:ascii="宋体" w:hAnsi="宋体" w:cs="Times New Roman"/>
          <w:color w:val="auto"/>
          <w:szCs w:val="21"/>
          <w:highlight w:val="none"/>
          <w:u w:val="single"/>
        </w:rPr>
        <w:t xml:space="preserve">                </w:t>
      </w:r>
      <w:r>
        <w:rPr>
          <w:rFonts w:hint="eastAsia" w:ascii="宋体" w:hAnsi="宋体" w:cs="Times New Roman"/>
          <w:color w:val="auto"/>
          <w:szCs w:val="21"/>
          <w:highlight w:val="none"/>
        </w:rPr>
        <w:t>电子邮箱（地址），确认本项目相关法律文书均通过提供的以上地址送达，相关文书只要发送至以上电子邮箱（地址）即视为送达，投标人愿意承担一切法律后果。</w:t>
      </w:r>
    </w:p>
    <w:p w14:paraId="11E5D1EA">
      <w:pPr>
        <w:adjustRightInd w:val="0"/>
        <w:snapToGrid w:val="0"/>
        <w:spacing w:line="440" w:lineRule="exact"/>
        <w:ind w:firstLine="420" w:firstLineChars="200"/>
        <w:jc w:val="left"/>
        <w:rPr>
          <w:rFonts w:ascii="宋体" w:hAnsi="宋体" w:cs="Times New Roman"/>
          <w:color w:val="auto"/>
          <w:szCs w:val="21"/>
          <w:highlight w:val="none"/>
        </w:rPr>
      </w:pPr>
      <w:r>
        <w:rPr>
          <w:rFonts w:hint="eastAsia" w:ascii="宋体" w:hAnsi="宋体" w:cs="Times New Roman"/>
          <w:color w:val="auto"/>
          <w:szCs w:val="21"/>
          <w:highlight w:val="none"/>
          <w:lang w:val="en-US" w:eastAsia="zh-CN"/>
        </w:rPr>
        <w:t>7、</w:t>
      </w:r>
      <w:r>
        <w:rPr>
          <w:rFonts w:hint="eastAsia" w:ascii="宋体" w:hAnsi="宋体" w:cs="Times New Roman"/>
          <w:color w:val="auto"/>
          <w:szCs w:val="21"/>
          <w:highlight w:val="none"/>
          <w:u w:val="single"/>
        </w:rPr>
        <w:t xml:space="preserve">                           </w:t>
      </w:r>
      <w:r>
        <w:rPr>
          <w:rFonts w:hint="eastAsia" w:ascii="宋体" w:hAnsi="宋体" w:cs="Times New Roman"/>
          <w:color w:val="auto"/>
          <w:szCs w:val="21"/>
          <w:highlight w:val="none"/>
        </w:rPr>
        <w:t>（其他补充说明）。</w:t>
      </w:r>
    </w:p>
    <w:p w14:paraId="38B2B921">
      <w:pPr>
        <w:adjustRightInd w:val="0"/>
        <w:snapToGrid w:val="0"/>
        <w:spacing w:line="440" w:lineRule="exact"/>
        <w:ind w:firstLine="420" w:firstLineChars="200"/>
        <w:rPr>
          <w:rFonts w:ascii="宋体" w:hAnsi="宋体" w:cs="Times New Roman"/>
          <w:color w:val="auto"/>
          <w:szCs w:val="21"/>
          <w:highlight w:val="none"/>
        </w:rPr>
      </w:pPr>
    </w:p>
    <w:p w14:paraId="3B74E687">
      <w:pPr>
        <w:adjustRightInd w:val="0"/>
        <w:snapToGrid w:val="0"/>
        <w:spacing w:line="440" w:lineRule="exact"/>
        <w:ind w:firstLine="420" w:firstLineChars="200"/>
        <w:rPr>
          <w:rFonts w:ascii="宋体" w:hAnsi="宋体" w:cs="Times New Roman"/>
          <w:color w:val="auto"/>
          <w:szCs w:val="21"/>
          <w:highlight w:val="none"/>
          <w:u w:val="single"/>
        </w:rPr>
      </w:pPr>
      <w:r>
        <w:rPr>
          <w:rFonts w:hint="eastAsia" w:ascii="宋体" w:hAnsi="宋体" w:cs="Times New Roman"/>
          <w:color w:val="auto"/>
          <w:szCs w:val="21"/>
          <w:highlight w:val="none"/>
        </w:rPr>
        <w:t>投标人：</w:t>
      </w:r>
      <w:r>
        <w:rPr>
          <w:rFonts w:hint="eastAsia" w:ascii="宋体" w:hAnsi="宋体" w:cs="Times New Roman"/>
          <w:color w:val="auto"/>
          <w:szCs w:val="21"/>
          <w:highlight w:val="none"/>
          <w:u w:val="single"/>
        </w:rPr>
        <w:t xml:space="preserve">                                                </w:t>
      </w:r>
      <w:r>
        <w:rPr>
          <w:rFonts w:hint="eastAsia" w:ascii="宋体" w:hAnsi="宋体" w:cs="Times New Roman"/>
          <w:color w:val="auto"/>
          <w:szCs w:val="21"/>
          <w:highlight w:val="none"/>
        </w:rPr>
        <w:t>（签章）</w:t>
      </w:r>
    </w:p>
    <w:p w14:paraId="0EBCA416">
      <w:pPr>
        <w:adjustRightInd w:val="0"/>
        <w:snapToGrid w:val="0"/>
        <w:spacing w:line="440" w:lineRule="exact"/>
        <w:ind w:firstLine="420" w:firstLineChars="200"/>
        <w:rPr>
          <w:rFonts w:ascii="宋体" w:hAnsi="宋体" w:cs="Times New Roman"/>
          <w:color w:val="auto"/>
          <w:szCs w:val="21"/>
          <w:highlight w:val="none"/>
        </w:rPr>
      </w:pPr>
      <w:r>
        <w:rPr>
          <w:rFonts w:hint="eastAsia" w:ascii="宋体" w:hAnsi="宋体" w:cs="Times New Roman"/>
          <w:color w:val="auto"/>
          <w:szCs w:val="21"/>
          <w:highlight w:val="none"/>
        </w:rPr>
        <w:t>法定代表人：</w:t>
      </w:r>
      <w:r>
        <w:rPr>
          <w:rFonts w:hint="eastAsia" w:ascii="宋体" w:hAnsi="宋体" w:cs="Times New Roman"/>
          <w:color w:val="auto"/>
          <w:szCs w:val="21"/>
          <w:highlight w:val="none"/>
          <w:u w:val="single"/>
        </w:rPr>
        <w:t xml:space="preserve">              </w:t>
      </w:r>
      <w:r>
        <w:rPr>
          <w:rFonts w:hint="eastAsia" w:ascii="宋体" w:hAnsi="宋体" w:cs="Times New Roman"/>
          <w:color w:val="auto"/>
          <w:szCs w:val="21"/>
          <w:highlight w:val="none"/>
        </w:rPr>
        <w:t xml:space="preserve">（签章）         </w:t>
      </w:r>
    </w:p>
    <w:p w14:paraId="75EF87B4">
      <w:pPr>
        <w:adjustRightInd w:val="0"/>
        <w:snapToGrid w:val="0"/>
        <w:spacing w:line="440" w:lineRule="exact"/>
        <w:ind w:firstLine="420" w:firstLineChars="200"/>
        <w:rPr>
          <w:rFonts w:ascii="宋体" w:hAnsi="宋体" w:cs="Times New Roman"/>
          <w:color w:val="auto"/>
          <w:szCs w:val="21"/>
          <w:highlight w:val="none"/>
        </w:rPr>
      </w:pPr>
      <w:r>
        <w:rPr>
          <w:rFonts w:hint="eastAsia" w:ascii="宋体" w:hAnsi="宋体" w:cs="Times New Roman"/>
          <w:color w:val="auto"/>
          <w:szCs w:val="21"/>
          <w:highlight w:val="none"/>
        </w:rPr>
        <w:t>单位地址：</w:t>
      </w:r>
      <w:r>
        <w:rPr>
          <w:rFonts w:hint="eastAsia" w:ascii="宋体" w:hAnsi="宋体" w:cs="Times New Roman"/>
          <w:color w:val="auto"/>
          <w:szCs w:val="21"/>
          <w:highlight w:val="none"/>
          <w:u w:val="single"/>
        </w:rPr>
        <w:t xml:space="preserve">                                       </w:t>
      </w:r>
    </w:p>
    <w:p w14:paraId="0135E893">
      <w:pPr>
        <w:adjustRightInd w:val="0"/>
        <w:snapToGrid w:val="0"/>
        <w:spacing w:line="440" w:lineRule="exact"/>
        <w:ind w:firstLine="420" w:firstLineChars="200"/>
        <w:rPr>
          <w:rFonts w:ascii="宋体" w:hAnsi="宋体" w:cs="Times New Roman"/>
          <w:color w:val="auto"/>
          <w:szCs w:val="21"/>
          <w:highlight w:val="none"/>
          <w:u w:val="single"/>
        </w:rPr>
      </w:pPr>
      <w:r>
        <w:rPr>
          <w:rFonts w:hint="eastAsia" w:ascii="宋体" w:hAnsi="宋体" w:cs="Times New Roman"/>
          <w:color w:val="auto"/>
          <w:szCs w:val="21"/>
          <w:highlight w:val="none"/>
        </w:rPr>
        <w:t>邮政编码：</w:t>
      </w:r>
      <w:r>
        <w:rPr>
          <w:rFonts w:hint="eastAsia" w:ascii="宋体" w:hAnsi="宋体" w:cs="Times New Roman"/>
          <w:color w:val="auto"/>
          <w:szCs w:val="21"/>
          <w:highlight w:val="none"/>
          <w:u w:val="single"/>
        </w:rPr>
        <w:t xml:space="preserve">            </w:t>
      </w:r>
    </w:p>
    <w:p w14:paraId="0C27FD56">
      <w:pPr>
        <w:adjustRightInd w:val="0"/>
        <w:snapToGrid w:val="0"/>
        <w:spacing w:line="440" w:lineRule="exact"/>
        <w:ind w:firstLine="420" w:firstLineChars="200"/>
        <w:rPr>
          <w:rFonts w:ascii="宋体" w:hAnsi="宋体" w:cs="Times New Roman"/>
          <w:color w:val="auto"/>
          <w:szCs w:val="21"/>
          <w:highlight w:val="none"/>
          <w:u w:val="single"/>
        </w:rPr>
      </w:pPr>
      <w:r>
        <w:rPr>
          <w:rFonts w:hint="eastAsia" w:ascii="宋体" w:hAnsi="宋体" w:cs="Times New Roman"/>
          <w:color w:val="auto"/>
          <w:szCs w:val="21"/>
          <w:highlight w:val="none"/>
        </w:rPr>
        <w:t>联系人：</w:t>
      </w:r>
      <w:r>
        <w:rPr>
          <w:rFonts w:hint="eastAsia" w:ascii="宋体" w:hAnsi="宋体" w:cs="Times New Roman"/>
          <w:color w:val="auto"/>
          <w:szCs w:val="21"/>
          <w:highlight w:val="none"/>
          <w:u w:val="single"/>
        </w:rPr>
        <w:t xml:space="preserve">          </w:t>
      </w:r>
      <w:r>
        <w:rPr>
          <w:rFonts w:hint="eastAsia" w:ascii="宋体" w:hAnsi="宋体" w:cs="Times New Roman"/>
          <w:color w:val="auto"/>
          <w:szCs w:val="21"/>
          <w:highlight w:val="none"/>
        </w:rPr>
        <w:t xml:space="preserve"> 联系人手机号码：</w:t>
      </w:r>
      <w:r>
        <w:rPr>
          <w:rFonts w:hint="eastAsia" w:ascii="宋体" w:hAnsi="宋体" w:cs="Times New Roman"/>
          <w:color w:val="auto"/>
          <w:szCs w:val="21"/>
          <w:highlight w:val="none"/>
          <w:u w:val="single"/>
        </w:rPr>
        <w:t xml:space="preserve">          </w:t>
      </w:r>
      <w:r>
        <w:rPr>
          <w:rFonts w:hint="eastAsia" w:ascii="宋体" w:hAnsi="宋体" w:cs="Times New Roman"/>
          <w:color w:val="auto"/>
          <w:szCs w:val="21"/>
          <w:highlight w:val="none"/>
        </w:rPr>
        <w:t>传真：</w:t>
      </w:r>
      <w:r>
        <w:rPr>
          <w:rFonts w:hint="eastAsia" w:ascii="宋体" w:hAnsi="宋体" w:cs="Times New Roman"/>
          <w:color w:val="auto"/>
          <w:szCs w:val="21"/>
          <w:highlight w:val="none"/>
          <w:u w:val="single"/>
        </w:rPr>
        <w:t xml:space="preserve">          </w:t>
      </w:r>
    </w:p>
    <w:p w14:paraId="752E8CFA">
      <w:pPr>
        <w:adjustRightInd w:val="0"/>
        <w:snapToGrid w:val="0"/>
        <w:spacing w:line="440" w:lineRule="exact"/>
        <w:ind w:firstLine="420" w:firstLineChars="200"/>
        <w:rPr>
          <w:rFonts w:cs="Times New Roman"/>
          <w:color w:val="auto"/>
          <w:szCs w:val="21"/>
          <w:highlight w:val="none"/>
          <w:u w:val="single"/>
        </w:rPr>
      </w:pPr>
      <w:r>
        <w:rPr>
          <w:rFonts w:hint="eastAsia" w:ascii="宋体" w:hAnsi="宋体" w:cs="Times New Roman"/>
          <w:color w:val="auto"/>
          <w:szCs w:val="21"/>
          <w:highlight w:val="none"/>
        </w:rPr>
        <w:t>日期：</w:t>
      </w:r>
      <w:r>
        <w:rPr>
          <w:rFonts w:hint="eastAsia" w:ascii="宋体" w:hAnsi="宋体" w:cs="Times New Roman"/>
          <w:color w:val="auto"/>
          <w:szCs w:val="21"/>
          <w:highlight w:val="none"/>
          <w:u w:val="single"/>
        </w:rPr>
        <w:t xml:space="preserve">           </w:t>
      </w:r>
      <w:r>
        <w:rPr>
          <w:rFonts w:hint="eastAsia" w:ascii="宋体" w:hAnsi="宋体" w:cs="Times New Roman"/>
          <w:color w:val="auto"/>
          <w:szCs w:val="21"/>
          <w:highlight w:val="none"/>
        </w:rPr>
        <w:t xml:space="preserve">年 </w:t>
      </w:r>
      <w:r>
        <w:rPr>
          <w:rFonts w:hint="eastAsia" w:ascii="宋体" w:hAnsi="宋体" w:cs="Times New Roman"/>
          <w:color w:val="auto"/>
          <w:szCs w:val="21"/>
          <w:highlight w:val="none"/>
          <w:u w:val="single"/>
        </w:rPr>
        <w:t xml:space="preserve">       </w:t>
      </w:r>
      <w:r>
        <w:rPr>
          <w:rFonts w:hint="eastAsia" w:ascii="宋体" w:hAnsi="宋体" w:cs="Times New Roman"/>
          <w:color w:val="auto"/>
          <w:szCs w:val="21"/>
          <w:highlight w:val="none"/>
        </w:rPr>
        <w:t xml:space="preserve">月 </w:t>
      </w:r>
      <w:r>
        <w:rPr>
          <w:rFonts w:hint="eastAsia" w:ascii="宋体" w:hAnsi="宋体" w:cs="Times New Roman"/>
          <w:color w:val="auto"/>
          <w:szCs w:val="21"/>
          <w:highlight w:val="none"/>
          <w:u w:val="single"/>
        </w:rPr>
        <w:t xml:space="preserve">       </w:t>
      </w:r>
      <w:r>
        <w:rPr>
          <w:rFonts w:hint="eastAsia" w:ascii="宋体" w:hAnsi="宋体" w:cs="Times New Roman"/>
          <w:color w:val="auto"/>
          <w:szCs w:val="21"/>
          <w:highlight w:val="none"/>
        </w:rPr>
        <w:t>日</w:t>
      </w:r>
    </w:p>
    <w:p w14:paraId="15E35C21">
      <w:pPr>
        <w:pageBreakBefore/>
        <w:spacing w:line="360" w:lineRule="auto"/>
        <w:jc w:val="center"/>
        <w:rPr>
          <w:rFonts w:ascii="宋体" w:hAnsi="宋体" w:cs="宋体"/>
          <w:b/>
          <w:color w:val="auto"/>
          <w:sz w:val="28"/>
          <w:szCs w:val="28"/>
          <w:highlight w:val="none"/>
        </w:rPr>
      </w:pPr>
      <w:r>
        <w:rPr>
          <w:rFonts w:hint="eastAsia" w:ascii="宋体" w:hAnsi="宋体" w:cs="宋体"/>
          <w:b/>
          <w:color w:val="auto"/>
          <w:sz w:val="28"/>
          <w:szCs w:val="28"/>
          <w:highlight w:val="none"/>
        </w:rPr>
        <w:t>（2）法定代表人身份证明或授权委托书</w:t>
      </w:r>
    </w:p>
    <w:p w14:paraId="4E521F40">
      <w:pPr>
        <w:keepNext/>
        <w:keepLines/>
        <w:spacing w:before="260" w:after="260" w:line="412" w:lineRule="auto"/>
        <w:jc w:val="center"/>
        <w:outlineLvl w:val="2"/>
        <w:rPr>
          <w:rFonts w:ascii="宋体" w:hAnsi="宋体" w:cs="宋体"/>
          <w:b/>
          <w:color w:val="auto"/>
          <w:sz w:val="28"/>
          <w:szCs w:val="28"/>
          <w:highlight w:val="none"/>
        </w:rPr>
      </w:pPr>
      <w:bookmarkStart w:id="873" w:name="_Toc5754"/>
      <w:r>
        <w:rPr>
          <w:rFonts w:hint="eastAsia" w:ascii="宋体" w:hAnsi="宋体" w:cs="宋体"/>
          <w:b/>
          <w:color w:val="auto"/>
          <w:sz w:val="28"/>
          <w:szCs w:val="28"/>
          <w:highlight w:val="none"/>
        </w:rPr>
        <w:t>①法定代表人身份证明</w:t>
      </w:r>
      <w:bookmarkEnd w:id="873"/>
    </w:p>
    <w:p w14:paraId="3F85BC1B">
      <w:pPr>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投标人名称：</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p>
    <w:p w14:paraId="088E3A31">
      <w:pPr>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单位性质：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p>
    <w:p w14:paraId="535B303C">
      <w:pPr>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地    址：</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p>
    <w:p w14:paraId="6C563DBE">
      <w:pPr>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成立时间：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14:paraId="438B9AF5">
      <w:pPr>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经营期限：</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p>
    <w:p w14:paraId="5DC4896F">
      <w:pPr>
        <w:spacing w:line="480" w:lineRule="exact"/>
        <w:ind w:firstLine="720" w:firstLineChars="100"/>
        <w:rPr>
          <w:rFonts w:ascii="宋体" w:hAnsi="宋体" w:cs="宋体"/>
          <w:color w:val="auto"/>
          <w:sz w:val="24"/>
          <w:szCs w:val="24"/>
          <w:highlight w:val="none"/>
          <w:u w:val="single"/>
        </w:rPr>
      </w:pPr>
      <w:r>
        <w:rPr>
          <w:rFonts w:hint="eastAsia" w:ascii="宋体" w:hAnsi="宋体" w:cs="宋体"/>
          <w:color w:val="auto"/>
          <w:spacing w:val="240"/>
          <w:sz w:val="24"/>
          <w:szCs w:val="24"/>
          <w:highlight w:val="none"/>
        </w:rPr>
        <w:t>姓</w:t>
      </w:r>
      <w:r>
        <w:rPr>
          <w:rFonts w:hint="eastAsia" w:ascii="宋体" w:hAnsi="宋体" w:cs="宋体"/>
          <w:color w:val="auto"/>
          <w:sz w:val="24"/>
          <w:szCs w:val="24"/>
          <w:highlight w:val="none"/>
        </w:rPr>
        <w:t>名：</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性别：</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年龄：</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职务：</w:t>
      </w:r>
      <w:r>
        <w:rPr>
          <w:rFonts w:hint="eastAsia" w:ascii="宋体" w:hAnsi="宋体" w:cs="宋体"/>
          <w:color w:val="auto"/>
          <w:sz w:val="24"/>
          <w:szCs w:val="24"/>
          <w:highlight w:val="none"/>
          <w:u w:val="single"/>
        </w:rPr>
        <w:t xml:space="preserve">       </w:t>
      </w:r>
    </w:p>
    <w:p w14:paraId="57D95EC2">
      <w:pPr>
        <w:spacing w:line="480" w:lineRule="exact"/>
        <w:ind w:firstLine="240" w:firstLineChars="100"/>
        <w:rPr>
          <w:rFonts w:ascii="宋体" w:hAnsi="宋体" w:cs="宋体"/>
          <w:color w:val="auto"/>
          <w:sz w:val="24"/>
          <w:szCs w:val="24"/>
          <w:highlight w:val="none"/>
        </w:rPr>
      </w:pPr>
      <w:r>
        <w:rPr>
          <w:rFonts w:hint="eastAsia" w:ascii="宋体" w:hAnsi="宋体" w:cs="宋体"/>
          <w:color w:val="auto"/>
          <w:sz w:val="24"/>
          <w:szCs w:val="24"/>
          <w:highlight w:val="none"/>
        </w:rPr>
        <w:t>系</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（投标人名称）的法定代表人。</w:t>
      </w:r>
    </w:p>
    <w:p w14:paraId="491526D9">
      <w:pPr>
        <w:spacing w:line="480" w:lineRule="exact"/>
        <w:ind w:firstLine="960" w:firstLineChars="400"/>
        <w:rPr>
          <w:rFonts w:ascii="宋体" w:hAnsi="宋体" w:cs="宋体"/>
          <w:color w:val="auto"/>
          <w:sz w:val="24"/>
          <w:szCs w:val="24"/>
          <w:highlight w:val="none"/>
        </w:rPr>
      </w:pPr>
      <w:r>
        <w:rPr>
          <w:rFonts w:hint="eastAsia" w:ascii="宋体" w:hAnsi="宋体" w:cs="宋体"/>
          <w:color w:val="auto"/>
          <w:sz w:val="24"/>
          <w:szCs w:val="24"/>
          <w:highlight w:val="none"/>
        </w:rPr>
        <w:t>特此证明。</w:t>
      </w:r>
    </w:p>
    <w:p w14:paraId="4B801BA9">
      <w:pPr>
        <w:spacing w:line="360" w:lineRule="auto"/>
        <w:ind w:firstLine="3480" w:firstLineChars="1450"/>
        <w:rPr>
          <w:rFonts w:ascii="宋体" w:hAnsi="宋体" w:cs="宋体"/>
          <w:color w:val="auto"/>
          <w:sz w:val="24"/>
          <w:szCs w:val="24"/>
          <w:highlight w:val="none"/>
        </w:rPr>
      </w:pPr>
      <w:r>
        <w:rPr>
          <w:rFonts w:hint="eastAsia" w:ascii="宋体" w:hAnsi="宋体" w:cs="宋体"/>
          <w:color w:val="auto"/>
          <w:sz w:val="24"/>
          <w:szCs w:val="24"/>
          <w:highlight w:val="none"/>
        </w:rPr>
        <w:t>投标人：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（签章）</w:t>
      </w:r>
    </w:p>
    <w:p w14:paraId="0CB21184">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 xml:space="preserve">                                        年    月     日</w:t>
      </w:r>
    </w:p>
    <w:p w14:paraId="2656B6BE">
      <w:pPr>
        <w:spacing w:line="360" w:lineRule="auto"/>
        <w:ind w:firstLine="3080" w:firstLineChars="1100"/>
        <w:rPr>
          <w:rFonts w:ascii="宋体" w:hAnsi="宋体" w:cs="宋体"/>
          <w:color w:val="auto"/>
          <w:sz w:val="28"/>
          <w:szCs w:val="28"/>
          <w:highlight w:val="none"/>
        </w:rPr>
      </w:pPr>
    </w:p>
    <w:p w14:paraId="67AD5CEE">
      <w:pPr>
        <w:rPr>
          <w:rFonts w:ascii="宋体" w:hAnsi="宋体" w:cs="宋体"/>
          <w:b/>
          <w:bCs/>
          <w:color w:val="auto"/>
          <w:sz w:val="28"/>
          <w:szCs w:val="28"/>
          <w:highlight w:val="none"/>
        </w:rPr>
      </w:pPr>
      <w:r>
        <w:rPr>
          <w:rFonts w:hint="eastAsia" w:ascii="宋体" w:hAnsi="宋体" w:cs="宋体"/>
          <w:b/>
          <w:bCs/>
          <w:color w:val="auto"/>
          <w:sz w:val="28"/>
          <w:szCs w:val="28"/>
          <w:highlight w:val="none"/>
        </w:rPr>
        <w:t>附：法定代表人身份证扫描件</w:t>
      </w:r>
    </w:p>
    <w:p w14:paraId="00D3025D">
      <w:pPr>
        <w:adjustRightInd w:val="0"/>
        <w:snapToGrid w:val="0"/>
        <w:spacing w:line="440" w:lineRule="exact"/>
        <w:rPr>
          <w:rFonts w:ascii="宋体" w:cs="Times New Roman"/>
          <w:color w:val="auto"/>
          <w:sz w:val="28"/>
          <w:szCs w:val="28"/>
          <w:highlight w:val="none"/>
        </w:rPr>
      </w:pPr>
    </w:p>
    <w:p w14:paraId="3A0E4C7A">
      <w:pPr>
        <w:adjustRightInd w:val="0"/>
        <w:snapToGrid w:val="0"/>
        <w:spacing w:line="440" w:lineRule="exact"/>
        <w:rPr>
          <w:rFonts w:ascii="宋体" w:cs="Times New Roman"/>
          <w:color w:val="auto"/>
          <w:sz w:val="28"/>
          <w:szCs w:val="28"/>
          <w:highlight w:val="none"/>
        </w:rPr>
      </w:pPr>
    </w:p>
    <w:p w14:paraId="5198C1FB">
      <w:pPr>
        <w:widowControl/>
        <w:adjustRightInd w:val="0"/>
        <w:snapToGrid w:val="0"/>
        <w:spacing w:line="440" w:lineRule="exact"/>
        <w:jc w:val="center"/>
        <w:rPr>
          <w:rFonts w:ascii="宋体" w:cs="Times New Roman"/>
          <w:color w:val="auto"/>
          <w:kern w:val="0"/>
          <w:sz w:val="30"/>
          <w:szCs w:val="30"/>
          <w:highlight w:val="none"/>
          <w:u w:color="000000"/>
        </w:rPr>
      </w:pPr>
    </w:p>
    <w:p w14:paraId="6C56A16F">
      <w:pPr>
        <w:spacing w:line="440" w:lineRule="exact"/>
        <w:rPr>
          <w:rFonts w:cs="Times New Roman"/>
          <w:color w:val="auto"/>
          <w:szCs w:val="24"/>
          <w:highlight w:val="none"/>
        </w:rPr>
      </w:pPr>
    </w:p>
    <w:p w14:paraId="527C04B4">
      <w:pPr>
        <w:spacing w:after="120" w:line="440" w:lineRule="exact"/>
        <w:ind w:left="420" w:leftChars="200" w:firstLine="420" w:firstLineChars="200"/>
        <w:rPr>
          <w:rFonts w:cs="Times New Roman"/>
          <w:color w:val="auto"/>
          <w:szCs w:val="24"/>
          <w:highlight w:val="none"/>
        </w:rPr>
      </w:pPr>
    </w:p>
    <w:p w14:paraId="7ACD3E16">
      <w:pPr>
        <w:spacing w:line="440" w:lineRule="exact"/>
        <w:rPr>
          <w:rFonts w:cs="Times New Roman"/>
          <w:color w:val="auto"/>
          <w:szCs w:val="24"/>
          <w:highlight w:val="none"/>
        </w:rPr>
      </w:pPr>
    </w:p>
    <w:p w14:paraId="2ED3C3E2">
      <w:pPr>
        <w:spacing w:after="120" w:line="440" w:lineRule="exact"/>
        <w:ind w:left="420" w:leftChars="200" w:firstLine="420" w:firstLineChars="200"/>
        <w:rPr>
          <w:rFonts w:cs="Times New Roman"/>
          <w:color w:val="auto"/>
          <w:szCs w:val="24"/>
          <w:highlight w:val="none"/>
        </w:rPr>
      </w:pPr>
    </w:p>
    <w:p w14:paraId="0D0E928A">
      <w:pPr>
        <w:spacing w:line="440" w:lineRule="exact"/>
        <w:rPr>
          <w:rFonts w:cs="Times New Roman"/>
          <w:color w:val="auto"/>
          <w:szCs w:val="24"/>
          <w:highlight w:val="none"/>
        </w:rPr>
      </w:pPr>
    </w:p>
    <w:p w14:paraId="03187F05">
      <w:pPr>
        <w:spacing w:after="120" w:line="440" w:lineRule="exact"/>
        <w:ind w:left="420" w:leftChars="200" w:firstLine="420" w:firstLineChars="200"/>
        <w:rPr>
          <w:rFonts w:cs="Times New Roman"/>
          <w:color w:val="auto"/>
          <w:szCs w:val="24"/>
          <w:highlight w:val="none"/>
        </w:rPr>
      </w:pPr>
    </w:p>
    <w:p w14:paraId="5DCD8FD9">
      <w:pPr>
        <w:widowControl/>
        <w:adjustRightInd w:val="0"/>
        <w:snapToGrid w:val="0"/>
        <w:spacing w:line="440" w:lineRule="exact"/>
        <w:jc w:val="center"/>
        <w:rPr>
          <w:rFonts w:ascii="宋体" w:cs="Times New Roman"/>
          <w:color w:val="auto"/>
          <w:kern w:val="0"/>
          <w:sz w:val="30"/>
          <w:szCs w:val="30"/>
          <w:highlight w:val="none"/>
          <w:u w:color="000000"/>
        </w:rPr>
      </w:pPr>
    </w:p>
    <w:p w14:paraId="3214580B">
      <w:pPr>
        <w:spacing w:line="440" w:lineRule="exact"/>
        <w:rPr>
          <w:rFonts w:cs="Times New Roman"/>
          <w:color w:val="auto"/>
          <w:szCs w:val="24"/>
          <w:highlight w:val="none"/>
        </w:rPr>
      </w:pPr>
    </w:p>
    <w:p w14:paraId="5182712A">
      <w:pPr>
        <w:spacing w:line="440" w:lineRule="exact"/>
        <w:rPr>
          <w:rFonts w:cs="Times New Roman"/>
          <w:color w:val="auto"/>
          <w:szCs w:val="24"/>
          <w:highlight w:val="none"/>
        </w:rPr>
      </w:pPr>
    </w:p>
    <w:p w14:paraId="143C49ED">
      <w:pPr>
        <w:widowControl/>
        <w:adjustRightInd w:val="0"/>
        <w:snapToGrid w:val="0"/>
        <w:spacing w:line="440" w:lineRule="exact"/>
        <w:jc w:val="center"/>
        <w:rPr>
          <w:rFonts w:ascii="宋体" w:cs="Times New Roman"/>
          <w:color w:val="auto"/>
          <w:kern w:val="0"/>
          <w:sz w:val="30"/>
          <w:szCs w:val="30"/>
          <w:highlight w:val="none"/>
          <w:u w:color="000000"/>
        </w:rPr>
      </w:pPr>
    </w:p>
    <w:p w14:paraId="0332E0BD">
      <w:pPr>
        <w:keepNext/>
        <w:keepLines/>
        <w:pageBreakBefore/>
        <w:spacing w:before="260" w:after="260" w:line="415" w:lineRule="auto"/>
        <w:jc w:val="center"/>
        <w:outlineLvl w:val="2"/>
        <w:rPr>
          <w:rFonts w:ascii="宋体" w:hAnsi="宋体" w:cs="宋体"/>
          <w:b/>
          <w:color w:val="auto"/>
          <w:sz w:val="28"/>
          <w:szCs w:val="28"/>
          <w:highlight w:val="none"/>
        </w:rPr>
      </w:pPr>
      <w:bookmarkStart w:id="874" w:name="_Toc7022"/>
      <w:r>
        <w:rPr>
          <w:rFonts w:hint="eastAsia" w:ascii="宋体" w:hAnsi="宋体" w:cs="宋体"/>
          <w:b/>
          <w:color w:val="auto"/>
          <w:sz w:val="28"/>
          <w:szCs w:val="28"/>
          <w:highlight w:val="none"/>
        </w:rPr>
        <w:t>②授权委托书</w:t>
      </w:r>
      <w:bookmarkEnd w:id="874"/>
    </w:p>
    <w:p w14:paraId="51E45E91">
      <w:pPr>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本人</w:t>
      </w:r>
      <w:r>
        <w:rPr>
          <w:rFonts w:hint="eastAsia" w:ascii="宋体" w:hAnsi="宋体" w:cs="宋体"/>
          <w:color w:val="auto"/>
          <w:sz w:val="24"/>
          <w:szCs w:val="24"/>
          <w:highlight w:val="none"/>
          <w:u w:val="single"/>
        </w:rPr>
        <w:t xml:space="preserve">     （姓名）</w:t>
      </w:r>
      <w:r>
        <w:rPr>
          <w:rFonts w:hint="eastAsia" w:ascii="宋体" w:hAnsi="宋体" w:cs="宋体"/>
          <w:color w:val="auto"/>
          <w:sz w:val="24"/>
          <w:szCs w:val="24"/>
          <w:highlight w:val="none"/>
        </w:rPr>
        <w:t>系</w:t>
      </w:r>
      <w:r>
        <w:rPr>
          <w:rFonts w:hint="eastAsia" w:ascii="宋体" w:hAnsi="宋体" w:cs="宋体"/>
          <w:color w:val="auto"/>
          <w:sz w:val="24"/>
          <w:szCs w:val="24"/>
          <w:highlight w:val="none"/>
          <w:u w:val="single"/>
        </w:rPr>
        <w:t xml:space="preserve">       （投标人）</w:t>
      </w:r>
      <w:r>
        <w:rPr>
          <w:rFonts w:hint="eastAsia" w:ascii="宋体" w:hAnsi="宋体" w:cs="宋体"/>
          <w:color w:val="auto"/>
          <w:sz w:val="24"/>
          <w:szCs w:val="24"/>
          <w:highlight w:val="none"/>
        </w:rPr>
        <w:t>的法定代表人，现委托</w:t>
      </w:r>
      <w:r>
        <w:rPr>
          <w:rFonts w:hint="eastAsia" w:ascii="宋体" w:hAnsi="宋体" w:cs="宋体"/>
          <w:color w:val="auto"/>
          <w:sz w:val="24"/>
          <w:szCs w:val="24"/>
          <w:highlight w:val="none"/>
          <w:u w:val="single"/>
        </w:rPr>
        <w:t xml:space="preserve">   （姓名）</w:t>
      </w:r>
      <w:r>
        <w:rPr>
          <w:rFonts w:hint="eastAsia" w:ascii="宋体" w:hAnsi="宋体" w:cs="宋体"/>
          <w:color w:val="auto"/>
          <w:sz w:val="24"/>
          <w:szCs w:val="24"/>
          <w:highlight w:val="none"/>
        </w:rPr>
        <w:t>为我方代理人。代理人根据授权，以我方名义签署、澄清、说明、补正、递交、撤回、修改</w:t>
      </w:r>
      <w:r>
        <w:rPr>
          <w:rFonts w:hint="eastAsia" w:ascii="宋体" w:hAnsi="宋体" w:cs="宋体"/>
          <w:color w:val="auto"/>
          <w:sz w:val="24"/>
          <w:szCs w:val="24"/>
          <w:highlight w:val="none"/>
          <w:u w:val="single"/>
        </w:rPr>
        <w:t xml:space="preserve"> “       ”(项目名称、编号）</w:t>
      </w:r>
      <w:r>
        <w:rPr>
          <w:rFonts w:hint="eastAsia" w:ascii="宋体" w:hAnsi="宋体" w:cs="宋体"/>
          <w:color w:val="auto"/>
          <w:sz w:val="24"/>
          <w:szCs w:val="24"/>
          <w:highlight w:val="none"/>
        </w:rPr>
        <w:t>投标文件，全权处理与该项目投标、评审答疑、签订合同以及与合同执行有关的一切事务，其法律后果由我方承担。</w:t>
      </w:r>
    </w:p>
    <w:p w14:paraId="410CCB74">
      <w:pPr>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委托期限：</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p>
    <w:p w14:paraId="22E5E567">
      <w:pPr>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代理人无转委托权。</w:t>
      </w:r>
    </w:p>
    <w:p w14:paraId="689E6619">
      <w:pPr>
        <w:spacing w:line="480" w:lineRule="exact"/>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附：委托代理人有效身份证扫描件</w:t>
      </w:r>
    </w:p>
    <w:p w14:paraId="1FBFCA70">
      <w:pPr>
        <w:spacing w:line="480" w:lineRule="exact"/>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法定代表人有效身份证扫描件</w:t>
      </w:r>
    </w:p>
    <w:p w14:paraId="1BC6001C">
      <w:pPr>
        <w:adjustRightInd w:val="0"/>
        <w:snapToGrid w:val="0"/>
        <w:spacing w:line="440" w:lineRule="exact"/>
        <w:ind w:firstLine="560" w:firstLineChars="200"/>
        <w:rPr>
          <w:rFonts w:ascii="宋体" w:cs="Times New Roman"/>
          <w:color w:val="auto"/>
          <w:sz w:val="28"/>
          <w:szCs w:val="28"/>
          <w:highlight w:val="none"/>
        </w:rPr>
      </w:pPr>
    </w:p>
    <w:p w14:paraId="15FEE859">
      <w:pPr>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投标人（签章）：</w:t>
      </w:r>
    </w:p>
    <w:p w14:paraId="6F245E51">
      <w:pPr>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法定代表人（身份证号码）：             （签章）</w:t>
      </w:r>
    </w:p>
    <w:p w14:paraId="61434E46">
      <w:pPr>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联系方式：</w:t>
      </w:r>
    </w:p>
    <w:p w14:paraId="6E1EAF37">
      <w:pPr>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委托代理人（身份证号码）：      </w:t>
      </w:r>
    </w:p>
    <w:p w14:paraId="2A34BE61">
      <w:pPr>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联系方式：</w:t>
      </w:r>
    </w:p>
    <w:p w14:paraId="44784A35">
      <w:pPr>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年    月    日</w:t>
      </w:r>
    </w:p>
    <w:p w14:paraId="55C3AB38">
      <w:pPr>
        <w:spacing w:after="120" w:line="440" w:lineRule="exact"/>
        <w:ind w:left="420" w:leftChars="200" w:firstLine="420" w:firstLineChars="200"/>
        <w:rPr>
          <w:rFonts w:cs="Times New Roman"/>
          <w:color w:val="auto"/>
          <w:szCs w:val="24"/>
          <w:highlight w:val="none"/>
        </w:rPr>
      </w:pPr>
    </w:p>
    <w:p w14:paraId="7B49D573">
      <w:pPr>
        <w:adjustRightInd w:val="0"/>
        <w:snapToGrid w:val="0"/>
        <w:spacing w:line="440" w:lineRule="exact"/>
        <w:jc w:val="center"/>
        <w:rPr>
          <w:rFonts w:cs="Times New Roman"/>
          <w:b/>
          <w:color w:val="auto"/>
          <w:sz w:val="28"/>
          <w:szCs w:val="28"/>
          <w:highlight w:val="none"/>
        </w:rPr>
      </w:pPr>
    </w:p>
    <w:p w14:paraId="5A8E8800">
      <w:pPr>
        <w:adjustRightInd w:val="0"/>
        <w:snapToGrid w:val="0"/>
        <w:spacing w:line="440" w:lineRule="exact"/>
        <w:jc w:val="center"/>
        <w:rPr>
          <w:rFonts w:cs="Times New Roman"/>
          <w:b/>
          <w:color w:val="auto"/>
          <w:sz w:val="28"/>
          <w:szCs w:val="28"/>
          <w:highlight w:val="none"/>
        </w:rPr>
      </w:pPr>
    </w:p>
    <w:p w14:paraId="29043F25">
      <w:pPr>
        <w:adjustRightInd w:val="0"/>
        <w:snapToGrid w:val="0"/>
        <w:spacing w:line="440" w:lineRule="exact"/>
        <w:jc w:val="center"/>
        <w:rPr>
          <w:rFonts w:cs="Times New Roman"/>
          <w:b/>
          <w:color w:val="auto"/>
          <w:sz w:val="28"/>
          <w:szCs w:val="28"/>
          <w:highlight w:val="none"/>
        </w:rPr>
      </w:pPr>
    </w:p>
    <w:p w14:paraId="22F72B6F">
      <w:pPr>
        <w:adjustRightInd w:val="0"/>
        <w:snapToGrid w:val="0"/>
        <w:spacing w:line="440" w:lineRule="exact"/>
        <w:jc w:val="center"/>
        <w:rPr>
          <w:rFonts w:cs="Times New Roman"/>
          <w:b/>
          <w:color w:val="auto"/>
          <w:sz w:val="28"/>
          <w:szCs w:val="28"/>
          <w:highlight w:val="none"/>
        </w:rPr>
      </w:pPr>
    </w:p>
    <w:p w14:paraId="7F4A159D">
      <w:pPr>
        <w:adjustRightInd w:val="0"/>
        <w:snapToGrid w:val="0"/>
        <w:spacing w:line="440" w:lineRule="exact"/>
        <w:jc w:val="center"/>
        <w:rPr>
          <w:rFonts w:cs="Times New Roman"/>
          <w:b/>
          <w:color w:val="auto"/>
          <w:sz w:val="28"/>
          <w:szCs w:val="28"/>
          <w:highlight w:val="none"/>
        </w:rPr>
      </w:pPr>
    </w:p>
    <w:p w14:paraId="582C3580">
      <w:pPr>
        <w:adjustRightInd w:val="0"/>
        <w:snapToGrid w:val="0"/>
        <w:spacing w:line="440" w:lineRule="exact"/>
        <w:jc w:val="center"/>
        <w:rPr>
          <w:rFonts w:cs="Times New Roman"/>
          <w:b/>
          <w:color w:val="auto"/>
          <w:sz w:val="28"/>
          <w:szCs w:val="28"/>
          <w:highlight w:val="none"/>
        </w:rPr>
      </w:pPr>
    </w:p>
    <w:p w14:paraId="330D46F1">
      <w:pPr>
        <w:adjustRightInd w:val="0"/>
        <w:snapToGrid w:val="0"/>
        <w:spacing w:line="440" w:lineRule="exact"/>
        <w:jc w:val="center"/>
        <w:rPr>
          <w:rFonts w:cs="Times New Roman"/>
          <w:b/>
          <w:color w:val="auto"/>
          <w:sz w:val="28"/>
          <w:szCs w:val="28"/>
          <w:highlight w:val="none"/>
        </w:rPr>
      </w:pPr>
    </w:p>
    <w:p w14:paraId="1F67646B">
      <w:pPr>
        <w:adjustRightInd w:val="0"/>
        <w:snapToGrid w:val="0"/>
        <w:spacing w:line="440" w:lineRule="exact"/>
        <w:jc w:val="center"/>
        <w:rPr>
          <w:rFonts w:cs="Times New Roman"/>
          <w:b/>
          <w:color w:val="auto"/>
          <w:sz w:val="28"/>
          <w:szCs w:val="28"/>
          <w:highlight w:val="none"/>
        </w:rPr>
      </w:pPr>
    </w:p>
    <w:p w14:paraId="5C8420AE">
      <w:pPr>
        <w:keepNext/>
        <w:keepLines/>
        <w:pageBreakBefore/>
        <w:spacing w:before="260" w:after="260" w:line="415" w:lineRule="auto"/>
        <w:jc w:val="center"/>
        <w:outlineLvl w:val="2"/>
        <w:rPr>
          <w:rFonts w:ascii="宋体" w:hAnsi="宋体" w:cs="宋体"/>
          <w:b/>
          <w:color w:val="auto"/>
          <w:sz w:val="28"/>
          <w:szCs w:val="28"/>
          <w:highlight w:val="none"/>
        </w:rPr>
      </w:pPr>
      <w:bookmarkStart w:id="875" w:name="_Toc14799"/>
      <w:r>
        <w:rPr>
          <w:rFonts w:hint="eastAsia" w:ascii="宋体" w:hAnsi="宋体" w:cs="宋体"/>
          <w:b/>
          <w:color w:val="auto"/>
          <w:sz w:val="28"/>
          <w:szCs w:val="28"/>
          <w:highlight w:val="none"/>
        </w:rPr>
        <w:t>（3）诚信投标承诺书  </w:t>
      </w:r>
      <w:bookmarkEnd w:id="875"/>
    </w:p>
    <w:p w14:paraId="53E69BCF">
      <w:pPr>
        <w:adjustRightInd w:val="0"/>
        <w:snapToGrid w:val="0"/>
        <w:spacing w:line="440" w:lineRule="exact"/>
        <w:ind w:firstLine="420" w:firstLineChars="200"/>
        <w:rPr>
          <w:rFonts w:ascii="宋体" w:hAnsi="宋体" w:cs="Times New Roman"/>
          <w:color w:val="auto"/>
          <w:szCs w:val="21"/>
          <w:highlight w:val="none"/>
        </w:rPr>
      </w:pPr>
      <w:r>
        <w:rPr>
          <w:rFonts w:hint="eastAsia" w:ascii="宋体" w:hAnsi="宋体" w:cs="Times New Roman"/>
          <w:color w:val="auto"/>
          <w:szCs w:val="21"/>
          <w:highlight w:val="none"/>
        </w:rPr>
        <w:t>本人以企业法定代表人的身份郑重承诺：</w:t>
      </w:r>
    </w:p>
    <w:p w14:paraId="50F443EB">
      <w:pPr>
        <w:adjustRightInd w:val="0"/>
        <w:snapToGrid w:val="0"/>
        <w:spacing w:line="440" w:lineRule="exact"/>
        <w:ind w:firstLine="420" w:firstLineChars="200"/>
        <w:rPr>
          <w:rFonts w:ascii="宋体" w:hAnsi="宋体" w:cs="Times New Roman"/>
          <w:color w:val="auto"/>
          <w:szCs w:val="21"/>
          <w:highlight w:val="none"/>
        </w:rPr>
      </w:pPr>
      <w:r>
        <w:rPr>
          <w:rFonts w:hint="eastAsia" w:ascii="宋体" w:hAnsi="宋体" w:cs="Times New Roman"/>
          <w:color w:val="auto"/>
          <w:szCs w:val="21"/>
          <w:highlight w:val="none"/>
        </w:rPr>
        <w:t>一、将遵循公</w:t>
      </w:r>
      <w:bookmarkStart w:id="876" w:name="_Toc503196197"/>
      <w:bookmarkStart w:id="877" w:name="_Toc506107356"/>
      <w:bookmarkStart w:id="878" w:name="_Toc26598"/>
      <w:r>
        <w:rPr>
          <w:rFonts w:hint="eastAsia" w:ascii="宋体" w:hAnsi="宋体" w:cs="Times New Roman"/>
          <w:color w:val="auto"/>
          <w:szCs w:val="21"/>
          <w:highlight w:val="none"/>
        </w:rPr>
        <w:t>开、公正和诚实信用</w:t>
      </w:r>
      <w:bookmarkEnd w:id="876"/>
      <w:bookmarkEnd w:id="877"/>
      <w:r>
        <w:rPr>
          <w:rFonts w:hint="eastAsia" w:ascii="宋体" w:hAnsi="宋体" w:cs="Times New Roman"/>
          <w:color w:val="auto"/>
          <w:szCs w:val="21"/>
          <w:highlight w:val="none"/>
        </w:rPr>
        <w:t>的</w:t>
      </w:r>
      <w:bookmarkEnd w:id="878"/>
      <w:r>
        <w:rPr>
          <w:rFonts w:hint="eastAsia" w:ascii="宋体" w:hAnsi="宋体" w:cs="Times New Roman"/>
          <w:color w:val="auto"/>
          <w:szCs w:val="21"/>
          <w:highlight w:val="none"/>
        </w:rPr>
        <w:t>原则自愿参加</w:t>
      </w:r>
      <w:r>
        <w:rPr>
          <w:rFonts w:hint="eastAsia" w:ascii="宋体" w:hAnsi="宋体" w:cs="Times New Roman"/>
          <w:color w:val="auto"/>
          <w:szCs w:val="21"/>
          <w:highlight w:val="none"/>
          <w:u w:val="single"/>
        </w:rPr>
        <w:t xml:space="preserve">                     （项目名称）</w:t>
      </w:r>
      <w:r>
        <w:rPr>
          <w:rFonts w:hint="eastAsia" w:ascii="宋体" w:hAnsi="宋体" w:cs="Times New Roman"/>
          <w:color w:val="auto"/>
          <w:szCs w:val="21"/>
          <w:highlight w:val="none"/>
        </w:rPr>
        <w:t>项目的投标；</w:t>
      </w:r>
    </w:p>
    <w:p w14:paraId="45DE618B">
      <w:pPr>
        <w:adjustRightInd w:val="0"/>
        <w:snapToGrid w:val="0"/>
        <w:spacing w:line="440" w:lineRule="exact"/>
        <w:ind w:firstLine="420" w:firstLineChars="200"/>
        <w:rPr>
          <w:rFonts w:ascii="宋体" w:hAnsi="宋体" w:cs="Times New Roman"/>
          <w:color w:val="auto"/>
          <w:szCs w:val="21"/>
          <w:highlight w:val="none"/>
        </w:rPr>
      </w:pPr>
      <w:r>
        <w:rPr>
          <w:rFonts w:hint="eastAsia" w:ascii="宋体" w:hAnsi="宋体" w:cs="Times New Roman"/>
          <w:color w:val="auto"/>
          <w:szCs w:val="21"/>
          <w:highlight w:val="none"/>
        </w:rPr>
        <w:t>二、所提供的一切材料都是真实、合法的；</w:t>
      </w:r>
    </w:p>
    <w:p w14:paraId="7F50DCCC">
      <w:pPr>
        <w:adjustRightInd w:val="0"/>
        <w:snapToGrid w:val="0"/>
        <w:spacing w:line="440" w:lineRule="exact"/>
        <w:ind w:firstLine="420" w:firstLineChars="200"/>
        <w:rPr>
          <w:rFonts w:ascii="宋体" w:hAnsi="宋体" w:cs="Times New Roman"/>
          <w:color w:val="auto"/>
          <w:szCs w:val="21"/>
          <w:highlight w:val="none"/>
        </w:rPr>
      </w:pPr>
      <w:r>
        <w:rPr>
          <w:rFonts w:hint="eastAsia" w:ascii="宋体" w:hAnsi="宋体" w:cs="Times New Roman"/>
          <w:color w:val="auto"/>
          <w:szCs w:val="21"/>
          <w:highlight w:val="none"/>
        </w:rPr>
        <w:t>三、不出借、转让资质证书，不让他人挂靠投标，不以他人名义投标或者以其他方式弄虚作假，骗取中标；</w:t>
      </w:r>
    </w:p>
    <w:p w14:paraId="5C336D00">
      <w:pPr>
        <w:adjustRightInd w:val="0"/>
        <w:snapToGrid w:val="0"/>
        <w:spacing w:line="440" w:lineRule="exact"/>
        <w:ind w:firstLine="420" w:firstLineChars="200"/>
        <w:rPr>
          <w:rFonts w:ascii="宋体" w:hAnsi="宋体" w:cs="Times New Roman"/>
          <w:color w:val="auto"/>
          <w:szCs w:val="21"/>
          <w:highlight w:val="none"/>
        </w:rPr>
      </w:pPr>
      <w:r>
        <w:rPr>
          <w:rFonts w:hint="eastAsia" w:ascii="宋体" w:hAnsi="宋体" w:cs="Times New Roman"/>
          <w:color w:val="auto"/>
          <w:szCs w:val="21"/>
          <w:highlight w:val="none"/>
        </w:rPr>
        <w:t>四、不与其他投标人相互串通投标报价，不排挤其他投标人的公平竞争、损害招标人的合法权益；</w:t>
      </w:r>
    </w:p>
    <w:p w14:paraId="3BE9929C">
      <w:pPr>
        <w:adjustRightInd w:val="0"/>
        <w:snapToGrid w:val="0"/>
        <w:spacing w:line="440" w:lineRule="exact"/>
        <w:ind w:firstLine="420" w:firstLineChars="200"/>
        <w:rPr>
          <w:rFonts w:ascii="宋体" w:hAnsi="宋体" w:cs="Times New Roman"/>
          <w:color w:val="auto"/>
          <w:szCs w:val="21"/>
          <w:highlight w:val="none"/>
        </w:rPr>
      </w:pPr>
      <w:r>
        <w:rPr>
          <w:rFonts w:hint="eastAsia" w:ascii="宋体" w:hAnsi="宋体" w:cs="Times New Roman"/>
          <w:color w:val="auto"/>
          <w:szCs w:val="21"/>
          <w:highlight w:val="none"/>
        </w:rPr>
        <w:t>五、不与招标人、招标代理机构或其他投标人串通投标，损害国家利益、社会公共利益或者他人的合法权益；</w:t>
      </w:r>
    </w:p>
    <w:p w14:paraId="0AAA3CF2">
      <w:pPr>
        <w:adjustRightInd w:val="0"/>
        <w:snapToGrid w:val="0"/>
        <w:spacing w:line="440" w:lineRule="exact"/>
        <w:ind w:firstLine="420" w:firstLineChars="200"/>
        <w:rPr>
          <w:rFonts w:ascii="宋体" w:hAnsi="宋体" w:cs="Times New Roman"/>
          <w:color w:val="auto"/>
          <w:szCs w:val="21"/>
          <w:highlight w:val="none"/>
        </w:rPr>
      </w:pPr>
      <w:r>
        <w:rPr>
          <w:rFonts w:hint="eastAsia" w:ascii="宋体" w:hAnsi="宋体" w:cs="Times New Roman"/>
          <w:color w:val="auto"/>
          <w:szCs w:val="21"/>
          <w:highlight w:val="none"/>
        </w:rPr>
        <w:t>六、</w:t>
      </w:r>
      <w:r>
        <w:rPr>
          <w:rFonts w:hint="eastAsia" w:ascii="宋体" w:hAnsi="宋体" w:cs="Times New Roman"/>
          <w:color w:val="auto"/>
          <w:szCs w:val="21"/>
          <w:highlight w:val="none"/>
          <w:u w:val="single"/>
        </w:rPr>
        <w:t xml:space="preserve">       （企业名称）</w:t>
      </w:r>
      <w:r>
        <w:rPr>
          <w:rFonts w:hint="eastAsia" w:ascii="宋体" w:hAnsi="宋体" w:cs="Times New Roman"/>
          <w:color w:val="auto"/>
          <w:szCs w:val="21"/>
          <w:highlight w:val="none"/>
        </w:rPr>
        <w:t xml:space="preserve">或 </w:t>
      </w:r>
      <w:r>
        <w:rPr>
          <w:rFonts w:hint="eastAsia" w:ascii="宋体" w:hAnsi="宋体" w:cs="Times New Roman"/>
          <w:color w:val="auto"/>
          <w:szCs w:val="21"/>
          <w:highlight w:val="none"/>
          <w:u w:val="single"/>
        </w:rPr>
        <w:t xml:space="preserve">    （企业名称）</w:t>
      </w:r>
      <w:r>
        <w:rPr>
          <w:rFonts w:hint="eastAsia" w:ascii="宋体" w:hAnsi="宋体" w:cs="Times New Roman"/>
          <w:color w:val="auto"/>
          <w:szCs w:val="21"/>
          <w:highlight w:val="none"/>
        </w:rPr>
        <w:t>法定代表人</w:t>
      </w:r>
      <w:r>
        <w:rPr>
          <w:rFonts w:hint="eastAsia" w:ascii="宋体" w:hAnsi="宋体" w:cs="Times New Roman"/>
          <w:color w:val="auto"/>
          <w:szCs w:val="21"/>
          <w:highlight w:val="none"/>
          <w:u w:val="single"/>
        </w:rPr>
        <w:t xml:space="preserve">    </w:t>
      </w:r>
      <w:r>
        <w:rPr>
          <w:rFonts w:hint="eastAsia" w:ascii="宋体" w:hAnsi="宋体" w:cs="Times New Roman"/>
          <w:color w:val="auto"/>
          <w:szCs w:val="21"/>
          <w:highlight w:val="none"/>
        </w:rPr>
        <w:t>或拟派项目负责人</w:t>
      </w:r>
      <w:r>
        <w:rPr>
          <w:rFonts w:hint="eastAsia" w:ascii="宋体" w:hAnsi="宋体" w:cs="Times New Roman"/>
          <w:color w:val="auto"/>
          <w:szCs w:val="21"/>
          <w:highlight w:val="none"/>
          <w:u w:val="single"/>
        </w:rPr>
        <w:t xml:space="preserve">      </w:t>
      </w:r>
      <w:r>
        <w:rPr>
          <w:rFonts w:hint="eastAsia" w:ascii="宋体" w:hAnsi="宋体" w:cs="Times New Roman"/>
          <w:color w:val="auto"/>
          <w:szCs w:val="21"/>
          <w:highlight w:val="none"/>
        </w:rPr>
        <w:t>没有下列情形：</w:t>
      </w:r>
      <w:bookmarkStart w:id="879" w:name="OLE_LINK134"/>
      <w:bookmarkStart w:id="880" w:name="OLE_LINK133"/>
      <w:r>
        <w:rPr>
          <w:rFonts w:hint="eastAsia" w:ascii="宋体" w:hAnsi="宋体" w:cs="Times New Roman"/>
          <w:color w:val="auto"/>
          <w:szCs w:val="21"/>
          <w:highlight w:val="none"/>
        </w:rPr>
        <w:t>①被列入“信用中国”网站“失信被执行人”的：②被列入“信用中国”网站“重大税收违法失信主体”的；③被列入“信用中国”网站“拖欠农民工工资失信联合惩戒对象名单”的；④被列入“信用中国”网站“严重失信主体名单”的；⑤在“信用中国”网站上披露的仍在公示期的严重失信行为(具体行为类别及判定依据见附件2)的。⑥被列入国家企业信用信息公示系统网站“经营异常名录”或者“严重违法失信名单”的。⑦前三年有行贿犯罪行为的单位和个人；⑧被滁州市县两级公管部门及各行业主管部门取消在一定期限内的投标资格且在取消期限内的；⑨因拖欠农民工工资被县级及以上有关行政主管部门限制投标资格且在限制期限内的；⑩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r>
        <w:rPr>
          <w:rFonts w:hint="eastAsia" w:cs="Times New Roman"/>
          <w:color w:val="auto"/>
          <w:szCs w:val="21"/>
          <w:highlight w:val="none"/>
        </w:rPr>
        <w:t>（</w:t>
      </w:r>
      <w:bookmarkEnd w:id="879"/>
      <w:bookmarkEnd w:id="880"/>
      <w:r>
        <w:rPr>
          <w:rFonts w:hint="eastAsia" w:cs="Times New Roman"/>
          <w:color w:val="auto"/>
          <w:szCs w:val="21"/>
          <w:highlight w:val="none"/>
        </w:rPr>
        <w:t>若招标文件对投标人所属分公司、办事处等分支机构有上述</w:t>
      </w:r>
      <w:r>
        <w:rPr>
          <w:rFonts w:cs="Times New Roman"/>
          <w:color w:val="auto"/>
          <w:szCs w:val="21"/>
          <w:highlight w:val="none"/>
        </w:rPr>
        <w:t>1-10</w:t>
      </w:r>
      <w:r>
        <w:rPr>
          <w:rFonts w:hint="eastAsia" w:cs="Times New Roman"/>
          <w:color w:val="auto"/>
          <w:szCs w:val="21"/>
          <w:highlight w:val="none"/>
        </w:rPr>
        <w:t>项信誉要求，在此一并承诺我公司所属分公司、办事处等分支机构没有上述</w:t>
      </w:r>
      <w:r>
        <w:rPr>
          <w:rFonts w:cs="Times New Roman"/>
          <w:color w:val="auto"/>
          <w:szCs w:val="21"/>
          <w:highlight w:val="none"/>
        </w:rPr>
        <w:t>1-10</w:t>
      </w:r>
      <w:r>
        <w:rPr>
          <w:rFonts w:hint="eastAsia" w:cs="Times New Roman"/>
          <w:color w:val="auto"/>
          <w:szCs w:val="21"/>
          <w:highlight w:val="none"/>
        </w:rPr>
        <w:t>项情形）</w:t>
      </w:r>
    </w:p>
    <w:p w14:paraId="3FF0D453">
      <w:pPr>
        <w:adjustRightInd w:val="0"/>
        <w:snapToGrid w:val="0"/>
        <w:spacing w:line="440" w:lineRule="exact"/>
        <w:ind w:firstLine="420" w:firstLineChars="200"/>
        <w:rPr>
          <w:rFonts w:ascii="宋体" w:hAnsi="宋体" w:cs="Times New Roman"/>
          <w:color w:val="auto"/>
          <w:szCs w:val="21"/>
          <w:highlight w:val="none"/>
        </w:rPr>
      </w:pPr>
      <w:r>
        <w:rPr>
          <w:rFonts w:hint="eastAsia" w:ascii="宋体" w:hAnsi="宋体" w:cs="Times New Roman"/>
          <w:color w:val="auto"/>
          <w:szCs w:val="21"/>
          <w:highlight w:val="none"/>
        </w:rPr>
        <w:t>七、严格遵守开标现场纪律，服从监管人员管理；</w:t>
      </w:r>
    </w:p>
    <w:p w14:paraId="150E47C6">
      <w:pPr>
        <w:adjustRightInd w:val="0"/>
        <w:snapToGrid w:val="0"/>
        <w:spacing w:line="440" w:lineRule="exact"/>
        <w:ind w:firstLine="420" w:firstLineChars="200"/>
        <w:rPr>
          <w:rFonts w:ascii="宋体" w:hAnsi="宋体" w:cs="Times New Roman"/>
          <w:color w:val="auto"/>
          <w:szCs w:val="21"/>
          <w:highlight w:val="none"/>
        </w:rPr>
      </w:pPr>
      <w:r>
        <w:rPr>
          <w:rFonts w:hint="eastAsia" w:ascii="宋体" w:hAnsi="宋体" w:cs="Times New Roman"/>
          <w:color w:val="auto"/>
          <w:szCs w:val="21"/>
          <w:highlight w:val="none"/>
        </w:rPr>
        <w:t>八、保证中标后不转包及使用挂靠施工队伍，若有分包征得建设单位同意；</w:t>
      </w:r>
    </w:p>
    <w:p w14:paraId="5FE445AD">
      <w:pPr>
        <w:adjustRightInd w:val="0"/>
        <w:snapToGrid w:val="0"/>
        <w:spacing w:line="440" w:lineRule="exact"/>
        <w:ind w:firstLine="420" w:firstLineChars="200"/>
        <w:rPr>
          <w:rFonts w:ascii="宋体" w:hAnsi="宋体" w:cs="Times New Roman"/>
          <w:color w:val="auto"/>
          <w:szCs w:val="21"/>
          <w:highlight w:val="none"/>
        </w:rPr>
      </w:pPr>
      <w:r>
        <w:rPr>
          <w:rFonts w:hint="eastAsia" w:ascii="宋体" w:hAnsi="宋体" w:cs="Times New Roman"/>
          <w:color w:val="auto"/>
          <w:szCs w:val="21"/>
          <w:highlight w:val="none"/>
        </w:rPr>
        <w:t>九、保证中标之后，按照投标文件承诺派驻管理人员及投入机械设备，如有违反，同意接受建设单位违约处罚；</w:t>
      </w:r>
    </w:p>
    <w:p w14:paraId="5351FA61">
      <w:pPr>
        <w:adjustRightInd w:val="0"/>
        <w:snapToGrid w:val="0"/>
        <w:spacing w:line="440" w:lineRule="exact"/>
        <w:ind w:firstLine="420" w:firstLineChars="200"/>
        <w:rPr>
          <w:rFonts w:ascii="宋体" w:hAnsi="宋体" w:cs="Times New Roman"/>
          <w:color w:val="auto"/>
          <w:szCs w:val="21"/>
          <w:highlight w:val="none"/>
        </w:rPr>
      </w:pPr>
      <w:r>
        <w:rPr>
          <w:rFonts w:hint="eastAsia" w:ascii="宋体" w:hAnsi="宋体" w:cs="Times New Roman"/>
          <w:color w:val="auto"/>
          <w:szCs w:val="21"/>
          <w:highlight w:val="none"/>
        </w:rPr>
        <w:t>十、保证企业及所属相关人员在本次投标中无行贿等犯罪行为；</w:t>
      </w:r>
    </w:p>
    <w:p w14:paraId="0AFF30BC">
      <w:pPr>
        <w:adjustRightInd w:val="0"/>
        <w:snapToGrid w:val="0"/>
        <w:spacing w:line="440" w:lineRule="exact"/>
        <w:ind w:firstLine="420" w:firstLineChars="200"/>
        <w:rPr>
          <w:rFonts w:ascii="宋体" w:hAnsi="宋体" w:cs="Times New Roman"/>
          <w:color w:val="auto"/>
          <w:szCs w:val="21"/>
          <w:highlight w:val="none"/>
        </w:rPr>
      </w:pPr>
      <w:r>
        <w:rPr>
          <w:rFonts w:hint="eastAsia" w:ascii="宋体" w:hAnsi="宋体" w:cs="Times New Roman"/>
          <w:color w:val="auto"/>
          <w:szCs w:val="21"/>
          <w:highlight w:val="none"/>
        </w:rPr>
        <w:t>十一、如在投标过程和公示期间发生投诉行为，依法进行投诉。投诉内容符合要求，投诉材料加盖企业公章或由法定代表人授权委托人签字，并附有关身份证明复印件。不恶意投诉，对本公司提供的投诉线索的真实性负责，否则愿接受有关部门的处罚；</w:t>
      </w:r>
    </w:p>
    <w:p w14:paraId="7AFD596F">
      <w:pPr>
        <w:adjustRightInd w:val="0"/>
        <w:snapToGrid w:val="0"/>
        <w:spacing w:line="440" w:lineRule="exact"/>
        <w:ind w:firstLine="420" w:firstLineChars="200"/>
        <w:rPr>
          <w:rFonts w:ascii="宋体" w:hAnsi="宋体" w:cs="Times New Roman"/>
          <w:color w:val="auto"/>
          <w:szCs w:val="21"/>
          <w:highlight w:val="none"/>
        </w:rPr>
      </w:pPr>
      <w:r>
        <w:rPr>
          <w:rFonts w:hint="eastAsia" w:ascii="宋体" w:hAnsi="宋体" w:cs="Times New Roman"/>
          <w:color w:val="auto"/>
          <w:szCs w:val="21"/>
          <w:highlight w:val="none"/>
        </w:rPr>
        <w:t xml:space="preserve"> 以上内容我已仔细阅读，本公司若有违反承诺内容的行为，自愿接受取消投标或者中标资格、中标无效、记入不良行为记录等有关处理，愿意承担法律责任，给招标人造成损失的，承担赔偿责任。</w:t>
      </w:r>
    </w:p>
    <w:p w14:paraId="645CFFEB">
      <w:pPr>
        <w:adjustRightInd w:val="0"/>
        <w:snapToGrid w:val="0"/>
        <w:spacing w:line="440" w:lineRule="exact"/>
        <w:rPr>
          <w:rFonts w:ascii="宋体" w:hAnsi="宋体" w:cs="Times New Roman"/>
          <w:color w:val="auto"/>
          <w:szCs w:val="21"/>
          <w:highlight w:val="none"/>
        </w:rPr>
      </w:pPr>
    </w:p>
    <w:p w14:paraId="5ED2B94E">
      <w:pPr>
        <w:adjustRightInd w:val="0"/>
        <w:snapToGrid w:val="0"/>
        <w:spacing w:line="440" w:lineRule="exact"/>
        <w:ind w:firstLine="420" w:firstLineChars="200"/>
        <w:rPr>
          <w:rFonts w:ascii="宋体" w:hAnsi="宋体" w:cs="Times New Roman"/>
          <w:color w:val="auto"/>
          <w:szCs w:val="21"/>
          <w:highlight w:val="none"/>
          <w:u w:val="single"/>
        </w:rPr>
      </w:pPr>
      <w:r>
        <w:rPr>
          <w:rFonts w:hint="eastAsia" w:ascii="宋体" w:hAnsi="宋体" w:cs="Times New Roman"/>
          <w:color w:val="auto"/>
          <w:szCs w:val="21"/>
          <w:highlight w:val="none"/>
        </w:rPr>
        <w:t>开户银行：</w:t>
      </w:r>
      <w:r>
        <w:rPr>
          <w:rFonts w:hint="eastAsia" w:ascii="宋体" w:hAnsi="宋体" w:cs="Times New Roman"/>
          <w:color w:val="auto"/>
          <w:szCs w:val="21"/>
          <w:highlight w:val="none"/>
          <w:u w:val="single"/>
        </w:rPr>
        <w:t xml:space="preserve">                </w:t>
      </w:r>
      <w:r>
        <w:rPr>
          <w:rFonts w:hint="eastAsia" w:ascii="宋体" w:hAnsi="宋体" w:cs="Times New Roman"/>
          <w:color w:val="auto"/>
          <w:szCs w:val="21"/>
          <w:highlight w:val="none"/>
        </w:rPr>
        <w:t xml:space="preserve">   基本账户：                             </w:t>
      </w:r>
    </w:p>
    <w:p w14:paraId="551BC47E">
      <w:pPr>
        <w:adjustRightInd w:val="0"/>
        <w:snapToGrid w:val="0"/>
        <w:spacing w:line="440" w:lineRule="exact"/>
        <w:rPr>
          <w:rFonts w:ascii="宋体" w:hAnsi="宋体" w:cs="Times New Roman"/>
          <w:color w:val="auto"/>
          <w:szCs w:val="21"/>
          <w:highlight w:val="none"/>
        </w:rPr>
      </w:pPr>
    </w:p>
    <w:p w14:paraId="254E09D7">
      <w:pPr>
        <w:adjustRightInd w:val="0"/>
        <w:snapToGrid w:val="0"/>
        <w:spacing w:line="440" w:lineRule="exact"/>
        <w:ind w:firstLine="420" w:firstLineChars="200"/>
        <w:rPr>
          <w:rFonts w:ascii="宋体" w:hAnsi="宋体" w:cs="Times New Roman"/>
          <w:color w:val="auto"/>
          <w:szCs w:val="21"/>
          <w:highlight w:val="none"/>
          <w:u w:val="single"/>
        </w:rPr>
      </w:pPr>
      <w:r>
        <w:rPr>
          <w:rFonts w:hint="eastAsia" w:ascii="宋体" w:hAnsi="宋体" w:cs="Times New Roman"/>
          <w:color w:val="auto"/>
          <w:szCs w:val="21"/>
          <w:highlight w:val="none"/>
        </w:rPr>
        <w:t xml:space="preserve">投标人（签章）：  </w:t>
      </w:r>
      <w:r>
        <w:rPr>
          <w:rFonts w:hint="eastAsia" w:ascii="宋体" w:hAnsi="宋体" w:cs="Times New Roman"/>
          <w:color w:val="auto"/>
          <w:szCs w:val="21"/>
          <w:highlight w:val="none"/>
          <w:u w:val="single"/>
        </w:rPr>
        <w:t xml:space="preserve">        </w:t>
      </w:r>
      <w:r>
        <w:rPr>
          <w:rFonts w:hint="eastAsia" w:ascii="宋体" w:hAnsi="宋体" w:cs="Times New Roman"/>
          <w:color w:val="auto"/>
          <w:szCs w:val="21"/>
          <w:highlight w:val="none"/>
        </w:rPr>
        <w:t>法定代表人（签章）：</w:t>
      </w:r>
      <w:r>
        <w:rPr>
          <w:rFonts w:hint="eastAsia" w:ascii="宋体" w:hAnsi="宋体" w:cs="Times New Roman"/>
          <w:color w:val="auto"/>
          <w:szCs w:val="21"/>
          <w:highlight w:val="none"/>
          <w:u w:val="single"/>
        </w:rPr>
        <w:t xml:space="preserve">                           </w:t>
      </w:r>
    </w:p>
    <w:p w14:paraId="3DDC3E72">
      <w:pPr>
        <w:adjustRightInd w:val="0"/>
        <w:snapToGrid w:val="0"/>
        <w:spacing w:line="440" w:lineRule="exact"/>
        <w:rPr>
          <w:rFonts w:ascii="宋体" w:hAnsi="宋体" w:cs="Times New Roman"/>
          <w:color w:val="auto"/>
          <w:szCs w:val="21"/>
          <w:highlight w:val="none"/>
        </w:rPr>
      </w:pPr>
    </w:p>
    <w:p w14:paraId="45545DE0">
      <w:pPr>
        <w:spacing w:after="120" w:line="440" w:lineRule="exact"/>
        <w:ind w:firstLine="420" w:firstLineChars="200"/>
        <w:rPr>
          <w:rFonts w:cs="Times New Roman"/>
          <w:color w:val="auto"/>
          <w:szCs w:val="24"/>
          <w:highlight w:val="none"/>
        </w:rPr>
      </w:pPr>
      <w:r>
        <w:rPr>
          <w:rFonts w:hint="eastAsia" w:ascii="宋体" w:hAnsi="宋体" w:cs="Times New Roman"/>
          <w:color w:val="auto"/>
          <w:szCs w:val="21"/>
          <w:highlight w:val="none"/>
        </w:rPr>
        <w:t>日期：</w:t>
      </w:r>
      <w:r>
        <w:rPr>
          <w:rFonts w:hint="eastAsia" w:ascii="宋体" w:hAnsi="宋体" w:cs="Times New Roman"/>
          <w:color w:val="auto"/>
          <w:szCs w:val="21"/>
          <w:highlight w:val="none"/>
          <w:u w:val="single"/>
        </w:rPr>
        <w:t xml:space="preserve">           </w:t>
      </w:r>
      <w:r>
        <w:rPr>
          <w:rFonts w:hint="eastAsia" w:ascii="宋体" w:hAnsi="宋体" w:cs="Times New Roman"/>
          <w:color w:val="auto"/>
          <w:szCs w:val="21"/>
          <w:highlight w:val="none"/>
        </w:rPr>
        <w:t xml:space="preserve">年 </w:t>
      </w:r>
      <w:r>
        <w:rPr>
          <w:rFonts w:hint="eastAsia" w:ascii="宋体" w:hAnsi="宋体" w:cs="Times New Roman"/>
          <w:color w:val="auto"/>
          <w:szCs w:val="21"/>
          <w:highlight w:val="none"/>
          <w:u w:val="single"/>
        </w:rPr>
        <w:t xml:space="preserve">           </w:t>
      </w:r>
      <w:r>
        <w:rPr>
          <w:rFonts w:hint="eastAsia" w:ascii="宋体" w:hAnsi="宋体" w:cs="Times New Roman"/>
          <w:color w:val="auto"/>
          <w:szCs w:val="21"/>
          <w:highlight w:val="none"/>
        </w:rPr>
        <w:t xml:space="preserve">月 </w:t>
      </w:r>
      <w:r>
        <w:rPr>
          <w:rFonts w:hint="eastAsia" w:ascii="宋体" w:hAnsi="宋体" w:cs="Times New Roman"/>
          <w:color w:val="auto"/>
          <w:szCs w:val="21"/>
          <w:highlight w:val="none"/>
          <w:u w:val="single"/>
        </w:rPr>
        <w:t xml:space="preserve">            </w:t>
      </w:r>
      <w:r>
        <w:rPr>
          <w:rFonts w:hint="eastAsia" w:ascii="宋体" w:hAnsi="宋体" w:cs="Times New Roman"/>
          <w:color w:val="auto"/>
          <w:szCs w:val="21"/>
          <w:highlight w:val="none"/>
        </w:rPr>
        <w:t>日</w:t>
      </w:r>
    </w:p>
    <w:p w14:paraId="50A238A2">
      <w:pPr>
        <w:spacing w:line="440" w:lineRule="exact"/>
        <w:rPr>
          <w:rFonts w:cs="Times New Roman"/>
          <w:color w:val="auto"/>
          <w:szCs w:val="24"/>
          <w:highlight w:val="none"/>
        </w:rPr>
      </w:pPr>
    </w:p>
    <w:p w14:paraId="7A638C05">
      <w:pPr>
        <w:adjustRightInd w:val="0"/>
        <w:snapToGrid w:val="0"/>
        <w:spacing w:line="440" w:lineRule="exact"/>
        <w:jc w:val="center"/>
        <w:rPr>
          <w:rFonts w:cs="Times New Roman"/>
          <w:b/>
          <w:color w:val="auto"/>
          <w:sz w:val="28"/>
          <w:szCs w:val="28"/>
          <w:highlight w:val="none"/>
        </w:rPr>
      </w:pPr>
    </w:p>
    <w:p w14:paraId="57FF8E9B">
      <w:pPr>
        <w:adjustRightInd w:val="0"/>
        <w:snapToGrid w:val="0"/>
        <w:spacing w:line="440" w:lineRule="exact"/>
        <w:jc w:val="center"/>
        <w:rPr>
          <w:rFonts w:cs="Times New Roman"/>
          <w:b/>
          <w:color w:val="auto"/>
          <w:sz w:val="28"/>
          <w:szCs w:val="28"/>
          <w:highlight w:val="none"/>
        </w:rPr>
      </w:pPr>
    </w:p>
    <w:p w14:paraId="020EB4A4">
      <w:pPr>
        <w:spacing w:after="120" w:line="440" w:lineRule="exact"/>
        <w:ind w:left="420" w:leftChars="200" w:firstLine="420" w:firstLineChars="200"/>
        <w:rPr>
          <w:rFonts w:cs="Times New Roman"/>
          <w:color w:val="auto"/>
          <w:szCs w:val="24"/>
          <w:highlight w:val="none"/>
        </w:rPr>
      </w:pPr>
    </w:p>
    <w:p w14:paraId="0934B360">
      <w:pPr>
        <w:spacing w:line="440" w:lineRule="exact"/>
        <w:rPr>
          <w:rFonts w:cs="Times New Roman"/>
          <w:color w:val="auto"/>
          <w:szCs w:val="24"/>
          <w:highlight w:val="none"/>
        </w:rPr>
      </w:pPr>
    </w:p>
    <w:p w14:paraId="45D21B68">
      <w:pPr>
        <w:spacing w:after="120" w:line="440" w:lineRule="exact"/>
        <w:ind w:left="420" w:leftChars="200" w:firstLine="420" w:firstLineChars="200"/>
        <w:rPr>
          <w:rFonts w:cs="Times New Roman"/>
          <w:color w:val="auto"/>
          <w:szCs w:val="24"/>
          <w:highlight w:val="none"/>
        </w:rPr>
      </w:pPr>
    </w:p>
    <w:p w14:paraId="287231BA">
      <w:pPr>
        <w:pageBreakBefore/>
        <w:widowControl/>
        <w:snapToGrid w:val="0"/>
        <w:spacing w:line="500" w:lineRule="exact"/>
        <w:jc w:val="center"/>
        <w:rPr>
          <w:rFonts w:ascii="宋体" w:hAnsi="宋体" w:cs="宋体"/>
          <w:b/>
          <w:color w:val="auto"/>
          <w:sz w:val="28"/>
          <w:szCs w:val="28"/>
          <w:highlight w:val="none"/>
        </w:rPr>
      </w:pPr>
      <w:bookmarkStart w:id="881" w:name="_Toc95223537"/>
      <w:r>
        <w:rPr>
          <w:rFonts w:hint="eastAsia" w:ascii="宋体" w:hAnsi="宋体" w:cs="宋体"/>
          <w:b/>
          <w:color w:val="auto"/>
          <w:sz w:val="28"/>
          <w:szCs w:val="28"/>
          <w:highlight w:val="none"/>
        </w:rPr>
        <w:t>（4）</w:t>
      </w:r>
      <w:bookmarkEnd w:id="881"/>
      <w:r>
        <w:rPr>
          <w:rFonts w:hint="eastAsia" w:ascii="宋体" w:hAnsi="宋体" w:cs="宋体"/>
          <w:b/>
          <w:color w:val="auto"/>
          <w:sz w:val="28"/>
          <w:szCs w:val="28"/>
          <w:highlight w:val="none"/>
        </w:rPr>
        <w:t>项目人员配备表</w:t>
      </w:r>
    </w:p>
    <w:tbl>
      <w:tblPr>
        <w:tblStyle w:val="25"/>
        <w:tblpPr w:leftFromText="180" w:rightFromText="180" w:vertAnchor="text" w:horzAnchor="page" w:tblpX="1412" w:tblpY="251"/>
        <w:tblOverlap w:val="never"/>
        <w:tblW w:w="9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3"/>
        <w:gridCol w:w="786"/>
        <w:gridCol w:w="787"/>
        <w:gridCol w:w="999"/>
        <w:gridCol w:w="750"/>
        <w:gridCol w:w="1223"/>
        <w:gridCol w:w="1263"/>
        <w:gridCol w:w="1239"/>
        <w:gridCol w:w="1280"/>
      </w:tblGrid>
      <w:tr w14:paraId="637F4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trPr>
        <w:tc>
          <w:tcPr>
            <w:tcW w:w="1394" w:type="dxa"/>
            <w:tcBorders>
              <w:top w:val="single" w:color="auto" w:sz="4" w:space="0"/>
              <w:left w:val="single" w:color="auto" w:sz="4" w:space="0"/>
              <w:bottom w:val="single" w:color="auto" w:sz="4" w:space="0"/>
              <w:right w:val="single" w:color="auto" w:sz="4" w:space="0"/>
            </w:tcBorders>
            <w:vAlign w:val="center"/>
          </w:tcPr>
          <w:p w14:paraId="3FEA65AA">
            <w:pPr>
              <w:jc w:val="center"/>
              <w:rPr>
                <w:rFonts w:cs="Times New Roman"/>
                <w:color w:val="auto"/>
                <w:sz w:val="24"/>
                <w:szCs w:val="24"/>
                <w:highlight w:val="none"/>
              </w:rPr>
            </w:pPr>
            <w:r>
              <w:rPr>
                <w:rFonts w:hint="eastAsia" w:cs="Times New Roman"/>
                <w:color w:val="auto"/>
                <w:sz w:val="24"/>
                <w:szCs w:val="24"/>
                <w:highlight w:val="none"/>
              </w:rPr>
              <w:t>姓</w:t>
            </w:r>
            <w:r>
              <w:rPr>
                <w:rFonts w:cs="Times New Roman"/>
                <w:color w:val="auto"/>
                <w:sz w:val="24"/>
                <w:szCs w:val="24"/>
                <w:highlight w:val="none"/>
              </w:rPr>
              <w:t xml:space="preserve">  </w:t>
            </w:r>
            <w:r>
              <w:rPr>
                <w:rFonts w:hint="eastAsia" w:cs="Times New Roman"/>
                <w:color w:val="auto"/>
                <w:sz w:val="24"/>
                <w:szCs w:val="24"/>
                <w:highlight w:val="none"/>
              </w:rPr>
              <w:t>名</w:t>
            </w:r>
          </w:p>
        </w:tc>
        <w:tc>
          <w:tcPr>
            <w:tcW w:w="787" w:type="dxa"/>
            <w:tcBorders>
              <w:top w:val="single" w:color="auto" w:sz="4" w:space="0"/>
              <w:left w:val="single" w:color="auto" w:sz="4" w:space="0"/>
              <w:bottom w:val="single" w:color="auto" w:sz="4" w:space="0"/>
              <w:right w:val="single" w:color="auto" w:sz="4" w:space="0"/>
            </w:tcBorders>
            <w:vAlign w:val="center"/>
          </w:tcPr>
          <w:p w14:paraId="1E4B1456">
            <w:pPr>
              <w:jc w:val="center"/>
              <w:rPr>
                <w:rFonts w:cs="Times New Roman"/>
                <w:color w:val="auto"/>
                <w:sz w:val="24"/>
                <w:szCs w:val="24"/>
                <w:highlight w:val="none"/>
              </w:rPr>
            </w:pPr>
            <w:r>
              <w:rPr>
                <w:rFonts w:hint="eastAsia" w:cs="Times New Roman"/>
                <w:color w:val="auto"/>
                <w:sz w:val="24"/>
                <w:szCs w:val="24"/>
                <w:highlight w:val="none"/>
              </w:rPr>
              <w:t>年龄</w:t>
            </w:r>
          </w:p>
        </w:tc>
        <w:tc>
          <w:tcPr>
            <w:tcW w:w="788" w:type="dxa"/>
            <w:tcBorders>
              <w:top w:val="single" w:color="auto" w:sz="4" w:space="0"/>
              <w:left w:val="single" w:color="auto" w:sz="4" w:space="0"/>
              <w:bottom w:val="single" w:color="auto" w:sz="4" w:space="0"/>
              <w:right w:val="single" w:color="auto" w:sz="4" w:space="0"/>
            </w:tcBorders>
            <w:vAlign w:val="center"/>
          </w:tcPr>
          <w:p w14:paraId="4157D818">
            <w:pPr>
              <w:jc w:val="center"/>
              <w:rPr>
                <w:rFonts w:cs="Times New Roman"/>
                <w:color w:val="auto"/>
                <w:sz w:val="24"/>
                <w:szCs w:val="24"/>
                <w:highlight w:val="none"/>
              </w:rPr>
            </w:pPr>
            <w:r>
              <w:rPr>
                <w:rFonts w:hint="eastAsia" w:cs="Times New Roman"/>
                <w:color w:val="auto"/>
                <w:sz w:val="24"/>
                <w:szCs w:val="24"/>
                <w:highlight w:val="none"/>
              </w:rPr>
              <w:t>性别</w:t>
            </w:r>
          </w:p>
        </w:tc>
        <w:tc>
          <w:tcPr>
            <w:tcW w:w="999" w:type="dxa"/>
            <w:tcBorders>
              <w:top w:val="single" w:color="auto" w:sz="4" w:space="0"/>
              <w:left w:val="single" w:color="auto" w:sz="4" w:space="0"/>
              <w:bottom w:val="single" w:color="auto" w:sz="4" w:space="0"/>
              <w:right w:val="single" w:color="auto" w:sz="4" w:space="0"/>
            </w:tcBorders>
            <w:vAlign w:val="center"/>
          </w:tcPr>
          <w:p w14:paraId="6209FB0A">
            <w:pPr>
              <w:jc w:val="center"/>
              <w:rPr>
                <w:rFonts w:cs="Times New Roman"/>
                <w:color w:val="auto"/>
                <w:sz w:val="24"/>
                <w:szCs w:val="24"/>
                <w:highlight w:val="none"/>
              </w:rPr>
            </w:pPr>
            <w:r>
              <w:rPr>
                <w:rFonts w:hint="eastAsia" w:cs="Times New Roman"/>
                <w:color w:val="auto"/>
                <w:sz w:val="24"/>
                <w:szCs w:val="24"/>
                <w:highlight w:val="none"/>
              </w:rPr>
              <w:t>职称</w:t>
            </w:r>
          </w:p>
        </w:tc>
        <w:tc>
          <w:tcPr>
            <w:tcW w:w="750" w:type="dxa"/>
            <w:tcBorders>
              <w:top w:val="single" w:color="auto" w:sz="4" w:space="0"/>
              <w:left w:val="single" w:color="auto" w:sz="4" w:space="0"/>
              <w:bottom w:val="single" w:color="auto" w:sz="4" w:space="0"/>
              <w:right w:val="single" w:color="auto" w:sz="4" w:space="0"/>
            </w:tcBorders>
            <w:vAlign w:val="center"/>
          </w:tcPr>
          <w:p w14:paraId="33F0A52C">
            <w:pPr>
              <w:jc w:val="center"/>
              <w:rPr>
                <w:rFonts w:cs="Times New Roman"/>
                <w:color w:val="auto"/>
                <w:sz w:val="24"/>
                <w:szCs w:val="24"/>
                <w:highlight w:val="none"/>
              </w:rPr>
            </w:pPr>
            <w:r>
              <w:rPr>
                <w:rFonts w:hint="eastAsia" w:cs="Times New Roman"/>
                <w:color w:val="auto"/>
                <w:sz w:val="24"/>
                <w:szCs w:val="24"/>
                <w:highlight w:val="none"/>
              </w:rPr>
              <w:t>专业</w:t>
            </w:r>
          </w:p>
        </w:tc>
        <w:tc>
          <w:tcPr>
            <w:tcW w:w="1223" w:type="dxa"/>
            <w:tcBorders>
              <w:top w:val="single" w:color="auto" w:sz="4" w:space="0"/>
              <w:left w:val="single" w:color="auto" w:sz="4" w:space="0"/>
              <w:bottom w:val="single" w:color="auto" w:sz="4" w:space="0"/>
              <w:right w:val="single" w:color="auto" w:sz="4" w:space="0"/>
            </w:tcBorders>
            <w:vAlign w:val="center"/>
          </w:tcPr>
          <w:p w14:paraId="31FD4A19">
            <w:pPr>
              <w:jc w:val="center"/>
              <w:rPr>
                <w:rFonts w:cs="Times New Roman"/>
                <w:color w:val="auto"/>
                <w:sz w:val="24"/>
                <w:szCs w:val="24"/>
                <w:highlight w:val="none"/>
              </w:rPr>
            </w:pPr>
            <w:r>
              <w:rPr>
                <w:rFonts w:hint="eastAsia" w:cs="Times New Roman"/>
                <w:color w:val="auto"/>
                <w:sz w:val="24"/>
                <w:szCs w:val="24"/>
                <w:highlight w:val="none"/>
              </w:rPr>
              <w:t>拟任职务</w:t>
            </w:r>
          </w:p>
        </w:tc>
        <w:tc>
          <w:tcPr>
            <w:tcW w:w="1263" w:type="dxa"/>
            <w:tcBorders>
              <w:top w:val="single" w:color="auto" w:sz="4" w:space="0"/>
              <w:left w:val="single" w:color="auto" w:sz="4" w:space="0"/>
              <w:bottom w:val="single" w:color="auto" w:sz="4" w:space="0"/>
              <w:right w:val="single" w:color="auto" w:sz="4" w:space="0"/>
            </w:tcBorders>
            <w:vAlign w:val="center"/>
          </w:tcPr>
          <w:p w14:paraId="5D107500">
            <w:pPr>
              <w:jc w:val="center"/>
              <w:rPr>
                <w:rFonts w:cs="Times New Roman"/>
                <w:color w:val="auto"/>
                <w:sz w:val="24"/>
                <w:szCs w:val="24"/>
                <w:highlight w:val="none"/>
              </w:rPr>
            </w:pPr>
            <w:r>
              <w:rPr>
                <w:rFonts w:hint="eastAsia" w:cs="Times New Roman"/>
                <w:color w:val="auto"/>
                <w:sz w:val="24"/>
                <w:szCs w:val="24"/>
                <w:highlight w:val="none"/>
              </w:rPr>
              <w:t>持证名称</w:t>
            </w:r>
          </w:p>
        </w:tc>
        <w:tc>
          <w:tcPr>
            <w:tcW w:w="1239" w:type="dxa"/>
            <w:tcBorders>
              <w:top w:val="single" w:color="auto" w:sz="4" w:space="0"/>
              <w:left w:val="single" w:color="auto" w:sz="4" w:space="0"/>
              <w:bottom w:val="single" w:color="auto" w:sz="4" w:space="0"/>
              <w:right w:val="single" w:color="auto" w:sz="4" w:space="0"/>
            </w:tcBorders>
            <w:vAlign w:val="center"/>
          </w:tcPr>
          <w:p w14:paraId="5B656B9F">
            <w:pPr>
              <w:jc w:val="center"/>
              <w:rPr>
                <w:rFonts w:cs="Times New Roman"/>
                <w:color w:val="auto"/>
                <w:sz w:val="24"/>
                <w:szCs w:val="24"/>
                <w:highlight w:val="none"/>
              </w:rPr>
            </w:pPr>
            <w:r>
              <w:rPr>
                <w:rFonts w:hint="eastAsia" w:cs="Times New Roman"/>
                <w:color w:val="auto"/>
                <w:sz w:val="24"/>
                <w:szCs w:val="24"/>
                <w:highlight w:val="none"/>
              </w:rPr>
              <w:t>持证证号</w:t>
            </w:r>
          </w:p>
        </w:tc>
        <w:tc>
          <w:tcPr>
            <w:tcW w:w="1280" w:type="dxa"/>
            <w:tcBorders>
              <w:top w:val="single" w:color="auto" w:sz="4" w:space="0"/>
              <w:left w:val="single" w:color="auto" w:sz="4" w:space="0"/>
              <w:bottom w:val="single" w:color="auto" w:sz="4" w:space="0"/>
              <w:right w:val="single" w:color="auto" w:sz="4" w:space="0"/>
            </w:tcBorders>
            <w:vAlign w:val="center"/>
          </w:tcPr>
          <w:p w14:paraId="5CDE9ECF">
            <w:pPr>
              <w:jc w:val="center"/>
              <w:rPr>
                <w:rFonts w:cs="Times New Roman"/>
                <w:color w:val="auto"/>
                <w:sz w:val="24"/>
                <w:szCs w:val="24"/>
                <w:highlight w:val="none"/>
              </w:rPr>
            </w:pPr>
            <w:r>
              <w:rPr>
                <w:rFonts w:hint="eastAsia" w:cs="Times New Roman"/>
                <w:color w:val="auto"/>
                <w:sz w:val="24"/>
                <w:szCs w:val="24"/>
                <w:highlight w:val="none"/>
              </w:rPr>
              <w:t>联系方式</w:t>
            </w:r>
          </w:p>
        </w:tc>
      </w:tr>
      <w:tr w14:paraId="4CAFE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trPr>
        <w:tc>
          <w:tcPr>
            <w:tcW w:w="1394" w:type="dxa"/>
            <w:tcBorders>
              <w:top w:val="single" w:color="auto" w:sz="4" w:space="0"/>
              <w:left w:val="single" w:color="auto" w:sz="4" w:space="0"/>
              <w:bottom w:val="single" w:color="auto" w:sz="4" w:space="0"/>
              <w:right w:val="single" w:color="auto" w:sz="4" w:space="0"/>
            </w:tcBorders>
            <w:vAlign w:val="center"/>
          </w:tcPr>
          <w:p w14:paraId="241B2739">
            <w:pPr>
              <w:jc w:val="center"/>
              <w:rPr>
                <w:rFonts w:cs="Times New Roman"/>
                <w:color w:val="auto"/>
                <w:sz w:val="24"/>
                <w:szCs w:val="24"/>
                <w:highlight w:val="none"/>
              </w:rPr>
            </w:pPr>
          </w:p>
        </w:tc>
        <w:tc>
          <w:tcPr>
            <w:tcW w:w="787" w:type="dxa"/>
            <w:tcBorders>
              <w:top w:val="single" w:color="auto" w:sz="4" w:space="0"/>
              <w:left w:val="single" w:color="auto" w:sz="4" w:space="0"/>
              <w:bottom w:val="single" w:color="auto" w:sz="4" w:space="0"/>
              <w:right w:val="single" w:color="auto" w:sz="4" w:space="0"/>
            </w:tcBorders>
            <w:vAlign w:val="center"/>
          </w:tcPr>
          <w:p w14:paraId="40BC6BE1">
            <w:pPr>
              <w:jc w:val="center"/>
              <w:rPr>
                <w:rFonts w:cs="Times New Roman"/>
                <w:color w:val="auto"/>
                <w:sz w:val="24"/>
                <w:szCs w:val="24"/>
                <w:highlight w:val="none"/>
              </w:rPr>
            </w:pPr>
          </w:p>
        </w:tc>
        <w:tc>
          <w:tcPr>
            <w:tcW w:w="788" w:type="dxa"/>
            <w:tcBorders>
              <w:top w:val="single" w:color="auto" w:sz="4" w:space="0"/>
              <w:left w:val="single" w:color="auto" w:sz="4" w:space="0"/>
              <w:bottom w:val="single" w:color="auto" w:sz="4" w:space="0"/>
              <w:right w:val="single" w:color="auto" w:sz="4" w:space="0"/>
            </w:tcBorders>
            <w:vAlign w:val="center"/>
          </w:tcPr>
          <w:p w14:paraId="17837D18">
            <w:pPr>
              <w:jc w:val="center"/>
              <w:rPr>
                <w:rFonts w:cs="Times New Roman"/>
                <w:color w:val="auto"/>
                <w:sz w:val="24"/>
                <w:szCs w:val="24"/>
                <w:highlight w:val="none"/>
              </w:rPr>
            </w:pPr>
          </w:p>
        </w:tc>
        <w:tc>
          <w:tcPr>
            <w:tcW w:w="999" w:type="dxa"/>
            <w:tcBorders>
              <w:top w:val="single" w:color="auto" w:sz="4" w:space="0"/>
              <w:left w:val="single" w:color="auto" w:sz="4" w:space="0"/>
              <w:bottom w:val="single" w:color="auto" w:sz="4" w:space="0"/>
              <w:right w:val="single" w:color="auto" w:sz="4" w:space="0"/>
            </w:tcBorders>
            <w:vAlign w:val="center"/>
          </w:tcPr>
          <w:p w14:paraId="2A62B9D7">
            <w:pPr>
              <w:jc w:val="center"/>
              <w:rPr>
                <w:rFonts w:cs="Times New Roman"/>
                <w:color w:val="auto"/>
                <w:sz w:val="24"/>
                <w:szCs w:val="24"/>
                <w:highlight w:val="none"/>
              </w:rPr>
            </w:pPr>
          </w:p>
        </w:tc>
        <w:tc>
          <w:tcPr>
            <w:tcW w:w="750" w:type="dxa"/>
            <w:tcBorders>
              <w:top w:val="single" w:color="auto" w:sz="4" w:space="0"/>
              <w:left w:val="single" w:color="auto" w:sz="4" w:space="0"/>
              <w:bottom w:val="single" w:color="auto" w:sz="4" w:space="0"/>
              <w:right w:val="single" w:color="auto" w:sz="4" w:space="0"/>
            </w:tcBorders>
            <w:vAlign w:val="center"/>
          </w:tcPr>
          <w:p w14:paraId="288048D2">
            <w:pPr>
              <w:jc w:val="center"/>
              <w:rPr>
                <w:rFonts w:cs="Times New Roman"/>
                <w:color w:val="auto"/>
                <w:sz w:val="24"/>
                <w:szCs w:val="24"/>
                <w:highlight w:val="none"/>
              </w:rPr>
            </w:pPr>
          </w:p>
        </w:tc>
        <w:tc>
          <w:tcPr>
            <w:tcW w:w="1223" w:type="dxa"/>
            <w:tcBorders>
              <w:top w:val="single" w:color="auto" w:sz="4" w:space="0"/>
              <w:left w:val="single" w:color="auto" w:sz="4" w:space="0"/>
              <w:bottom w:val="single" w:color="auto" w:sz="4" w:space="0"/>
              <w:right w:val="single" w:color="auto" w:sz="4" w:space="0"/>
            </w:tcBorders>
            <w:vAlign w:val="center"/>
          </w:tcPr>
          <w:p w14:paraId="5C76605A">
            <w:pPr>
              <w:jc w:val="center"/>
              <w:rPr>
                <w:rFonts w:cs="Times New Roman"/>
                <w:color w:val="auto"/>
                <w:sz w:val="24"/>
                <w:szCs w:val="24"/>
                <w:highlight w:val="none"/>
              </w:rPr>
            </w:pPr>
          </w:p>
        </w:tc>
        <w:tc>
          <w:tcPr>
            <w:tcW w:w="1263" w:type="dxa"/>
            <w:tcBorders>
              <w:top w:val="single" w:color="auto" w:sz="4" w:space="0"/>
              <w:left w:val="single" w:color="auto" w:sz="4" w:space="0"/>
              <w:bottom w:val="single" w:color="auto" w:sz="4" w:space="0"/>
              <w:right w:val="single" w:color="auto" w:sz="4" w:space="0"/>
            </w:tcBorders>
            <w:vAlign w:val="center"/>
          </w:tcPr>
          <w:p w14:paraId="445B4226">
            <w:pPr>
              <w:jc w:val="center"/>
              <w:rPr>
                <w:rFonts w:cs="Times New Roman"/>
                <w:color w:val="auto"/>
                <w:sz w:val="24"/>
                <w:szCs w:val="24"/>
                <w:highlight w:val="none"/>
              </w:rPr>
            </w:pPr>
          </w:p>
        </w:tc>
        <w:tc>
          <w:tcPr>
            <w:tcW w:w="1239" w:type="dxa"/>
            <w:tcBorders>
              <w:top w:val="single" w:color="auto" w:sz="4" w:space="0"/>
              <w:left w:val="single" w:color="auto" w:sz="4" w:space="0"/>
              <w:bottom w:val="single" w:color="auto" w:sz="4" w:space="0"/>
              <w:right w:val="single" w:color="auto" w:sz="4" w:space="0"/>
            </w:tcBorders>
            <w:vAlign w:val="center"/>
          </w:tcPr>
          <w:p w14:paraId="7C058364">
            <w:pPr>
              <w:jc w:val="center"/>
              <w:rPr>
                <w:rFonts w:cs="Times New Roman"/>
                <w:color w:val="auto"/>
                <w:sz w:val="24"/>
                <w:szCs w:val="24"/>
                <w:highlight w:val="none"/>
              </w:rPr>
            </w:pPr>
          </w:p>
        </w:tc>
        <w:tc>
          <w:tcPr>
            <w:tcW w:w="1280" w:type="dxa"/>
            <w:tcBorders>
              <w:top w:val="single" w:color="auto" w:sz="4" w:space="0"/>
              <w:left w:val="single" w:color="auto" w:sz="4" w:space="0"/>
              <w:bottom w:val="single" w:color="auto" w:sz="4" w:space="0"/>
              <w:right w:val="single" w:color="auto" w:sz="4" w:space="0"/>
            </w:tcBorders>
            <w:vAlign w:val="center"/>
          </w:tcPr>
          <w:p w14:paraId="7A8EA07D">
            <w:pPr>
              <w:jc w:val="center"/>
              <w:rPr>
                <w:rFonts w:cs="Times New Roman"/>
                <w:color w:val="auto"/>
                <w:sz w:val="24"/>
                <w:szCs w:val="24"/>
                <w:highlight w:val="none"/>
              </w:rPr>
            </w:pPr>
          </w:p>
        </w:tc>
      </w:tr>
      <w:tr w14:paraId="7A3E3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trPr>
        <w:tc>
          <w:tcPr>
            <w:tcW w:w="1394" w:type="dxa"/>
            <w:tcBorders>
              <w:top w:val="single" w:color="auto" w:sz="4" w:space="0"/>
              <w:left w:val="single" w:color="auto" w:sz="4" w:space="0"/>
              <w:bottom w:val="single" w:color="auto" w:sz="4" w:space="0"/>
              <w:right w:val="single" w:color="auto" w:sz="4" w:space="0"/>
            </w:tcBorders>
            <w:vAlign w:val="center"/>
          </w:tcPr>
          <w:p w14:paraId="12BF59D1">
            <w:pPr>
              <w:jc w:val="center"/>
              <w:rPr>
                <w:rFonts w:cs="Times New Roman"/>
                <w:color w:val="auto"/>
                <w:sz w:val="24"/>
                <w:szCs w:val="24"/>
                <w:highlight w:val="none"/>
              </w:rPr>
            </w:pPr>
          </w:p>
        </w:tc>
        <w:tc>
          <w:tcPr>
            <w:tcW w:w="787" w:type="dxa"/>
            <w:tcBorders>
              <w:top w:val="single" w:color="auto" w:sz="4" w:space="0"/>
              <w:left w:val="single" w:color="auto" w:sz="4" w:space="0"/>
              <w:bottom w:val="single" w:color="auto" w:sz="4" w:space="0"/>
              <w:right w:val="single" w:color="auto" w:sz="4" w:space="0"/>
            </w:tcBorders>
            <w:vAlign w:val="center"/>
          </w:tcPr>
          <w:p w14:paraId="51E57034">
            <w:pPr>
              <w:jc w:val="center"/>
              <w:rPr>
                <w:rFonts w:cs="Times New Roman"/>
                <w:color w:val="auto"/>
                <w:sz w:val="24"/>
                <w:szCs w:val="24"/>
                <w:highlight w:val="none"/>
              </w:rPr>
            </w:pPr>
          </w:p>
        </w:tc>
        <w:tc>
          <w:tcPr>
            <w:tcW w:w="788" w:type="dxa"/>
            <w:tcBorders>
              <w:top w:val="single" w:color="auto" w:sz="4" w:space="0"/>
              <w:left w:val="single" w:color="auto" w:sz="4" w:space="0"/>
              <w:bottom w:val="single" w:color="auto" w:sz="4" w:space="0"/>
              <w:right w:val="single" w:color="auto" w:sz="4" w:space="0"/>
            </w:tcBorders>
            <w:vAlign w:val="center"/>
          </w:tcPr>
          <w:p w14:paraId="6A0E6D74">
            <w:pPr>
              <w:jc w:val="center"/>
              <w:rPr>
                <w:rFonts w:cs="Times New Roman"/>
                <w:color w:val="auto"/>
                <w:sz w:val="24"/>
                <w:szCs w:val="24"/>
                <w:highlight w:val="none"/>
              </w:rPr>
            </w:pPr>
          </w:p>
        </w:tc>
        <w:tc>
          <w:tcPr>
            <w:tcW w:w="999" w:type="dxa"/>
            <w:tcBorders>
              <w:top w:val="single" w:color="auto" w:sz="4" w:space="0"/>
              <w:left w:val="single" w:color="auto" w:sz="4" w:space="0"/>
              <w:bottom w:val="single" w:color="auto" w:sz="4" w:space="0"/>
              <w:right w:val="single" w:color="auto" w:sz="4" w:space="0"/>
            </w:tcBorders>
            <w:vAlign w:val="center"/>
          </w:tcPr>
          <w:p w14:paraId="4689F0EE">
            <w:pPr>
              <w:jc w:val="center"/>
              <w:rPr>
                <w:rFonts w:cs="Times New Roman"/>
                <w:color w:val="auto"/>
                <w:sz w:val="24"/>
                <w:szCs w:val="24"/>
                <w:highlight w:val="none"/>
              </w:rPr>
            </w:pPr>
          </w:p>
        </w:tc>
        <w:tc>
          <w:tcPr>
            <w:tcW w:w="750" w:type="dxa"/>
            <w:tcBorders>
              <w:top w:val="single" w:color="auto" w:sz="4" w:space="0"/>
              <w:left w:val="single" w:color="auto" w:sz="4" w:space="0"/>
              <w:bottom w:val="single" w:color="auto" w:sz="4" w:space="0"/>
              <w:right w:val="single" w:color="auto" w:sz="4" w:space="0"/>
            </w:tcBorders>
            <w:vAlign w:val="center"/>
          </w:tcPr>
          <w:p w14:paraId="34ECA29E">
            <w:pPr>
              <w:jc w:val="center"/>
              <w:rPr>
                <w:rFonts w:cs="Times New Roman"/>
                <w:color w:val="auto"/>
                <w:sz w:val="24"/>
                <w:szCs w:val="24"/>
                <w:highlight w:val="none"/>
              </w:rPr>
            </w:pPr>
          </w:p>
        </w:tc>
        <w:tc>
          <w:tcPr>
            <w:tcW w:w="1223" w:type="dxa"/>
            <w:tcBorders>
              <w:top w:val="single" w:color="auto" w:sz="4" w:space="0"/>
              <w:left w:val="single" w:color="auto" w:sz="4" w:space="0"/>
              <w:bottom w:val="single" w:color="auto" w:sz="4" w:space="0"/>
              <w:right w:val="single" w:color="auto" w:sz="4" w:space="0"/>
            </w:tcBorders>
            <w:vAlign w:val="center"/>
          </w:tcPr>
          <w:p w14:paraId="75275E2A">
            <w:pPr>
              <w:jc w:val="center"/>
              <w:rPr>
                <w:rFonts w:cs="Times New Roman"/>
                <w:color w:val="auto"/>
                <w:sz w:val="24"/>
                <w:szCs w:val="24"/>
                <w:highlight w:val="none"/>
              </w:rPr>
            </w:pPr>
          </w:p>
        </w:tc>
        <w:tc>
          <w:tcPr>
            <w:tcW w:w="1263" w:type="dxa"/>
            <w:tcBorders>
              <w:top w:val="single" w:color="auto" w:sz="4" w:space="0"/>
              <w:left w:val="single" w:color="auto" w:sz="4" w:space="0"/>
              <w:bottom w:val="single" w:color="auto" w:sz="4" w:space="0"/>
              <w:right w:val="single" w:color="auto" w:sz="4" w:space="0"/>
            </w:tcBorders>
            <w:vAlign w:val="center"/>
          </w:tcPr>
          <w:p w14:paraId="02545823">
            <w:pPr>
              <w:jc w:val="center"/>
              <w:rPr>
                <w:rFonts w:cs="Times New Roman"/>
                <w:color w:val="auto"/>
                <w:sz w:val="24"/>
                <w:szCs w:val="24"/>
                <w:highlight w:val="none"/>
              </w:rPr>
            </w:pPr>
          </w:p>
        </w:tc>
        <w:tc>
          <w:tcPr>
            <w:tcW w:w="1239" w:type="dxa"/>
            <w:tcBorders>
              <w:top w:val="single" w:color="auto" w:sz="4" w:space="0"/>
              <w:left w:val="single" w:color="auto" w:sz="4" w:space="0"/>
              <w:bottom w:val="single" w:color="auto" w:sz="4" w:space="0"/>
              <w:right w:val="single" w:color="auto" w:sz="4" w:space="0"/>
            </w:tcBorders>
            <w:vAlign w:val="center"/>
          </w:tcPr>
          <w:p w14:paraId="78C5F953">
            <w:pPr>
              <w:jc w:val="center"/>
              <w:rPr>
                <w:rFonts w:cs="Times New Roman"/>
                <w:color w:val="auto"/>
                <w:sz w:val="24"/>
                <w:szCs w:val="24"/>
                <w:highlight w:val="none"/>
              </w:rPr>
            </w:pPr>
          </w:p>
        </w:tc>
        <w:tc>
          <w:tcPr>
            <w:tcW w:w="1280" w:type="dxa"/>
            <w:tcBorders>
              <w:top w:val="single" w:color="auto" w:sz="4" w:space="0"/>
              <w:left w:val="single" w:color="auto" w:sz="4" w:space="0"/>
              <w:bottom w:val="single" w:color="auto" w:sz="4" w:space="0"/>
              <w:right w:val="single" w:color="auto" w:sz="4" w:space="0"/>
            </w:tcBorders>
            <w:vAlign w:val="center"/>
          </w:tcPr>
          <w:p w14:paraId="5DFAD15A">
            <w:pPr>
              <w:jc w:val="center"/>
              <w:rPr>
                <w:rFonts w:cs="Times New Roman"/>
                <w:color w:val="auto"/>
                <w:sz w:val="24"/>
                <w:szCs w:val="24"/>
                <w:highlight w:val="none"/>
              </w:rPr>
            </w:pPr>
          </w:p>
        </w:tc>
      </w:tr>
      <w:tr w14:paraId="40213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trPr>
        <w:tc>
          <w:tcPr>
            <w:tcW w:w="1394" w:type="dxa"/>
            <w:tcBorders>
              <w:top w:val="single" w:color="auto" w:sz="4" w:space="0"/>
              <w:left w:val="single" w:color="auto" w:sz="4" w:space="0"/>
              <w:bottom w:val="single" w:color="auto" w:sz="4" w:space="0"/>
              <w:right w:val="single" w:color="auto" w:sz="4" w:space="0"/>
            </w:tcBorders>
            <w:vAlign w:val="center"/>
          </w:tcPr>
          <w:p w14:paraId="4110B7AF">
            <w:pPr>
              <w:jc w:val="center"/>
              <w:rPr>
                <w:rFonts w:cs="Times New Roman"/>
                <w:color w:val="auto"/>
                <w:sz w:val="24"/>
                <w:szCs w:val="24"/>
                <w:highlight w:val="none"/>
              </w:rPr>
            </w:pPr>
          </w:p>
        </w:tc>
        <w:tc>
          <w:tcPr>
            <w:tcW w:w="787" w:type="dxa"/>
            <w:tcBorders>
              <w:top w:val="single" w:color="auto" w:sz="4" w:space="0"/>
              <w:left w:val="single" w:color="auto" w:sz="4" w:space="0"/>
              <w:bottom w:val="single" w:color="auto" w:sz="4" w:space="0"/>
              <w:right w:val="single" w:color="auto" w:sz="4" w:space="0"/>
            </w:tcBorders>
            <w:vAlign w:val="center"/>
          </w:tcPr>
          <w:p w14:paraId="39638EB7">
            <w:pPr>
              <w:jc w:val="center"/>
              <w:rPr>
                <w:rFonts w:cs="Times New Roman"/>
                <w:color w:val="auto"/>
                <w:sz w:val="24"/>
                <w:szCs w:val="24"/>
                <w:highlight w:val="none"/>
              </w:rPr>
            </w:pPr>
          </w:p>
        </w:tc>
        <w:tc>
          <w:tcPr>
            <w:tcW w:w="788" w:type="dxa"/>
            <w:tcBorders>
              <w:top w:val="single" w:color="auto" w:sz="4" w:space="0"/>
              <w:left w:val="single" w:color="auto" w:sz="4" w:space="0"/>
              <w:bottom w:val="single" w:color="auto" w:sz="4" w:space="0"/>
              <w:right w:val="single" w:color="auto" w:sz="4" w:space="0"/>
            </w:tcBorders>
            <w:vAlign w:val="center"/>
          </w:tcPr>
          <w:p w14:paraId="3B66C9AA">
            <w:pPr>
              <w:jc w:val="center"/>
              <w:rPr>
                <w:rFonts w:cs="Times New Roman"/>
                <w:color w:val="auto"/>
                <w:sz w:val="24"/>
                <w:szCs w:val="24"/>
                <w:highlight w:val="none"/>
              </w:rPr>
            </w:pPr>
          </w:p>
        </w:tc>
        <w:tc>
          <w:tcPr>
            <w:tcW w:w="999" w:type="dxa"/>
            <w:tcBorders>
              <w:top w:val="single" w:color="auto" w:sz="4" w:space="0"/>
              <w:left w:val="single" w:color="auto" w:sz="4" w:space="0"/>
              <w:bottom w:val="single" w:color="auto" w:sz="4" w:space="0"/>
              <w:right w:val="single" w:color="auto" w:sz="4" w:space="0"/>
            </w:tcBorders>
            <w:vAlign w:val="center"/>
          </w:tcPr>
          <w:p w14:paraId="715347A9">
            <w:pPr>
              <w:jc w:val="center"/>
              <w:rPr>
                <w:rFonts w:cs="Times New Roman"/>
                <w:color w:val="auto"/>
                <w:sz w:val="24"/>
                <w:szCs w:val="24"/>
                <w:highlight w:val="none"/>
              </w:rPr>
            </w:pPr>
          </w:p>
        </w:tc>
        <w:tc>
          <w:tcPr>
            <w:tcW w:w="750" w:type="dxa"/>
            <w:tcBorders>
              <w:top w:val="single" w:color="auto" w:sz="4" w:space="0"/>
              <w:left w:val="single" w:color="auto" w:sz="4" w:space="0"/>
              <w:bottom w:val="single" w:color="auto" w:sz="4" w:space="0"/>
              <w:right w:val="single" w:color="auto" w:sz="4" w:space="0"/>
            </w:tcBorders>
            <w:vAlign w:val="center"/>
          </w:tcPr>
          <w:p w14:paraId="22F1147C">
            <w:pPr>
              <w:jc w:val="center"/>
              <w:rPr>
                <w:rFonts w:cs="Times New Roman"/>
                <w:color w:val="auto"/>
                <w:sz w:val="24"/>
                <w:szCs w:val="24"/>
                <w:highlight w:val="none"/>
              </w:rPr>
            </w:pPr>
          </w:p>
        </w:tc>
        <w:tc>
          <w:tcPr>
            <w:tcW w:w="1223" w:type="dxa"/>
            <w:tcBorders>
              <w:top w:val="single" w:color="auto" w:sz="4" w:space="0"/>
              <w:left w:val="single" w:color="auto" w:sz="4" w:space="0"/>
              <w:bottom w:val="single" w:color="auto" w:sz="4" w:space="0"/>
              <w:right w:val="single" w:color="auto" w:sz="4" w:space="0"/>
            </w:tcBorders>
            <w:vAlign w:val="center"/>
          </w:tcPr>
          <w:p w14:paraId="15AB96B7">
            <w:pPr>
              <w:jc w:val="center"/>
              <w:rPr>
                <w:rFonts w:cs="Times New Roman"/>
                <w:color w:val="auto"/>
                <w:sz w:val="24"/>
                <w:szCs w:val="24"/>
                <w:highlight w:val="none"/>
              </w:rPr>
            </w:pPr>
          </w:p>
        </w:tc>
        <w:tc>
          <w:tcPr>
            <w:tcW w:w="1263" w:type="dxa"/>
            <w:tcBorders>
              <w:top w:val="single" w:color="auto" w:sz="4" w:space="0"/>
              <w:left w:val="single" w:color="auto" w:sz="4" w:space="0"/>
              <w:bottom w:val="single" w:color="auto" w:sz="4" w:space="0"/>
              <w:right w:val="single" w:color="auto" w:sz="4" w:space="0"/>
            </w:tcBorders>
            <w:vAlign w:val="center"/>
          </w:tcPr>
          <w:p w14:paraId="72C1B0C3">
            <w:pPr>
              <w:jc w:val="center"/>
              <w:rPr>
                <w:rFonts w:cs="Times New Roman"/>
                <w:color w:val="auto"/>
                <w:sz w:val="24"/>
                <w:szCs w:val="24"/>
                <w:highlight w:val="none"/>
              </w:rPr>
            </w:pPr>
          </w:p>
        </w:tc>
        <w:tc>
          <w:tcPr>
            <w:tcW w:w="1239" w:type="dxa"/>
            <w:tcBorders>
              <w:top w:val="single" w:color="auto" w:sz="4" w:space="0"/>
              <w:left w:val="single" w:color="auto" w:sz="4" w:space="0"/>
              <w:bottom w:val="single" w:color="auto" w:sz="4" w:space="0"/>
              <w:right w:val="single" w:color="auto" w:sz="4" w:space="0"/>
            </w:tcBorders>
            <w:vAlign w:val="center"/>
          </w:tcPr>
          <w:p w14:paraId="0BA71138">
            <w:pPr>
              <w:jc w:val="center"/>
              <w:rPr>
                <w:rFonts w:cs="Times New Roman"/>
                <w:color w:val="auto"/>
                <w:sz w:val="24"/>
                <w:szCs w:val="24"/>
                <w:highlight w:val="none"/>
              </w:rPr>
            </w:pPr>
          </w:p>
        </w:tc>
        <w:tc>
          <w:tcPr>
            <w:tcW w:w="1280" w:type="dxa"/>
            <w:tcBorders>
              <w:top w:val="single" w:color="auto" w:sz="4" w:space="0"/>
              <w:left w:val="single" w:color="auto" w:sz="4" w:space="0"/>
              <w:bottom w:val="single" w:color="auto" w:sz="4" w:space="0"/>
              <w:right w:val="single" w:color="auto" w:sz="4" w:space="0"/>
            </w:tcBorders>
            <w:vAlign w:val="center"/>
          </w:tcPr>
          <w:p w14:paraId="234C45DF">
            <w:pPr>
              <w:jc w:val="center"/>
              <w:rPr>
                <w:rFonts w:cs="Times New Roman"/>
                <w:color w:val="auto"/>
                <w:sz w:val="24"/>
                <w:szCs w:val="24"/>
                <w:highlight w:val="none"/>
              </w:rPr>
            </w:pPr>
          </w:p>
        </w:tc>
      </w:tr>
      <w:tr w14:paraId="06B79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trPr>
        <w:tc>
          <w:tcPr>
            <w:tcW w:w="1394" w:type="dxa"/>
            <w:tcBorders>
              <w:top w:val="single" w:color="auto" w:sz="4" w:space="0"/>
              <w:left w:val="single" w:color="auto" w:sz="4" w:space="0"/>
              <w:bottom w:val="single" w:color="auto" w:sz="4" w:space="0"/>
              <w:right w:val="single" w:color="auto" w:sz="4" w:space="0"/>
            </w:tcBorders>
            <w:vAlign w:val="center"/>
          </w:tcPr>
          <w:p w14:paraId="560D6A3A">
            <w:pPr>
              <w:jc w:val="center"/>
              <w:rPr>
                <w:rFonts w:cs="Times New Roman"/>
                <w:color w:val="auto"/>
                <w:sz w:val="24"/>
                <w:szCs w:val="24"/>
                <w:highlight w:val="none"/>
              </w:rPr>
            </w:pPr>
          </w:p>
        </w:tc>
        <w:tc>
          <w:tcPr>
            <w:tcW w:w="787" w:type="dxa"/>
            <w:tcBorders>
              <w:top w:val="single" w:color="auto" w:sz="4" w:space="0"/>
              <w:left w:val="single" w:color="auto" w:sz="4" w:space="0"/>
              <w:bottom w:val="single" w:color="auto" w:sz="4" w:space="0"/>
              <w:right w:val="single" w:color="auto" w:sz="4" w:space="0"/>
            </w:tcBorders>
            <w:vAlign w:val="center"/>
          </w:tcPr>
          <w:p w14:paraId="5BB1068A">
            <w:pPr>
              <w:jc w:val="center"/>
              <w:rPr>
                <w:rFonts w:cs="Times New Roman"/>
                <w:color w:val="auto"/>
                <w:sz w:val="24"/>
                <w:szCs w:val="24"/>
                <w:highlight w:val="none"/>
              </w:rPr>
            </w:pPr>
          </w:p>
        </w:tc>
        <w:tc>
          <w:tcPr>
            <w:tcW w:w="788" w:type="dxa"/>
            <w:tcBorders>
              <w:top w:val="single" w:color="auto" w:sz="4" w:space="0"/>
              <w:left w:val="single" w:color="auto" w:sz="4" w:space="0"/>
              <w:bottom w:val="single" w:color="auto" w:sz="4" w:space="0"/>
              <w:right w:val="single" w:color="auto" w:sz="4" w:space="0"/>
            </w:tcBorders>
            <w:vAlign w:val="center"/>
          </w:tcPr>
          <w:p w14:paraId="3154C34F">
            <w:pPr>
              <w:jc w:val="center"/>
              <w:rPr>
                <w:rFonts w:cs="Times New Roman"/>
                <w:color w:val="auto"/>
                <w:sz w:val="24"/>
                <w:szCs w:val="24"/>
                <w:highlight w:val="none"/>
              </w:rPr>
            </w:pPr>
          </w:p>
        </w:tc>
        <w:tc>
          <w:tcPr>
            <w:tcW w:w="999" w:type="dxa"/>
            <w:tcBorders>
              <w:top w:val="single" w:color="auto" w:sz="4" w:space="0"/>
              <w:left w:val="single" w:color="auto" w:sz="4" w:space="0"/>
              <w:bottom w:val="single" w:color="auto" w:sz="4" w:space="0"/>
              <w:right w:val="single" w:color="auto" w:sz="4" w:space="0"/>
            </w:tcBorders>
            <w:vAlign w:val="center"/>
          </w:tcPr>
          <w:p w14:paraId="1BD58C1D">
            <w:pPr>
              <w:jc w:val="center"/>
              <w:rPr>
                <w:rFonts w:cs="Times New Roman"/>
                <w:color w:val="auto"/>
                <w:sz w:val="24"/>
                <w:szCs w:val="24"/>
                <w:highlight w:val="none"/>
              </w:rPr>
            </w:pPr>
          </w:p>
        </w:tc>
        <w:tc>
          <w:tcPr>
            <w:tcW w:w="750" w:type="dxa"/>
            <w:tcBorders>
              <w:top w:val="single" w:color="auto" w:sz="4" w:space="0"/>
              <w:left w:val="single" w:color="auto" w:sz="4" w:space="0"/>
              <w:bottom w:val="single" w:color="auto" w:sz="4" w:space="0"/>
              <w:right w:val="single" w:color="auto" w:sz="4" w:space="0"/>
            </w:tcBorders>
            <w:vAlign w:val="center"/>
          </w:tcPr>
          <w:p w14:paraId="6A6CE2EA">
            <w:pPr>
              <w:jc w:val="center"/>
              <w:rPr>
                <w:rFonts w:cs="Times New Roman"/>
                <w:color w:val="auto"/>
                <w:sz w:val="24"/>
                <w:szCs w:val="24"/>
                <w:highlight w:val="none"/>
              </w:rPr>
            </w:pPr>
          </w:p>
        </w:tc>
        <w:tc>
          <w:tcPr>
            <w:tcW w:w="1223" w:type="dxa"/>
            <w:tcBorders>
              <w:top w:val="single" w:color="auto" w:sz="4" w:space="0"/>
              <w:left w:val="single" w:color="auto" w:sz="4" w:space="0"/>
              <w:bottom w:val="single" w:color="auto" w:sz="4" w:space="0"/>
              <w:right w:val="single" w:color="auto" w:sz="4" w:space="0"/>
            </w:tcBorders>
            <w:vAlign w:val="center"/>
          </w:tcPr>
          <w:p w14:paraId="6E4A158E">
            <w:pPr>
              <w:jc w:val="center"/>
              <w:rPr>
                <w:rFonts w:cs="Times New Roman"/>
                <w:color w:val="auto"/>
                <w:sz w:val="24"/>
                <w:szCs w:val="24"/>
                <w:highlight w:val="none"/>
              </w:rPr>
            </w:pPr>
          </w:p>
        </w:tc>
        <w:tc>
          <w:tcPr>
            <w:tcW w:w="1263" w:type="dxa"/>
            <w:tcBorders>
              <w:top w:val="single" w:color="auto" w:sz="4" w:space="0"/>
              <w:left w:val="single" w:color="auto" w:sz="4" w:space="0"/>
              <w:bottom w:val="single" w:color="auto" w:sz="4" w:space="0"/>
              <w:right w:val="single" w:color="auto" w:sz="4" w:space="0"/>
            </w:tcBorders>
            <w:vAlign w:val="center"/>
          </w:tcPr>
          <w:p w14:paraId="2B29CDAA">
            <w:pPr>
              <w:jc w:val="center"/>
              <w:rPr>
                <w:rFonts w:cs="Times New Roman"/>
                <w:color w:val="auto"/>
                <w:sz w:val="24"/>
                <w:szCs w:val="24"/>
                <w:highlight w:val="none"/>
              </w:rPr>
            </w:pPr>
          </w:p>
        </w:tc>
        <w:tc>
          <w:tcPr>
            <w:tcW w:w="1239" w:type="dxa"/>
            <w:tcBorders>
              <w:top w:val="single" w:color="auto" w:sz="4" w:space="0"/>
              <w:left w:val="single" w:color="auto" w:sz="4" w:space="0"/>
              <w:bottom w:val="single" w:color="auto" w:sz="4" w:space="0"/>
              <w:right w:val="single" w:color="auto" w:sz="4" w:space="0"/>
            </w:tcBorders>
            <w:vAlign w:val="center"/>
          </w:tcPr>
          <w:p w14:paraId="7DC3CDF1">
            <w:pPr>
              <w:jc w:val="center"/>
              <w:rPr>
                <w:rFonts w:cs="Times New Roman"/>
                <w:color w:val="auto"/>
                <w:sz w:val="24"/>
                <w:szCs w:val="24"/>
                <w:highlight w:val="none"/>
              </w:rPr>
            </w:pPr>
          </w:p>
        </w:tc>
        <w:tc>
          <w:tcPr>
            <w:tcW w:w="1280" w:type="dxa"/>
            <w:tcBorders>
              <w:top w:val="single" w:color="auto" w:sz="4" w:space="0"/>
              <w:left w:val="single" w:color="auto" w:sz="4" w:space="0"/>
              <w:bottom w:val="single" w:color="auto" w:sz="4" w:space="0"/>
              <w:right w:val="single" w:color="auto" w:sz="4" w:space="0"/>
            </w:tcBorders>
            <w:vAlign w:val="center"/>
          </w:tcPr>
          <w:p w14:paraId="5BC098ED">
            <w:pPr>
              <w:jc w:val="center"/>
              <w:rPr>
                <w:rFonts w:cs="Times New Roman"/>
                <w:color w:val="auto"/>
                <w:sz w:val="24"/>
                <w:szCs w:val="24"/>
                <w:highlight w:val="none"/>
              </w:rPr>
            </w:pPr>
          </w:p>
        </w:tc>
      </w:tr>
      <w:tr w14:paraId="41605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trPr>
        <w:tc>
          <w:tcPr>
            <w:tcW w:w="1394" w:type="dxa"/>
            <w:tcBorders>
              <w:top w:val="single" w:color="auto" w:sz="4" w:space="0"/>
              <w:left w:val="single" w:color="auto" w:sz="4" w:space="0"/>
              <w:bottom w:val="single" w:color="auto" w:sz="4" w:space="0"/>
              <w:right w:val="single" w:color="auto" w:sz="4" w:space="0"/>
            </w:tcBorders>
            <w:vAlign w:val="center"/>
          </w:tcPr>
          <w:p w14:paraId="4C50663D">
            <w:pPr>
              <w:jc w:val="center"/>
              <w:rPr>
                <w:rFonts w:cs="Times New Roman"/>
                <w:color w:val="auto"/>
                <w:sz w:val="24"/>
                <w:szCs w:val="24"/>
                <w:highlight w:val="none"/>
              </w:rPr>
            </w:pPr>
          </w:p>
        </w:tc>
        <w:tc>
          <w:tcPr>
            <w:tcW w:w="787" w:type="dxa"/>
            <w:tcBorders>
              <w:top w:val="single" w:color="auto" w:sz="4" w:space="0"/>
              <w:left w:val="single" w:color="auto" w:sz="4" w:space="0"/>
              <w:bottom w:val="single" w:color="auto" w:sz="4" w:space="0"/>
              <w:right w:val="single" w:color="auto" w:sz="4" w:space="0"/>
            </w:tcBorders>
            <w:vAlign w:val="center"/>
          </w:tcPr>
          <w:p w14:paraId="436F0B40">
            <w:pPr>
              <w:jc w:val="center"/>
              <w:rPr>
                <w:rFonts w:cs="Times New Roman"/>
                <w:color w:val="auto"/>
                <w:sz w:val="24"/>
                <w:szCs w:val="24"/>
                <w:highlight w:val="none"/>
              </w:rPr>
            </w:pPr>
          </w:p>
        </w:tc>
        <w:tc>
          <w:tcPr>
            <w:tcW w:w="788" w:type="dxa"/>
            <w:tcBorders>
              <w:top w:val="single" w:color="auto" w:sz="4" w:space="0"/>
              <w:left w:val="single" w:color="auto" w:sz="4" w:space="0"/>
              <w:bottom w:val="single" w:color="auto" w:sz="4" w:space="0"/>
              <w:right w:val="single" w:color="auto" w:sz="4" w:space="0"/>
            </w:tcBorders>
            <w:vAlign w:val="center"/>
          </w:tcPr>
          <w:p w14:paraId="160F6EF8">
            <w:pPr>
              <w:jc w:val="center"/>
              <w:rPr>
                <w:rFonts w:cs="Times New Roman"/>
                <w:color w:val="auto"/>
                <w:sz w:val="24"/>
                <w:szCs w:val="24"/>
                <w:highlight w:val="none"/>
              </w:rPr>
            </w:pPr>
          </w:p>
        </w:tc>
        <w:tc>
          <w:tcPr>
            <w:tcW w:w="999" w:type="dxa"/>
            <w:tcBorders>
              <w:top w:val="single" w:color="auto" w:sz="4" w:space="0"/>
              <w:left w:val="single" w:color="auto" w:sz="4" w:space="0"/>
              <w:bottom w:val="single" w:color="auto" w:sz="4" w:space="0"/>
              <w:right w:val="single" w:color="auto" w:sz="4" w:space="0"/>
            </w:tcBorders>
            <w:vAlign w:val="center"/>
          </w:tcPr>
          <w:p w14:paraId="6920D5F7">
            <w:pPr>
              <w:jc w:val="center"/>
              <w:rPr>
                <w:rFonts w:cs="Times New Roman"/>
                <w:color w:val="auto"/>
                <w:sz w:val="24"/>
                <w:szCs w:val="24"/>
                <w:highlight w:val="none"/>
              </w:rPr>
            </w:pPr>
          </w:p>
        </w:tc>
        <w:tc>
          <w:tcPr>
            <w:tcW w:w="750" w:type="dxa"/>
            <w:tcBorders>
              <w:top w:val="single" w:color="auto" w:sz="4" w:space="0"/>
              <w:left w:val="single" w:color="auto" w:sz="4" w:space="0"/>
              <w:bottom w:val="single" w:color="auto" w:sz="4" w:space="0"/>
              <w:right w:val="single" w:color="auto" w:sz="4" w:space="0"/>
            </w:tcBorders>
            <w:vAlign w:val="center"/>
          </w:tcPr>
          <w:p w14:paraId="2BBD5593">
            <w:pPr>
              <w:jc w:val="center"/>
              <w:rPr>
                <w:rFonts w:cs="Times New Roman"/>
                <w:color w:val="auto"/>
                <w:sz w:val="24"/>
                <w:szCs w:val="24"/>
                <w:highlight w:val="none"/>
              </w:rPr>
            </w:pPr>
          </w:p>
        </w:tc>
        <w:tc>
          <w:tcPr>
            <w:tcW w:w="1223" w:type="dxa"/>
            <w:tcBorders>
              <w:top w:val="single" w:color="auto" w:sz="4" w:space="0"/>
              <w:left w:val="single" w:color="auto" w:sz="4" w:space="0"/>
              <w:bottom w:val="single" w:color="auto" w:sz="4" w:space="0"/>
              <w:right w:val="single" w:color="auto" w:sz="4" w:space="0"/>
            </w:tcBorders>
            <w:vAlign w:val="center"/>
          </w:tcPr>
          <w:p w14:paraId="1988B103">
            <w:pPr>
              <w:jc w:val="center"/>
              <w:rPr>
                <w:rFonts w:cs="Times New Roman"/>
                <w:color w:val="auto"/>
                <w:sz w:val="24"/>
                <w:szCs w:val="24"/>
                <w:highlight w:val="none"/>
              </w:rPr>
            </w:pPr>
          </w:p>
        </w:tc>
        <w:tc>
          <w:tcPr>
            <w:tcW w:w="1263" w:type="dxa"/>
            <w:tcBorders>
              <w:top w:val="single" w:color="auto" w:sz="4" w:space="0"/>
              <w:left w:val="single" w:color="auto" w:sz="4" w:space="0"/>
              <w:bottom w:val="single" w:color="auto" w:sz="4" w:space="0"/>
              <w:right w:val="single" w:color="auto" w:sz="4" w:space="0"/>
            </w:tcBorders>
            <w:vAlign w:val="center"/>
          </w:tcPr>
          <w:p w14:paraId="2BFB73F1">
            <w:pPr>
              <w:jc w:val="center"/>
              <w:rPr>
                <w:rFonts w:cs="Times New Roman"/>
                <w:color w:val="auto"/>
                <w:sz w:val="24"/>
                <w:szCs w:val="24"/>
                <w:highlight w:val="none"/>
              </w:rPr>
            </w:pPr>
          </w:p>
        </w:tc>
        <w:tc>
          <w:tcPr>
            <w:tcW w:w="1239" w:type="dxa"/>
            <w:tcBorders>
              <w:top w:val="single" w:color="auto" w:sz="4" w:space="0"/>
              <w:left w:val="single" w:color="auto" w:sz="4" w:space="0"/>
              <w:bottom w:val="single" w:color="auto" w:sz="4" w:space="0"/>
              <w:right w:val="single" w:color="auto" w:sz="4" w:space="0"/>
            </w:tcBorders>
            <w:vAlign w:val="center"/>
          </w:tcPr>
          <w:p w14:paraId="689BB2B3">
            <w:pPr>
              <w:jc w:val="center"/>
              <w:rPr>
                <w:rFonts w:cs="Times New Roman"/>
                <w:color w:val="auto"/>
                <w:sz w:val="24"/>
                <w:szCs w:val="24"/>
                <w:highlight w:val="none"/>
              </w:rPr>
            </w:pPr>
          </w:p>
        </w:tc>
        <w:tc>
          <w:tcPr>
            <w:tcW w:w="1280" w:type="dxa"/>
            <w:tcBorders>
              <w:top w:val="single" w:color="auto" w:sz="4" w:space="0"/>
              <w:left w:val="single" w:color="auto" w:sz="4" w:space="0"/>
              <w:bottom w:val="single" w:color="auto" w:sz="4" w:space="0"/>
              <w:right w:val="single" w:color="auto" w:sz="4" w:space="0"/>
            </w:tcBorders>
            <w:vAlign w:val="center"/>
          </w:tcPr>
          <w:p w14:paraId="3823682D">
            <w:pPr>
              <w:jc w:val="center"/>
              <w:rPr>
                <w:rFonts w:cs="Times New Roman"/>
                <w:color w:val="auto"/>
                <w:sz w:val="24"/>
                <w:szCs w:val="24"/>
                <w:highlight w:val="none"/>
              </w:rPr>
            </w:pPr>
          </w:p>
        </w:tc>
      </w:tr>
    </w:tbl>
    <w:p w14:paraId="27E133EC">
      <w:pPr>
        <w:jc w:val="center"/>
        <w:rPr>
          <w:rFonts w:ascii="宋体" w:hAnsi="宋体" w:cs="宋体"/>
          <w:color w:val="auto"/>
          <w:sz w:val="28"/>
          <w:szCs w:val="28"/>
          <w:highlight w:val="none"/>
          <w:u w:val="single"/>
        </w:rPr>
      </w:pPr>
    </w:p>
    <w:p w14:paraId="0591BCC7">
      <w:pPr>
        <w:spacing w:line="480" w:lineRule="exact"/>
        <w:ind w:firstLine="480" w:firstLineChars="200"/>
        <w:jc w:val="right"/>
        <w:rPr>
          <w:rFonts w:ascii="宋体" w:cs="Times New Roman"/>
          <w:color w:val="auto"/>
          <w:sz w:val="24"/>
          <w:szCs w:val="24"/>
          <w:highlight w:val="none"/>
        </w:rPr>
      </w:pPr>
      <w:r>
        <w:rPr>
          <w:rFonts w:hint="eastAsia" w:ascii="宋体" w:cs="Times New Roman"/>
          <w:color w:val="auto"/>
          <w:sz w:val="24"/>
          <w:szCs w:val="24"/>
          <w:highlight w:val="none"/>
        </w:rPr>
        <w:t xml:space="preserve"> 投标人：             （签章）</w:t>
      </w:r>
    </w:p>
    <w:p w14:paraId="4303E22E">
      <w:pPr>
        <w:spacing w:line="480" w:lineRule="exact"/>
        <w:ind w:firstLine="480" w:firstLineChars="200"/>
        <w:jc w:val="right"/>
        <w:rPr>
          <w:rFonts w:ascii="宋体" w:cs="Times New Roman"/>
          <w:color w:val="auto"/>
          <w:sz w:val="24"/>
          <w:szCs w:val="24"/>
          <w:highlight w:val="none"/>
        </w:rPr>
      </w:pPr>
      <w:r>
        <w:rPr>
          <w:rFonts w:hint="eastAsia" w:ascii="宋体" w:cs="Times New Roman"/>
          <w:color w:val="auto"/>
          <w:sz w:val="24"/>
          <w:szCs w:val="24"/>
          <w:highlight w:val="none"/>
        </w:rPr>
        <w:t>法定代表人或其委托代理人：             （签字或盖章）</w:t>
      </w:r>
    </w:p>
    <w:p w14:paraId="0708C7EB">
      <w:pPr>
        <w:spacing w:line="480" w:lineRule="exact"/>
        <w:ind w:firstLine="480" w:firstLineChars="200"/>
        <w:jc w:val="right"/>
        <w:rPr>
          <w:rFonts w:ascii="宋体" w:cs="Times New Roman"/>
          <w:color w:val="auto"/>
          <w:sz w:val="24"/>
          <w:szCs w:val="24"/>
          <w:highlight w:val="none"/>
        </w:rPr>
      </w:pPr>
      <w:r>
        <w:rPr>
          <w:rFonts w:hint="eastAsia" w:ascii="宋体" w:cs="Times New Roman"/>
          <w:color w:val="auto"/>
          <w:sz w:val="24"/>
          <w:szCs w:val="24"/>
          <w:highlight w:val="none"/>
        </w:rPr>
        <w:t>年  月   日</w:t>
      </w:r>
    </w:p>
    <w:p w14:paraId="14C9D8DB">
      <w:pPr>
        <w:spacing w:after="120" w:line="440" w:lineRule="exact"/>
        <w:ind w:left="420" w:leftChars="200" w:firstLine="420" w:firstLineChars="200"/>
        <w:rPr>
          <w:rFonts w:cs="Times New Roman"/>
          <w:color w:val="auto"/>
          <w:szCs w:val="24"/>
          <w:highlight w:val="none"/>
        </w:rPr>
      </w:pPr>
    </w:p>
    <w:p w14:paraId="1E91116B">
      <w:pPr>
        <w:ind w:right="-178" w:rightChars="-85"/>
        <w:jc w:val="center"/>
        <w:rPr>
          <w:rFonts w:ascii="宋体" w:hAnsi="宋体" w:cs="宋体"/>
          <w:b/>
          <w:bCs/>
          <w:color w:val="auto"/>
          <w:kern w:val="0"/>
          <w:sz w:val="28"/>
          <w:szCs w:val="28"/>
          <w:highlight w:val="none"/>
        </w:rPr>
      </w:pPr>
      <w:r>
        <w:rPr>
          <w:rFonts w:hint="eastAsia" w:ascii="宋体" w:hAnsi="宋体" w:cs="宋体"/>
          <w:b/>
          <w:color w:val="auto"/>
          <w:sz w:val="28"/>
          <w:szCs w:val="28"/>
          <w:highlight w:val="none"/>
        </w:rPr>
        <w:t>（5）</w:t>
      </w:r>
      <w:r>
        <w:rPr>
          <w:rFonts w:hint="eastAsia" w:ascii="宋体" w:hAnsi="宋体" w:cs="宋体"/>
          <w:b/>
          <w:bCs/>
          <w:color w:val="auto"/>
          <w:kern w:val="0"/>
          <w:sz w:val="28"/>
          <w:szCs w:val="28"/>
          <w:highlight w:val="none"/>
          <w:lang w:bidi="ar"/>
        </w:rPr>
        <w:t>服务承诺书</w:t>
      </w:r>
    </w:p>
    <w:p w14:paraId="3E55F0C4">
      <w:pPr>
        <w:ind w:firstLine="480" w:firstLineChars="200"/>
        <w:rPr>
          <w:rFonts w:ascii="宋体" w:cs="Times New Roman"/>
          <w:color w:val="auto"/>
          <w:sz w:val="24"/>
          <w:szCs w:val="24"/>
          <w:highlight w:val="none"/>
        </w:rPr>
      </w:pPr>
      <w:r>
        <w:rPr>
          <w:rFonts w:hint="eastAsia" w:ascii="宋体" w:cs="Times New Roman"/>
          <w:color w:val="auto"/>
          <w:sz w:val="24"/>
          <w:szCs w:val="24"/>
          <w:highlight w:val="none"/>
          <w:lang w:bidi="ar"/>
        </w:rPr>
        <w:t xml:space="preserve"> </w:t>
      </w:r>
    </w:p>
    <w:p w14:paraId="02026034">
      <w:pPr>
        <w:rPr>
          <w:rFonts w:ascii="宋体" w:cs="Times New Roman"/>
          <w:b/>
          <w:color w:val="auto"/>
          <w:sz w:val="24"/>
          <w:szCs w:val="24"/>
          <w:highlight w:val="none"/>
        </w:rPr>
      </w:pPr>
      <w:r>
        <w:rPr>
          <w:rFonts w:hint="eastAsia" w:ascii="宋体" w:hAnsi="宋体" w:cs="宋体"/>
          <w:color w:val="auto"/>
          <w:sz w:val="24"/>
          <w:szCs w:val="24"/>
          <w:highlight w:val="none"/>
          <w:lang w:bidi="ar"/>
        </w:rPr>
        <w:t>致：</w:t>
      </w:r>
      <w:r>
        <w:rPr>
          <w:rFonts w:hint="eastAsia" w:ascii="宋体" w:cs="Times New Roman"/>
          <w:color w:val="auto"/>
          <w:sz w:val="24"/>
          <w:szCs w:val="24"/>
          <w:highlight w:val="none"/>
          <w:u w:val="single"/>
          <w:lang w:bidi="ar"/>
        </w:rPr>
        <w:t xml:space="preserve">               </w:t>
      </w:r>
      <w:r>
        <w:rPr>
          <w:rFonts w:hint="eastAsia" w:ascii="宋体" w:hAnsi="宋体" w:cs="宋体"/>
          <w:color w:val="auto"/>
          <w:sz w:val="24"/>
          <w:szCs w:val="24"/>
          <w:highlight w:val="none"/>
          <w:u w:val="single"/>
          <w:lang w:bidi="ar"/>
        </w:rPr>
        <w:t>（招标人）</w:t>
      </w:r>
      <w:r>
        <w:rPr>
          <w:rFonts w:hint="eastAsia" w:ascii="宋体" w:hAnsi="宋体" w:cs="宋体"/>
          <w:color w:val="auto"/>
          <w:sz w:val="24"/>
          <w:szCs w:val="24"/>
          <w:highlight w:val="none"/>
          <w:lang w:bidi="ar"/>
        </w:rPr>
        <w:t>：</w:t>
      </w:r>
    </w:p>
    <w:p w14:paraId="30316BEE">
      <w:pPr>
        <w:spacing w:line="800" w:lineRule="exact"/>
        <w:ind w:firstLine="480" w:firstLineChars="200"/>
        <w:rPr>
          <w:rFonts w:ascii="宋体" w:cs="Times New Roman"/>
          <w:color w:val="auto"/>
          <w:sz w:val="24"/>
          <w:szCs w:val="24"/>
          <w:highlight w:val="none"/>
        </w:rPr>
      </w:pPr>
      <w:r>
        <w:rPr>
          <w:rFonts w:hint="eastAsia" w:ascii="宋体" w:hAnsi="宋体" w:cs="宋体"/>
          <w:color w:val="auto"/>
          <w:sz w:val="24"/>
          <w:szCs w:val="24"/>
          <w:highlight w:val="none"/>
          <w:lang w:bidi="ar"/>
        </w:rPr>
        <w:t>本承诺声明：</w:t>
      </w:r>
      <w:r>
        <w:rPr>
          <w:rFonts w:hint="eastAsia" w:ascii="宋体" w:cs="Times New Roman"/>
          <w:color w:val="auto"/>
          <w:sz w:val="24"/>
          <w:szCs w:val="24"/>
          <w:highlight w:val="none"/>
          <w:u w:val="single"/>
          <w:lang w:bidi="ar"/>
        </w:rPr>
        <w:t xml:space="preserve">                   </w:t>
      </w:r>
      <w:r>
        <w:rPr>
          <w:rFonts w:hint="eastAsia" w:ascii="宋体" w:hAnsi="宋体" w:cs="宋体"/>
          <w:color w:val="auto"/>
          <w:sz w:val="24"/>
          <w:szCs w:val="24"/>
          <w:highlight w:val="none"/>
          <w:lang w:bidi="ar"/>
        </w:rPr>
        <w:t>（投标人名称）对本项目招标文件中所有要求完全响应。若有幸中标将严格按照以上承诺进行服务。</w:t>
      </w:r>
    </w:p>
    <w:p w14:paraId="73065669">
      <w:pPr>
        <w:spacing w:line="800" w:lineRule="exact"/>
        <w:ind w:firstLine="480" w:firstLineChars="200"/>
        <w:rPr>
          <w:rFonts w:ascii="宋体" w:cs="Times New Roman"/>
          <w:color w:val="auto"/>
          <w:sz w:val="24"/>
          <w:szCs w:val="24"/>
          <w:highlight w:val="none"/>
        </w:rPr>
      </w:pPr>
      <w:r>
        <w:rPr>
          <w:rFonts w:hint="eastAsia" w:ascii="宋体" w:hAnsi="宋体" w:cs="宋体"/>
          <w:color w:val="auto"/>
          <w:sz w:val="24"/>
          <w:szCs w:val="24"/>
          <w:highlight w:val="none"/>
          <w:lang w:bidi="ar"/>
        </w:rPr>
        <w:t>特此声明。</w:t>
      </w:r>
    </w:p>
    <w:p w14:paraId="552DFFE4">
      <w:pPr>
        <w:spacing w:line="600" w:lineRule="exact"/>
        <w:rPr>
          <w:rFonts w:ascii="宋体" w:cs="Times New Roman"/>
          <w:color w:val="auto"/>
          <w:sz w:val="24"/>
          <w:szCs w:val="24"/>
          <w:highlight w:val="none"/>
        </w:rPr>
      </w:pPr>
      <w:r>
        <w:rPr>
          <w:rFonts w:hint="eastAsia" w:ascii="宋体" w:cs="Times New Roman"/>
          <w:color w:val="auto"/>
          <w:sz w:val="24"/>
          <w:szCs w:val="24"/>
          <w:highlight w:val="none"/>
          <w:lang w:bidi="ar"/>
        </w:rPr>
        <w:t xml:space="preserve"> </w:t>
      </w:r>
    </w:p>
    <w:p w14:paraId="60BEB082">
      <w:pPr>
        <w:spacing w:line="480" w:lineRule="auto"/>
        <w:ind w:firstLine="3120" w:firstLineChars="1300"/>
        <w:rPr>
          <w:rFonts w:ascii="宋体" w:hAnsi="宋体" w:cs="Times New Roman"/>
          <w:color w:val="auto"/>
          <w:sz w:val="24"/>
          <w:szCs w:val="24"/>
          <w:highlight w:val="none"/>
        </w:rPr>
      </w:pPr>
      <w:r>
        <w:rPr>
          <w:rFonts w:hint="eastAsia" w:ascii="宋体" w:hAnsi="宋体" w:cs="宋体"/>
          <w:color w:val="auto"/>
          <w:sz w:val="24"/>
          <w:szCs w:val="24"/>
          <w:highlight w:val="none"/>
          <w:lang w:bidi="ar"/>
        </w:rPr>
        <w:t>投标人名称：</w:t>
      </w:r>
      <w:r>
        <w:rPr>
          <w:rFonts w:hint="eastAsia" w:ascii="宋体" w:hAnsi="宋体" w:cs="Times New Roman"/>
          <w:color w:val="auto"/>
          <w:sz w:val="24"/>
          <w:szCs w:val="24"/>
          <w:highlight w:val="none"/>
          <w:u w:val="single"/>
          <w:lang w:bidi="ar"/>
        </w:rPr>
        <w:t xml:space="preserve">                          </w:t>
      </w:r>
      <w:r>
        <w:rPr>
          <w:rFonts w:hint="eastAsia" w:ascii="宋体" w:hAnsi="宋体" w:cs="宋体"/>
          <w:color w:val="auto"/>
          <w:sz w:val="24"/>
          <w:szCs w:val="24"/>
          <w:highlight w:val="none"/>
          <w:lang w:bidi="ar"/>
        </w:rPr>
        <w:t>（盖章）</w:t>
      </w:r>
    </w:p>
    <w:p w14:paraId="0E864D89">
      <w:pPr>
        <w:spacing w:line="480" w:lineRule="auto"/>
        <w:ind w:firstLine="3120" w:firstLineChars="1300"/>
        <w:rPr>
          <w:rFonts w:ascii="宋体" w:hAnsi="宋体" w:cs="Times New Roman"/>
          <w:color w:val="auto"/>
          <w:sz w:val="24"/>
          <w:szCs w:val="24"/>
          <w:highlight w:val="none"/>
        </w:rPr>
      </w:pPr>
      <w:r>
        <w:rPr>
          <w:rFonts w:hint="eastAsia" w:ascii="宋体" w:hAnsi="宋体" w:cs="宋体"/>
          <w:color w:val="auto"/>
          <w:sz w:val="24"/>
          <w:szCs w:val="24"/>
          <w:highlight w:val="none"/>
          <w:lang w:bidi="ar"/>
        </w:rPr>
        <w:t>法定代表人：</w:t>
      </w:r>
      <w:r>
        <w:rPr>
          <w:rFonts w:hint="eastAsia" w:ascii="宋体" w:hAnsi="宋体" w:cs="Times New Roman"/>
          <w:color w:val="auto"/>
          <w:sz w:val="24"/>
          <w:szCs w:val="24"/>
          <w:highlight w:val="none"/>
          <w:u w:val="single"/>
          <w:lang w:bidi="ar"/>
        </w:rPr>
        <w:t xml:space="preserve">                   </w:t>
      </w:r>
      <w:r>
        <w:rPr>
          <w:rFonts w:hint="eastAsia" w:ascii="宋体" w:hAnsi="宋体" w:cs="宋体"/>
          <w:color w:val="auto"/>
          <w:sz w:val="24"/>
          <w:szCs w:val="24"/>
          <w:highlight w:val="none"/>
          <w:lang w:bidi="ar"/>
        </w:rPr>
        <w:t>(签字或盖章)</w:t>
      </w:r>
    </w:p>
    <w:p w14:paraId="5159403C">
      <w:pPr>
        <w:spacing w:line="480" w:lineRule="auto"/>
        <w:jc w:val="right"/>
        <w:rPr>
          <w:rFonts w:ascii="宋体" w:hAnsi="宋体" w:cs="宋体"/>
          <w:color w:val="auto"/>
          <w:sz w:val="24"/>
          <w:szCs w:val="24"/>
          <w:highlight w:val="none"/>
          <w:lang w:bidi="ar"/>
        </w:rPr>
      </w:pPr>
      <w:r>
        <w:rPr>
          <w:rFonts w:hint="eastAsia" w:ascii="宋体" w:hAnsi="宋体" w:cs="Times New Roman"/>
          <w:color w:val="auto"/>
          <w:sz w:val="24"/>
          <w:szCs w:val="24"/>
          <w:highlight w:val="none"/>
          <w:lang w:bidi="ar"/>
        </w:rPr>
        <w:t xml:space="preserve">                                  </w:t>
      </w:r>
      <w:r>
        <w:rPr>
          <w:rFonts w:hint="eastAsia" w:ascii="宋体" w:hAnsi="宋体" w:cs="宋体"/>
          <w:color w:val="auto"/>
          <w:sz w:val="24"/>
          <w:szCs w:val="24"/>
          <w:highlight w:val="none"/>
          <w:lang w:bidi="ar"/>
        </w:rPr>
        <w:t>日</w:t>
      </w:r>
      <w:r>
        <w:rPr>
          <w:rFonts w:hint="eastAsia" w:ascii="宋体" w:hAnsi="宋体" w:cs="Times New Roman"/>
          <w:color w:val="auto"/>
          <w:sz w:val="24"/>
          <w:szCs w:val="24"/>
          <w:highlight w:val="none"/>
          <w:lang w:bidi="ar"/>
        </w:rPr>
        <w:t xml:space="preserve">    </w:t>
      </w:r>
      <w:r>
        <w:rPr>
          <w:rFonts w:hint="eastAsia" w:ascii="宋体" w:hAnsi="宋体" w:cs="宋体"/>
          <w:color w:val="auto"/>
          <w:sz w:val="24"/>
          <w:szCs w:val="24"/>
          <w:highlight w:val="none"/>
          <w:lang w:bidi="ar"/>
        </w:rPr>
        <w:t>期：</w:t>
      </w:r>
      <w:r>
        <w:rPr>
          <w:rFonts w:hint="eastAsia" w:ascii="宋体" w:hAnsi="宋体" w:cs="Times New Roman"/>
          <w:color w:val="auto"/>
          <w:sz w:val="24"/>
          <w:szCs w:val="24"/>
          <w:highlight w:val="none"/>
          <w:u w:val="single"/>
          <w:lang w:bidi="ar"/>
        </w:rPr>
        <w:t xml:space="preserve">        </w:t>
      </w:r>
      <w:r>
        <w:rPr>
          <w:rFonts w:hint="eastAsia" w:ascii="宋体" w:hAnsi="宋体" w:cs="宋体"/>
          <w:color w:val="auto"/>
          <w:sz w:val="24"/>
          <w:szCs w:val="24"/>
          <w:highlight w:val="none"/>
          <w:lang w:bidi="ar"/>
        </w:rPr>
        <w:t>年</w:t>
      </w:r>
      <w:r>
        <w:rPr>
          <w:rFonts w:hint="eastAsia" w:ascii="宋体" w:hAnsi="宋体" w:cs="Times New Roman"/>
          <w:color w:val="auto"/>
          <w:sz w:val="24"/>
          <w:szCs w:val="24"/>
          <w:highlight w:val="none"/>
          <w:u w:val="single"/>
          <w:lang w:bidi="ar"/>
        </w:rPr>
        <w:t xml:space="preserve">      </w:t>
      </w:r>
      <w:r>
        <w:rPr>
          <w:rFonts w:hint="eastAsia" w:ascii="宋体" w:hAnsi="宋体" w:cs="宋体"/>
          <w:color w:val="auto"/>
          <w:sz w:val="24"/>
          <w:szCs w:val="24"/>
          <w:highlight w:val="none"/>
          <w:lang w:bidi="ar"/>
        </w:rPr>
        <w:t>月</w:t>
      </w:r>
      <w:r>
        <w:rPr>
          <w:rFonts w:hint="eastAsia" w:ascii="宋体" w:hAnsi="宋体" w:cs="Times New Roman"/>
          <w:color w:val="auto"/>
          <w:sz w:val="24"/>
          <w:szCs w:val="24"/>
          <w:highlight w:val="none"/>
          <w:u w:val="single"/>
          <w:lang w:bidi="ar"/>
        </w:rPr>
        <w:t xml:space="preserve">      </w:t>
      </w:r>
      <w:r>
        <w:rPr>
          <w:rFonts w:hint="eastAsia" w:ascii="宋体" w:hAnsi="宋体" w:cs="宋体"/>
          <w:color w:val="auto"/>
          <w:sz w:val="24"/>
          <w:szCs w:val="24"/>
          <w:highlight w:val="none"/>
          <w:lang w:bidi="ar"/>
        </w:rPr>
        <w:t>日</w:t>
      </w:r>
    </w:p>
    <w:p w14:paraId="680211DD">
      <w:pPr>
        <w:keepNext/>
        <w:keepLines/>
        <w:pageBreakBefore/>
        <w:spacing w:line="360" w:lineRule="auto"/>
        <w:jc w:val="center"/>
        <w:outlineLvl w:val="0"/>
        <w:rPr>
          <w:rFonts w:cs="Times New Roman"/>
          <w:b/>
          <w:bCs/>
          <w:color w:val="auto"/>
          <w:kern w:val="44"/>
          <w:sz w:val="32"/>
          <w:szCs w:val="32"/>
          <w:highlight w:val="none"/>
        </w:rPr>
      </w:pPr>
      <w:bookmarkStart w:id="882" w:name="_Toc8147"/>
      <w:r>
        <w:rPr>
          <w:rFonts w:hint="eastAsia" w:cs="Times New Roman"/>
          <w:b/>
          <w:bCs/>
          <w:color w:val="auto"/>
          <w:kern w:val="44"/>
          <w:sz w:val="32"/>
          <w:szCs w:val="32"/>
          <w:highlight w:val="none"/>
        </w:rPr>
        <w:t>第九章</w:t>
      </w:r>
      <w:r>
        <w:rPr>
          <w:rFonts w:cs="Times New Roman"/>
          <w:b/>
          <w:bCs/>
          <w:color w:val="auto"/>
          <w:kern w:val="44"/>
          <w:sz w:val="32"/>
          <w:szCs w:val="32"/>
          <w:highlight w:val="none"/>
        </w:rPr>
        <w:t xml:space="preserve">  </w:t>
      </w:r>
      <w:r>
        <w:rPr>
          <w:rFonts w:hint="eastAsia" w:cs="Times New Roman"/>
          <w:b/>
          <w:bCs/>
          <w:color w:val="auto"/>
          <w:kern w:val="44"/>
          <w:sz w:val="32"/>
          <w:szCs w:val="32"/>
          <w:highlight w:val="none"/>
        </w:rPr>
        <w:t>招标</w:t>
      </w:r>
      <w:bookmarkStart w:id="883" w:name="_Toc60061593"/>
      <w:r>
        <w:rPr>
          <w:rFonts w:hint="eastAsia" w:cs="Times New Roman"/>
          <w:b/>
          <w:bCs/>
          <w:color w:val="auto"/>
          <w:kern w:val="44"/>
          <w:sz w:val="32"/>
          <w:szCs w:val="32"/>
          <w:highlight w:val="none"/>
        </w:rPr>
        <w:t>人、招标代理机构对本招标文件的确认</w:t>
      </w:r>
      <w:bookmarkEnd w:id="882"/>
      <w:bookmarkEnd w:id="883"/>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0"/>
      </w:tblGrid>
      <w:tr w14:paraId="789D7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3" w:hRule="atLeast"/>
          <w:jc w:val="center"/>
        </w:trPr>
        <w:tc>
          <w:tcPr>
            <w:tcW w:w="9580" w:type="dxa"/>
            <w:tcBorders>
              <w:top w:val="single" w:color="auto" w:sz="4" w:space="0"/>
              <w:left w:val="single" w:color="auto" w:sz="4" w:space="0"/>
              <w:bottom w:val="single" w:color="auto" w:sz="4" w:space="0"/>
              <w:right w:val="single" w:color="auto" w:sz="4" w:space="0"/>
            </w:tcBorders>
          </w:tcPr>
          <w:p w14:paraId="327443D9">
            <w:pPr>
              <w:adjustRightInd w:val="0"/>
              <w:snapToGrid w:val="0"/>
              <w:spacing w:line="480" w:lineRule="auto"/>
              <w:rPr>
                <w:rFonts w:cs="Times New Roman"/>
                <w:color w:val="auto"/>
                <w:sz w:val="30"/>
                <w:szCs w:val="24"/>
                <w:highlight w:val="none"/>
              </w:rPr>
            </w:pPr>
          </w:p>
          <w:p w14:paraId="315B9946">
            <w:pPr>
              <w:adjustRightInd w:val="0"/>
              <w:snapToGrid w:val="0"/>
              <w:spacing w:line="480" w:lineRule="auto"/>
              <w:ind w:firstLine="700" w:firstLineChars="250"/>
              <w:rPr>
                <w:rFonts w:cs="Times New Roman"/>
                <w:color w:val="auto"/>
                <w:sz w:val="28"/>
                <w:szCs w:val="28"/>
                <w:highlight w:val="none"/>
              </w:rPr>
            </w:pPr>
            <w:r>
              <w:rPr>
                <w:rFonts w:hint="eastAsia" w:cs="Times New Roman"/>
                <w:color w:val="auto"/>
                <w:sz w:val="28"/>
                <w:szCs w:val="28"/>
                <w:highlight w:val="none"/>
              </w:rPr>
              <w:t>我单位对</w:t>
            </w:r>
            <w:bookmarkStart w:id="884" w:name="_Toc506107366"/>
            <w:bookmarkStart w:id="885" w:name="_Toc15058950"/>
            <w:bookmarkStart w:id="886" w:name="_Toc60061594"/>
            <w:r>
              <w:rPr>
                <w:rFonts w:hint="eastAsia" w:cs="Times New Roman"/>
                <w:color w:val="auto"/>
                <w:sz w:val="28"/>
                <w:szCs w:val="28"/>
                <w:highlight w:val="none"/>
              </w:rPr>
              <w:t>滁州铜鑫矿业有限责任公司尾矿库闭库工程第三方测绘服务施工招</w:t>
            </w:r>
            <w:bookmarkEnd w:id="884"/>
            <w:bookmarkEnd w:id="885"/>
            <w:bookmarkEnd w:id="886"/>
            <w:r>
              <w:rPr>
                <w:rFonts w:hint="eastAsia" w:cs="Times New Roman"/>
                <w:color w:val="auto"/>
                <w:sz w:val="28"/>
                <w:szCs w:val="28"/>
                <w:highlight w:val="none"/>
              </w:rPr>
              <w:t>标的招标文件进行确认。</w:t>
            </w:r>
          </w:p>
          <w:p w14:paraId="2213EA2C">
            <w:pPr>
              <w:adjustRightInd w:val="0"/>
              <w:snapToGrid w:val="0"/>
              <w:spacing w:line="480" w:lineRule="auto"/>
              <w:ind w:firstLine="700" w:firstLineChars="250"/>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 xml:space="preserve">招 标 人：滁州铜鑫矿业有限责任公司 </w:t>
            </w:r>
          </w:p>
          <w:p w14:paraId="5E4E842A">
            <w:pPr>
              <w:adjustRightInd w:val="0"/>
              <w:snapToGrid w:val="0"/>
              <w:spacing w:line="480" w:lineRule="auto"/>
              <w:ind w:firstLine="700" w:firstLineChars="250"/>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联 系 人：张志腾</w:t>
            </w:r>
          </w:p>
          <w:p w14:paraId="5DAF6B1C">
            <w:pPr>
              <w:adjustRightInd w:val="0"/>
              <w:snapToGrid w:val="0"/>
              <w:spacing w:line="480" w:lineRule="auto"/>
              <w:ind w:firstLine="700" w:firstLineChars="250"/>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联系电话：0550-3015483</w:t>
            </w:r>
          </w:p>
          <w:p w14:paraId="2DACFB59">
            <w:pPr>
              <w:adjustRightInd w:val="0"/>
              <w:snapToGrid w:val="0"/>
              <w:spacing w:line="480" w:lineRule="auto"/>
              <w:ind w:firstLine="560" w:firstLineChars="200"/>
              <w:rPr>
                <w:rFonts w:ascii="宋体" w:hAnsi="宋体" w:cs="Times New Roman"/>
                <w:color w:val="auto"/>
                <w:sz w:val="28"/>
                <w:szCs w:val="28"/>
                <w:highlight w:val="none"/>
              </w:rPr>
            </w:pPr>
            <w:r>
              <w:rPr>
                <w:rFonts w:hint="eastAsia" w:ascii="宋体" w:hAnsi="宋体" w:cs="Times New Roman"/>
                <w:color w:val="auto"/>
                <w:sz w:val="28"/>
                <w:szCs w:val="28"/>
                <w:highlight w:val="none"/>
              </w:rPr>
              <w:t xml:space="preserve">                                                                      </w:t>
            </w:r>
          </w:p>
          <w:p w14:paraId="60334791">
            <w:pPr>
              <w:adjustRightInd w:val="0"/>
              <w:snapToGrid w:val="0"/>
              <w:spacing w:line="480" w:lineRule="auto"/>
              <w:ind w:firstLine="6580" w:firstLineChars="2350"/>
              <w:rPr>
                <w:rFonts w:ascii="宋体" w:hAnsi="宋体" w:cs="Times New Roman"/>
                <w:color w:val="auto"/>
                <w:sz w:val="28"/>
                <w:szCs w:val="28"/>
                <w:highlight w:val="none"/>
              </w:rPr>
            </w:pPr>
            <w:r>
              <w:rPr>
                <w:rFonts w:hint="eastAsia" w:ascii="宋体" w:hAnsi="宋体" w:cs="Times New Roman"/>
                <w:color w:val="auto"/>
                <w:sz w:val="28"/>
                <w:szCs w:val="28"/>
                <w:highlight w:val="none"/>
              </w:rPr>
              <w:t>（</w:t>
            </w:r>
            <w:r>
              <w:rPr>
                <w:rFonts w:hint="eastAsia" w:eastAsia="黑体" w:cs="Times New Roman"/>
                <w:color w:val="auto"/>
                <w:sz w:val="28"/>
                <w:szCs w:val="28"/>
                <w:highlight w:val="none"/>
              </w:rPr>
              <w:t>签章</w:t>
            </w:r>
            <w:r>
              <w:rPr>
                <w:rFonts w:hint="eastAsia" w:ascii="宋体" w:hAnsi="宋体" w:cs="Times New Roman"/>
                <w:color w:val="auto"/>
                <w:sz w:val="28"/>
                <w:szCs w:val="28"/>
                <w:highlight w:val="none"/>
              </w:rPr>
              <w:t>）</w:t>
            </w:r>
          </w:p>
          <w:p w14:paraId="2A4D7565">
            <w:pPr>
              <w:adjustRightInd w:val="0"/>
              <w:snapToGrid w:val="0"/>
              <w:spacing w:line="480" w:lineRule="auto"/>
              <w:ind w:firstLine="5040" w:firstLineChars="1800"/>
              <w:rPr>
                <w:rFonts w:cs="Times New Roman"/>
                <w:color w:val="auto"/>
                <w:sz w:val="30"/>
                <w:szCs w:val="24"/>
                <w:highlight w:val="none"/>
              </w:rPr>
            </w:pPr>
            <w:r>
              <w:rPr>
                <w:rFonts w:hint="eastAsia" w:ascii="宋体" w:hAnsi="宋体" w:cs="Times New Roman"/>
                <w:color w:val="auto"/>
                <w:sz w:val="28"/>
                <w:szCs w:val="28"/>
                <w:highlight w:val="none"/>
              </w:rPr>
              <w:t xml:space="preserve">        2026年</w:t>
            </w:r>
            <w:r>
              <w:rPr>
                <w:rFonts w:hint="eastAsia" w:ascii="宋体" w:hAnsi="宋体" w:cs="Times New Roman"/>
                <w:color w:val="auto"/>
                <w:sz w:val="28"/>
                <w:szCs w:val="28"/>
                <w:highlight w:val="none"/>
                <w:lang w:val="en-US" w:eastAsia="zh-CN"/>
              </w:rPr>
              <w:t>2</w:t>
            </w:r>
            <w:r>
              <w:rPr>
                <w:rFonts w:hint="eastAsia" w:ascii="宋体" w:hAnsi="宋体" w:cs="Times New Roman"/>
                <w:color w:val="auto"/>
                <w:sz w:val="28"/>
                <w:szCs w:val="28"/>
                <w:highlight w:val="none"/>
              </w:rPr>
              <w:t>月</w:t>
            </w:r>
          </w:p>
        </w:tc>
      </w:tr>
      <w:tr w14:paraId="42ABC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6" w:hRule="atLeast"/>
          <w:jc w:val="center"/>
        </w:trPr>
        <w:tc>
          <w:tcPr>
            <w:tcW w:w="9580" w:type="dxa"/>
            <w:tcBorders>
              <w:top w:val="single" w:color="auto" w:sz="4" w:space="0"/>
              <w:left w:val="single" w:color="auto" w:sz="4" w:space="0"/>
              <w:bottom w:val="single" w:color="auto" w:sz="4" w:space="0"/>
              <w:right w:val="single" w:color="auto" w:sz="4" w:space="0"/>
            </w:tcBorders>
          </w:tcPr>
          <w:p w14:paraId="4BE5C796">
            <w:pPr>
              <w:adjustRightInd w:val="0"/>
              <w:snapToGrid w:val="0"/>
              <w:spacing w:line="480" w:lineRule="auto"/>
              <w:ind w:firstLine="600" w:firstLineChars="200"/>
              <w:rPr>
                <w:rFonts w:cs="Times New Roman"/>
                <w:color w:val="auto"/>
                <w:sz w:val="30"/>
                <w:szCs w:val="24"/>
                <w:highlight w:val="none"/>
              </w:rPr>
            </w:pPr>
          </w:p>
          <w:p w14:paraId="4926B476">
            <w:pPr>
              <w:adjustRightInd w:val="0"/>
              <w:snapToGrid w:val="0"/>
              <w:spacing w:line="480" w:lineRule="auto"/>
              <w:ind w:firstLine="700" w:firstLineChars="250"/>
              <w:rPr>
                <w:rFonts w:cs="Times New Roman"/>
                <w:color w:val="auto"/>
                <w:sz w:val="28"/>
                <w:szCs w:val="28"/>
                <w:highlight w:val="none"/>
              </w:rPr>
            </w:pPr>
            <w:r>
              <w:rPr>
                <w:rFonts w:hint="eastAsia" w:cs="Times New Roman"/>
                <w:color w:val="auto"/>
                <w:sz w:val="28"/>
                <w:szCs w:val="28"/>
                <w:highlight w:val="none"/>
              </w:rPr>
              <w:t>招标代理机构：滁州市城投工程咨询管理有限公司</w:t>
            </w:r>
            <w:r>
              <w:rPr>
                <w:rFonts w:cs="Times New Roman"/>
                <w:color w:val="auto"/>
                <w:sz w:val="28"/>
                <w:szCs w:val="28"/>
                <w:highlight w:val="none"/>
              </w:rPr>
              <w:t xml:space="preserve">  </w:t>
            </w:r>
          </w:p>
          <w:p w14:paraId="6CE5ED14">
            <w:pPr>
              <w:adjustRightInd w:val="0"/>
              <w:snapToGrid w:val="0"/>
              <w:spacing w:line="480" w:lineRule="auto"/>
              <w:ind w:firstLine="700" w:firstLineChars="250"/>
              <w:rPr>
                <w:rFonts w:hint="eastAsia" w:eastAsia="宋体" w:cs="Times New Roman"/>
                <w:color w:val="auto"/>
                <w:sz w:val="28"/>
                <w:szCs w:val="28"/>
                <w:highlight w:val="none"/>
                <w:lang w:eastAsia="zh-CN"/>
              </w:rPr>
            </w:pPr>
            <w:r>
              <w:rPr>
                <w:rFonts w:hint="eastAsia" w:cs="Times New Roman"/>
                <w:color w:val="auto"/>
                <w:sz w:val="28"/>
                <w:szCs w:val="28"/>
                <w:highlight w:val="none"/>
              </w:rPr>
              <w:t>联系人：</w:t>
            </w:r>
            <w:r>
              <w:rPr>
                <w:rFonts w:hint="eastAsia" w:cs="Times New Roman"/>
                <w:color w:val="auto"/>
                <w:sz w:val="28"/>
                <w:szCs w:val="28"/>
                <w:highlight w:val="none"/>
                <w:lang w:val="en-US" w:eastAsia="zh-CN"/>
              </w:rPr>
              <w:t>王芳</w:t>
            </w:r>
          </w:p>
          <w:p w14:paraId="4BC50CC7">
            <w:pPr>
              <w:adjustRightInd w:val="0"/>
              <w:snapToGrid w:val="0"/>
              <w:spacing w:line="480" w:lineRule="auto"/>
              <w:ind w:firstLine="700" w:firstLineChars="250"/>
              <w:rPr>
                <w:rFonts w:cs="Times New Roman"/>
                <w:color w:val="auto"/>
                <w:sz w:val="28"/>
                <w:szCs w:val="28"/>
                <w:highlight w:val="none"/>
              </w:rPr>
            </w:pPr>
            <w:r>
              <w:rPr>
                <w:rFonts w:hint="eastAsia" w:cs="Times New Roman"/>
                <w:color w:val="auto"/>
                <w:sz w:val="28"/>
                <w:szCs w:val="28"/>
                <w:highlight w:val="none"/>
              </w:rPr>
              <w:t>联系电话：</w:t>
            </w:r>
            <w:r>
              <w:rPr>
                <w:rFonts w:hint="eastAsia" w:cs="Times New Roman"/>
                <w:color w:val="auto"/>
                <w:sz w:val="28"/>
                <w:szCs w:val="28"/>
                <w:highlight w:val="none"/>
                <w:lang w:val="en-US" w:eastAsia="zh-CN"/>
              </w:rPr>
              <w:t>0550-3519519、18955055067</w:t>
            </w:r>
            <w:r>
              <w:rPr>
                <w:rFonts w:cs="Times New Roman"/>
                <w:color w:val="auto"/>
                <w:sz w:val="28"/>
                <w:szCs w:val="28"/>
                <w:highlight w:val="none"/>
              </w:rPr>
              <w:t xml:space="preserve"> </w:t>
            </w:r>
          </w:p>
          <w:p w14:paraId="61881983">
            <w:pPr>
              <w:adjustRightInd w:val="0"/>
              <w:snapToGrid w:val="0"/>
              <w:spacing w:line="480" w:lineRule="auto"/>
              <w:ind w:firstLine="280" w:firstLineChars="100"/>
              <w:rPr>
                <w:rFonts w:cs="Times New Roman"/>
                <w:color w:val="auto"/>
                <w:sz w:val="28"/>
                <w:szCs w:val="28"/>
                <w:highlight w:val="none"/>
              </w:rPr>
            </w:pPr>
            <w:r>
              <w:rPr>
                <w:rFonts w:cs="Times New Roman"/>
                <w:color w:val="auto"/>
                <w:sz w:val="28"/>
                <w:szCs w:val="28"/>
                <w:highlight w:val="none"/>
              </w:rPr>
              <w:t xml:space="preserve">                                  </w:t>
            </w:r>
          </w:p>
          <w:p w14:paraId="3D47B405">
            <w:pPr>
              <w:adjustRightInd w:val="0"/>
              <w:snapToGrid w:val="0"/>
              <w:spacing w:line="480" w:lineRule="auto"/>
              <w:ind w:firstLine="280" w:firstLineChars="100"/>
              <w:rPr>
                <w:rFonts w:cs="Times New Roman"/>
                <w:color w:val="auto"/>
                <w:sz w:val="28"/>
                <w:szCs w:val="28"/>
                <w:highlight w:val="none"/>
              </w:rPr>
            </w:pPr>
          </w:p>
          <w:p w14:paraId="02D20035">
            <w:pPr>
              <w:adjustRightInd w:val="0"/>
              <w:snapToGrid w:val="0"/>
              <w:spacing w:line="480" w:lineRule="auto"/>
              <w:ind w:firstLine="280" w:firstLineChars="100"/>
              <w:jc w:val="center"/>
              <w:rPr>
                <w:rFonts w:cs="Times New Roman"/>
                <w:color w:val="auto"/>
                <w:sz w:val="28"/>
                <w:szCs w:val="28"/>
                <w:highlight w:val="none"/>
              </w:rPr>
            </w:pPr>
            <w:r>
              <w:rPr>
                <w:rFonts w:cs="Times New Roman"/>
                <w:color w:val="auto"/>
                <w:sz w:val="28"/>
                <w:szCs w:val="28"/>
                <w:highlight w:val="none"/>
              </w:rPr>
              <w:t xml:space="preserve">                               </w:t>
            </w:r>
            <w:r>
              <w:rPr>
                <w:rFonts w:hint="eastAsia" w:cs="Times New Roman"/>
                <w:color w:val="auto"/>
                <w:sz w:val="28"/>
                <w:szCs w:val="28"/>
                <w:highlight w:val="none"/>
              </w:rPr>
              <w:t>（</w:t>
            </w:r>
            <w:r>
              <w:rPr>
                <w:rFonts w:hint="eastAsia" w:eastAsia="黑体" w:cs="Times New Roman"/>
                <w:color w:val="auto"/>
                <w:sz w:val="28"/>
                <w:szCs w:val="28"/>
                <w:highlight w:val="none"/>
              </w:rPr>
              <w:t>签章</w:t>
            </w:r>
            <w:r>
              <w:rPr>
                <w:rFonts w:hint="eastAsia" w:cs="Times New Roman"/>
                <w:color w:val="auto"/>
                <w:sz w:val="28"/>
                <w:szCs w:val="28"/>
                <w:highlight w:val="none"/>
              </w:rPr>
              <w:t>）</w:t>
            </w:r>
          </w:p>
          <w:p w14:paraId="4D5EA34E">
            <w:pPr>
              <w:adjustRightInd w:val="0"/>
              <w:snapToGrid w:val="0"/>
              <w:spacing w:line="480" w:lineRule="auto"/>
              <w:ind w:firstLine="4900" w:firstLineChars="1750"/>
              <w:rPr>
                <w:rFonts w:hint="eastAsia" w:eastAsia="宋体" w:cs="Times New Roman"/>
                <w:color w:val="auto"/>
                <w:sz w:val="30"/>
                <w:szCs w:val="24"/>
                <w:highlight w:val="none"/>
                <w:lang w:eastAsia="zh-CN"/>
              </w:rPr>
            </w:pPr>
            <w:r>
              <w:rPr>
                <w:rFonts w:cs="Times New Roman"/>
                <w:color w:val="auto"/>
                <w:sz w:val="28"/>
                <w:szCs w:val="28"/>
                <w:highlight w:val="none"/>
              </w:rPr>
              <w:t xml:space="preserve">     2026</w:t>
            </w:r>
            <w:r>
              <w:rPr>
                <w:rFonts w:hint="eastAsia" w:cs="Times New Roman"/>
                <w:color w:val="auto"/>
                <w:sz w:val="28"/>
                <w:szCs w:val="28"/>
                <w:highlight w:val="none"/>
              </w:rPr>
              <w:t>年</w:t>
            </w:r>
            <w:r>
              <w:rPr>
                <w:rFonts w:hint="eastAsia" w:cs="Times New Roman"/>
                <w:color w:val="auto"/>
                <w:sz w:val="28"/>
                <w:szCs w:val="28"/>
                <w:highlight w:val="none"/>
                <w:lang w:val="en-US" w:eastAsia="zh-CN"/>
              </w:rPr>
              <w:t>2</w:t>
            </w:r>
            <w:r>
              <w:rPr>
                <w:rFonts w:hint="eastAsia" w:cs="Times New Roman"/>
                <w:color w:val="auto"/>
                <w:sz w:val="28"/>
                <w:szCs w:val="28"/>
                <w:highlight w:val="none"/>
              </w:rPr>
              <w:t>月</w:t>
            </w:r>
            <w:r>
              <w:rPr>
                <w:rFonts w:hint="eastAsia" w:cs="Times New Roman"/>
                <w:color w:val="auto"/>
                <w:sz w:val="28"/>
                <w:szCs w:val="28"/>
                <w:highlight w:val="none"/>
                <w:lang w:val="en-US" w:eastAsia="zh-CN"/>
              </w:rPr>
              <w:t xml:space="preserve"> </w:t>
            </w:r>
          </w:p>
        </w:tc>
      </w:tr>
      <w:bookmarkEnd w:id="4"/>
      <w:bookmarkEnd w:id="5"/>
      <w:bookmarkEnd w:id="6"/>
      <w:bookmarkEnd w:id="7"/>
      <w:bookmarkEnd w:id="8"/>
    </w:tbl>
    <w:p w14:paraId="540D2DC7">
      <w:pPr>
        <w:spacing w:line="440" w:lineRule="exact"/>
        <w:rPr>
          <w:rFonts w:cs="Times New Roman"/>
          <w:color w:val="auto"/>
          <w:szCs w:val="24"/>
          <w:highlight w:val="none"/>
        </w:rPr>
      </w:pPr>
    </w:p>
    <w:p w14:paraId="5ADFE3B8">
      <w:pPr>
        <w:rPr>
          <w:rFonts w:hint="eastAsia" w:ascii="宋体" w:hAnsi="宋体" w:cs="宋体"/>
          <w:b/>
          <w:color w:val="auto"/>
          <w:sz w:val="28"/>
          <w:szCs w:val="28"/>
          <w:highlight w:val="none"/>
        </w:rPr>
      </w:pPr>
    </w:p>
    <w:p w14:paraId="5AF64F07">
      <w:pPr>
        <w:rPr>
          <w:rFonts w:ascii="宋体" w:hAnsi="宋体" w:cs="宋体"/>
          <w:color w:val="auto"/>
          <w:sz w:val="28"/>
          <w:szCs w:val="28"/>
          <w:highlight w:val="none"/>
        </w:rPr>
      </w:pPr>
      <w:r>
        <w:rPr>
          <w:rFonts w:hint="eastAsia" w:ascii="宋体" w:hAnsi="宋体" w:cs="宋体"/>
          <w:b/>
          <w:color w:val="auto"/>
          <w:sz w:val="28"/>
          <w:szCs w:val="28"/>
          <w:highlight w:val="none"/>
        </w:rPr>
        <w:t>附件</w:t>
      </w:r>
      <w:r>
        <w:rPr>
          <w:b/>
          <w:color w:val="auto"/>
          <w:sz w:val="28"/>
          <w:szCs w:val="28"/>
          <w:highlight w:val="none"/>
        </w:rPr>
        <w:t>1</w:t>
      </w:r>
    </w:p>
    <w:p w14:paraId="26CB4EA2">
      <w:pPr>
        <w:jc w:val="center"/>
        <w:rPr>
          <w:rFonts w:ascii="宋体" w:hAnsi="宋体" w:cs="宋体"/>
          <w:b/>
          <w:color w:val="auto"/>
          <w:sz w:val="28"/>
          <w:szCs w:val="28"/>
          <w:highlight w:val="none"/>
        </w:rPr>
      </w:pPr>
      <w:r>
        <w:rPr>
          <w:rFonts w:hint="eastAsia" w:ascii="宋体" w:hAnsi="宋体" w:cs="宋体"/>
          <w:b/>
          <w:color w:val="auto"/>
          <w:sz w:val="28"/>
          <w:szCs w:val="28"/>
          <w:highlight w:val="none"/>
        </w:rPr>
        <w:t>关于联合惩戒失信行为加强信用查询管理的通知</w:t>
      </w:r>
    </w:p>
    <w:p w14:paraId="5D670453">
      <w:pPr>
        <w:adjustRightInd w:val="0"/>
        <w:snapToGrid w:val="0"/>
        <w:spacing w:line="5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一、失信行为联合惩戒的范围和查询渠道</w:t>
      </w:r>
    </w:p>
    <w:p w14:paraId="57A93588">
      <w:pPr>
        <w:adjustRightInd w:val="0"/>
        <w:snapToGrid w:val="0"/>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在我市公共资源交易活动中对存在下列失信行为的投标人、法定代表人及其项目经理（建造师）实施联合惩戒，禁止参与我市公共资源交易活动。</w:t>
      </w:r>
    </w:p>
    <w:p w14:paraId="6783FDDD">
      <w:pPr>
        <w:adjustRightInd w:val="0"/>
        <w:snapToGrid w:val="0"/>
        <w:spacing w:line="5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（一）工程建设项目</w:t>
      </w:r>
    </w:p>
    <w:p w14:paraId="7AA54D10">
      <w:pPr>
        <w:adjustRightInd w:val="0"/>
        <w:snapToGrid w:val="0"/>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1、“信用中国”网站（www.creditchina.gov.cn）查询</w:t>
      </w:r>
      <w:bookmarkStart w:id="887" w:name="OLE_LINK93"/>
      <w:bookmarkStart w:id="888" w:name="OLE_LINK92"/>
      <w:bookmarkStart w:id="889" w:name="OLE_LINK91"/>
      <w:bookmarkStart w:id="890" w:name="OLE_LINK103"/>
      <w:r>
        <w:rPr>
          <w:rFonts w:hint="eastAsia" w:ascii="宋体" w:hAnsi="宋体" w:cs="宋体"/>
          <w:color w:val="auto"/>
          <w:sz w:val="24"/>
          <w:highlight w:val="none"/>
        </w:rPr>
        <w:t>投标人、法定代表人及其项目经理(建造师)</w:t>
      </w:r>
      <w:bookmarkEnd w:id="887"/>
      <w:bookmarkEnd w:id="888"/>
      <w:bookmarkEnd w:id="889"/>
      <w:bookmarkEnd w:id="890"/>
      <w:r>
        <w:rPr>
          <w:rFonts w:hint="eastAsia" w:ascii="宋体" w:hAnsi="宋体" w:cs="宋体"/>
          <w:color w:val="auto"/>
          <w:sz w:val="24"/>
          <w:highlight w:val="none"/>
        </w:rPr>
        <w:t>以下失信行为：</w:t>
      </w:r>
    </w:p>
    <w:p w14:paraId="347348F7">
      <w:pPr>
        <w:adjustRightInd w:val="0"/>
        <w:snapToGrid w:val="0"/>
        <w:spacing w:line="560" w:lineRule="exact"/>
        <w:ind w:firstLine="480" w:firstLineChars="200"/>
        <w:rPr>
          <w:rFonts w:ascii="宋体" w:hAnsi="宋体" w:cs="宋体"/>
          <w:color w:val="auto"/>
          <w:sz w:val="24"/>
          <w:highlight w:val="none"/>
        </w:rPr>
      </w:pPr>
      <w:bookmarkStart w:id="891" w:name="OLE_LINK119"/>
      <w:bookmarkStart w:id="892" w:name="OLE_LINK94"/>
      <w:bookmarkStart w:id="893" w:name="OLE_LINK86"/>
      <w:bookmarkStart w:id="894" w:name="OLE_LINK87"/>
      <w:r>
        <w:rPr>
          <w:rFonts w:hint="eastAsia" w:ascii="宋体" w:hAnsi="宋体" w:cs="宋体"/>
          <w:color w:val="auto"/>
          <w:sz w:val="24"/>
          <w:highlight w:val="none"/>
        </w:rPr>
        <w:t>①被列入“失信被执行人”的;</w:t>
      </w:r>
    </w:p>
    <w:p w14:paraId="20F12992">
      <w:pPr>
        <w:adjustRightInd w:val="0"/>
        <w:snapToGrid w:val="0"/>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②被列入</w:t>
      </w:r>
      <w:bookmarkStart w:id="895" w:name="OLE_LINK115"/>
      <w:bookmarkStart w:id="896" w:name="OLE_LINK117"/>
      <w:bookmarkStart w:id="897" w:name="OLE_LINK116"/>
      <w:bookmarkStart w:id="898" w:name="OLE_LINK118"/>
      <w:r>
        <w:rPr>
          <w:rFonts w:hint="eastAsia" w:ascii="宋体" w:hAnsi="宋体" w:cs="宋体"/>
          <w:color w:val="auto"/>
          <w:sz w:val="24"/>
          <w:highlight w:val="none"/>
        </w:rPr>
        <w:t>“重大税收违法失信主体”</w:t>
      </w:r>
      <w:bookmarkEnd w:id="895"/>
      <w:bookmarkEnd w:id="896"/>
      <w:bookmarkEnd w:id="897"/>
      <w:bookmarkEnd w:id="898"/>
      <w:r>
        <w:rPr>
          <w:rFonts w:hint="eastAsia" w:ascii="宋体" w:hAnsi="宋体" w:cs="宋体"/>
          <w:color w:val="auto"/>
          <w:sz w:val="24"/>
          <w:highlight w:val="none"/>
        </w:rPr>
        <w:t>的；</w:t>
      </w:r>
    </w:p>
    <w:p w14:paraId="18CA7FEB">
      <w:pPr>
        <w:adjustRightInd w:val="0"/>
        <w:snapToGrid w:val="0"/>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③被列入“拖欠</w:t>
      </w:r>
      <w:bookmarkStart w:id="899" w:name="OLE_LINK85"/>
      <w:bookmarkStart w:id="900" w:name="OLE_LINK84"/>
      <w:r>
        <w:rPr>
          <w:rFonts w:hint="eastAsia" w:ascii="宋体" w:hAnsi="宋体" w:cs="宋体"/>
          <w:color w:val="auto"/>
          <w:sz w:val="24"/>
          <w:highlight w:val="none"/>
        </w:rPr>
        <w:t>农民工工资失信联合惩戒对象</w:t>
      </w:r>
      <w:bookmarkEnd w:id="899"/>
      <w:bookmarkEnd w:id="900"/>
      <w:r>
        <w:rPr>
          <w:rFonts w:hint="eastAsia" w:ascii="宋体" w:hAnsi="宋体" w:cs="宋体"/>
          <w:color w:val="auto"/>
          <w:sz w:val="24"/>
          <w:highlight w:val="none"/>
        </w:rPr>
        <w:t>名单”的；</w:t>
      </w:r>
    </w:p>
    <w:p w14:paraId="086C07EC">
      <w:pPr>
        <w:adjustRightInd w:val="0"/>
        <w:snapToGrid w:val="0"/>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④被列入 “严重失信主体名单”的；</w:t>
      </w:r>
    </w:p>
    <w:p w14:paraId="12902F02">
      <w:pPr>
        <w:adjustRightInd w:val="0"/>
        <w:snapToGrid w:val="0"/>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⑤在“信用中国”网站上披露的仍在公示期的严重失信行为(具体行为类别及判定依据见附件2)的。</w:t>
      </w:r>
    </w:p>
    <w:bookmarkEnd w:id="891"/>
    <w:bookmarkEnd w:id="892"/>
    <w:bookmarkEnd w:id="893"/>
    <w:bookmarkEnd w:id="894"/>
    <w:p w14:paraId="509AFF64">
      <w:pPr>
        <w:adjustRightInd w:val="0"/>
        <w:snapToGrid w:val="0"/>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w:t>
      </w:r>
      <w:bookmarkStart w:id="901" w:name="OLE_LINK130"/>
      <w:r>
        <w:rPr>
          <w:rFonts w:hint="eastAsia" w:ascii="宋体" w:hAnsi="宋体" w:cs="宋体"/>
          <w:color w:val="auto"/>
          <w:sz w:val="24"/>
          <w:highlight w:val="none"/>
        </w:rPr>
        <w:t>国家企业信用信息公示系统网站</w:t>
      </w:r>
      <w:bookmarkEnd w:id="901"/>
      <w:r>
        <w:rPr>
          <w:rFonts w:hint="eastAsia" w:ascii="宋体" w:hAnsi="宋体" w:cs="宋体"/>
          <w:color w:val="auto"/>
          <w:sz w:val="24"/>
          <w:highlight w:val="none"/>
        </w:rPr>
        <w:t>（</w:t>
      </w:r>
      <w:r>
        <w:rPr>
          <w:color w:val="auto"/>
          <w:highlight w:val="none"/>
        </w:rPr>
        <w:fldChar w:fldCharType="begin"/>
      </w:r>
      <w:r>
        <w:rPr>
          <w:color w:val="auto"/>
          <w:highlight w:val="none"/>
        </w:rPr>
        <w:instrText xml:space="preserve"> HYPERLINK "http://www.gsxt.gov.cn）查询" </w:instrText>
      </w:r>
      <w:r>
        <w:rPr>
          <w:color w:val="auto"/>
          <w:highlight w:val="none"/>
        </w:rPr>
        <w:fldChar w:fldCharType="separate"/>
      </w:r>
      <w:bookmarkStart w:id="902" w:name="OLE_LINK90"/>
      <w:bookmarkStart w:id="903" w:name="OLE_LINK89"/>
      <w:r>
        <w:rPr>
          <w:rStyle w:val="36"/>
          <w:rFonts w:hint="eastAsia" w:ascii="宋体" w:hAnsi="宋体" w:cs="宋体"/>
          <w:color w:val="auto"/>
          <w:sz w:val="24"/>
          <w:highlight w:val="none"/>
        </w:rPr>
        <w:t>www.gsxt.gov.cn</w:t>
      </w:r>
      <w:bookmarkEnd w:id="902"/>
      <w:bookmarkEnd w:id="903"/>
      <w:r>
        <w:rPr>
          <w:rStyle w:val="36"/>
          <w:rFonts w:hint="eastAsia" w:ascii="宋体" w:hAnsi="宋体" w:cs="宋体"/>
          <w:color w:val="auto"/>
          <w:sz w:val="24"/>
          <w:highlight w:val="none"/>
        </w:rPr>
        <w:t>）</w:t>
      </w:r>
      <w:r>
        <w:rPr>
          <w:rStyle w:val="36"/>
          <w:rFonts w:hint="eastAsia" w:ascii="宋体" w:hAnsi="宋体" w:cs="宋体"/>
          <w:color w:val="auto"/>
          <w:sz w:val="24"/>
          <w:highlight w:val="none"/>
        </w:rPr>
        <w:fldChar w:fldCharType="end"/>
      </w:r>
      <w:r>
        <w:rPr>
          <w:rFonts w:hint="eastAsia" w:ascii="宋体" w:hAnsi="宋体" w:cs="宋体"/>
          <w:color w:val="auto"/>
          <w:sz w:val="24"/>
          <w:highlight w:val="none"/>
        </w:rPr>
        <w:t>查询投标人以下失信行为：</w:t>
      </w:r>
    </w:p>
    <w:p w14:paraId="77AB431E">
      <w:pPr>
        <w:adjustRightInd w:val="0"/>
        <w:snapToGrid w:val="0"/>
        <w:spacing w:line="560" w:lineRule="exact"/>
        <w:ind w:firstLine="480" w:firstLineChars="200"/>
        <w:rPr>
          <w:rFonts w:ascii="宋体" w:hAnsi="宋体" w:cs="宋体"/>
          <w:color w:val="auto"/>
          <w:sz w:val="24"/>
          <w:highlight w:val="none"/>
        </w:rPr>
      </w:pPr>
      <w:bookmarkStart w:id="904" w:name="OLE_LINK120"/>
      <w:bookmarkStart w:id="905" w:name="OLE_LINK122"/>
      <w:bookmarkStart w:id="906" w:name="OLE_LINK121"/>
      <w:r>
        <w:rPr>
          <w:rFonts w:hint="eastAsia" w:ascii="宋体" w:hAnsi="宋体" w:cs="宋体"/>
          <w:color w:val="auto"/>
          <w:sz w:val="24"/>
          <w:highlight w:val="none"/>
        </w:rPr>
        <w:t>①</w:t>
      </w:r>
      <w:bookmarkStart w:id="907" w:name="OLE_LINK113"/>
      <w:bookmarkStart w:id="908" w:name="OLE_LINK114"/>
      <w:r>
        <w:rPr>
          <w:rFonts w:hint="eastAsia" w:ascii="宋体" w:hAnsi="宋体" w:cs="宋体"/>
          <w:color w:val="auto"/>
          <w:sz w:val="24"/>
          <w:highlight w:val="none"/>
        </w:rPr>
        <w:t>被列入“经营异常名录”或者“严重违法失信名单”的</w:t>
      </w:r>
      <w:bookmarkEnd w:id="907"/>
      <w:bookmarkEnd w:id="908"/>
      <w:r>
        <w:rPr>
          <w:rFonts w:hint="eastAsia" w:ascii="宋体" w:hAnsi="宋体" w:cs="宋体"/>
          <w:color w:val="auto"/>
          <w:sz w:val="24"/>
          <w:highlight w:val="none"/>
        </w:rPr>
        <w:t>。</w:t>
      </w:r>
      <w:bookmarkEnd w:id="904"/>
      <w:bookmarkEnd w:id="905"/>
      <w:bookmarkEnd w:id="906"/>
    </w:p>
    <w:p w14:paraId="52F02C1B">
      <w:pPr>
        <w:adjustRightInd w:val="0"/>
        <w:snapToGrid w:val="0"/>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3、由</w:t>
      </w:r>
      <w:r>
        <w:rPr>
          <w:rFonts w:hint="eastAsia" w:ascii="宋体" w:hAnsi="宋体" w:cs="宋体"/>
          <w:color w:val="auto"/>
          <w:kern w:val="0"/>
          <w:sz w:val="24"/>
          <w:highlight w:val="none"/>
        </w:rPr>
        <w:t>投标人、法定代表人及其项目经理(建造师)</w:t>
      </w:r>
      <w:r>
        <w:rPr>
          <w:rFonts w:hint="eastAsia" w:ascii="宋体" w:hAnsi="宋体" w:cs="宋体"/>
          <w:color w:val="auto"/>
          <w:sz w:val="24"/>
          <w:highlight w:val="none"/>
        </w:rPr>
        <w:t>进行承诺，不进行现场网上信用查询的失信行为：</w:t>
      </w:r>
    </w:p>
    <w:p w14:paraId="0D52A293">
      <w:pPr>
        <w:adjustRightInd w:val="0"/>
        <w:snapToGrid w:val="0"/>
        <w:spacing w:line="560" w:lineRule="exact"/>
        <w:ind w:firstLine="480" w:firstLineChars="200"/>
        <w:rPr>
          <w:rFonts w:ascii="宋体" w:hAnsi="宋体" w:cs="宋体"/>
          <w:color w:val="auto"/>
          <w:sz w:val="24"/>
          <w:highlight w:val="none"/>
        </w:rPr>
      </w:pPr>
      <w:bookmarkStart w:id="909" w:name="OLE_LINK123"/>
      <w:bookmarkStart w:id="910" w:name="OLE_LINK124"/>
      <w:r>
        <w:rPr>
          <w:rFonts w:hint="eastAsia" w:ascii="宋体" w:hAnsi="宋体" w:cs="宋体"/>
          <w:color w:val="auto"/>
          <w:sz w:val="24"/>
          <w:highlight w:val="none"/>
        </w:rPr>
        <w:t>①前三年有行贿犯罪行为的单位和个人；</w:t>
      </w:r>
    </w:p>
    <w:p w14:paraId="48EA8939">
      <w:pPr>
        <w:adjustRightInd w:val="0"/>
        <w:snapToGrid w:val="0"/>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②被滁州市县两级公管部门取消在一定期限内的投标资格且在取消期限内的；</w:t>
      </w:r>
    </w:p>
    <w:p w14:paraId="4BA95D69">
      <w:pPr>
        <w:adjustRightInd w:val="0"/>
        <w:snapToGrid w:val="0"/>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③被滁州市县两级各行业主管部门取消在一定期限内的投标资格且在取消期限内的；</w:t>
      </w:r>
    </w:p>
    <w:p w14:paraId="5BB1AF8C">
      <w:pPr>
        <w:adjustRightInd w:val="0"/>
        <w:snapToGrid w:val="0"/>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④因拖欠农民工工资被</w:t>
      </w:r>
      <w:bookmarkStart w:id="911" w:name="OLE_LINK108"/>
      <w:bookmarkStart w:id="912" w:name="OLE_LINK107"/>
      <w:r>
        <w:rPr>
          <w:rFonts w:hint="eastAsia" w:ascii="宋体" w:hAnsi="宋体" w:cs="宋体"/>
          <w:color w:val="auto"/>
          <w:sz w:val="24"/>
          <w:highlight w:val="none"/>
        </w:rPr>
        <w:t>县级及以上有关行政主管部门限制投标资格且在限制期限内的</w:t>
      </w:r>
      <w:bookmarkEnd w:id="911"/>
      <w:bookmarkEnd w:id="912"/>
      <w:r>
        <w:rPr>
          <w:rFonts w:hint="eastAsia" w:ascii="宋体" w:hAnsi="宋体" w:cs="宋体"/>
          <w:color w:val="auto"/>
          <w:sz w:val="24"/>
          <w:highlight w:val="none"/>
        </w:rPr>
        <w:t>；</w:t>
      </w:r>
    </w:p>
    <w:p w14:paraId="5F7A6A4C">
      <w:pPr>
        <w:adjustRightInd w:val="0"/>
        <w:snapToGrid w:val="0"/>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⑤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bookmarkEnd w:id="909"/>
    <w:bookmarkEnd w:id="910"/>
    <w:p w14:paraId="2ABA0351">
      <w:pPr>
        <w:adjustRightInd w:val="0"/>
        <w:snapToGrid w:val="0"/>
        <w:spacing w:line="5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（二）政府采购项目</w:t>
      </w:r>
    </w:p>
    <w:p w14:paraId="5F494883">
      <w:pPr>
        <w:adjustRightInd w:val="0"/>
        <w:snapToGrid w:val="0"/>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1、“信用中国”网站（</w:t>
      </w:r>
      <w:r>
        <w:rPr>
          <w:rStyle w:val="36"/>
          <w:rFonts w:hint="eastAsia" w:ascii="宋体" w:hAnsi="宋体" w:cs="宋体"/>
          <w:color w:val="auto"/>
          <w:sz w:val="24"/>
          <w:highlight w:val="none"/>
        </w:rPr>
        <w:t>www.creditchina.gov.cn</w:t>
      </w:r>
      <w:r>
        <w:rPr>
          <w:rFonts w:hint="eastAsia" w:ascii="宋体" w:hAnsi="宋体" w:cs="宋体"/>
          <w:color w:val="auto"/>
          <w:sz w:val="24"/>
          <w:highlight w:val="none"/>
        </w:rPr>
        <w:t>）查询供应商、法定代表人及其项目负责人以下失信行为：</w:t>
      </w:r>
    </w:p>
    <w:p w14:paraId="0D0DBBA7">
      <w:pPr>
        <w:adjustRightInd w:val="0"/>
        <w:snapToGrid w:val="0"/>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①被列入“失信被执行人”的;</w:t>
      </w:r>
    </w:p>
    <w:p w14:paraId="0C00D459">
      <w:pPr>
        <w:adjustRightInd w:val="0"/>
        <w:snapToGrid w:val="0"/>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②被列入“重大税收违法失信主体”的；</w:t>
      </w:r>
    </w:p>
    <w:p w14:paraId="0735E205">
      <w:pPr>
        <w:adjustRightInd w:val="0"/>
        <w:snapToGrid w:val="0"/>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③被列入 “严重失信主体名单”的；</w:t>
      </w:r>
    </w:p>
    <w:p w14:paraId="4902FD12">
      <w:pPr>
        <w:adjustRightInd w:val="0"/>
        <w:snapToGrid w:val="0"/>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④在“信用中国”网站上披露的仍在公示期的严重失信行为(具体行为类别及判定依据见附件2)的。</w:t>
      </w:r>
    </w:p>
    <w:p w14:paraId="74D30EA9">
      <w:pPr>
        <w:adjustRightInd w:val="0"/>
        <w:snapToGrid w:val="0"/>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2、国家企业信用信息公示系统网站（</w:t>
      </w:r>
      <w:r>
        <w:rPr>
          <w:color w:val="auto"/>
          <w:highlight w:val="none"/>
        </w:rPr>
        <w:fldChar w:fldCharType="begin"/>
      </w:r>
      <w:r>
        <w:rPr>
          <w:color w:val="auto"/>
          <w:highlight w:val="none"/>
        </w:rPr>
        <w:instrText xml:space="preserve"> HYPERLINK "http://www.gsxt.gov.cn）查询" </w:instrText>
      </w:r>
      <w:r>
        <w:rPr>
          <w:color w:val="auto"/>
          <w:highlight w:val="none"/>
        </w:rPr>
        <w:fldChar w:fldCharType="separate"/>
      </w:r>
      <w:r>
        <w:rPr>
          <w:rFonts w:hint="eastAsia" w:ascii="宋体" w:hAnsi="宋体" w:cs="宋体"/>
          <w:color w:val="auto"/>
          <w:sz w:val="24"/>
          <w:highlight w:val="none"/>
        </w:rPr>
        <w:t>www.gsxt.gov.cn）</w:t>
      </w:r>
      <w:r>
        <w:rPr>
          <w:rFonts w:hint="eastAsia" w:ascii="宋体" w:hAnsi="宋体" w:cs="宋体"/>
          <w:color w:val="auto"/>
          <w:sz w:val="24"/>
          <w:highlight w:val="none"/>
        </w:rPr>
        <w:fldChar w:fldCharType="end"/>
      </w:r>
      <w:r>
        <w:rPr>
          <w:rFonts w:hint="eastAsia" w:ascii="宋体" w:hAnsi="宋体" w:cs="宋体"/>
          <w:color w:val="auto"/>
          <w:sz w:val="24"/>
          <w:highlight w:val="none"/>
        </w:rPr>
        <w:t>查询供应商以下失信行为：</w:t>
      </w:r>
    </w:p>
    <w:p w14:paraId="5F3DD30E">
      <w:pPr>
        <w:adjustRightInd w:val="0"/>
        <w:snapToGrid w:val="0"/>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①</w:t>
      </w:r>
      <w:bookmarkStart w:id="913" w:name="OLE_LINK100"/>
      <w:bookmarkStart w:id="914" w:name="OLE_LINK102"/>
      <w:bookmarkStart w:id="915" w:name="OLE_LINK101"/>
      <w:r>
        <w:rPr>
          <w:rFonts w:hint="eastAsia" w:ascii="宋体" w:hAnsi="宋体" w:cs="宋体"/>
          <w:color w:val="auto"/>
          <w:sz w:val="24"/>
          <w:highlight w:val="none"/>
        </w:rPr>
        <w:t>被列入“经营异常名录”或者“严重违法失信名单”的</w:t>
      </w:r>
      <w:bookmarkEnd w:id="913"/>
      <w:bookmarkEnd w:id="914"/>
      <w:bookmarkEnd w:id="915"/>
      <w:r>
        <w:rPr>
          <w:rFonts w:hint="eastAsia" w:ascii="宋体" w:hAnsi="宋体" w:cs="宋体"/>
          <w:color w:val="auto"/>
          <w:sz w:val="24"/>
          <w:highlight w:val="none"/>
        </w:rPr>
        <w:t>。</w:t>
      </w:r>
    </w:p>
    <w:p w14:paraId="54DFE8CA">
      <w:pPr>
        <w:adjustRightInd w:val="0"/>
        <w:snapToGrid w:val="0"/>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3、中国政府采购网站（</w:t>
      </w:r>
      <w:bookmarkStart w:id="916" w:name="OLE_LINK95"/>
      <w:bookmarkStart w:id="917" w:name="OLE_LINK96"/>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"http://www.ccgp.gov.cn"</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www.ccgp.gov.cn</w:t>
      </w:r>
      <w:r>
        <w:rPr>
          <w:rFonts w:hint="eastAsia" w:ascii="宋体" w:hAnsi="宋体" w:cs="宋体"/>
          <w:color w:val="auto"/>
          <w:sz w:val="24"/>
          <w:highlight w:val="none"/>
        </w:rPr>
        <w:fldChar w:fldCharType="end"/>
      </w:r>
      <w:bookmarkEnd w:id="916"/>
      <w:bookmarkEnd w:id="917"/>
      <w:r>
        <w:rPr>
          <w:rFonts w:hint="eastAsia" w:ascii="宋体" w:hAnsi="宋体" w:cs="宋体"/>
          <w:color w:val="auto"/>
          <w:sz w:val="24"/>
          <w:highlight w:val="none"/>
        </w:rPr>
        <w:t>）查询以下失信行为：</w:t>
      </w:r>
    </w:p>
    <w:p w14:paraId="2574AD88">
      <w:pPr>
        <w:adjustRightInd w:val="0"/>
        <w:snapToGrid w:val="0"/>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①</w:t>
      </w:r>
      <w:bookmarkStart w:id="918" w:name="OLE_LINK104"/>
      <w:bookmarkStart w:id="919" w:name="OLE_LINK105"/>
      <w:bookmarkStart w:id="920" w:name="OLE_LINK106"/>
      <w:r>
        <w:rPr>
          <w:rFonts w:hint="eastAsia" w:ascii="宋体" w:hAnsi="宋体" w:cs="宋体"/>
          <w:color w:val="auto"/>
          <w:sz w:val="24"/>
          <w:highlight w:val="none"/>
        </w:rPr>
        <w:t>被列入“政府采购严重违法失信行为信息记录”的</w:t>
      </w:r>
      <w:bookmarkEnd w:id="918"/>
      <w:bookmarkEnd w:id="919"/>
      <w:bookmarkEnd w:id="920"/>
      <w:r>
        <w:rPr>
          <w:rFonts w:hint="eastAsia" w:ascii="宋体" w:hAnsi="宋体" w:cs="宋体"/>
          <w:color w:val="auto"/>
          <w:sz w:val="24"/>
          <w:highlight w:val="none"/>
        </w:rPr>
        <w:t>。</w:t>
      </w:r>
    </w:p>
    <w:p w14:paraId="05F68E6F">
      <w:pPr>
        <w:adjustRightInd w:val="0"/>
        <w:snapToGrid w:val="0"/>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4、由竞争主体进行承诺，不进行现场网上信用查询的失信行为：</w:t>
      </w:r>
    </w:p>
    <w:p w14:paraId="3F424920">
      <w:pPr>
        <w:adjustRightInd w:val="0"/>
        <w:snapToGrid w:val="0"/>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①前三年有行贿犯罪行为的单位和个人。</w:t>
      </w:r>
    </w:p>
    <w:p w14:paraId="03035334">
      <w:pPr>
        <w:adjustRightInd w:val="0"/>
        <w:snapToGrid w:val="0"/>
        <w:spacing w:line="5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二、在开评标活动中的查询程序</w:t>
      </w:r>
    </w:p>
    <w:p w14:paraId="483D49BA">
      <w:pPr>
        <w:adjustRightInd w:val="0"/>
        <w:snapToGrid w:val="0"/>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实行有限数量制资格审查的项目，由项目单位（代理机构）对入围的投标人、法定代表人及其项目经理（建造师）是否存在上述要求查询的失信行为进行网上核查；若核查结果与投标人承诺不一致，则提交评标委员会取消其入围资格，依次进行替补，并对替补单位进行核查。评审结论以核查后入围的结果重新计算最终评标基准价。</w:t>
      </w:r>
    </w:p>
    <w:p w14:paraId="034CF903">
      <w:pPr>
        <w:adjustRightInd w:val="0"/>
        <w:snapToGrid w:val="0"/>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不实行有限数量制资格审查的项目，由项目单位（代理机构）对预中标候选人、法定代表人及其项目经理（建造师）是否存在上述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5F66C016">
      <w:pPr>
        <w:adjustRightInd w:val="0"/>
        <w:snapToGrid w:val="0"/>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3、项目单位及其委托的代理机构应当做好信用查询结果截图和记录留存。</w:t>
      </w:r>
    </w:p>
    <w:p w14:paraId="648D501F">
      <w:pPr>
        <w:adjustRightInd w:val="0"/>
        <w:snapToGrid w:val="0"/>
        <w:spacing w:line="5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三、相关要求</w:t>
      </w:r>
    </w:p>
    <w:p w14:paraId="42C2EC16">
      <w:pPr>
        <w:adjustRightInd w:val="0"/>
        <w:snapToGrid w:val="0"/>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1、参与公共资源交易活动的竞争主体根据上述范围查询的内容进行自查并承诺，出具《诚信投标承诺书》（诚信投标承诺书包括但不限于上述自查并承诺内容）并注明承诺日期（投标截止时间前5日内）。</w:t>
      </w:r>
    </w:p>
    <w:p w14:paraId="60D200E4">
      <w:pPr>
        <w:adjustRightInd w:val="0"/>
        <w:snapToGrid w:val="0"/>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7A95E584">
      <w:pPr>
        <w:wordWrap w:val="0"/>
        <w:adjustRightInd w:val="0"/>
        <w:snapToGrid w:val="0"/>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注册地在安徽省内且未在安徽省外开展业务、省外无违法违规行为的企业可通过安徽政务服务网开具由安徽省公共信用信息服务中心出具的《公共信用信息报告（无违法违规证明版或核查版）》代替《诚信投标承诺书》。《公共信用信息报告（无违法违规证明版或核查版）》可通过 “信用中国(安徽)”网站信用报告核验系统 ( </w:t>
      </w:r>
      <w:r>
        <w:rPr>
          <w:color w:val="auto"/>
          <w:highlight w:val="none"/>
        </w:rPr>
        <w:fldChar w:fldCharType="begin"/>
      </w:r>
      <w:r>
        <w:rPr>
          <w:color w:val="auto"/>
          <w:highlight w:val="none"/>
        </w:rPr>
        <w:instrText xml:space="preserve"> HYPERLINK "https://credit.ah.gov.cn/xinyong-fuwu/xvbahv/index.html" </w:instrText>
      </w:r>
      <w:r>
        <w:rPr>
          <w:color w:val="auto"/>
          <w:highlight w:val="none"/>
        </w:rPr>
        <w:fldChar w:fldCharType="separate"/>
      </w:r>
      <w:r>
        <w:rPr>
          <w:rFonts w:hint="eastAsia" w:ascii="宋体" w:hAnsi="宋体" w:cs="宋体"/>
          <w:color w:val="auto"/>
          <w:sz w:val="24"/>
          <w:highlight w:val="none"/>
        </w:rPr>
        <w:t>https://credit.ah.gov.cn/xinyong-fuwu/xvbahv/index.html</w:t>
      </w:r>
      <w:r>
        <w:rPr>
          <w:rFonts w:hint="eastAsia" w:ascii="宋体" w:hAnsi="宋体" w:cs="宋体"/>
          <w:color w:val="auto"/>
          <w:sz w:val="24"/>
          <w:highlight w:val="none"/>
        </w:rPr>
        <w:fldChar w:fldCharType="end"/>
      </w:r>
      <w:r>
        <w:rPr>
          <w:rFonts w:hint="eastAsia" w:ascii="宋体" w:hAnsi="宋体" w:cs="宋体"/>
          <w:color w:val="auto"/>
          <w:sz w:val="24"/>
          <w:highlight w:val="none"/>
        </w:rPr>
        <w:t>)进行核验。核验不一致或提交《公共信用信息报告（无违法违规证明版或核查版）》的企业在省外有失信行为的将视作不诚信行为，资格审查委员会或评标委员会及代理机构应当及时报告公共资源监管部门，依法依规予以处理。</w:t>
      </w:r>
    </w:p>
    <w:p w14:paraId="549E1C44">
      <w:pPr>
        <w:adjustRightInd w:val="0"/>
        <w:snapToGrid w:val="0"/>
        <w:spacing w:line="5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2、“信用中国”查询的严重失信行为判定依据为各行业主管部门下发的联合惩戒文件中规定的行为（按附件2执行）。</w:t>
      </w:r>
    </w:p>
    <w:p w14:paraId="48E7058A">
      <w:pPr>
        <w:spacing w:line="440" w:lineRule="exact"/>
        <w:rPr>
          <w:rFonts w:ascii="宋体" w:hAnsi="宋体" w:cs="宋体"/>
          <w:b/>
          <w:color w:val="auto"/>
          <w:sz w:val="24"/>
          <w:highlight w:val="none"/>
        </w:rPr>
      </w:pPr>
      <w:r>
        <w:rPr>
          <w:rFonts w:hint="eastAsia" w:ascii="宋体" w:hAnsi="宋体" w:cs="宋体"/>
          <w:color w:val="auto"/>
          <w:sz w:val="24"/>
          <w:highlight w:val="none"/>
        </w:rPr>
        <w:t>3、资格预审的项目以递交资格预审申请文件截止时间查询为准；资格后审的项目以递交投标文件截止时间查询为准。</w:t>
      </w:r>
    </w:p>
    <w:p w14:paraId="08D17357">
      <w:pPr>
        <w:pStyle w:val="24"/>
        <w:ind w:firstLine="420"/>
        <w:rPr>
          <w:color w:val="auto"/>
          <w:highlight w:val="none"/>
        </w:rPr>
      </w:pPr>
    </w:p>
    <w:p w14:paraId="01233CD7">
      <w:pPr>
        <w:spacing w:line="440" w:lineRule="exact"/>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附件</w:t>
      </w:r>
      <w:r>
        <w:rPr>
          <w:b/>
          <w:color w:val="auto"/>
          <w:sz w:val="24"/>
          <w:highlight w:val="none"/>
        </w:rPr>
        <w:t>2</w:t>
      </w:r>
    </w:p>
    <w:p w14:paraId="283FE5ED">
      <w:pPr>
        <w:adjustRightInd w:val="0"/>
        <w:snapToGrid w:val="0"/>
        <w:spacing w:line="560" w:lineRule="exact"/>
        <w:ind w:firstLine="645"/>
        <w:jc w:val="center"/>
        <w:rPr>
          <w:rFonts w:ascii="宋体" w:hAnsi="宋体" w:cs="宋体"/>
          <w:b/>
          <w:color w:val="auto"/>
          <w:sz w:val="24"/>
          <w:highlight w:val="none"/>
        </w:rPr>
      </w:pPr>
      <w:r>
        <w:rPr>
          <w:rFonts w:hint="eastAsia" w:ascii="宋体" w:hAnsi="宋体" w:cs="宋体"/>
          <w:b/>
          <w:color w:val="auto"/>
          <w:sz w:val="24"/>
          <w:highlight w:val="none"/>
        </w:rPr>
        <w:t>“信用中国”查询的严重失信行为类别及判定依据</w:t>
      </w:r>
    </w:p>
    <w:p w14:paraId="73E72918">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“信用中国”查询的严重失信行为判定依据为各行业主管部门下发的联合惩戒文件中规定的行为。下面将部分类别的严重失信行为列举如下：</w:t>
      </w:r>
    </w:p>
    <w:p w14:paraId="76243016">
      <w:pPr>
        <w:adjustRightInd w:val="0"/>
        <w:snapToGrid w:val="0"/>
        <w:spacing w:line="560" w:lineRule="exact"/>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一、安全生产领域严重失信行为：</w:t>
      </w:r>
    </w:p>
    <w:p w14:paraId="5BA47E8B">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（一）下列发生生产安全事故的生产经营单位及其有关人员应当列入严重失信主体名单：</w:t>
      </w:r>
    </w:p>
    <w:p w14:paraId="45A27E0C">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1、发生特别重大、重大生产安全事故的生产经营单位及其主要负责人，以及经调查认定对该事故发生负有责任，应当列入名单的其他单位和人员；</w:t>
      </w:r>
    </w:p>
    <w:p w14:paraId="77B3B687">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2、12个月内累计发生2起以上较大生产安全事故的生产经营单位及其主要负责人；</w:t>
      </w:r>
    </w:p>
    <w:p w14:paraId="300AF5E0">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3、发生生产安全事故，情节特别严重、影响特别恶劣，依照《中华人民共和国安全生产法》第一百一十四条的规定被处以罚款数额2倍以上5倍以下罚款的生产经营单位及其主要负责人；</w:t>
      </w:r>
    </w:p>
    <w:p w14:paraId="525EA16B">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4、瞒报、谎报生产安全事故的生产经营单位及其有关责任人员；</w:t>
      </w:r>
    </w:p>
    <w:p w14:paraId="2B69D8F6">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5、发生生产安全事故后，不立即组织抢救或者在事故调查处理期间擅离职守或者逃匿的生产经营单位主要负责人。</w:t>
      </w:r>
    </w:p>
    <w:p w14:paraId="0CD4BFD0">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（二）下列未发生生产安全事故，但因安全生产违法行为，受到行政处罚的生产经营单位或者机构及其有关人员，应当列入严重失信主体名单：</w:t>
      </w:r>
    </w:p>
    <w:p w14:paraId="47461E32">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1、未依法取得安全生产相关许可或者许可被暂扣、吊销期间从事相关生产经营活动的生产经营单位及其主要负责人；</w:t>
      </w:r>
    </w:p>
    <w:p w14:paraId="1E1BE008">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2、承担安全评价、认证、检测、检验职责的机构及其直接责任人员租借资质、挂靠、出具虚假报告或者证书的；</w:t>
      </w:r>
    </w:p>
    <w:p w14:paraId="09A3C3FE">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3、在应急管理部门作出行政处罚后，有执行能力拒不执行或者逃避执行的生产经营单位及其主要负责人；</w:t>
      </w:r>
    </w:p>
    <w:p w14:paraId="2A525AA8">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4、其他违反安全生产法律法规受到行政处罚，且性质恶劣、情节严重的。</w:t>
      </w:r>
    </w:p>
    <w:p w14:paraId="589944EB">
      <w:pPr>
        <w:adjustRightInd w:val="0"/>
        <w:snapToGrid w:val="0"/>
        <w:spacing w:line="560" w:lineRule="exact"/>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依据：《安全生产严重失信主体名单管理办法》（2023年8月8日应急管理部令第11号）</w:t>
      </w:r>
    </w:p>
    <w:p w14:paraId="250E0E47">
      <w:pPr>
        <w:adjustRightInd w:val="0"/>
        <w:snapToGrid w:val="0"/>
        <w:spacing w:line="560" w:lineRule="exact"/>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二、环境保护领域严重失信行为：</w:t>
      </w:r>
    </w:p>
    <w:p w14:paraId="0A8B54D5">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（一）因为环境违法构成</w:t>
      </w:r>
      <w:r>
        <w:rPr>
          <w:color w:val="auto"/>
          <w:highlight w:val="none"/>
        </w:rPr>
        <w:fldChar w:fldCharType="begin"/>
      </w:r>
      <w:r>
        <w:rPr>
          <w:color w:val="auto"/>
          <w:highlight w:val="none"/>
        </w:rPr>
        <w:instrText xml:space="preserve"> HYPERLINK "https://baike.sogou.com/m/fullLemma?lid=10403954&amp;g_ut=3" \t "https://baike.sogou.com/m/_blank" </w:instrText>
      </w:r>
      <w:r>
        <w:rPr>
          <w:color w:val="auto"/>
          <w:highlight w:val="none"/>
        </w:rPr>
        <w:fldChar w:fldCharType="separate"/>
      </w:r>
      <w:r>
        <w:rPr>
          <w:rFonts w:hint="eastAsia" w:ascii="宋体" w:hAnsi="宋体" w:cs="宋体"/>
          <w:color w:val="auto"/>
          <w:sz w:val="24"/>
          <w:highlight w:val="none"/>
        </w:rPr>
        <w:t>环境犯罪</w:t>
      </w:r>
      <w:r>
        <w:rPr>
          <w:rFonts w:hint="eastAsia" w:ascii="宋体" w:hAnsi="宋体" w:cs="宋体"/>
          <w:color w:val="auto"/>
          <w:sz w:val="24"/>
          <w:highlight w:val="none"/>
        </w:rPr>
        <w:fldChar w:fldCharType="end"/>
      </w:r>
      <w:r>
        <w:rPr>
          <w:rFonts w:hint="eastAsia" w:ascii="宋体" w:hAnsi="宋体" w:cs="宋体"/>
          <w:color w:val="auto"/>
          <w:sz w:val="24"/>
          <w:highlight w:val="none"/>
        </w:rPr>
        <w:t>的；</w:t>
      </w:r>
    </w:p>
    <w:p w14:paraId="11BD98FA">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（二）</w:t>
      </w:r>
      <w:r>
        <w:rPr>
          <w:color w:val="auto"/>
          <w:highlight w:val="none"/>
        </w:rPr>
        <w:fldChar w:fldCharType="begin"/>
      </w:r>
      <w:r>
        <w:rPr>
          <w:color w:val="auto"/>
          <w:highlight w:val="none"/>
        </w:rPr>
        <w:instrText xml:space="preserve"> HYPERLINK "https://baike.sogou.com/m/fullLemma?lid=76033123&amp;g_ut=3" \t "https://baike.sogou.com/m/_blank" </w:instrText>
      </w:r>
      <w:r>
        <w:rPr>
          <w:color w:val="auto"/>
          <w:highlight w:val="none"/>
        </w:rPr>
        <w:fldChar w:fldCharType="separate"/>
      </w:r>
      <w:r>
        <w:rPr>
          <w:rFonts w:hint="eastAsia" w:ascii="宋体" w:hAnsi="宋体" w:cs="宋体"/>
          <w:color w:val="auto"/>
          <w:sz w:val="24"/>
          <w:highlight w:val="none"/>
        </w:rPr>
        <w:t>建设项目环境影响评价</w:t>
      </w:r>
      <w:r>
        <w:rPr>
          <w:rFonts w:hint="eastAsia" w:ascii="宋体" w:hAnsi="宋体" w:cs="宋体"/>
          <w:color w:val="auto"/>
          <w:sz w:val="24"/>
          <w:highlight w:val="none"/>
        </w:rPr>
        <w:fldChar w:fldCharType="end"/>
      </w:r>
      <w:r>
        <w:rPr>
          <w:rFonts w:hint="eastAsia" w:ascii="宋体" w:hAnsi="宋体" w:cs="宋体"/>
          <w:color w:val="auto"/>
          <w:sz w:val="24"/>
          <w:highlight w:val="none"/>
        </w:rPr>
        <w:t>文件未按规定通过审批，擅自开工建设的；</w:t>
      </w:r>
    </w:p>
    <w:p w14:paraId="65AC21AA">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（三）建设项目环保设施未建成、环保措施未落实、未通过</w:t>
      </w:r>
      <w:r>
        <w:rPr>
          <w:color w:val="auto"/>
          <w:highlight w:val="none"/>
        </w:rPr>
        <w:fldChar w:fldCharType="begin"/>
      </w:r>
      <w:r>
        <w:rPr>
          <w:color w:val="auto"/>
          <w:highlight w:val="none"/>
        </w:rPr>
        <w:instrText xml:space="preserve"> HYPERLINK "https://baike.sogou.com/m/fullLemma?lid=6470550&amp;g_ut=3" \t "https://baike.sogou.com/m/_blank" </w:instrText>
      </w:r>
      <w:r>
        <w:rPr>
          <w:color w:val="auto"/>
          <w:highlight w:val="none"/>
        </w:rPr>
        <w:fldChar w:fldCharType="separate"/>
      </w:r>
      <w:r>
        <w:rPr>
          <w:rFonts w:hint="eastAsia" w:ascii="宋体" w:hAnsi="宋体" w:cs="宋体"/>
          <w:color w:val="auto"/>
          <w:sz w:val="24"/>
          <w:highlight w:val="none"/>
        </w:rPr>
        <w:t>竣工环保验收</w:t>
      </w:r>
      <w:r>
        <w:rPr>
          <w:rFonts w:hint="eastAsia" w:ascii="宋体" w:hAnsi="宋体" w:cs="宋体"/>
          <w:color w:val="auto"/>
          <w:sz w:val="24"/>
          <w:highlight w:val="none"/>
        </w:rPr>
        <w:fldChar w:fldCharType="end"/>
      </w:r>
      <w:r>
        <w:rPr>
          <w:rFonts w:hint="eastAsia" w:ascii="宋体" w:hAnsi="宋体" w:cs="宋体"/>
          <w:color w:val="auto"/>
          <w:sz w:val="24"/>
          <w:highlight w:val="none"/>
        </w:rPr>
        <w:t>或者验收不合格，主体工程正式投入生产或者使用的；</w:t>
      </w:r>
    </w:p>
    <w:p w14:paraId="60ED67BD">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（四）建设项目性质、规模、地点、采用的生产工艺或者防治污染、防止生态破坏的措施发生重大变动，未重新报批环境影响评价文件，擅自投入生产或者使用的；</w:t>
      </w:r>
    </w:p>
    <w:p w14:paraId="63D23A0C">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（五）主要污染物排放总量超过控制指标的；</w:t>
      </w:r>
    </w:p>
    <w:p w14:paraId="160F41EE">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（六）私设暗管或者利用</w:t>
      </w:r>
      <w:r>
        <w:rPr>
          <w:color w:val="auto"/>
          <w:highlight w:val="none"/>
        </w:rPr>
        <w:fldChar w:fldCharType="begin"/>
      </w:r>
      <w:r>
        <w:rPr>
          <w:color w:val="auto"/>
          <w:highlight w:val="none"/>
        </w:rPr>
        <w:instrText xml:space="preserve"> HYPERLINK "https://baike.sogou.com/m/fullLemma?lid=41657319&amp;g_ut=3" \t "https://baike.sogou.com/m/_blank" </w:instrText>
      </w:r>
      <w:r>
        <w:rPr>
          <w:color w:val="auto"/>
          <w:highlight w:val="none"/>
        </w:rPr>
        <w:fldChar w:fldCharType="separate"/>
      </w:r>
      <w:r>
        <w:rPr>
          <w:rFonts w:hint="eastAsia" w:ascii="宋体" w:hAnsi="宋体" w:cs="宋体"/>
          <w:color w:val="auto"/>
          <w:sz w:val="24"/>
          <w:highlight w:val="none"/>
        </w:rPr>
        <w:t>渗井</w:t>
      </w:r>
      <w:r>
        <w:rPr>
          <w:rFonts w:hint="eastAsia" w:ascii="宋体" w:hAnsi="宋体" w:cs="宋体"/>
          <w:color w:val="auto"/>
          <w:sz w:val="24"/>
          <w:highlight w:val="none"/>
        </w:rPr>
        <w:fldChar w:fldCharType="end"/>
      </w:r>
      <w:r>
        <w:rPr>
          <w:rFonts w:hint="eastAsia" w:ascii="宋体" w:hAnsi="宋体" w:cs="宋体"/>
          <w:color w:val="auto"/>
          <w:sz w:val="24"/>
          <w:highlight w:val="none"/>
        </w:rPr>
        <w:t>、渗坑、裂隙、溶洞等排放、倾倒、处置水污染物，或者通过私设旁路排放</w:t>
      </w:r>
      <w:r>
        <w:rPr>
          <w:color w:val="auto"/>
          <w:highlight w:val="none"/>
        </w:rPr>
        <w:fldChar w:fldCharType="begin"/>
      </w:r>
      <w:r>
        <w:rPr>
          <w:color w:val="auto"/>
          <w:highlight w:val="none"/>
        </w:rPr>
        <w:instrText xml:space="preserve"> HYPERLINK "https://baike.sogou.com/m/fullLemma?lid=7758328&amp;g_ut=3" \t "https://baike.sogou.com/m/_blank" </w:instrText>
      </w:r>
      <w:r>
        <w:rPr>
          <w:color w:val="auto"/>
          <w:highlight w:val="none"/>
        </w:rPr>
        <w:fldChar w:fldCharType="separate"/>
      </w:r>
      <w:r>
        <w:rPr>
          <w:rFonts w:hint="eastAsia" w:ascii="宋体" w:hAnsi="宋体" w:cs="宋体"/>
          <w:color w:val="auto"/>
          <w:sz w:val="24"/>
          <w:highlight w:val="none"/>
        </w:rPr>
        <w:t>大气污染物</w:t>
      </w:r>
      <w:r>
        <w:rPr>
          <w:rFonts w:hint="eastAsia" w:ascii="宋体" w:hAnsi="宋体" w:cs="宋体"/>
          <w:color w:val="auto"/>
          <w:sz w:val="24"/>
          <w:highlight w:val="none"/>
        </w:rPr>
        <w:fldChar w:fldCharType="end"/>
      </w:r>
      <w:r>
        <w:rPr>
          <w:rFonts w:hint="eastAsia" w:ascii="宋体" w:hAnsi="宋体" w:cs="宋体"/>
          <w:color w:val="auto"/>
          <w:sz w:val="24"/>
          <w:highlight w:val="none"/>
        </w:rPr>
        <w:t>的；</w:t>
      </w:r>
    </w:p>
    <w:p w14:paraId="0BB84179">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（七）非法排放、倾倒、处置危险废物，或者向无</w:t>
      </w:r>
      <w:r>
        <w:rPr>
          <w:color w:val="auto"/>
          <w:highlight w:val="none"/>
        </w:rPr>
        <w:fldChar w:fldCharType="begin"/>
      </w:r>
      <w:r>
        <w:rPr>
          <w:color w:val="auto"/>
          <w:highlight w:val="none"/>
        </w:rPr>
        <w:instrText xml:space="preserve"> HYPERLINK "https://baike.sogou.com/m/fullLemma?lid=5923292&amp;g_ut=3" \t "https://baike.sogou.com/m/_blank" </w:instrText>
      </w:r>
      <w:r>
        <w:rPr>
          <w:color w:val="auto"/>
          <w:highlight w:val="none"/>
        </w:rPr>
        <w:fldChar w:fldCharType="separate"/>
      </w:r>
      <w:r>
        <w:rPr>
          <w:rFonts w:hint="eastAsia" w:ascii="宋体" w:hAnsi="宋体" w:cs="宋体"/>
          <w:color w:val="auto"/>
          <w:sz w:val="24"/>
          <w:highlight w:val="none"/>
        </w:rPr>
        <w:t>经营许可证</w:t>
      </w:r>
      <w:r>
        <w:rPr>
          <w:rFonts w:hint="eastAsia" w:ascii="宋体" w:hAnsi="宋体" w:cs="宋体"/>
          <w:color w:val="auto"/>
          <w:sz w:val="24"/>
          <w:highlight w:val="none"/>
        </w:rPr>
        <w:fldChar w:fldCharType="end"/>
      </w:r>
      <w:r>
        <w:rPr>
          <w:rFonts w:hint="eastAsia" w:ascii="宋体" w:hAnsi="宋体" w:cs="宋体"/>
          <w:color w:val="auto"/>
          <w:sz w:val="24"/>
          <w:highlight w:val="none"/>
        </w:rPr>
        <w:t>或者超出经营许可范围的单位或个人提供或者委托其收集、贮存、利用、处置危险废物的；</w:t>
      </w:r>
    </w:p>
    <w:p w14:paraId="1AF0309A">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（八）</w:t>
      </w:r>
      <w:r>
        <w:rPr>
          <w:color w:val="auto"/>
          <w:highlight w:val="none"/>
        </w:rPr>
        <w:fldChar w:fldCharType="begin"/>
      </w:r>
      <w:r>
        <w:rPr>
          <w:color w:val="auto"/>
          <w:highlight w:val="none"/>
        </w:rPr>
        <w:instrText xml:space="preserve"> HYPERLINK "https://baike.sogou.com/m/fullLemma?lid=167759803&amp;g_ut=3" \t "https://baike.sogou.com/m/_blank" </w:instrText>
      </w:r>
      <w:r>
        <w:rPr>
          <w:color w:val="auto"/>
          <w:highlight w:val="none"/>
        </w:rPr>
        <w:fldChar w:fldCharType="separate"/>
      </w:r>
      <w:r>
        <w:rPr>
          <w:rFonts w:hint="eastAsia" w:ascii="宋体" w:hAnsi="宋体" w:cs="宋体"/>
          <w:color w:val="auto"/>
          <w:sz w:val="24"/>
          <w:highlight w:val="none"/>
        </w:rPr>
        <w:t>环境违法行为</w:t>
      </w:r>
      <w:r>
        <w:rPr>
          <w:rFonts w:hint="eastAsia" w:ascii="宋体" w:hAnsi="宋体" w:cs="宋体"/>
          <w:color w:val="auto"/>
          <w:sz w:val="24"/>
          <w:highlight w:val="none"/>
        </w:rPr>
        <w:fldChar w:fldCharType="end"/>
      </w:r>
      <w:r>
        <w:rPr>
          <w:rFonts w:hint="eastAsia" w:ascii="宋体" w:hAnsi="宋体" w:cs="宋体"/>
          <w:color w:val="auto"/>
          <w:sz w:val="24"/>
          <w:highlight w:val="none"/>
        </w:rPr>
        <w:t>造成集中式生活饮用水水源取水中断的；</w:t>
      </w:r>
    </w:p>
    <w:p w14:paraId="77D212FE">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（九）环境违法行为对生活饮用水水源保护区、自然保护区、</w:t>
      </w:r>
      <w:r>
        <w:rPr>
          <w:color w:val="auto"/>
          <w:highlight w:val="none"/>
        </w:rPr>
        <w:fldChar w:fldCharType="begin"/>
      </w:r>
      <w:r>
        <w:rPr>
          <w:color w:val="auto"/>
          <w:highlight w:val="none"/>
        </w:rPr>
        <w:instrText xml:space="preserve"> HYPERLINK "https://baike.sogou.com/m/fullLemma?lid=155199213&amp;g_ut=3" \t "https://baike.sogou.com/m/_blank" </w:instrText>
      </w:r>
      <w:r>
        <w:rPr>
          <w:color w:val="auto"/>
          <w:highlight w:val="none"/>
        </w:rPr>
        <w:fldChar w:fldCharType="separate"/>
      </w:r>
      <w:r>
        <w:rPr>
          <w:rFonts w:hint="eastAsia" w:ascii="宋体" w:hAnsi="宋体" w:cs="宋体"/>
          <w:color w:val="auto"/>
          <w:sz w:val="24"/>
          <w:highlight w:val="none"/>
        </w:rPr>
        <w:t>国家重点生态功能区</w:t>
      </w:r>
      <w:r>
        <w:rPr>
          <w:rFonts w:hint="eastAsia" w:ascii="宋体" w:hAnsi="宋体" w:cs="宋体"/>
          <w:color w:val="auto"/>
          <w:sz w:val="24"/>
          <w:highlight w:val="none"/>
        </w:rPr>
        <w:fldChar w:fldCharType="end"/>
      </w:r>
      <w:r>
        <w:rPr>
          <w:rFonts w:hint="eastAsia" w:ascii="宋体" w:hAnsi="宋体" w:cs="宋体"/>
          <w:color w:val="auto"/>
          <w:sz w:val="24"/>
          <w:highlight w:val="none"/>
        </w:rPr>
        <w:t>、风景名胜区、居住功能区、</w:t>
      </w:r>
      <w:r>
        <w:rPr>
          <w:color w:val="auto"/>
          <w:highlight w:val="none"/>
        </w:rPr>
        <w:fldChar w:fldCharType="begin"/>
      </w:r>
      <w:r>
        <w:rPr>
          <w:color w:val="auto"/>
          <w:highlight w:val="none"/>
        </w:rPr>
        <w:instrText xml:space="preserve"> HYPERLINK "https://baike.sogou.com/m/fullLemma?lid=7757164&amp;g_ut=3" \t "https://baike.sogou.com/m/_blank" </w:instrText>
      </w:r>
      <w:r>
        <w:rPr>
          <w:color w:val="auto"/>
          <w:highlight w:val="none"/>
        </w:rPr>
        <w:fldChar w:fldCharType="separate"/>
      </w:r>
      <w:r>
        <w:rPr>
          <w:rFonts w:hint="eastAsia" w:ascii="宋体" w:hAnsi="宋体" w:cs="宋体"/>
          <w:color w:val="auto"/>
          <w:sz w:val="24"/>
          <w:highlight w:val="none"/>
        </w:rPr>
        <w:t>基本农田保护区</w:t>
      </w:r>
      <w:r>
        <w:rPr>
          <w:rFonts w:hint="eastAsia" w:ascii="宋体" w:hAnsi="宋体" w:cs="宋体"/>
          <w:color w:val="auto"/>
          <w:sz w:val="24"/>
          <w:highlight w:val="none"/>
        </w:rPr>
        <w:fldChar w:fldCharType="end"/>
      </w:r>
      <w:r>
        <w:rPr>
          <w:rFonts w:hint="eastAsia" w:ascii="宋体" w:hAnsi="宋体" w:cs="宋体"/>
          <w:color w:val="auto"/>
          <w:sz w:val="24"/>
          <w:highlight w:val="none"/>
        </w:rPr>
        <w:t>等环境敏感区造成重大不利影响的；</w:t>
      </w:r>
    </w:p>
    <w:p w14:paraId="406EAE32">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（十）违法从事自然资源开发、交通基础设施建设，以及其他开发建设活动，造成严重生态破坏的；</w:t>
      </w:r>
    </w:p>
    <w:p w14:paraId="3F2676F6">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（十一）发生较大及以上突发环境事件的；</w:t>
      </w:r>
    </w:p>
    <w:p w14:paraId="3C26568F">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（十二）被环保部门挂牌督办，整改逾期未完成的；</w:t>
      </w:r>
    </w:p>
    <w:p w14:paraId="15918CCF">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（十三）以暴力、威胁等方式拒绝、阻挠环保部门工作人员现场检查的；</w:t>
      </w:r>
    </w:p>
    <w:p w14:paraId="36B89732">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（十四）违反重污染天气应急预案有关规定，对重污染天气响应不力的。</w:t>
      </w:r>
    </w:p>
    <w:p w14:paraId="10EE3610">
      <w:pPr>
        <w:adjustRightInd w:val="0"/>
        <w:snapToGrid w:val="0"/>
        <w:spacing w:line="560" w:lineRule="exact"/>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依据：《</w:t>
      </w:r>
      <w:bookmarkStart w:id="921" w:name="OLE_LINK9"/>
      <w:bookmarkStart w:id="922" w:name="OLE_LINK10"/>
      <w:r>
        <w:rPr>
          <w:rFonts w:hint="eastAsia" w:ascii="宋体" w:hAnsi="宋体" w:cs="宋体"/>
          <w:b/>
          <w:color w:val="auto"/>
          <w:sz w:val="24"/>
          <w:highlight w:val="none"/>
        </w:rPr>
        <w:t>关于对环境保护领域失信生产经营单位及其有关人员开展联合惩戒的合作备忘录</w:t>
      </w:r>
      <w:bookmarkEnd w:id="921"/>
      <w:bookmarkEnd w:id="922"/>
      <w:r>
        <w:rPr>
          <w:rFonts w:hint="eastAsia" w:ascii="宋体" w:hAnsi="宋体" w:cs="宋体"/>
          <w:b/>
          <w:color w:val="auto"/>
          <w:sz w:val="24"/>
          <w:highlight w:val="none"/>
        </w:rPr>
        <w:t>》、《</w:t>
      </w:r>
      <w:bookmarkStart w:id="923" w:name="OLE_LINK11"/>
      <w:bookmarkStart w:id="924" w:name="OLE_LINK12"/>
      <w:r>
        <w:rPr>
          <w:rFonts w:hint="eastAsia" w:ascii="宋体" w:hAnsi="宋体" w:cs="宋体"/>
          <w:b/>
          <w:color w:val="auto"/>
          <w:sz w:val="24"/>
          <w:highlight w:val="none"/>
        </w:rPr>
        <w:t>企业环境信用评价办法（试行）</w:t>
      </w:r>
      <w:bookmarkEnd w:id="923"/>
      <w:bookmarkEnd w:id="924"/>
      <w:r>
        <w:rPr>
          <w:rFonts w:hint="eastAsia" w:ascii="宋体" w:hAnsi="宋体" w:cs="宋体"/>
          <w:b/>
          <w:color w:val="auto"/>
          <w:sz w:val="24"/>
          <w:highlight w:val="none"/>
        </w:rPr>
        <w:t>》（环发〔2013〕150号）</w:t>
      </w:r>
    </w:p>
    <w:p w14:paraId="30140452">
      <w:pPr>
        <w:adjustRightInd w:val="0"/>
        <w:snapToGrid w:val="0"/>
        <w:spacing w:line="560" w:lineRule="exact"/>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三、</w:t>
      </w:r>
      <w:r>
        <w:rPr>
          <w:rFonts w:hint="eastAsia" w:ascii="宋体" w:hAnsi="宋体" w:cs="宋体"/>
          <w:b/>
          <w:bCs/>
          <w:color w:val="auto"/>
          <w:sz w:val="24"/>
          <w:highlight w:val="none"/>
        </w:rPr>
        <w:t>公共资源交易领域严重失信行为</w:t>
      </w:r>
    </w:p>
    <w:p w14:paraId="58EB1EAB">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（一）违反法律规定，必须进行招标的项目而不招标的，将必须进行招标的项目化整为零或者以其他任何方式规避招标的； </w:t>
      </w:r>
    </w:p>
    <w:p w14:paraId="2EF974F6">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（二）招标代理机构违反法律规定，泄露应当保密的与招标投标活动有关的情况和资料的，或者与招标人、投标人串通损害 国家利益、社会公共利益或者他人合法权益的；</w:t>
      </w:r>
    </w:p>
    <w:p w14:paraId="52F58FA6">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（三）招标人以不合理的条件限制或者排斥潜在投标人的，对潜在投标人实行歧视待遇的，强制要求投标人组成联合体共同投标的，或者限制投标人之间竞争的；</w:t>
      </w:r>
    </w:p>
    <w:p w14:paraId="25A5CCAB">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（四）依法必须进行招标的项目的招标人向他人透露已获取招标文件的潜在投标人的名称、数量或者可能影响公平竞争的有 关招标投标的其他情况的，或者泄露标底的；</w:t>
      </w:r>
    </w:p>
    <w:p w14:paraId="179618B4">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（五）投标人相互串通投标或者与招标人串通投标的，投标人以向招标人或者评标委员会成员行贿的手段谋取中标的； </w:t>
      </w:r>
    </w:p>
    <w:p w14:paraId="7CA36506">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（六）投标人以他人名义投标或者以其他方式弄虚作假，骗取中标的；</w:t>
      </w:r>
    </w:p>
    <w:p w14:paraId="624C300E">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（七）依法必须进行招标的项目，招标人违反法律规定，与投标人就投标价格、投标方案等实质性内容进行谈判的；</w:t>
      </w:r>
    </w:p>
    <w:p w14:paraId="6D6C7B24">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（八）评标委员会成员收受投标人的财物或者其他好处的，评标委员会成员或者参加评标的有关工作人员向他人透露对投 标文件的评审和比较、中标候选人的推荐以及与评标有关的其他 情况的； </w:t>
      </w:r>
    </w:p>
    <w:p w14:paraId="792CC70B">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（九）招标人在评标委员会依法推荐的中标候选人以外确定中标人的，依法必须进行招标的项目在所有投标被评标委员会否 决后自行确定中标人的； </w:t>
      </w:r>
    </w:p>
    <w:p w14:paraId="36D1824C">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（十）中标人将中标项目转让给他人的，将中标项目肢解后分别转让给他人的，违反法律规定将中标项目的部分主体、关键 性工作分包给他人的，或者分包人再次分包的； </w:t>
      </w:r>
    </w:p>
    <w:p w14:paraId="505B00B9">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（十一）招标人与中标人不按照招标文件和中标人的投标文件订立合同的，或者招标人、中标人订立背离合同实质性内容的 协议的； </w:t>
      </w:r>
    </w:p>
    <w:p w14:paraId="240A364D">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（十二）中标人不按照与招标人订立的合同履行义务，情节严重的； </w:t>
      </w:r>
    </w:p>
    <w:p w14:paraId="06FB4708">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（十三）采购人、采购代理机构存在应当采用公开招标方式而擅自采用其他方式采购，擅自提高采购标准，以不合理的条件 对供应商实行差别待遇或者歧视待遇，在招标采购过程中与投标 人进行协商谈判，中标、成交通知书发出后不与中标、成交供应商签订采购合同，或者拒绝有关部门依法实施监督检查等情形的；</w:t>
      </w:r>
    </w:p>
    <w:p w14:paraId="1A16C79B">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 （十四）采购人、采购代理机构及其工作人员存在与供应商 或者采购代理机构恶意串通，在采购过程中接受贿赂或者获取其 他不正当利益，在有关部门依法实施的监督检查中提供虚假情况， 或者开标前泄露标底等情形的；</w:t>
      </w:r>
    </w:p>
    <w:p w14:paraId="26890A9F">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（十五）采购人对应当实行集中采购的政府采购项目，不委托集中采购机构实行集中采购的； </w:t>
      </w:r>
    </w:p>
    <w:p w14:paraId="29576A01">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（十六）采购人、采购代理机构违反法律规定隐匿、销毁应当保存的采购文件或者伪造、变造采购文件的； </w:t>
      </w:r>
    </w:p>
    <w:p w14:paraId="1E2B18A2">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（十七）供应商存在提供虚假材料谋取中标、成交，采取不 正当手段诋毁、排挤其他供应商，与采购人、其他供应商或者采 购代理机构恶意串通，向采购人、采购代理机构行贿或者提供其 他不正当利益，在招标采购过程中与采购人进行协商谈判，或拒 绝有关部门监督检查或者提供虚假情况等情形的； </w:t>
      </w:r>
    </w:p>
    <w:p w14:paraId="228CBDF4">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（十八）疫苗生产企业向县级疾病预防控制机构以外的单位或者个人销售第二类疫苗的； </w:t>
      </w:r>
    </w:p>
    <w:p w14:paraId="46A7272F">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（十九）存在其他违反公共资源交易法律法规行为的。</w:t>
      </w:r>
    </w:p>
    <w:p w14:paraId="18BD8DDC">
      <w:pPr>
        <w:adjustRightInd w:val="0"/>
        <w:snapToGrid w:val="0"/>
        <w:spacing w:line="560" w:lineRule="exact"/>
        <w:ind w:firstLine="482" w:firstLineChars="200"/>
        <w:jc w:val="left"/>
        <w:rPr>
          <w:rFonts w:ascii="宋体" w:hAnsi="宋体" w:cs="宋体"/>
          <w:color w:val="auto"/>
          <w:sz w:val="24"/>
          <w:highlight w:val="none"/>
        </w:rPr>
      </w:pPr>
      <w:r>
        <w:rPr>
          <w:rFonts w:hint="eastAsia" w:ascii="宋体" w:hAnsi="宋体" w:cs="宋体"/>
          <w:b/>
          <w:color w:val="auto"/>
          <w:sz w:val="24"/>
          <w:highlight w:val="none"/>
        </w:rPr>
        <w:t>依据：《</w:t>
      </w:r>
      <w:bookmarkStart w:id="925" w:name="OLE_LINK14"/>
      <w:bookmarkStart w:id="926" w:name="OLE_LINK13"/>
      <w:r>
        <w:rPr>
          <w:rFonts w:hint="eastAsia" w:ascii="宋体" w:hAnsi="宋体" w:cs="宋体"/>
          <w:b/>
          <w:color w:val="auto"/>
          <w:sz w:val="24"/>
          <w:highlight w:val="none"/>
        </w:rPr>
        <w:t>关于对公共资源交易领域严重失信主体开展联合惩戒的备忘录</w:t>
      </w:r>
      <w:bookmarkEnd w:id="925"/>
      <w:bookmarkEnd w:id="926"/>
      <w:r>
        <w:rPr>
          <w:rFonts w:hint="eastAsia" w:ascii="宋体" w:hAnsi="宋体" w:cs="宋体"/>
          <w:b/>
          <w:color w:val="auto"/>
          <w:sz w:val="24"/>
          <w:highlight w:val="none"/>
        </w:rPr>
        <w:t>》（发改法规〔2018〕457号）</w:t>
      </w:r>
    </w:p>
    <w:p w14:paraId="2E4AE903">
      <w:pPr>
        <w:adjustRightInd w:val="0"/>
        <w:snapToGrid w:val="0"/>
        <w:spacing w:line="560" w:lineRule="exact"/>
        <w:ind w:firstLine="482" w:firstLineChars="200"/>
        <w:jc w:val="left"/>
        <w:rPr>
          <w:rFonts w:ascii="宋体" w:hAnsi="宋体" w:cs="宋体"/>
          <w:b/>
          <w:bCs/>
          <w:color w:val="auto"/>
          <w:sz w:val="24"/>
          <w:highlight w:val="none"/>
        </w:rPr>
      </w:pPr>
      <w:r>
        <w:rPr>
          <w:rFonts w:hint="eastAsia" w:ascii="宋体" w:hAnsi="宋体" w:cs="宋体"/>
          <w:b/>
          <w:color w:val="auto"/>
          <w:sz w:val="24"/>
          <w:highlight w:val="none"/>
        </w:rPr>
        <w:t>四、</w:t>
      </w:r>
      <w:r>
        <w:rPr>
          <w:rFonts w:hint="eastAsia" w:ascii="宋体" w:hAnsi="宋体" w:cs="宋体"/>
          <w:b/>
          <w:bCs/>
          <w:color w:val="auto"/>
          <w:sz w:val="24"/>
          <w:highlight w:val="none"/>
        </w:rPr>
        <w:t>社会保险领域严重失信行为</w:t>
      </w:r>
    </w:p>
    <w:p w14:paraId="6D57E2B1">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（一）用人单位未按相关规定参加社会保险且拒不整改的； </w:t>
      </w:r>
    </w:p>
    <w:p w14:paraId="21B13A56">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（二）用人单位未如实申报社会保险缴费基数且拒不整改的； </w:t>
      </w:r>
    </w:p>
    <w:p w14:paraId="09671908">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（三）应缴纳社会保险费却拒不缴纳的； </w:t>
      </w:r>
    </w:p>
    <w:p w14:paraId="2E2760F4">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（四）隐匿、转移、侵占、挪用社会保险费款、基金或者违规投资运营的；</w:t>
      </w:r>
    </w:p>
    <w:p w14:paraId="36364FDA">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（五）以欺诈、伪造证明材料或者其他手段参加、申报社会保险和骗取社会保险基金支出或社会保险待遇的； </w:t>
      </w:r>
    </w:p>
    <w:p w14:paraId="598BD209">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（六）非法获取、出售或变相交易社会保险个人权益数据的； </w:t>
      </w:r>
    </w:p>
    <w:p w14:paraId="52FF797E">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（七）社会保险服务机构违反服务协议或相关规定的； </w:t>
      </w:r>
    </w:p>
    <w:p w14:paraId="360F8F41">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（八）拒绝协助社会保险行政部门、经办机构对事故和问题进 行调查核实的；拒绝接受或协助税务部门对社会保险实施监督检查， 不如实提供与社会保险相关各项资料的； </w:t>
      </w:r>
    </w:p>
    <w:p w14:paraId="456B005E">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（九）其他违反法律法规规定的。</w:t>
      </w:r>
    </w:p>
    <w:p w14:paraId="363F5A1D">
      <w:pPr>
        <w:adjustRightInd w:val="0"/>
        <w:snapToGrid w:val="0"/>
        <w:spacing w:line="560" w:lineRule="exact"/>
        <w:ind w:firstLine="482" w:firstLineChars="200"/>
        <w:jc w:val="left"/>
        <w:rPr>
          <w:rFonts w:ascii="宋体" w:hAnsi="宋体" w:cs="宋体"/>
          <w:color w:val="auto"/>
          <w:sz w:val="24"/>
          <w:highlight w:val="none"/>
        </w:rPr>
      </w:pPr>
      <w:r>
        <w:rPr>
          <w:rFonts w:hint="eastAsia" w:ascii="宋体" w:hAnsi="宋体" w:cs="宋体"/>
          <w:b/>
          <w:color w:val="auto"/>
          <w:sz w:val="24"/>
          <w:highlight w:val="none"/>
        </w:rPr>
        <w:t>依据：《</w:t>
      </w:r>
      <w:bookmarkStart w:id="927" w:name="OLE_LINK15"/>
      <w:bookmarkStart w:id="928" w:name="OLE_LINK16"/>
      <w:r>
        <w:rPr>
          <w:rFonts w:hint="eastAsia" w:ascii="宋体" w:hAnsi="宋体" w:cs="宋体"/>
          <w:b/>
          <w:color w:val="auto"/>
          <w:sz w:val="24"/>
          <w:highlight w:val="none"/>
        </w:rPr>
        <w:t>关于对社会保险领域严重失信企业及其有关人员实施联合惩戒的合作备忘录</w:t>
      </w:r>
      <w:bookmarkEnd w:id="927"/>
      <w:bookmarkEnd w:id="928"/>
      <w:r>
        <w:rPr>
          <w:rFonts w:hint="eastAsia" w:ascii="宋体" w:hAnsi="宋体" w:cs="宋体"/>
          <w:b/>
          <w:color w:val="auto"/>
          <w:sz w:val="24"/>
          <w:highlight w:val="none"/>
        </w:rPr>
        <w:t>》（发改财金〔2018〕1704号）</w:t>
      </w:r>
    </w:p>
    <w:p w14:paraId="2273DC14">
      <w:pPr>
        <w:adjustRightInd w:val="0"/>
        <w:snapToGrid w:val="0"/>
        <w:spacing w:line="560" w:lineRule="exact"/>
        <w:ind w:firstLine="482" w:firstLineChars="200"/>
        <w:jc w:val="left"/>
        <w:rPr>
          <w:rFonts w:ascii="宋体" w:hAnsi="宋体" w:cs="宋体"/>
          <w:b/>
          <w:bCs/>
          <w:color w:val="auto"/>
          <w:sz w:val="24"/>
          <w:highlight w:val="none"/>
        </w:rPr>
      </w:pPr>
      <w:r>
        <w:rPr>
          <w:rFonts w:hint="eastAsia" w:ascii="宋体" w:hAnsi="宋体" w:cs="宋体"/>
          <w:b/>
          <w:color w:val="auto"/>
          <w:sz w:val="24"/>
          <w:highlight w:val="none"/>
        </w:rPr>
        <w:t>五、建筑市场领域</w:t>
      </w:r>
      <w:r>
        <w:rPr>
          <w:rFonts w:hint="eastAsia" w:ascii="宋体" w:hAnsi="宋体" w:cs="宋体"/>
          <w:b/>
          <w:bCs/>
          <w:color w:val="auto"/>
          <w:sz w:val="24"/>
          <w:highlight w:val="none"/>
        </w:rPr>
        <w:t>严重失信行为</w:t>
      </w:r>
    </w:p>
    <w:p w14:paraId="0A32B368">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（一）利用虚假材料、以欺骗手段取得企业资质的；</w:t>
      </w:r>
    </w:p>
    <w:p w14:paraId="42BCC4C4">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（二）发生转包、出借资质，受到行政处罚的；</w:t>
      </w:r>
    </w:p>
    <w:p w14:paraId="23079888">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（三）发生重大及以上工程质量安全事故，或1年内累计发生2次及以上较大工程质量安全事故，或发生性质恶劣、危害性严重、社会影响大的较大工程质量安全事故，受到行政处罚的；</w:t>
      </w:r>
    </w:p>
    <w:p w14:paraId="71477CAE">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（四）经法院判决或仲裁机构裁决，认定为拖欠工程款,且拒不履行生效法律文书确定的义务的。</w:t>
      </w:r>
    </w:p>
    <w:p w14:paraId="4493703F">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各级住房城乡建设主管部门应当参照建筑市场主体“黑名单”，对被人力资源社会保障行政部门列入拖欠农民工工资“黑名单”的建筑市场各方主体加强监管。</w:t>
      </w:r>
    </w:p>
    <w:p w14:paraId="39D74C36">
      <w:pPr>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依据：《</w:t>
      </w:r>
      <w:bookmarkStart w:id="929" w:name="OLE_LINK17"/>
      <w:bookmarkStart w:id="930" w:name="OLE_LINK18"/>
      <w:r>
        <w:rPr>
          <w:rFonts w:hint="eastAsia" w:ascii="宋体" w:hAnsi="宋体" w:cs="宋体"/>
          <w:b/>
          <w:color w:val="auto"/>
          <w:sz w:val="24"/>
          <w:highlight w:val="none"/>
        </w:rPr>
        <w:t>建筑市场信用管理暂行办法</w:t>
      </w:r>
      <w:bookmarkEnd w:id="929"/>
      <w:bookmarkEnd w:id="930"/>
      <w:r>
        <w:rPr>
          <w:rFonts w:hint="eastAsia" w:ascii="宋体" w:hAnsi="宋体" w:cs="宋体"/>
          <w:b/>
          <w:color w:val="auto"/>
          <w:sz w:val="24"/>
          <w:highlight w:val="none"/>
        </w:rPr>
        <w:t>》（建市〔2017〕241号）</w:t>
      </w:r>
    </w:p>
    <w:p w14:paraId="16F75222">
      <w:pPr>
        <w:adjustRightInd w:val="0"/>
        <w:snapToGrid w:val="0"/>
        <w:spacing w:line="560" w:lineRule="exact"/>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六、</w:t>
      </w:r>
      <w:bookmarkStart w:id="931" w:name="OLE_LINK19"/>
      <w:bookmarkStart w:id="932" w:name="OLE_LINK20"/>
      <w:r>
        <w:rPr>
          <w:rFonts w:hint="eastAsia" w:ascii="宋体" w:hAnsi="宋体" w:cs="宋体"/>
          <w:b/>
          <w:color w:val="auto"/>
          <w:sz w:val="24"/>
          <w:highlight w:val="none"/>
        </w:rPr>
        <w:t>政府采购严重失信行为</w:t>
      </w:r>
      <w:bookmarkEnd w:id="931"/>
      <w:bookmarkEnd w:id="932"/>
    </w:p>
    <w:p w14:paraId="652F8257">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供应商、采购代理机构在三年内受到财政部门作出下列情形之一的行政处罚，列入政府采购严重违法失信行为记录名单。</w:t>
      </w:r>
      <w:r>
        <w:rPr>
          <w:rFonts w:hint="eastAsia" w:ascii="宋体" w:hAnsi="宋体" w:cs="宋体"/>
          <w:color w:val="auto"/>
          <w:sz w:val="24"/>
          <w:highlight w:val="none"/>
        </w:rPr>
        <w:br w:type="textWrapping"/>
      </w:r>
      <w:r>
        <w:rPr>
          <w:rFonts w:hint="eastAsia" w:ascii="宋体" w:hAnsi="宋体" w:cs="宋体"/>
          <w:color w:val="auto"/>
          <w:sz w:val="24"/>
          <w:highlight w:val="none"/>
        </w:rPr>
        <w:t>（一）三万元以上罚款；</w:t>
      </w:r>
      <w:r>
        <w:rPr>
          <w:rFonts w:hint="eastAsia" w:ascii="宋体" w:hAnsi="宋体" w:cs="宋体"/>
          <w:color w:val="auto"/>
          <w:sz w:val="24"/>
          <w:highlight w:val="none"/>
        </w:rPr>
        <w:br w:type="textWrapping"/>
      </w:r>
      <w:r>
        <w:rPr>
          <w:rFonts w:hint="eastAsia" w:ascii="宋体" w:hAnsi="宋体" w:cs="宋体"/>
          <w:color w:val="auto"/>
          <w:sz w:val="24"/>
          <w:highlight w:val="none"/>
        </w:rPr>
        <w:t>（二）在一至三年内禁止参加政府采购活动（处罚期限届满的除外）；</w:t>
      </w:r>
      <w:r>
        <w:rPr>
          <w:rFonts w:hint="eastAsia" w:ascii="宋体" w:hAnsi="宋体" w:cs="宋体"/>
          <w:color w:val="auto"/>
          <w:sz w:val="24"/>
          <w:highlight w:val="none"/>
        </w:rPr>
        <w:br w:type="textWrapping"/>
      </w:r>
      <w:r>
        <w:rPr>
          <w:rFonts w:hint="eastAsia" w:ascii="宋体" w:hAnsi="宋体" w:cs="宋体"/>
          <w:color w:val="auto"/>
          <w:sz w:val="24"/>
          <w:highlight w:val="none"/>
        </w:rPr>
        <w:t>（三）在一至三年内禁止代理政府采购业务（处罚期限届满的除外）；</w:t>
      </w:r>
      <w:r>
        <w:rPr>
          <w:rFonts w:hint="eastAsia" w:ascii="宋体" w:hAnsi="宋体" w:cs="宋体"/>
          <w:color w:val="auto"/>
          <w:sz w:val="24"/>
          <w:highlight w:val="none"/>
        </w:rPr>
        <w:br w:type="textWrapping"/>
      </w:r>
      <w:r>
        <w:rPr>
          <w:rFonts w:hint="eastAsia" w:ascii="宋体" w:hAnsi="宋体" w:cs="宋体"/>
          <w:color w:val="auto"/>
          <w:sz w:val="24"/>
          <w:highlight w:val="none"/>
        </w:rPr>
        <w:t>（四）撤销政府采购代理机构资格（仅针对《政府采购法》第78条修改前作出的处罚决定）。</w:t>
      </w:r>
    </w:p>
    <w:p w14:paraId="4577C817">
      <w:pPr>
        <w:adjustRightInd w:val="0"/>
        <w:snapToGrid w:val="0"/>
        <w:spacing w:line="560" w:lineRule="exact"/>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依据：《关于报送政府采购严重违法失信行为信息记录的通知》（财办库〔2014〕526号）</w:t>
      </w:r>
    </w:p>
    <w:p w14:paraId="5C5C7737">
      <w:pPr>
        <w:spacing w:line="440" w:lineRule="exact"/>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未列出的其他类别严重失信行为，由招标人（代理机构）根据各类别行业主管部门下发的联合惩戒文件进行判断。</w:t>
      </w:r>
    </w:p>
    <w:p w14:paraId="5B2A919E">
      <w:pPr>
        <w:rPr>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ModIcon">
    <w:altName w:val="XcGJSymbol"/>
    <w:panose1 w:val="00000000000000000000"/>
    <w:charset w:val="00"/>
    <w:family w:val="auto"/>
    <w:pitch w:val="default"/>
    <w:sig w:usb0="00000000" w:usb1="00000000" w:usb2="00000000" w:usb3="00000000" w:csb0="00000000" w:csb1="00000000"/>
  </w:font>
  <w:font w:name="ActionIcon">
    <w:altName w:val="XcGJSymbol"/>
    <w:panose1 w:val="00000000000000000000"/>
    <w:charset w:val="00"/>
    <w:family w:val="auto"/>
    <w:pitch w:val="default"/>
    <w:sig w:usb0="00000000" w:usb1="00000000" w:usb2="00000000" w:usb3="00000000" w:csb0="00000000" w:csb1="00000000"/>
  </w:font>
  <w:font w:name="monospace">
    <w:altName w:val="XcGJSymbol"/>
    <w:panose1 w:val="00000000000000000000"/>
    <w:charset w:val="00"/>
    <w:family w:val="auto"/>
    <w:pitch w:val="default"/>
    <w:sig w:usb0="00000000" w:usb1="00000000" w:usb2="00000000" w:usb3="00000000" w:csb0="00000000" w:csb1="00000000"/>
  </w:font>
  <w:font w:name="XcGJSymbol">
    <w:panose1 w:val="02000500000000000000"/>
    <w:charset w:val="00"/>
    <w:family w:val="auto"/>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FAFA38"/>
    <w:multiLevelType w:val="singleLevel"/>
    <w:tmpl w:val="BFFAFA38"/>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D19"/>
    <w:rsid w:val="000A445E"/>
    <w:rsid w:val="000C095F"/>
    <w:rsid w:val="001C0B1D"/>
    <w:rsid w:val="002B133F"/>
    <w:rsid w:val="002F3D7A"/>
    <w:rsid w:val="003E7BF3"/>
    <w:rsid w:val="00407C5E"/>
    <w:rsid w:val="00485D19"/>
    <w:rsid w:val="00617C05"/>
    <w:rsid w:val="006B671B"/>
    <w:rsid w:val="006F1991"/>
    <w:rsid w:val="00775491"/>
    <w:rsid w:val="009B1A90"/>
    <w:rsid w:val="00BF14DB"/>
    <w:rsid w:val="1EC84B9B"/>
    <w:rsid w:val="22CE2ACF"/>
    <w:rsid w:val="24A477FC"/>
    <w:rsid w:val="594760BC"/>
    <w:rsid w:val="5A416150"/>
    <w:rsid w:val="66212A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0" w:name="toc 2"/>
    <w:lsdException w:qFormat="1" w:uiPriority="0" w:name="toc 3"/>
    <w:lsdException w:uiPriority="39" w:name="toc 4"/>
    <w:lsdException w:uiPriority="39" w:name="toc 5"/>
    <w:lsdException w:uiPriority="39" w:name="toc 6"/>
    <w:lsdException w:qFormat="1" w:uiPriority="39" w:name="toc 7"/>
    <w:lsdException w:uiPriority="39" w:name="toc 8"/>
    <w:lsdException w:uiPriority="39" w:name="toc 9"/>
    <w:lsdException w:qFormat="1" w:uiPriority="0" w:name="Normal Indent"/>
    <w:lsdException w:qFormat="1" w:uiPriority="0"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sdException w:uiPriority="99" w:name="table of figures"/>
    <w:lsdException w:uiPriority="99" w:name="envelope address"/>
    <w:lsdException w:qFormat="1" w:uiPriority="0" w:name="envelope return"/>
    <w:lsdException w:qFormat="1"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qFormat="1" w:uiPriority="99" w:name="Body Text First Indent 2"/>
    <w:lsdException w:uiPriority="99" w:name="Note Heading"/>
    <w:lsdException w:qFormat="1" w:uiPriority="0" w:name="Body Text 2"/>
    <w:lsdException w:qFormat="1" w:uiPriority="0" w:semiHidden="0"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0" w:semiHidden="0" w:name="Strong"/>
    <w:lsdException w:qFormat="1" w:unhideWhenUsed="0" w:uiPriority="0" w:semiHidden="0" w:name="Emphasis"/>
    <w:lsdException w:qFormat="1" w:uiPriority="99" w:name="Document Map"/>
    <w:lsdException w:qFormat="1"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heme="minorBidi"/>
      <w:kern w:val="2"/>
      <w:sz w:val="21"/>
      <w:lang w:val="en-US" w:eastAsia="zh-CN" w:bidi="ar-SA"/>
    </w:rPr>
  </w:style>
  <w:style w:type="paragraph" w:styleId="2">
    <w:name w:val="heading 1"/>
    <w:basedOn w:val="1"/>
    <w:next w:val="1"/>
    <w:link w:val="50"/>
    <w:qFormat/>
    <w:uiPriority w:val="0"/>
    <w:pPr>
      <w:keepNext/>
      <w:keepLines/>
      <w:spacing w:before="340" w:after="330" w:line="578" w:lineRule="auto"/>
      <w:outlineLvl w:val="0"/>
    </w:pPr>
    <w:rPr>
      <w:rFonts w:cs="Times New Roman"/>
      <w:b/>
      <w:bCs/>
      <w:kern w:val="44"/>
      <w:sz w:val="44"/>
      <w:szCs w:val="44"/>
    </w:rPr>
  </w:style>
  <w:style w:type="paragraph" w:styleId="3">
    <w:name w:val="heading 2"/>
    <w:basedOn w:val="1"/>
    <w:next w:val="1"/>
    <w:link w:val="51"/>
    <w:qFormat/>
    <w:uiPriority w:val="0"/>
    <w:pPr>
      <w:keepNext/>
      <w:keepLines/>
      <w:spacing w:before="260" w:after="260" w:line="416" w:lineRule="auto"/>
      <w:outlineLvl w:val="1"/>
    </w:pPr>
    <w:rPr>
      <w:rFonts w:ascii="Cambria" w:hAnsi="Cambria" w:cs="Times New Roman"/>
      <w:b/>
      <w:bCs/>
      <w:sz w:val="32"/>
      <w:szCs w:val="32"/>
    </w:rPr>
  </w:style>
  <w:style w:type="paragraph" w:styleId="4">
    <w:name w:val="heading 3"/>
    <w:basedOn w:val="1"/>
    <w:next w:val="1"/>
    <w:link w:val="52"/>
    <w:qFormat/>
    <w:uiPriority w:val="0"/>
    <w:pPr>
      <w:keepNext/>
      <w:keepLines/>
      <w:spacing w:before="260" w:after="260" w:line="416" w:lineRule="auto"/>
      <w:outlineLvl w:val="2"/>
    </w:pPr>
    <w:rPr>
      <w:rFonts w:cs="Times New Roman"/>
      <w:b/>
      <w:bCs/>
      <w:sz w:val="32"/>
      <w:szCs w:val="32"/>
    </w:rPr>
  </w:style>
  <w:style w:type="paragraph" w:styleId="5">
    <w:name w:val="heading 4"/>
    <w:basedOn w:val="1"/>
    <w:next w:val="1"/>
    <w:link w:val="53"/>
    <w:qFormat/>
    <w:uiPriority w:val="0"/>
    <w:pPr>
      <w:keepNext/>
      <w:keepLines/>
      <w:spacing w:before="280" w:after="290" w:line="372" w:lineRule="auto"/>
      <w:outlineLvl w:val="3"/>
    </w:pPr>
    <w:rPr>
      <w:rFonts w:ascii="Cambria" w:hAnsi="Cambria" w:cs="Times New Roman"/>
      <w:b/>
      <w:bCs/>
      <w:sz w:val="28"/>
      <w:szCs w:val="28"/>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autoRedefine/>
    <w:semiHidden/>
    <w:unhideWhenUsed/>
    <w:qFormat/>
    <w:uiPriority w:val="39"/>
    <w:pPr>
      <w:ind w:left="1260"/>
      <w:jc w:val="left"/>
    </w:pPr>
    <w:rPr>
      <w:rFonts w:cs="Times New Roman"/>
      <w:sz w:val="18"/>
      <w:szCs w:val="18"/>
    </w:rPr>
  </w:style>
  <w:style w:type="paragraph" w:styleId="7">
    <w:name w:val="Normal Indent"/>
    <w:basedOn w:val="1"/>
    <w:semiHidden/>
    <w:unhideWhenUsed/>
    <w:qFormat/>
    <w:uiPriority w:val="0"/>
    <w:pPr>
      <w:ind w:firstLine="420" w:firstLineChars="200"/>
    </w:pPr>
    <w:rPr>
      <w:rFonts w:cs="Times New Roman"/>
      <w:szCs w:val="24"/>
    </w:rPr>
  </w:style>
  <w:style w:type="paragraph" w:styleId="8">
    <w:name w:val="Document Map"/>
    <w:basedOn w:val="1"/>
    <w:link w:val="43"/>
    <w:semiHidden/>
    <w:unhideWhenUsed/>
    <w:qFormat/>
    <w:uiPriority w:val="99"/>
    <w:rPr>
      <w:rFonts w:ascii="宋体"/>
      <w:sz w:val="18"/>
      <w:szCs w:val="18"/>
    </w:rPr>
  </w:style>
  <w:style w:type="paragraph" w:styleId="9">
    <w:name w:val="Body Text 3"/>
    <w:basedOn w:val="1"/>
    <w:link w:val="58"/>
    <w:unhideWhenUsed/>
    <w:qFormat/>
    <w:uiPriority w:val="0"/>
    <w:rPr>
      <w:rFonts w:ascii="宋体" w:cs="Times New Roman"/>
      <w:sz w:val="24"/>
    </w:rPr>
  </w:style>
  <w:style w:type="paragraph" w:styleId="10">
    <w:name w:val="Body Text"/>
    <w:basedOn w:val="1"/>
    <w:link w:val="45"/>
    <w:autoRedefine/>
    <w:qFormat/>
    <w:uiPriority w:val="0"/>
    <w:pPr>
      <w:snapToGrid w:val="0"/>
      <w:spacing w:line="360" w:lineRule="auto"/>
    </w:pPr>
    <w:rPr>
      <w:rFonts w:ascii="仿宋" w:hAnsi="仿宋" w:eastAsia="仿宋"/>
      <w:sz w:val="28"/>
      <w:szCs w:val="28"/>
    </w:rPr>
  </w:style>
  <w:style w:type="paragraph" w:styleId="11">
    <w:name w:val="Body Text Indent"/>
    <w:basedOn w:val="1"/>
    <w:next w:val="12"/>
    <w:link w:val="55"/>
    <w:semiHidden/>
    <w:unhideWhenUsed/>
    <w:qFormat/>
    <w:uiPriority w:val="99"/>
    <w:pPr>
      <w:spacing w:after="120"/>
      <w:ind w:left="420" w:leftChars="200"/>
    </w:pPr>
    <w:rPr>
      <w:rFonts w:cs="Times New Roman"/>
      <w:szCs w:val="24"/>
    </w:rPr>
  </w:style>
  <w:style w:type="paragraph" w:styleId="12">
    <w:name w:val="envelope return"/>
    <w:basedOn w:val="1"/>
    <w:next w:val="6"/>
    <w:semiHidden/>
    <w:unhideWhenUsed/>
    <w:qFormat/>
    <w:uiPriority w:val="0"/>
    <w:pPr>
      <w:snapToGrid w:val="0"/>
    </w:pPr>
    <w:rPr>
      <w:rFonts w:ascii="Arial" w:hAnsi="Arial" w:cs="Times New Roman"/>
      <w:szCs w:val="24"/>
    </w:rPr>
  </w:style>
  <w:style w:type="paragraph" w:styleId="13">
    <w:name w:val="toc 3"/>
    <w:basedOn w:val="1"/>
    <w:next w:val="1"/>
    <w:autoRedefine/>
    <w:semiHidden/>
    <w:unhideWhenUsed/>
    <w:qFormat/>
    <w:uiPriority w:val="0"/>
    <w:pPr>
      <w:ind w:left="840" w:leftChars="400"/>
    </w:pPr>
    <w:rPr>
      <w:rFonts w:cs="Times New Roman"/>
      <w:szCs w:val="24"/>
    </w:rPr>
  </w:style>
  <w:style w:type="paragraph" w:styleId="14">
    <w:name w:val="Plain Text"/>
    <w:basedOn w:val="1"/>
    <w:next w:val="1"/>
    <w:link w:val="59"/>
    <w:unhideWhenUsed/>
    <w:qFormat/>
    <w:uiPriority w:val="99"/>
    <w:rPr>
      <w:rFonts w:ascii="宋体" w:hAnsi="Courier New" w:cs="Times New Roman"/>
      <w:kern w:val="0"/>
      <w:szCs w:val="24"/>
    </w:rPr>
  </w:style>
  <w:style w:type="paragraph" w:styleId="15">
    <w:name w:val="Date"/>
    <w:basedOn w:val="1"/>
    <w:next w:val="1"/>
    <w:link w:val="48"/>
    <w:autoRedefine/>
    <w:qFormat/>
    <w:uiPriority w:val="0"/>
    <w:pPr>
      <w:adjustRightInd w:val="0"/>
      <w:spacing w:line="360" w:lineRule="atLeast"/>
      <w:textAlignment w:val="baseline"/>
    </w:pPr>
    <w:rPr>
      <w:sz w:val="24"/>
    </w:rPr>
  </w:style>
  <w:style w:type="paragraph" w:styleId="16">
    <w:name w:val="footer"/>
    <w:basedOn w:val="1"/>
    <w:link w:val="46"/>
    <w:autoRedefine/>
    <w:qFormat/>
    <w:uiPriority w:val="99"/>
    <w:pPr>
      <w:tabs>
        <w:tab w:val="center" w:pos="4153"/>
        <w:tab w:val="right" w:pos="8306"/>
      </w:tabs>
      <w:snapToGrid w:val="0"/>
      <w:jc w:val="left"/>
    </w:pPr>
    <w:rPr>
      <w:sz w:val="18"/>
      <w:szCs w:val="18"/>
    </w:rPr>
  </w:style>
  <w:style w:type="paragraph" w:styleId="17">
    <w:name w:val="header"/>
    <w:basedOn w:val="1"/>
    <w:next w:val="10"/>
    <w:link w:val="44"/>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semiHidden/>
    <w:unhideWhenUsed/>
    <w:qFormat/>
    <w:uiPriority w:val="39"/>
    <w:pPr>
      <w:spacing w:before="120" w:after="120"/>
      <w:jc w:val="left"/>
    </w:pPr>
    <w:rPr>
      <w:rFonts w:cs="Times New Roman"/>
      <w:b/>
      <w:bCs/>
      <w:caps/>
      <w:sz w:val="20"/>
    </w:rPr>
  </w:style>
  <w:style w:type="paragraph" w:styleId="19">
    <w:name w:val="footnote text"/>
    <w:basedOn w:val="1"/>
    <w:link w:val="54"/>
    <w:semiHidden/>
    <w:unhideWhenUsed/>
    <w:qFormat/>
    <w:uiPriority w:val="0"/>
    <w:rPr>
      <w:rFonts w:cs="Times New Roman"/>
      <w:sz w:val="20"/>
    </w:rPr>
  </w:style>
  <w:style w:type="paragraph" w:styleId="20">
    <w:name w:val="toc 2"/>
    <w:basedOn w:val="1"/>
    <w:next w:val="1"/>
    <w:autoRedefine/>
    <w:semiHidden/>
    <w:unhideWhenUsed/>
    <w:qFormat/>
    <w:uiPriority w:val="0"/>
    <w:pPr>
      <w:ind w:left="420" w:leftChars="200"/>
    </w:pPr>
    <w:rPr>
      <w:rFonts w:cs="Times New Roman"/>
      <w:szCs w:val="24"/>
    </w:rPr>
  </w:style>
  <w:style w:type="paragraph" w:styleId="21">
    <w:name w:val="Body Text 2"/>
    <w:basedOn w:val="1"/>
    <w:link w:val="57"/>
    <w:semiHidden/>
    <w:unhideWhenUsed/>
    <w:qFormat/>
    <w:uiPriority w:val="0"/>
    <w:pPr>
      <w:spacing w:after="120" w:line="480" w:lineRule="auto"/>
    </w:pPr>
    <w:rPr>
      <w:rFonts w:cs="Times New Roman"/>
      <w:szCs w:val="24"/>
    </w:rPr>
  </w:style>
  <w:style w:type="paragraph" w:styleId="22">
    <w:name w:val="Normal (Web)"/>
    <w:basedOn w:val="1"/>
    <w:qFormat/>
    <w:uiPriority w:val="0"/>
    <w:pPr>
      <w:jc w:val="left"/>
    </w:pPr>
    <w:rPr>
      <w:rFonts w:ascii="Calibri" w:hAnsi="Calibri" w:cs="Times New Roman"/>
      <w:kern w:val="0"/>
      <w:sz w:val="24"/>
      <w:szCs w:val="22"/>
    </w:rPr>
  </w:style>
  <w:style w:type="paragraph" w:styleId="23">
    <w:name w:val="Title"/>
    <w:basedOn w:val="1"/>
    <w:next w:val="1"/>
    <w:link w:val="47"/>
    <w:qFormat/>
    <w:uiPriority w:val="0"/>
    <w:pPr>
      <w:spacing w:before="240" w:after="60"/>
      <w:jc w:val="center"/>
      <w:outlineLvl w:val="0"/>
    </w:pPr>
    <w:rPr>
      <w:rFonts w:asciiTheme="majorHAnsi" w:hAnsiTheme="majorHAnsi" w:cstheme="majorBidi"/>
      <w:b/>
      <w:bCs/>
      <w:sz w:val="32"/>
      <w:szCs w:val="32"/>
    </w:rPr>
  </w:style>
  <w:style w:type="paragraph" w:styleId="24">
    <w:name w:val="Body Text First Indent 2"/>
    <w:basedOn w:val="11"/>
    <w:next w:val="1"/>
    <w:link w:val="56"/>
    <w:semiHidden/>
    <w:unhideWhenUsed/>
    <w:qFormat/>
    <w:uiPriority w:val="99"/>
    <w:pPr>
      <w:ind w:firstLine="420" w:firstLineChars="200"/>
    </w:pPr>
  </w:style>
  <w:style w:type="table" w:styleId="26">
    <w:name w:val="Table Grid"/>
    <w:basedOn w:val="2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8">
    <w:name w:val="Strong"/>
    <w:qFormat/>
    <w:uiPriority w:val="0"/>
    <w:rPr>
      <w:rFonts w:ascii="宋体" w:hAnsi="宋体"/>
    </w:rPr>
  </w:style>
  <w:style w:type="character" w:styleId="29">
    <w:name w:val="page number"/>
    <w:basedOn w:val="27"/>
    <w:autoRedefine/>
    <w:qFormat/>
    <w:uiPriority w:val="0"/>
  </w:style>
  <w:style w:type="character" w:styleId="30">
    <w:name w:val="FollowedHyperlink"/>
    <w:basedOn w:val="27"/>
    <w:semiHidden/>
    <w:unhideWhenUsed/>
    <w:qFormat/>
    <w:uiPriority w:val="99"/>
    <w:rPr>
      <w:color w:val="800080" w:themeColor="followedHyperlink"/>
      <w:u w:val="single"/>
      <w14:textFill>
        <w14:solidFill>
          <w14:schemeClr w14:val="folHlink"/>
        </w14:solidFill>
      </w14:textFill>
    </w:rPr>
  </w:style>
  <w:style w:type="character" w:styleId="31">
    <w:name w:val="Emphasis"/>
    <w:basedOn w:val="27"/>
    <w:qFormat/>
    <w:uiPriority w:val="0"/>
    <w:rPr>
      <w:b/>
      <w:bCs/>
    </w:rPr>
  </w:style>
  <w:style w:type="character" w:styleId="32">
    <w:name w:val="HTML Definition"/>
    <w:basedOn w:val="27"/>
    <w:semiHidden/>
    <w:unhideWhenUsed/>
    <w:uiPriority w:val="99"/>
  </w:style>
  <w:style w:type="character" w:styleId="33">
    <w:name w:val="HTML Typewriter"/>
    <w:basedOn w:val="27"/>
    <w:semiHidden/>
    <w:unhideWhenUsed/>
    <w:uiPriority w:val="99"/>
    <w:rPr>
      <w:rFonts w:hint="default" w:ascii="monospace" w:hAnsi="monospace" w:eastAsia="monospace" w:cs="monospace"/>
      <w:sz w:val="20"/>
    </w:rPr>
  </w:style>
  <w:style w:type="character" w:styleId="34">
    <w:name w:val="HTML Acronym"/>
    <w:basedOn w:val="27"/>
    <w:semiHidden/>
    <w:unhideWhenUsed/>
    <w:uiPriority w:val="99"/>
    <w:rPr>
      <w:bdr w:val="none" w:color="auto" w:sz="0" w:space="0"/>
    </w:rPr>
  </w:style>
  <w:style w:type="character" w:styleId="35">
    <w:name w:val="HTML Variable"/>
    <w:basedOn w:val="27"/>
    <w:semiHidden/>
    <w:unhideWhenUsed/>
    <w:uiPriority w:val="99"/>
  </w:style>
  <w:style w:type="character" w:styleId="36">
    <w:name w:val="Hyperlink"/>
    <w:basedOn w:val="27"/>
    <w:semiHidden/>
    <w:unhideWhenUsed/>
    <w:qFormat/>
    <w:uiPriority w:val="99"/>
    <w:rPr>
      <w:color w:val="333333"/>
      <w:u w:val="none"/>
    </w:rPr>
  </w:style>
  <w:style w:type="character" w:styleId="37">
    <w:name w:val="HTML Code"/>
    <w:basedOn w:val="27"/>
    <w:semiHidden/>
    <w:unhideWhenUsed/>
    <w:uiPriority w:val="99"/>
    <w:rPr>
      <w:rFonts w:hint="default" w:ascii="monospace" w:hAnsi="monospace" w:eastAsia="monospace" w:cs="monospace"/>
      <w:sz w:val="20"/>
      <w:bdr w:val="none" w:color="auto" w:sz="0" w:space="0"/>
    </w:rPr>
  </w:style>
  <w:style w:type="character" w:styleId="38">
    <w:name w:val="HTML Cite"/>
    <w:basedOn w:val="27"/>
    <w:semiHidden/>
    <w:unhideWhenUsed/>
    <w:uiPriority w:val="99"/>
  </w:style>
  <w:style w:type="character" w:styleId="39">
    <w:name w:val="footnote reference"/>
    <w:semiHidden/>
    <w:unhideWhenUsed/>
    <w:qFormat/>
    <w:uiPriority w:val="0"/>
    <w:rPr>
      <w:vertAlign w:val="superscript"/>
    </w:rPr>
  </w:style>
  <w:style w:type="character" w:styleId="40">
    <w:name w:val="HTML Keyboard"/>
    <w:basedOn w:val="27"/>
    <w:semiHidden/>
    <w:unhideWhenUsed/>
    <w:uiPriority w:val="99"/>
    <w:rPr>
      <w:rFonts w:ascii="monospace" w:hAnsi="monospace" w:eastAsia="monospace" w:cs="monospace"/>
      <w:sz w:val="20"/>
    </w:rPr>
  </w:style>
  <w:style w:type="character" w:styleId="41">
    <w:name w:val="HTML Sample"/>
    <w:basedOn w:val="27"/>
    <w:semiHidden/>
    <w:unhideWhenUsed/>
    <w:uiPriority w:val="99"/>
    <w:rPr>
      <w:rFonts w:hint="default" w:ascii="monospace" w:hAnsi="monospace" w:eastAsia="monospace" w:cs="monospace"/>
    </w:rPr>
  </w:style>
  <w:style w:type="paragraph" w:customStyle="1" w:styleId="42">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43">
    <w:name w:val="文档结构图 字符"/>
    <w:basedOn w:val="27"/>
    <w:link w:val="8"/>
    <w:semiHidden/>
    <w:qFormat/>
    <w:uiPriority w:val="99"/>
    <w:rPr>
      <w:rFonts w:ascii="宋体" w:hAnsiTheme="minorHAnsi" w:cstheme="minorBidi"/>
      <w:kern w:val="2"/>
      <w:sz w:val="18"/>
      <w:szCs w:val="18"/>
    </w:rPr>
  </w:style>
  <w:style w:type="character" w:customStyle="1" w:styleId="44">
    <w:name w:val="页眉 字符"/>
    <w:basedOn w:val="27"/>
    <w:link w:val="17"/>
    <w:qFormat/>
    <w:uiPriority w:val="0"/>
    <w:rPr>
      <w:rFonts w:asciiTheme="minorHAnsi" w:hAnsiTheme="minorHAnsi" w:eastAsiaTheme="minorEastAsia" w:cstheme="minorBidi"/>
      <w:kern w:val="2"/>
      <w:sz w:val="18"/>
      <w:szCs w:val="18"/>
    </w:rPr>
  </w:style>
  <w:style w:type="character" w:customStyle="1" w:styleId="45">
    <w:name w:val="正文文本 字符"/>
    <w:basedOn w:val="27"/>
    <w:link w:val="10"/>
    <w:qFormat/>
    <w:uiPriority w:val="0"/>
    <w:rPr>
      <w:rFonts w:ascii="仿宋" w:hAnsi="仿宋" w:eastAsia="仿宋" w:cstheme="minorBidi"/>
      <w:kern w:val="2"/>
      <w:sz w:val="28"/>
      <w:szCs w:val="28"/>
    </w:rPr>
  </w:style>
  <w:style w:type="character" w:customStyle="1" w:styleId="46">
    <w:name w:val="页脚 字符"/>
    <w:basedOn w:val="27"/>
    <w:link w:val="16"/>
    <w:qFormat/>
    <w:uiPriority w:val="99"/>
    <w:rPr>
      <w:rFonts w:asciiTheme="minorHAnsi" w:hAnsiTheme="minorHAnsi" w:eastAsiaTheme="minorEastAsia" w:cstheme="minorBidi"/>
      <w:kern w:val="2"/>
      <w:sz w:val="18"/>
      <w:szCs w:val="18"/>
    </w:rPr>
  </w:style>
  <w:style w:type="character" w:customStyle="1" w:styleId="47">
    <w:name w:val="标题 字符"/>
    <w:basedOn w:val="27"/>
    <w:link w:val="23"/>
    <w:qFormat/>
    <w:uiPriority w:val="0"/>
    <w:rPr>
      <w:rFonts w:asciiTheme="majorHAnsi" w:hAnsiTheme="majorHAnsi" w:cstheme="majorBidi"/>
      <w:b/>
      <w:bCs/>
      <w:kern w:val="2"/>
      <w:sz w:val="32"/>
      <w:szCs w:val="32"/>
    </w:rPr>
  </w:style>
  <w:style w:type="character" w:customStyle="1" w:styleId="48">
    <w:name w:val="日期 字符"/>
    <w:basedOn w:val="27"/>
    <w:link w:val="15"/>
    <w:qFormat/>
    <w:uiPriority w:val="0"/>
    <w:rPr>
      <w:rFonts w:asciiTheme="minorHAnsi" w:hAnsiTheme="minorHAnsi" w:eastAsiaTheme="minorEastAsia" w:cstheme="minorBidi"/>
      <w:kern w:val="2"/>
      <w:sz w:val="24"/>
    </w:rPr>
  </w:style>
  <w:style w:type="character" w:customStyle="1" w:styleId="49">
    <w:name w:val="Subtle Emphasis"/>
    <w:basedOn w:val="27"/>
    <w:qFormat/>
    <w:uiPriority w:val="19"/>
    <w:rPr>
      <w:i/>
      <w:iCs/>
      <w:color w:val="808080" w:themeColor="text1" w:themeTint="80"/>
      <w14:textFill>
        <w14:solidFill>
          <w14:schemeClr w14:val="tx1">
            <w14:lumMod w14:val="50000"/>
            <w14:lumOff w14:val="50000"/>
          </w14:schemeClr>
        </w14:solidFill>
      </w14:textFill>
    </w:rPr>
  </w:style>
  <w:style w:type="character" w:customStyle="1" w:styleId="50">
    <w:name w:val="标题 1 字符"/>
    <w:basedOn w:val="27"/>
    <w:link w:val="2"/>
    <w:qFormat/>
    <w:uiPriority w:val="0"/>
    <w:rPr>
      <w:b/>
      <w:bCs/>
      <w:kern w:val="44"/>
      <w:sz w:val="44"/>
      <w:szCs w:val="44"/>
    </w:rPr>
  </w:style>
  <w:style w:type="character" w:customStyle="1" w:styleId="51">
    <w:name w:val="标题 2 字符"/>
    <w:link w:val="3"/>
    <w:qFormat/>
    <w:uiPriority w:val="0"/>
    <w:rPr>
      <w:rFonts w:ascii="Cambria" w:hAnsi="Cambria"/>
      <w:b/>
      <w:bCs/>
      <w:kern w:val="2"/>
      <w:sz w:val="32"/>
      <w:szCs w:val="32"/>
    </w:rPr>
  </w:style>
  <w:style w:type="character" w:customStyle="1" w:styleId="52">
    <w:name w:val="标题 3 字符"/>
    <w:link w:val="4"/>
    <w:qFormat/>
    <w:uiPriority w:val="0"/>
    <w:rPr>
      <w:b/>
      <w:bCs/>
      <w:kern w:val="2"/>
      <w:sz w:val="32"/>
      <w:szCs w:val="32"/>
    </w:rPr>
  </w:style>
  <w:style w:type="character" w:customStyle="1" w:styleId="53">
    <w:name w:val="标题 4 字符"/>
    <w:basedOn w:val="27"/>
    <w:link w:val="5"/>
    <w:qFormat/>
    <w:uiPriority w:val="0"/>
    <w:rPr>
      <w:rFonts w:ascii="Cambria" w:hAnsi="Cambria"/>
      <w:b/>
      <w:bCs/>
      <w:kern w:val="2"/>
      <w:sz w:val="28"/>
      <w:szCs w:val="28"/>
    </w:rPr>
  </w:style>
  <w:style w:type="character" w:customStyle="1" w:styleId="54">
    <w:name w:val="脚注文本 字符"/>
    <w:basedOn w:val="27"/>
    <w:link w:val="19"/>
    <w:semiHidden/>
    <w:qFormat/>
    <w:uiPriority w:val="0"/>
    <w:rPr>
      <w:kern w:val="2"/>
    </w:rPr>
  </w:style>
  <w:style w:type="character" w:customStyle="1" w:styleId="55">
    <w:name w:val="正文文本缩进 字符"/>
    <w:basedOn w:val="27"/>
    <w:link w:val="11"/>
    <w:semiHidden/>
    <w:qFormat/>
    <w:uiPriority w:val="99"/>
    <w:rPr>
      <w:kern w:val="2"/>
      <w:sz w:val="21"/>
      <w:szCs w:val="24"/>
    </w:rPr>
  </w:style>
  <w:style w:type="character" w:customStyle="1" w:styleId="56">
    <w:name w:val="正文文本首行缩进 2 字符"/>
    <w:basedOn w:val="55"/>
    <w:link w:val="24"/>
    <w:semiHidden/>
    <w:qFormat/>
    <w:uiPriority w:val="99"/>
    <w:rPr>
      <w:kern w:val="2"/>
      <w:sz w:val="21"/>
      <w:szCs w:val="24"/>
    </w:rPr>
  </w:style>
  <w:style w:type="character" w:customStyle="1" w:styleId="57">
    <w:name w:val="正文文本 2 字符"/>
    <w:basedOn w:val="27"/>
    <w:link w:val="21"/>
    <w:semiHidden/>
    <w:qFormat/>
    <w:uiPriority w:val="0"/>
    <w:rPr>
      <w:kern w:val="2"/>
      <w:sz w:val="21"/>
      <w:szCs w:val="24"/>
    </w:rPr>
  </w:style>
  <w:style w:type="character" w:customStyle="1" w:styleId="58">
    <w:name w:val="正文文本 3 字符"/>
    <w:basedOn w:val="27"/>
    <w:link w:val="9"/>
    <w:qFormat/>
    <w:uiPriority w:val="0"/>
    <w:rPr>
      <w:rFonts w:ascii="宋体"/>
      <w:kern w:val="2"/>
      <w:sz w:val="24"/>
    </w:rPr>
  </w:style>
  <w:style w:type="character" w:customStyle="1" w:styleId="59">
    <w:name w:val="纯文本 字符"/>
    <w:basedOn w:val="27"/>
    <w:link w:val="14"/>
    <w:qFormat/>
    <w:uiPriority w:val="99"/>
    <w:rPr>
      <w:rFonts w:ascii="宋体" w:hAnsi="Courier New"/>
      <w:sz w:val="21"/>
      <w:szCs w:val="24"/>
    </w:rPr>
  </w:style>
  <w:style w:type="paragraph" w:customStyle="1" w:styleId="60">
    <w:name w:val="目录 71"/>
    <w:basedOn w:val="1"/>
    <w:next w:val="1"/>
    <w:qFormat/>
    <w:uiPriority w:val="0"/>
    <w:pPr>
      <w:ind w:left="2520"/>
    </w:pPr>
    <w:rPr>
      <w:rFonts w:ascii="Calibri" w:cs="Times New Roman"/>
      <w:szCs w:val="24"/>
    </w:rPr>
  </w:style>
  <w:style w:type="paragraph" w:customStyle="1" w:styleId="61">
    <w:name w:val="_Style 10"/>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62">
    <w:name w:val="p0"/>
    <w:basedOn w:val="1"/>
    <w:qFormat/>
    <w:uiPriority w:val="0"/>
    <w:pPr>
      <w:widowControl/>
    </w:pPr>
    <w:rPr>
      <w:rFonts w:cs="Times New Roman"/>
      <w:kern w:val="0"/>
      <w:szCs w:val="21"/>
    </w:rPr>
  </w:style>
  <w:style w:type="paragraph" w:customStyle="1" w:styleId="63">
    <w:name w:val="Table Paragraph"/>
    <w:basedOn w:val="1"/>
    <w:qFormat/>
    <w:uiPriority w:val="1"/>
    <w:rPr>
      <w:rFonts w:ascii="宋体" w:hAnsi="宋体" w:cs="宋体"/>
      <w:szCs w:val="24"/>
      <w:lang w:val="zh-CN" w:bidi="zh-CN"/>
    </w:rPr>
  </w:style>
  <w:style w:type="paragraph" w:customStyle="1" w:styleId="64">
    <w:name w:val="节标题"/>
    <w:basedOn w:val="1"/>
    <w:next w:val="1"/>
    <w:qFormat/>
    <w:uiPriority w:val="0"/>
    <w:pPr>
      <w:widowControl/>
      <w:spacing w:line="289" w:lineRule="atLeast"/>
      <w:jc w:val="center"/>
    </w:pPr>
    <w:rPr>
      <w:rFonts w:cs="Times New Roman"/>
      <w:color w:val="000000"/>
      <w:kern w:val="0"/>
      <w:sz w:val="28"/>
      <w:u w:color="000000"/>
    </w:rPr>
  </w:style>
  <w:style w:type="paragraph" w:customStyle="1" w:styleId="65">
    <w:name w:val="列出段落1"/>
    <w:basedOn w:val="1"/>
    <w:qFormat/>
    <w:uiPriority w:val="1"/>
    <w:pPr>
      <w:ind w:left="354" w:firstLine="420"/>
    </w:pPr>
    <w:rPr>
      <w:rFonts w:ascii="宋体" w:hAnsi="宋体" w:cs="宋体"/>
      <w:szCs w:val="24"/>
      <w:lang w:val="zh-CN" w:bidi="zh-CN"/>
    </w:rPr>
  </w:style>
  <w:style w:type="paragraph" w:customStyle="1" w:styleId="66">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
    <w:name w:val="列出段落11"/>
    <w:basedOn w:val="1"/>
    <w:qFormat/>
    <w:uiPriority w:val="34"/>
    <w:pPr>
      <w:ind w:firstLine="200" w:firstLineChars="200"/>
    </w:pPr>
    <w:rPr>
      <w:rFonts w:cs="Times New Roman"/>
      <w:szCs w:val="24"/>
    </w:rPr>
  </w:style>
  <w:style w:type="paragraph" w:customStyle="1" w:styleId="68">
    <w:name w:val="Table Text"/>
    <w:basedOn w:val="1"/>
    <w:semiHidden/>
    <w:qFormat/>
    <w:uiPriority w:val="0"/>
    <w:rPr>
      <w:rFonts w:ascii="宋体" w:hAnsi="宋体" w:cs="宋体"/>
      <w:szCs w:val="21"/>
      <w:lang w:eastAsia="en-US"/>
    </w:rPr>
  </w:style>
  <w:style w:type="table" w:customStyle="1" w:styleId="69">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3003d884-4ec2-47ad-82ea-27822e6aa286</errorID>
      <errorWord>:</errorWord>
      <group>L1_Format</group>
      <groupName>格式问题</groupName>
      <ability>L2_HalfPunc</ability>
      <abilityName>全半角检查</abilityName>
      <candidateList>
        <item>：</item>
      </candidateList>
      <explain>文本全半角错误。</explain>
      <paraID>4C78F700</paraID>
      <start>3</start>
      <end>4</end>
      <status>unmodified</status>
      <modifiedWord/>
      <trackRevisions>false</trackRevisions>
    </reviewItem>
    <reviewItem>
      <errorID>e091d5b8-e73f-4593-9c20-a8fa2f5d98cb</errorID>
      <errorWord>:</errorWord>
      <group>L1_Format</group>
      <groupName>格式问题</groupName>
      <ability>L2_HalfPunc</ability>
      <abilityName>全半角检查</abilityName>
      <candidateList>
        <item>：</item>
      </candidateList>
      <explain>文本全半角错误。</explain>
      <paraID>2CC0D32A</paraID>
      <start>6</start>
      <end>7</end>
      <status>unmodified</status>
      <modifiedWord/>
      <trackRevisions>false</trackRevisions>
    </reviewItem>
    <reviewItem>
      <errorID>25e7ba12-cd11-44a8-9536-cddbad17407d</errorID>
      <errorWord>:</errorWord>
      <group>L1_Format</group>
      <groupName>格式问题</groupName>
      <ability>L2_HalfPunc</ability>
      <abilityName>全半角检查</abilityName>
      <candidateList>
        <item>：</item>
      </candidateList>
      <explain>文本全半角错误。</explain>
      <paraID>5CFE9ED3</paraID>
      <start>4</start>
      <end>5</end>
      <status>unmodified</status>
      <modifiedWord/>
      <trackRevisions>false</trackRevisions>
    </reviewItem>
    <reviewItem>
      <errorID>33dac62e-05ef-424c-ba84-7ee374b3aa31</errorID>
      <errorWord>(</errorWord>
      <group>L1_Format</group>
      <groupName>格式问题</groupName>
      <ability>L2_HalfPunc</ability>
      <abilityName>全半角检查</abilityName>
      <candidateList>
        <item>（</item>
      </candidateList>
      <explain>文本全半角错误。</explain>
      <paraID>2C75E9FC</paraID>
      <start>26</start>
      <end>27</end>
      <status>unmodified</status>
      <modifiedWord/>
      <trackRevisions>false</trackRevisions>
    </reviewItem>
    <reviewItem>
      <errorID>69f7fa75-3ed0-4488-ad71-cf705e46b707</errorID>
      <errorWord>)</errorWord>
      <group>L1_Format</group>
      <groupName>格式问题</groupName>
      <ability>L2_HalfPunc</ability>
      <abilityName>全半角检查</abilityName>
      <candidateList>
        <item>）</item>
      </candidateList>
      <explain>文本全半角错误。</explain>
      <paraID>2C75E9FC</paraID>
      <start>42</start>
      <end>43</end>
      <status>unmodified</status>
      <modifiedWord/>
      <trackRevisions>false</trackRevisions>
    </reviewItem>
    <reviewItem>
      <errorID>19fe353d-8f8a-4702-9c54-31d8123c5c16</errorID>
      <errorWord>报</errorWord>
      <group>L1_Word</group>
      <groupName>字词问题</groupName>
      <ability>L2_Typo</ability>
      <abilityName>字词错误</abilityName>
      <candidateList>
        <item>报告</item>
      </candidateList>
      <explain>❶〈动〉把事情或意见正式告诉上级或群众：你应当把事情的经过向领导～｜大会主席～了开会宗旨。❷〈名〉用口头或书面的形式向上级或群众所做的正式陈述：总结～｜动员～。</explain>
      <paraID>6A8A9AC4</paraID>
      <start>39</start>
      <end>40</end>
      <status>unmodified</status>
      <modifiedWord/>
      <trackRevisions>false</trackRevisions>
    </reviewItem>
    <reviewItem>
      <errorID>234fcb7e-ec0d-4f08-8056-7450dc147b60</errorID>
      <errorWord>,</errorWord>
      <group>L1_Format</group>
      <groupName>格式问题</groupName>
      <ability>L2_HalfPunc</ability>
      <abilityName>全半角检查</abilityName>
      <candidateList>
        <item>，</item>
      </candidateList>
      <explain>文本全半角错误。</explain>
      <paraID>3519B190</paraID>
      <start>19</start>
      <end>20</end>
      <status>unmodified</status>
      <modifiedWord/>
      <trackRevisions>false</trackRevisions>
    </reviewItem>
    <reviewItem>
      <errorID>c8bc9681-7b41-442a-ba77-f54422d85066</errorID>
      <errorWord>(</errorWord>
      <group>L1_Format</group>
      <groupName>格式问题</groupName>
      <ability>L2_HalfPunc</ability>
      <abilityName>全半角检查</abilityName>
      <candidateList>
        <item>（</item>
      </candidateList>
      <explain>文本全半角错误。</explain>
      <paraID>24901C30</paraID>
      <start>15</start>
      <end>16</end>
      <status>unmodified</status>
      <modifiedWord/>
      <trackRevisions>false</trackRevisions>
    </reviewItem>
    <reviewItem>
      <errorID>be7786a1-d650-49fe-85c8-4c8898f294ed</errorID>
      <errorWord>)</errorWord>
      <group>L1_Format</group>
      <groupName>格式问题</groupName>
      <ability>L2_HalfPunc</ability>
      <abilityName>全半角检查</abilityName>
      <candidateList>
        <item>）</item>
      </candidateList>
      <explain>文本全半角错误。</explain>
      <paraID>24901C30</paraID>
      <start>20</start>
      <end>21</end>
      <status>unmodified</status>
      <modifiedWord/>
      <trackRevisions>false</trackRevisions>
    </reviewItem>
    <reviewItem>
      <errorID>bc65eb55-0c66-47ec-9f98-39c073040215</errorID>
      <errorWord>投标人</errorWord>
      <group>L1_AI</group>
      <groupName>深度校对</groupName>
      <ability>L2_AI_Punc</ability>
      <abilityName>标点纠错</abilityName>
      <candidateList>
        <item>。投标人</item>
      </candidateList>
      <explain/>
      <paraID>7EF67A45</paraID>
      <start>14</start>
      <end>17</end>
      <status>unmodified</status>
      <modifiedWord/>
      <trackRevisions>false</trackRevisions>
    </reviewItem>
    <reviewItem>
      <errorID>45cd3a69-1e2a-4f54-9826-bcf471ec6f6f</errorID>
      <errorWord>（</errorWord>
      <group>L1_Format</group>
      <groupName>格式问题</groupName>
      <ability>L2_HalfPunc</ability>
      <abilityName>全半角检查</abilityName>
      <candidateList>
        <item>(</item>
      </candidateList>
      <explain>文本全半角错误。</explain>
      <paraID>24557C0D</paraID>
      <start>0</start>
      <end>1</end>
      <status>unmodified</status>
      <modifiedWord/>
      <trackRevisions>false</trackRevisions>
    </reviewItem>
    <reviewItem>
      <errorID>652e8d6b-23be-461d-a99a-c361530cf094</errorID>
      <errorWord>(</errorWord>
      <group>L1_Format</group>
      <groupName>格式问题</groupName>
      <ability>L2_HalfPunc</ability>
      <abilityName>全半角检查</abilityName>
      <candidateList>
        <item>（</item>
      </candidateList>
      <explain>文本全半角错误。</explain>
      <paraID> 7A17AAB</paraID>
      <start>15</start>
      <end>16</end>
      <status>unmodified</status>
      <modifiedWord/>
      <trackRevisions>false</trackRevisions>
    </reviewItem>
    <reviewItem>
      <errorID>29e3af8b-509e-46af-843a-5e12224b9d5d</errorID>
      <errorWord>)</errorWord>
      <group>L1_Format</group>
      <groupName>格式问题</groupName>
      <ability>L2_HalfPunc</ability>
      <abilityName>全半角检查</abilityName>
      <candidateList>
        <item>）</item>
      </candidateList>
      <explain>文本全半角错误。</explain>
      <paraID> 7A17AAB</paraID>
      <start>20</start>
      <end>21</end>
      <status>unmodified</status>
      <modifiedWord/>
      <trackRevisions>false</trackRevisions>
    </reviewItem>
    <reviewItem>
      <errorID>2fcb307e-f507-4fac-ab1c-59683a708cb0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4384CD6D</paraID>
      <start>0</start>
      <end>2</end>
      <status>unmodified</status>
      <modifiedWord/>
      <trackRevisions>false</trackRevisions>
    </reviewItem>
    <reviewItem>
      <errorID>ed16d68f-f0eb-4c8f-b018-0c310503e62d</errorID>
      <errorWord>定期的</errorWord>
      <group>L1_AI</group>
      <groupName>深度校对</groupName>
      <ability>L2_AI_Word</ability>
      <abilityName>字词纠错</abilityName>
      <candidateList>
        <item>定期</item>
      </candidateList>
      <explain/>
      <paraID>57A40AC3</paraID>
      <start>3</start>
      <end>6</end>
      <status>unmodified</status>
      <modifiedWord/>
      <trackRevisions>false</trackRevisions>
    </reviewItem>
    <reviewItem>
      <errorID>7c0579ec-cac4-434e-934d-a651d0cd0c29</errorID>
      <errorWord>不定期的</errorWord>
      <group>L1_AI</group>
      <groupName>深度校对</groupName>
      <ability>L2_AI_Word</ability>
      <abilityName>字词纠错</abilityName>
      <candidateList>
        <item>不定期</item>
      </candidateList>
      <explain/>
      <paraID>57A40AC3</paraID>
      <start>7</start>
      <end>11</end>
      <status>unmodified</status>
      <modifiedWord/>
      <trackRevisions>false</trackRevisions>
    </reviewItem>
    <reviewItem>
      <errorID>11db8e87-2049-498f-8df0-dfa3ce66b5ce</errorID>
      <errorWord>：/</errorWord>
      <group>L1_Punc</group>
      <groupName>标点问题</groupName>
      <ability>L2_Punc</ability>
      <abilityName>标点符号检查</abilityName>
      <candidateList>
        <item>：</item>
      </candidateList>
      <explain/>
      <paraID>31ACFD99</paraID>
      <start>2</start>
      <end>4</end>
      <status>unmodified</status>
      <modifiedWord/>
      <trackRevisions>false</trackRevisions>
    </reviewItem>
    <reviewItem>
      <errorID>bf72e444-0459-4858-99e6-6dff7884eb0a</errorID>
      <errorWord>：/</errorWord>
      <group>L1_Punc</group>
      <groupName>标点问题</groupName>
      <ability>L2_Punc</ability>
      <abilityName>标点符号检查</abilityName>
      <candidateList>
        <item>：</item>
      </candidateList>
      <explain/>
      <paraID>54899273</paraID>
      <start>2</start>
      <end>4</end>
      <status>unmodified</status>
      <modifiedWord/>
      <trackRevisions>false</trackRevisions>
    </reviewItem>
    <reviewItem>
      <errorID>a11c018f-a101-481b-ae50-815e5a670829</errorID>
      <errorWord>登陆</errorWord>
      <group>L1_Word</group>
      <groupName>字词问题</groupName>
      <ability>L2_Typo</ability>
      <abilityName>字词错误</abilityName>
      <candidateList>
        <item>登录</item>
      </candidateList>
      <explain>存在发音相同字词的误用。</explain>
      <paraID>751B7EEE</paraID>
      <start>18</start>
      <end>20</end>
      <status>modified</status>
      <modifiedWord>登录</modifiedWord>
      <trackRevisions>false</trackRevisions>
    </reviewItem>
    <reviewItem>
      <errorID>b817453f-d418-4380-bf00-f017aa5a68c6</errorID>
      <errorWord>位</errorWord>
      <group>L1_Word</group>
      <groupName>字词问题</groupName>
      <ability>L2_Typo</ability>
      <abilityName>字词错误</abilityName>
      <candidateList>
        <item>位公</item>
      </candidateList>
      <explain/>
      <paraID>3AE160A1</paraID>
      <start>39</start>
      <end>41</end>
      <status>modified</status>
      <modifiedWord>位公</modifiedWord>
      <trackRevisions>false</trackRevisions>
    </reviewItem>
    <reviewItem>
      <errorID>19e157ae-26c5-400b-b80a-87e5fb0ab435</errorID>
      <errorWord>：/。</errorWord>
      <group>L1_Punc</group>
      <groupName>标点问题</groupName>
      <ability>L2_Punc</ability>
      <abilityName>标点符号检查</abilityName>
      <candidateList>
        <item>：</item>
      </candidateList>
      <explain/>
      <paraID>43E0D638</paraID>
      <start>7</start>
      <end>10</end>
      <status>unmodified</status>
      <modifiedWord/>
      <trackRevisions>false</trackRevisions>
    </reviewItem>
    <reviewItem>
      <errorID>aed51057-d589-44d9-b20f-908cc5ba4ce7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886179F</paraID>
      <start>0</start>
      <end>2</end>
      <status>unmodified</status>
      <modifiedWord/>
      <trackRevisions>false</trackRevisions>
    </reviewItem>
    <reviewItem>
      <errorID>04492de8-f3cc-463b-b2a9-891ee39abd69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1B44D92C</paraID>
      <start>0</start>
      <end>2</end>
      <status>unmodified</status>
      <modifiedWord/>
      <trackRevisions>false</trackRevisions>
    </reviewItem>
    <reviewItem>
      <errorID>f7783fca-b634-4fcb-a0b1-cb3084d57cd8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16B1C1EE</paraID>
      <start>0</start>
      <end>2</end>
      <status>unmodified</status>
      <modifiedWord/>
      <trackRevisions>false</trackRevisions>
    </reviewItem>
    <reviewItem>
      <errorID>fd6e6a98-83c6-4ddf-ba84-cc9191d6b1be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3C6973BE</paraID>
      <start>0</start>
      <end>2</end>
      <status>unmodified</status>
      <modifiedWord/>
      <trackRevisions>false</trackRevisions>
    </reviewItem>
    <reviewItem>
      <errorID>b798d656-e0c5-4e2a-833b-5bf4d14f14cd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348A2747</paraID>
      <start>0</start>
      <end>2</end>
      <status>unmodified</status>
      <modifiedWord/>
      <trackRevisions>false</trackRevisions>
    </reviewItem>
    <reviewItem>
      <errorID>51f3684d-ddc1-4778-9527-7dd3e9d0c363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33118DCF</paraID>
      <start>0</start>
      <end>2</end>
      <status>unmodified</status>
      <modifiedWord/>
      <trackRevisions>false</trackRevisions>
    </reviewItem>
    <reviewItem>
      <errorID>5d6fcc60-7299-46dd-84e0-d5d98bed7646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437A0ED2</paraID>
      <start>0</start>
      <end>2</end>
      <status>unmodified</status>
      <modifiedWord/>
      <trackRevisions>false</trackRevisions>
    </reviewItem>
    <reviewItem>
      <errorID>eec9dacb-c92a-4475-9563-c019873d0b39</errorID>
      <errorWord>法律、法规</errorWord>
      <group>L1_Word</group>
      <groupName>字词问题</groupName>
      <ability>L2_Typo</ability>
      <abilityName>字词错误</abilityName>
      <candidateList>
        <item>法律法规</item>
      </candidateList>
      <explain/>
      <paraID>35D48157</paraID>
      <start>42</start>
      <end>46</end>
      <status>modified</status>
      <modifiedWord>法律法规</modifiedWord>
      <trackRevisions>false</trackRevisions>
    </reviewItem>
    <reviewItem>
      <errorID>c2267e31-a697-466a-8cfa-0db309274543</errorID>
      <errorWord>操作的</errorWord>
      <group>L1_Word</group>
      <groupName>字词问题</groupName>
      <ability>L2_Typo</ability>
      <abilityName>字词错误</abilityName>
      <candidateList>
        <item>操作</item>
      </candidateList>
      <explain>〈动〉按照一定的程序和技术要求进行活动或工作：～方法｜～规程。</explain>
      <paraID>17DB013B</paraID>
      <start>28</start>
      <end>30</end>
      <status>modified</status>
      <modifiedWord>操作</modifiedWord>
      <trackRevisions>false</trackRevisions>
    </reviewItem>
    <reviewItem>
      <errorID>3c585199-1ec0-4880-8711-5e1ddfa18edf</errorID>
      <errorWord>，</errorWord>
      <group>L1_Word</group>
      <groupName>字词问题</groupName>
      <ability>L2_Typo</ability>
      <abilityName>字词错误</abilityName>
      <candidateList>
        <item>，由</item>
      </candidateList>
      <explain/>
      <paraID>76917488</paraID>
      <start>13</start>
      <end>15</end>
      <status>modified</status>
      <modifiedWord>，由</modifiedWord>
      <trackRevisions>false</trackRevisions>
    </reviewItem>
    <reviewItem>
      <errorID>f4553386-1040-4ffc-af03-5363e4a899b6</errorID>
      <errorWord>法律、法规</errorWord>
      <group>L1_Word</group>
      <groupName>字词问题</groupName>
      <ability>L2_Typo</ability>
      <abilityName>字词错误</abilityName>
      <candidateList>
        <item>法律法规</item>
      </candidateList>
      <explain/>
      <paraID>55202503</paraID>
      <start>3</start>
      <end>7</end>
      <status>modified</status>
      <modifiedWord>法律法规</modifiedWord>
      <trackRevisions>false</trackRevisions>
    </reviewItem>
    <reviewItem>
      <errorID>ed3687df-a8d3-47f9-9bba-b2e7302eb7d3</errorID>
      <errorWord>不得泄漏</errorWord>
      <group>L1_Word</group>
      <groupName>字词问题</groupName>
      <ability>L2_Alias</ability>
      <abilityName>也作/曾用词</abilityName>
      <candidateList>
        <item>不得泄露</item>
      </candidateList>
      <explain>词汇[不得泄漏]为不规范表述或旧称，其规范书面表述为[不得泄露]。</explain>
      <paraID>306A5DD0</paraID>
      <start>3</start>
      <end>7</end>
      <status>modified</status>
      <modifiedWord>不得泄露</modifiedWord>
      <trackRevisions>false</trackRevisions>
    </reviewItem>
    <reviewItem>
      <errorID>b2985964-7e42-4b4e-ba7d-fb1bba6ea4e1</errorID>
      <errorWord>透漏</errorWord>
      <group>L1_Word</group>
      <groupName>字词问题</groupName>
      <ability>L2_Typo</ability>
      <abilityName>字词错误</abilityName>
      <candidateList>
        <item>透露</item>
      </candidateList>
      <explain>〈动〉泄露或显露（消息、意思等）：～风声｜真相～出来了。</explain>
      <paraID>10319CE8</paraID>
      <start>28</start>
      <end>30</end>
      <status>modified</status>
      <modifiedWord>透露</modifiedWord>
      <trackRevisions>false</trackRevisions>
    </reviewItem>
    <reviewItem>
      <errorID>aa369430-dced-4fd6-97ac-81b157d2e076</errorID>
      <errorWord>透漏</errorWord>
      <group>L1_Word</group>
      <groupName>字词问题</groupName>
      <ability>L2_Typo</ability>
      <abilityName>字词错误</abilityName>
      <candidateList>
        <item>透露</item>
      </candidateList>
      <explain>存在发音相同字词的误用。</explain>
      <paraID>43B8898F</paraID>
      <start>33</start>
      <end>35</end>
      <status>modified</status>
      <modifiedWord>透露</modifiedWord>
      <trackRevisions>false</trackRevisions>
    </reviewItem>
    <reviewItem>
      <errorID>4dac9a80-f7c9-4385-8d70-245a4930a3cb</errorID>
      <errorWord>及</errorWord>
      <group>L1_Word</group>
      <groupName>字词问题</groupName>
      <ability>L2_Typo</ability>
      <abilityName>字词错误</abilityName>
      <candidateList>
        <item>及与</item>
      </candidateList>
      <explain/>
      <paraID>43B8898F</paraID>
      <start>58</start>
      <end>60</end>
      <status>modified</status>
      <modifiedWord>及与</modifiedWord>
      <trackRevisions>false</trackRevisions>
    </reviewItem>
    <reviewItem>
      <errorID>63a85ce7-9a46-4848-8cda-c7c46a42848b</errorID>
      <errorWord>法律、法规</errorWord>
      <group>L1_Word</group>
      <groupName>字词问题</groupName>
      <ability>L2_Typo</ability>
      <abilityName>字词错误</abilityName>
      <candidateList>
        <item>法律法规</item>
      </candidateList>
      <explain/>
      <paraID>2F5F19F7</paraID>
      <start>27</start>
      <end>31</end>
      <status>modified</status>
      <modifiedWord>法律法规</modifiedWord>
      <trackRevisions>false</trackRevisions>
    </reviewItem>
    <reviewItem>
      <errorID>d86c08c9-c4f8-4ca7-9ad8-729d5e2cdae5</errorID>
      <errorWord>(</errorWord>
      <group>L1_Format</group>
      <groupName>格式问题</groupName>
      <ability>L2_HalfPunc</ability>
      <abilityName>全半角检查</abilityName>
      <candidateList>
        <item>（</item>
      </candidateList>
      <explain>文本全半角错误。</explain>
      <paraID>6717F84B</paraID>
      <start>17</start>
      <end>18</end>
      <status>unmodified</status>
      <modifiedWord/>
      <trackRevisions>false</trackRevisions>
    </reviewItem>
    <reviewItem>
      <errorID>bf5ca210-5e7b-446a-aed0-61ba3b5c00ea</errorID>
      <errorWord>)</errorWord>
      <group>L1_Format</group>
      <groupName>格式问题</groupName>
      <ability>L2_HalfPunc</ability>
      <abilityName>全半角检查</abilityName>
      <candidateList>
        <item>）</item>
      </candidateList>
      <explain>文本全半角错误。</explain>
      <paraID>6717F84B</paraID>
      <start>40</start>
      <end>41</end>
      <status>unmodified</status>
      <modifiedWord/>
      <trackRevisions>false</trackRevisions>
    </reviewItem>
    <reviewItem>
      <errorID>a78f6c26-d6ec-4bcf-b880-533bb0748e96</errorID>
      <errorWord>(</errorWord>
      <group>L1_Format</group>
      <groupName>格式问题</groupName>
      <ability>L2_HalfPunc</ability>
      <abilityName>全半角检查</abilityName>
      <candidateList>
        <item>（</item>
      </candidateList>
      <explain>文本全半角错误。</explain>
      <paraID>5B40E7A4</paraID>
      <start>9</start>
      <end>10</end>
      <status>unmodified</status>
      <modifiedWord/>
      <trackRevisions>false</trackRevisions>
    </reviewItem>
    <reviewItem>
      <errorID>420edb5d-b8f1-4707-8423-36f2f19c7029</errorID>
      <errorWord>)</errorWord>
      <group>L1_Format</group>
      <groupName>格式问题</groupName>
      <ability>L2_HalfPunc</ability>
      <abilityName>全半角检查</abilityName>
      <candidateList>
        <item>）</item>
      </candidateList>
      <explain>文本全半角错误。</explain>
      <paraID>5B40E7A4</paraID>
      <start>16</start>
      <end>17</end>
      <status>unmodified</status>
      <modifiedWord/>
      <trackRevisions>false</trackRevisions>
    </reviewItem>
    <reviewItem>
      <errorID>d224d638-54a5-4f5c-853b-0d49dc2e2824</errorID>
      <errorWord>,</errorWord>
      <group>L1_Format</group>
      <groupName>格式问题</groupName>
      <ability>L2_HalfPunc</ability>
      <abilityName>全半角检查</abilityName>
      <candidateList>
        <item>，</item>
      </candidateList>
      <explain>文本全半角错误。</explain>
      <paraID>1F79283D</paraID>
      <start>23</start>
      <end>24</end>
      <status>unmodified</status>
      <modifiedWord/>
      <trackRevisions>false</trackRevisions>
    </reviewItem>
    <reviewItem>
      <errorID>19bdbbc9-56e7-4887-a421-c529fd25976b</errorID>
      <errorWord>法律、法规</errorWord>
      <group>L1_Word</group>
      <groupName>字词问题</groupName>
      <ability>L2_Typo</ability>
      <abilityName>字词错误</abilityName>
      <candidateList>
        <item>法律法规</item>
      </candidateList>
      <explain/>
      <paraID>128C45AC</paraID>
      <start>3</start>
      <end>7</end>
      <status>modified</status>
      <modifiedWord>法律法规</modifiedWord>
      <trackRevisions>false</trackRevisions>
    </reviewItem>
    <reviewItem>
      <errorID>19cbd686-a85f-4966-a9df-9850e686bc18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2AF41CDB</paraID>
      <start>0</start>
      <end>2</end>
      <status>unmodified</status>
      <modifiedWord/>
      <trackRevisions>false</trackRevisions>
    </reviewItem>
    <reviewItem>
      <errorID>f52ab597-58eb-4a5b-b4df-932d1d22a380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14DEDE99</paraID>
      <start>0</start>
      <end>2</end>
      <status>unmodified</status>
      <modifiedWord/>
      <trackRevisions>false</trackRevisions>
    </reviewItem>
    <reviewItem>
      <errorID>9df1cd47-7902-4c2a-ac8d-9a537b74ee4f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4F6CE042</paraID>
      <start>0</start>
      <end>2</end>
      <status>unmodified</status>
      <modifiedWord/>
      <trackRevisions>false</trackRevisions>
    </reviewItem>
    <reviewItem>
      <errorID>5c30ca81-c44c-4893-9831-bfce6e2e41e9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32CB5068</paraID>
      <start>0</start>
      <end>2</end>
      <status>unmodified</status>
      <modifiedWord/>
      <trackRevisions>false</trackRevisions>
    </reviewItem>
    <reviewItem>
      <errorID>d4420e57-7df4-4821-957d-d21d133aa501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562C64E2</paraID>
      <start>0</start>
      <end>2</end>
      <status>unmodified</status>
      <modifiedWord/>
      <trackRevisions>false</trackRevisions>
    </reviewItem>
    <reviewItem>
      <errorID>a3d9378a-ae62-4158-9163-14c42d6d4970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78940518</paraID>
      <start>0</start>
      <end>2</end>
      <status>unmodified</status>
      <modifiedWord/>
      <trackRevisions>false</trackRevisions>
    </reviewItem>
    <reviewItem>
      <errorID>16fdce7b-f3f0-4322-9e67-b14309fe1bc4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785D7CC</paraID>
      <start>0</start>
      <end>2</end>
      <status>unmodified</status>
      <modifiedWord/>
      <trackRevisions>false</trackRevisions>
    </reviewItem>
    <reviewItem>
      <errorID>f67db5cb-b0b4-42e9-be5c-43ef36f4026f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34B4695A</paraID>
      <start>0</start>
      <end>2</end>
      <status>unmodified</status>
      <modifiedWord/>
      <trackRevisions>false</trackRevisions>
    </reviewItem>
    <reviewItem>
      <errorID>2ddbeeb8-98ec-4b2b-91ab-f627e0c9f2e3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83A7D09</paraID>
      <start>0</start>
      <end>2</end>
      <status>unmodified</status>
      <modifiedWord/>
      <trackRevisions>false</trackRevisions>
    </reviewItem>
    <reviewItem>
      <errorID>ea6f9072-2a2d-4fe7-ad25-90cb03df029c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46DB85DB</paraID>
      <start>0</start>
      <end>2</end>
      <status>unmodified</status>
      <modifiedWord/>
      <trackRevisions>false</trackRevisions>
    </reviewItem>
    <reviewItem>
      <errorID>917ed6cb-e75d-47c4-a6d3-302252b3003e</errorID>
      <errorWord>，应</errorWord>
      <group>L1_Word</group>
      <groupName>字词问题</groupName>
      <ability>L2_Typo</ability>
      <abilityName>字词错误</abilityName>
      <candidateList>
        <item>，</item>
      </candidateList>
      <explain/>
      <paraID>3673583A</paraID>
      <start>14</start>
      <end>16</end>
      <status>unmodified</status>
      <modifiedWord/>
      <trackRevisions>false</trackRevisions>
    </reviewItem>
    <reviewItem>
      <errorID>e44621aa-0736-4023-a910-77c46bfb5e55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3A720972</paraID>
      <start>0</start>
      <end>3</end>
      <status>unmodified</status>
      <modifiedWord/>
      <trackRevisions>false</trackRevisions>
    </reviewItem>
    <reviewItem>
      <errorID>fc7ae512-bf9e-4e0d-85e5-f7853a84dd11</errorID>
      <errorWord>里</errorWord>
      <group>L1_Word</group>
      <groupName>字词问题</groupName>
      <ability>L2_Typo</ability>
      <abilityName>字词错误</abilityName>
      <candidateList>
        <item>内</item>
      </candidateList>
      <explain>❶〈名〉方位词。里头（跟“外”相对）：～衣｜～部｜室～｜国～｜年～。❷指妻或妻的亲属：～人｜～侄｜～弟。❸指内心或内脏：～省｜～疚｜五～俱焚。❹〈书〉指皇宫：大～。</explain>
      <paraID>43E123B2</paraID>
      <start>14</start>
      <end>15</end>
      <status>unmodified</status>
      <modifiedWord/>
      <trackRevisions>false</trackRevisions>
    </reviewItem>
    <reviewItem>
      <errorID>21363127-b003-477e-9a77-78cf9d653700</errorID>
      <errorWord>（</errorWord>
      <group>L1_Punc</group>
      <groupName>标点问题</groupName>
      <ability>L2_Punc</ability>
      <abilityName>标点符号检查</abilityName>
      <candidateList/>
      <explain>同一形式括号套用。</explain>
      <paraID>43E123B2</paraID>
      <start>50</start>
      <end>51</end>
      <status>unmodified</status>
      <modifiedWord/>
      <trackRevisions>false</trackRevisions>
    </reviewItem>
    <reviewItem>
      <errorID>0508f0a3-8703-4135-989d-bb929ea31caa</errorID>
      <errorWord>）</errorWord>
      <group>L1_Punc</group>
      <groupName>标点问题</groupName>
      <ability>L2_Punc</ability>
      <abilityName>标点符号检查</abilityName>
      <candidateList/>
      <explain>同一形式括号套用。</explain>
      <paraID>43E123B2</paraID>
      <start>66</start>
      <end>67</end>
      <status>unmodified</status>
      <modifiedWord/>
      <trackRevisions>false</trackRevisions>
    </reviewItem>
    <reviewItem>
      <errorID>fc79e6bb-b235-4866-9879-e0d6c7812918</errorID>
      <errorWord>做</errorWord>
      <group>L1_Word</group>
      <groupName>字词问题</groupName>
      <ability>L2_Typo</ability>
      <abilityName>字词错误</abilityName>
      <candidateList>
        <item>作</item>
      </candidateList>
      <explain>❶起：振～｜日出而～｜一鼓～气｜枪声大～。❷〈动〉从事某种活动：～孽｜～报告｜自～自受。❸〈动〉写作：著～｜～曲｜～书（写信）。❹作品：佳～｜杰～｜成功之～。❺装：～态｜装模～样。❻〈动〉当成；作为：～保｜～废｜认贼～父。❼发作：～呕｜～怪。</explain>
      <paraID>73F02712</paraID>
      <start>31</start>
      <end>32</end>
      <status>unmodified</status>
      <modifiedWord/>
      <trackRevisions>false</trackRevisions>
    </reviewItem>
    <reviewItem>
      <errorID>1f393b64-43c4-4be4-9ab3-8a61d7e4f290</errorID>
      <errorWord>法律、法规</errorWord>
      <group>L1_Word</group>
      <groupName>字词问题</groupName>
      <ability>L2_Typo</ability>
      <abilityName>字词错误</abilityName>
      <candidateList>
        <item>法律法规</item>
      </candidateList>
      <explain/>
      <paraID>45697019</paraID>
      <start>4</start>
      <end>8</end>
      <status>modified</status>
      <modifiedWord>法律法规</modifiedWord>
      <trackRevisions>false</trackRevisions>
    </reviewItem>
    <reviewItem>
      <errorID>166d19ef-f5ef-418c-bc77-352b1c063f25</errorID>
      <errorWord>”</errorWord>
      <group>L1_Punc</group>
      <groupName>标点问题</groupName>
      <ability>L2_Punc</ability>
      <abilityName>标点符号检查</abilityName>
      <candidateList/>
      <explain>此处标点可能未正确匹配，请检查句子中是否存在标点冗余、缺失或使用错误的情况。</explain>
      <paraID>4EDB906C</paraID>
      <start>64</start>
      <end>65</end>
      <status>unmodified</status>
      <modifiedWord/>
      <trackRevisions>false</trackRevisions>
    </reviewItem>
    <reviewItem>
      <errorID>aae3485d-5aa5-4f8c-ac42-ce4acf50e847</errorID>
      <errorWord>、直至</errorWord>
      <group>L1_Word</group>
      <groupName>字词问题</groupName>
      <ability>L2_Typo</ability>
      <abilityName>字词错误</abilityName>
      <candidateList>
        <item>直至</item>
      </candidateList>
      <explain/>
      <paraID>38B9F329</paraID>
      <start>46</start>
      <end>48</end>
      <status>modified</status>
      <modifiedWord>直至</modifiedWord>
      <trackRevisions>false</trackRevisions>
    </reviewItem>
    <reviewItem>
      <errorID>af6d4a66-2a0a-445d-8641-6a242429109b</errorID>
      <errorWord>,</errorWord>
      <group>L1_Format</group>
      <groupName>格式问题</groupName>
      <ability>L2_HalfPunc</ability>
      <abilityName>全半角检查</abilityName>
      <candidateList>
        <item>，</item>
      </candidateList>
      <explain>文本全半角错误。</explain>
      <paraID>117FD587</paraID>
      <start>16</start>
      <end>17</end>
      <status>unmodified</status>
      <modifiedWord/>
      <trackRevisions>false</trackRevisions>
    </reviewItem>
    <reviewItem>
      <errorID>493dff6a-08a2-4c83-aaed-d1e6008e8e63</errorID>
      <errorWord>容</errorWord>
      <group>L1_Word</group>
      <groupName>字词问题</groupName>
      <ability>L2_Typo</ability>
      <abilityName>字词错误</abilityName>
      <candidateList>
        <item>容由</item>
      </candidateList>
      <explain/>
      <paraID>117FD587</paraID>
      <start>50</start>
      <end>52</end>
      <status>modified</status>
      <modifiedWord>容由</modifiedWord>
      <trackRevisions>false</trackRevisions>
    </reviewItem>
    <reviewItem>
      <errorID>9c353fdd-46f5-4021-afb9-4ef3a5f10baf</errorID>
      <errorWord>:</errorWord>
      <group>L1_Format</group>
      <groupName>格式问题</groupName>
      <ability>L2_HalfPunc</ability>
      <abilityName>全半角检查</abilityName>
      <candidateList>
        <item>：</item>
      </candidateList>
      <explain>文本全半角错误。</explain>
      <paraID>55E003C9</paraID>
      <start>2</start>
      <end>3</end>
      <status>unmodified</status>
      <modifiedWord/>
      <trackRevisions>false</trackRevisions>
    </reviewItem>
    <reviewItem>
      <errorID>a69297d7-8d66-4186-8887-21bd868e1340</errorID>
      <errorWord>,</errorWord>
      <group>L1_Format</group>
      <groupName>格式问题</groupName>
      <ability>L2_HalfPunc</ability>
      <abilityName>全半角检查</abilityName>
      <candidateList>
        <item>，</item>
      </candidateList>
      <explain>文本全半角错误。</explain>
      <paraID>55E003C9</paraID>
      <start>50</start>
      <end>51</end>
      <status>unmodified</status>
      <modifiedWord/>
      <trackRevisions>false</trackRevisions>
    </reviewItem>
    <reviewItem>
      <errorID>54ba8779-2377-454e-a8f1-6c43ea7cce72</errorID>
      <errorWord>(</errorWord>
      <group>L1_Format</group>
      <groupName>格式问题</groupName>
      <ability>L2_HalfPunc</ability>
      <abilityName>全半角检查</abilityName>
      <candidateList>
        <item>（</item>
      </candidateList>
      <explain>文本全半角错误。</explain>
      <paraID> E310053</paraID>
      <start>18</start>
      <end>19</end>
      <status>unmodified</status>
      <modifiedWord/>
      <trackRevisions>false</trackRevisions>
    </reviewItem>
    <reviewItem>
      <errorID>4d1d0cd3-18dd-4790-85a0-26f92938d73c</errorID>
      <errorWord>)</errorWord>
      <group>L1_Format</group>
      <groupName>格式问题</groupName>
      <ability>L2_HalfPunc</ability>
      <abilityName>全半角检查</abilityName>
      <candidateList>
        <item>）</item>
      </candidateList>
      <explain>文本全半角错误。</explain>
      <paraID> E310053</paraID>
      <start>39</start>
      <end>40</end>
      <status>unmodified</status>
      <modifiedWord/>
      <trackRevisions>false</trackRevisions>
    </reviewItem>
    <reviewItem>
      <errorID>27eca866-f8c5-4bf4-ba4d-f4b09d250070</errorID>
      <errorWord>(</errorWord>
      <group>L1_Format</group>
      <groupName>格式问题</groupName>
      <ability>L2_HalfPunc</ability>
      <abilityName>全半角检查</abilityName>
      <candidateList>
        <item>（</item>
      </candidateList>
      <explain>文本全半角错误。</explain>
      <paraID>446ECEF8</paraID>
      <start>12</start>
      <end>13</end>
      <status>unmodified</status>
      <modifiedWord/>
      <trackRevisions>false</trackRevisions>
    </reviewItem>
    <reviewItem>
      <errorID>4ec91408-eec1-4b09-83aa-2a2d8e01fe98</errorID>
      <errorWord>)</errorWord>
      <group>L1_Format</group>
      <groupName>格式问题</groupName>
      <ability>L2_HalfPunc</ability>
      <abilityName>全半角检查</abilityName>
      <candidateList>
        <item>）</item>
      </candidateList>
      <explain>文本全半角错误。</explain>
      <paraID>446ECEF8</paraID>
      <start>19</start>
      <end>20</end>
      <status>unmodified</status>
      <modifiedWord/>
      <trackRevisions>false</trackRevisions>
    </reviewItem>
    <reviewItem>
      <errorID>b6a62487-2736-47e9-84f7-8789f2aba857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6BCC60E9</paraID>
      <start>0</start>
      <end>2</end>
      <status>unmodified</status>
      <modifiedWord/>
      <trackRevisions>false</trackRevisions>
    </reviewItem>
    <reviewItem>
      <errorID>3955ebf1-1bfc-407d-83b1-b7f299cf4c40</errorID>
      <errorWord>、和</errorWord>
      <group>L1_Word</group>
      <groupName>字词问题</groupName>
      <ability>L2_Typo</ability>
      <abilityName>字词错误</abilityName>
      <candidateList>
        <item>、</item>
      </candidateList>
      <explain/>
      <paraID>6BCC60E9</paraID>
      <start>98</start>
      <end>100</end>
      <status>unmodified</status>
      <modifiedWord/>
      <trackRevisions>false</trackRevisions>
    </reviewItem>
    <reviewItem>
      <errorID>3a126176-f1ca-4f3d-beb0-f65a789dc4c4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1AAEBD96</paraID>
      <start>0</start>
      <end>2</end>
      <status>unmodified</status>
      <modifiedWord/>
      <trackRevisions>false</trackRevisions>
    </reviewItem>
    <reviewItem>
      <errorID>6eca5455-8879-4bf2-be9e-fd2e99a710dd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3CABEF8C</paraID>
      <start>0</start>
      <end>2</end>
      <status>unmodified</status>
      <modifiedWord/>
      <trackRevisions>false</trackRevisions>
    </reviewItem>
    <reviewItem>
      <errorID>04480b0d-4b35-4eec-99eb-cbf3dfa3bf00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5BB519BB</paraID>
      <start>0</start>
      <end>2</end>
      <status>unmodified</status>
      <modifiedWord/>
      <trackRevisions>false</trackRevisions>
    </reviewItem>
    <reviewItem>
      <errorID>d22a9343-dee9-4824-b2fb-1009e120d3ba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4DA8F0F3</paraID>
      <start>0</start>
      <end>2</end>
      <status>unmodified</status>
      <modifiedWord/>
      <trackRevisions>false</trackRevisions>
    </reviewItem>
    <reviewItem>
      <errorID>632e23d4-c345-49a2-b8c8-1661aa5ad574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65308832</paraID>
      <start>0</start>
      <end>2</end>
      <status>unmodified</status>
      <modifiedWord/>
      <trackRevisions>false</trackRevisions>
    </reviewItem>
    <reviewItem>
      <errorID>d2c56a67-269b-43d6-8c8f-8478e490751f</errorID>
      <errorWord>(</errorWord>
      <group>L1_Format</group>
      <groupName>格式问题</groupName>
      <ability>L2_HalfPunc</ability>
      <abilityName>全半角检查</abilityName>
      <candidateList>
        <item>（</item>
      </candidateList>
      <explain>文本全半角错误。</explain>
      <paraID>51E45E91</paraID>
      <start>91</start>
      <end>92</end>
      <status>unmodified</status>
      <modifiedWord/>
      <trackRevisions>false</trackRevisions>
    </reviewItem>
    <reviewItem>
      <errorID>31fa8590-00dd-468f-b8f5-2fad6450fb8c</errorID>
      <errorWord>(</errorWord>
      <group>L1_Format</group>
      <groupName>格式问题</groupName>
      <ability>L2_HalfPunc</ability>
      <abilityName>全半角检查</abilityName>
      <candidateList>
        <item>（</item>
      </candidateList>
      <explain>文本全半角错误。</explain>
      <paraID> AAA3CF2</paraID>
      <start>188</start>
      <end>189</end>
      <status>unmodified</status>
      <modifiedWord/>
      <trackRevisions>false</trackRevisions>
    </reviewItem>
    <reviewItem>
      <errorID>1fe257e5-ca44-48c6-9b69-1b69ffa94d1c</errorID>
      <errorWord>)</errorWord>
      <group>L1_Format</group>
      <groupName>格式问题</groupName>
      <ability>L2_HalfPunc</ability>
      <abilityName>全半角检查</abilityName>
      <candidateList>
        <item>）</item>
      </candidateList>
      <explain>文本全半角错误。</explain>
      <paraID> AAA3CF2</paraID>
      <start>204</start>
      <end>205</end>
      <status>unmodified</status>
      <modifiedWord/>
      <trackRevisions>false</trackRevisions>
    </reviewItem>
    <reviewItem>
      <errorID>f319caae-db9b-468b-a04b-4aa7f762397a</errorID>
      <errorWord>(</errorWord>
      <group>L1_Format</group>
      <groupName>格式问题</groupName>
      <ability>L2_HalfPunc</ability>
      <abilityName>全半角检查</abilityName>
      <candidateList>
        <item>（</item>
      </candidateList>
      <explain>文本全半角错误。</explain>
      <paraID> E864D89</paraID>
      <start>25</start>
      <end>26</end>
      <status>unmodified</status>
      <modifiedWord/>
      <trackRevisions>false</trackRevisions>
    </reviewItem>
    <reviewItem>
      <errorID>832b8e32-61a6-41a3-843e-ee6f647c5a99</errorID>
      <errorWord>)</errorWord>
      <group>L1_Format</group>
      <groupName>格式问题</groupName>
      <ability>L2_HalfPunc</ability>
      <abilityName>全半角检查</abilityName>
      <candidateList>
        <item>）</item>
      </candidateList>
      <explain>文本全半角错误。</explain>
      <paraID> E864D89</paraID>
      <start>31</start>
      <end>32</end>
      <status>unmodified</status>
      <modifiedWord/>
      <trackRevisions>false</trackRevisions>
    </reviewItem>
    <reviewItem>
      <errorID>22f8b085-c983-45cd-8068-7536dab9bbf1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7AA54D10</paraID>
      <start>0</start>
      <end>2</end>
      <status>unmodified</status>
      <modifiedWord/>
      <trackRevisions>false</trackRevisions>
    </reviewItem>
    <reviewItem>
      <errorID>da57ed61-50b6-4112-ace3-87e80d649891</errorID>
      <errorWord>(</errorWord>
      <group>L1_Format</group>
      <groupName>格式问题</groupName>
      <ability>L2_HalfPunc</ability>
      <abilityName>全半角检查</abilityName>
      <candidateList>
        <item>（</item>
      </candidateList>
      <explain>文本全半角错误。</explain>
      <paraID>7AA54D10</paraID>
      <start>51</start>
      <end>52</end>
      <status>unmodified</status>
      <modifiedWord/>
      <trackRevisions>false</trackRevisions>
    </reviewItem>
    <reviewItem>
      <errorID>4567481a-9581-4f40-87c8-1235de828051</errorID>
      <errorWord>)</errorWord>
      <group>L1_Format</group>
      <groupName>格式问题</groupName>
      <ability>L2_HalfPunc</ability>
      <abilityName>全半角检查</abilityName>
      <candidateList>
        <item>）</item>
      </candidateList>
      <explain>文本全半角错误。</explain>
      <paraID>7AA54D10</paraID>
      <start>55</start>
      <end>56</end>
      <status>unmodified</status>
      <modifiedWord/>
      <trackRevisions>false</trackRevisions>
    </reviewItem>
    <reviewItem>
      <errorID>28ac62a7-ec5d-4131-a7d0-b24f98b5963e</errorID>
      <errorWord>;</errorWord>
      <group>L1_Format</group>
      <groupName>格式问题</groupName>
      <ability>L2_HalfPunc</ability>
      <abilityName>全半角检查</abilityName>
      <candidateList>
        <item>；</item>
      </candidateList>
      <explain>文本全半角错误。</explain>
      <paraID>347348F7</paraID>
      <start>13</start>
      <end>14</end>
      <status>unmodified</status>
      <modifiedWord/>
      <trackRevisions>false</trackRevisions>
    </reviewItem>
    <reviewItem>
      <errorID>9433223c-6657-4c34-9de4-f3f86f382522</errorID>
      <errorWord>(</errorWord>
      <group>L1_Format</group>
      <groupName>格式问题</groupName>
      <ability>L2_HalfPunc</ability>
      <abilityName>全半角检查</abilityName>
      <candidateList>
        <item>（</item>
      </candidateList>
      <explain>文本全半角错误。</explain>
      <paraID>12902F02</paraID>
      <start>26</start>
      <end>27</end>
      <status>unmodified</status>
      <modifiedWord/>
      <trackRevisions>false</trackRevisions>
    </reviewItem>
    <reviewItem>
      <errorID>b1eae041-544a-4125-a5a0-b6c6dc8da21c</errorID>
      <errorWord>)</errorWord>
      <group>L1_Format</group>
      <groupName>格式问题</groupName>
      <ability>L2_HalfPunc</ability>
      <abilityName>全半角检查</abilityName>
      <candidateList>
        <item>）</item>
      </candidateList>
      <explain>文本全半角错误。</explain>
      <paraID>12902F02</paraID>
      <start>42</start>
      <end>43</end>
      <status>unmodified</status>
      <modifiedWord/>
      <trackRevisions>false</trackRevisions>
    </reviewItem>
    <reviewItem>
      <errorID>42f189a9-2a2b-4110-9a0a-a4ee659f4d47</errorID>
      <errorWord>、</errorWord>
      <group>L1_Word</group>
      <groupName>字词问题</groupName>
      <ability>L2_Typo</ability>
      <abilityName>字词错误</abilityName>
      <candidateList>
        <item>、在</item>
      </candidateList>
      <explain/>
      <paraID>509AFF64</paraID>
      <start>1</start>
      <end>2</end>
      <status>unmodified</status>
      <modifiedWord/>
      <trackRevisions>false</trackRevisions>
    </reviewItem>
    <reviewItem>
      <errorID>75712dec-94a7-45e0-9924-c52e87e78c91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52F02C1B</paraID>
      <start>0</start>
      <end>2</end>
      <status>unmodified</status>
      <modifiedWord/>
      <trackRevisions>false</trackRevisions>
    </reviewItem>
    <reviewItem>
      <errorID>0bd1da34-4016-4dbf-935e-fbddb6d2d8e0</errorID>
      <errorWord>(</errorWord>
      <group>L1_Format</group>
      <groupName>格式问题</groupName>
      <ability>L2_HalfPunc</ability>
      <abilityName>全半角检查</abilityName>
      <candidateList>
        <item>（</item>
      </candidateList>
      <explain>文本全半角错误。</explain>
      <paraID>52F02C1B</paraID>
      <start>18</start>
      <end>19</end>
      <status>unmodified</status>
      <modifiedWord/>
      <trackRevisions>false</trackRevisions>
    </reviewItem>
    <reviewItem>
      <errorID>8e338d45-b4bb-47eb-9047-404ab6d933da</errorID>
      <errorWord>)</errorWord>
      <group>L1_Format</group>
      <groupName>格式问题</groupName>
      <ability>L2_HalfPunc</ability>
      <abilityName>全半角检查</abilityName>
      <candidateList>
        <item>）</item>
      </candidateList>
      <explain>文本全半角错误。</explain>
      <paraID>52F02C1B</paraID>
      <start>22</start>
      <end>23</end>
      <status>unmodified</status>
      <modifiedWord/>
      <trackRevisions>false</trackRevisions>
    </reviewItem>
    <reviewItem>
      <errorID>c60d4535-f3dd-4048-af22-4e3cece101c1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5F494883</paraID>
      <start>0</start>
      <end>2</end>
      <status>unmodified</status>
      <modifiedWord/>
      <trackRevisions>false</trackRevisions>
    </reviewItem>
    <reviewItem>
      <errorID>5b7bf208-5cbd-4676-ad0d-79c3ea7e65fe</errorID>
      <errorWord>;</errorWord>
      <group>L1_Format</group>
      <groupName>格式问题</groupName>
      <ability>L2_HalfPunc</ability>
      <abilityName>全半角检查</abilityName>
      <candidateList>
        <item>；</item>
      </candidateList>
      <explain>文本全半角错误。</explain>
      <paraID> D0DBBA7</paraID>
      <start>13</start>
      <end>14</end>
      <status>unmodified</status>
      <modifiedWord/>
      <trackRevisions>false</trackRevisions>
    </reviewItem>
    <reviewItem>
      <errorID>16a72f47-7f21-4dbf-a921-3b57fdef14f8</errorID>
      <errorWord>(</errorWord>
      <group>L1_Format</group>
      <groupName>格式问题</groupName>
      <ability>L2_HalfPunc</ability>
      <abilityName>全半角检查</abilityName>
      <candidateList>
        <item>（</item>
      </candidateList>
      <explain>文本全半角错误。</explain>
      <paraID>4902FD12</paraID>
      <start>26</start>
      <end>27</end>
      <status>unmodified</status>
      <modifiedWord/>
      <trackRevisions>false</trackRevisions>
    </reviewItem>
    <reviewItem>
      <errorID>bc59f9f8-7b0f-4291-a4ce-9a639a7e0fd8</errorID>
      <errorWord>)</errorWord>
      <group>L1_Format</group>
      <groupName>格式问题</groupName>
      <ability>L2_HalfPunc</ability>
      <abilityName>全半角检查</abilityName>
      <candidateList>
        <item>）</item>
      </candidateList>
      <explain>文本全半角错误。</explain>
      <paraID>4902FD12</paraID>
      <start>42</start>
      <end>43</end>
      <status>unmodified</status>
      <modifiedWord/>
      <trackRevisions>false</trackRevisions>
    </reviewItem>
    <reviewItem>
      <errorID>bf7f6eca-1e56-403e-8fea-6b6cb9cbefc9</errorID>
      <errorWord>、</errorWord>
      <group>L1_Word</group>
      <groupName>字词问题</groupName>
      <ability>L2_Typo</ability>
      <abilityName>字词错误</abilityName>
      <candidateList>
        <item>、在</item>
      </candidateList>
      <explain/>
      <paraID>74D30EA9</paraID>
      <start>1</start>
      <end>2</end>
      <status>unmodified</status>
      <modifiedWord/>
      <trackRevisions>false</trackRevisions>
    </reviewItem>
    <reviewItem>
      <errorID>65c19468-de05-4ad0-b464-30dd30f44001</errorID>
      <errorWord>、</errorWord>
      <group>L1_Word</group>
      <groupName>字词问题</groupName>
      <ability>L2_Typo</ability>
      <abilityName>字词错误</abilityName>
      <candidateList>
        <item>、在</item>
      </candidateList>
      <explain/>
      <paraID>54DFE8CA</paraID>
      <start>1</start>
      <end>2</end>
      <status>unmodified</status>
      <modifiedWord/>
      <trackRevisions>false</trackRevisions>
    </reviewItem>
    <reviewItem>
      <errorID>aaa136cb-95f6-450c-83c2-11c200741434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5F68E6F</paraID>
      <start>0</start>
      <end>2</end>
      <status>unmodified</status>
      <modifiedWord/>
      <trackRevisions>false</trackRevisions>
    </reviewItem>
    <reviewItem>
      <errorID>2face56c-8db2-4718-a83b-f5733416113a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483D49BA</paraID>
      <start>0</start>
      <end>2</end>
      <status>unmodified</status>
      <modifiedWord/>
      <trackRevisions>false</trackRevisions>
    </reviewItem>
    <reviewItem>
      <errorID>6e1f39e3-3eca-48a1-9b4f-2c3e0b535dc1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34CF903</paraID>
      <start>0</start>
      <end>2</end>
      <status>unmodified</status>
      <modifiedWord/>
      <trackRevisions>false</trackRevisions>
    </reviewItem>
    <reviewItem>
      <errorID>2838195c-3b1c-4451-b5e3-9b772214d779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5F66C016</paraID>
      <start>0</start>
      <end>2</end>
      <status>unmodified</status>
      <modifiedWord/>
      <trackRevisions>false</trackRevisions>
    </reviewItem>
    <reviewItem>
      <errorID>2c41ad23-0d71-497e-8151-5b418efeca75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42C2EC16</paraID>
      <start>0</start>
      <end>2</end>
      <status>unmodified</status>
      <modifiedWord/>
      <trackRevisions>false</trackRevisions>
    </reviewItem>
    <reviewItem>
      <errorID>5c61a101-8ad7-49f8-8d53-261d51f5a12f</errorID>
      <errorWord>(</errorWord>
      <group>L1_Format</group>
      <groupName>格式问题</groupName>
      <ability>L2_HalfPunc</ability>
      <abilityName>全半角检查</abilityName>
      <candidateList>
        <item>（</item>
      </candidateList>
      <explain>文本全半角错误。</explain>
      <paraID>7A95E584</paraID>
      <start>130</start>
      <end>131</end>
      <status>unmodified</status>
      <modifiedWord/>
      <trackRevisions>false</trackRevisions>
    </reviewItem>
    <reviewItem>
      <errorID>59daddf3-5052-47b9-b6c1-c1e0b285c323</errorID>
      <errorWord>)</errorWord>
      <group>L1_Format</group>
      <groupName>格式问题</groupName>
      <ability>L2_HalfPunc</ability>
      <abilityName>全半角检查</abilityName>
      <candidateList>
        <item>）</item>
      </candidateList>
      <explain>文本全半角错误。</explain>
      <paraID>7A95E584</paraID>
      <start>133</start>
      <end>134</end>
      <status>unmodified</status>
      <modifiedWord/>
      <trackRevisions>false</trackRevisions>
    </reviewItem>
    <reviewItem>
      <errorID>d7cbe60c-cd25-49fd-9a06-0f1c8348f6bb</errorID>
      <errorWord>)</errorWord>
      <group>L1_Format</group>
      <groupName>格式问题</groupName>
      <ability>L2_HalfPunc</ability>
      <abilityName>全半角检查</abilityName>
      <candidateList>
        <item>）</item>
      </candidateList>
      <explain>文本全半角错误。</explain>
      <paraID>7A95E584</paraID>
      <start>274</start>
      <end>275</end>
      <status>unmodified</status>
      <modifiedWord/>
      <trackRevisions>false</trackRevisions>
    </reviewItem>
    <reviewItem>
      <errorID>0b549f87-5064-4895-9888-c4bbec85b1d6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549E1C44</paraID>
      <start>0</start>
      <end>2</end>
      <status>unmodified</status>
      <modifiedWord/>
      <trackRevisions>false</trackRevisions>
    </reviewItem>
    <reviewItem>
      <errorID>7231881a-b8cb-44ba-b7e6-96cec6606bff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48E7058A</paraID>
      <start>0</start>
      <end>2</end>
      <status>unmodified</status>
      <modifiedWord/>
      <trackRevisions>false</trackRevisions>
    </reviewItem>
    <reviewItem>
      <errorID>42e2b5ed-aad3-4139-bb77-288f801f035b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45A27E0C</paraID>
      <start>0</start>
      <end>2</end>
      <status>unmodified</status>
      <modifiedWord/>
      <trackRevisions>false</trackRevisions>
    </reviewItem>
    <reviewItem>
      <errorID>1545f503-b425-4cd1-a068-f9dec89e7bcf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77B3B687</paraID>
      <start>0</start>
      <end>2</end>
      <status>unmodified</status>
      <modifiedWord/>
      <trackRevisions>false</trackRevisions>
    </reviewItem>
    <reviewItem>
      <errorID>a88bef7e-3ce4-49b5-ab29-43251212fcd1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300AF5E0</paraID>
      <start>0</start>
      <end>2</end>
      <status>unmodified</status>
      <modifiedWord/>
      <trackRevisions>false</trackRevisions>
    </reviewItem>
    <reviewItem>
      <errorID>5ec3d66c-1359-4ff0-bb60-4cdcfffc4a8a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525EA16B</paraID>
      <start>0</start>
      <end>2</end>
      <status>unmodified</status>
      <modifiedWord/>
      <trackRevisions>false</trackRevisions>
    </reviewItem>
    <reviewItem>
      <errorID>2b2b2237-8987-4cfd-a6f9-92775a81202c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2B69D8F6</paraID>
      <start>0</start>
      <end>2</end>
      <status>unmodified</status>
      <modifiedWord/>
      <trackRevisions>false</trackRevisions>
    </reviewItem>
    <reviewItem>
      <errorID>f20e5623-ec82-4a40-943a-e2cc7bde8ba1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47461E32</paraID>
      <start>0</start>
      <end>2</end>
      <status>unmodified</status>
      <modifiedWord/>
      <trackRevisions>false</trackRevisions>
    </reviewItem>
    <reviewItem>
      <errorID>092c7ec7-74f0-4df0-a9a6-5cf91f215cca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1E1BE008</paraID>
      <start>0</start>
      <end>2</end>
      <status>unmodified</status>
      <modifiedWord/>
      <trackRevisions>false</trackRevisions>
    </reviewItem>
    <reviewItem>
      <errorID>284cbd9b-fa6b-4fa6-8450-62f17b14c07f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9A3C3FE</paraID>
      <start>0</start>
      <end>2</end>
      <status>unmodified</status>
      <modifiedWord/>
      <trackRevisions>false</trackRevisions>
    </reviewItem>
    <reviewItem>
      <errorID>9b792fc9-60b6-48a0-b248-738a39048668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2A525AA8</paraID>
      <start>0</start>
      <end>2</end>
      <status>unmodified</status>
      <modifiedWord/>
      <trackRevisions>false</trackRevisions>
    </reviewItem>
    <reviewItem>
      <errorID>5d1fc6b5-981d-4887-b6c4-0eff6833455a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10EE3610</paraID>
      <start>39</start>
      <end>42</end>
      <status>unmodified</status>
      <modifiedWord/>
      <trackRevisions>false</trackRevisions>
    </reviewItem>
    <reviewItem>
      <errorID>5e2c6c11-794f-47ee-a86e-2ea429d95be7</errorID>
      <errorWord>,</errorWord>
      <group>L1_Format</group>
      <groupName>格式问题</groupName>
      <ability>L2_HalfPunc</ability>
      <abilityName>全半角检查</abilityName>
      <candidateList>
        <item>，</item>
      </candidateList>
      <explain>文本全半角错误。</explain>
      <paraID>71477CAE</paraID>
      <start>24</start>
      <end>25</end>
      <status>unmodified</status>
      <modifiedWord/>
      <trackRevisions>false</trackRevisions>
    </reviewItem>
    <reviewItem>
      <errorID>259eec6d-715d-446c-b88a-b64c1ad16fc1</errorID>
      <errorWord>《政府采购法》</errorWord>
      <group>L1_Word</group>
      <groupName>字词问题</groupName>
      <ability>L2_Typo</ability>
      <abilityName>字词错误</abilityName>
      <candidateList>
        <item>《中华人民共和国政府采购法》</item>
      </candidateList>
      <explain/>
      <paraID>652F8257</paraID>
      <start>149</start>
      <end>156</end>
      <status>unmodified</status>
      <modifiedWord/>
      <trackRevisions>false</trackRevisions>
    </reviewItem>
    <reviewItem>
      <errorID>17384078-c7e9-43de-a547-bced71ebf57d</errorID>
      <errorWord>第78条</errorWord>
      <group>L1_Knowledge</group>
      <groupName>知识性问题</groupName>
      <ability>L2_Knowledge</ability>
      <abilityName>其他知识</abilityName>
      <candidateList>
        <item>第七十八条</item>
      </candidateList>
      <explain/>
      <paraID>652F8257</paraID>
      <start>156</start>
      <end>160</end>
      <status>unmodified</status>
      <modifiedWord/>
      <trackRevisions>false</trackRevisions>
    </reviewItem>
  </reviewItems>
  <config/>
</contractReview>
</file>

<file path=customXml/itemProps1.xml><?xml version="1.0" encoding="utf-8"?>
<ds:datastoreItem xmlns:ds="http://schemas.openxmlformats.org/officeDocument/2006/customXml" ds:itemID="{da13bf0e-0733-4ce8-ae8a-45a8f2bbdeb8}">
  <ds:schemaRefs/>
</ds:datastoreItem>
</file>

<file path=docProps/app.xml><?xml version="1.0" encoding="utf-8"?>
<Properties xmlns="http://schemas.openxmlformats.org/officeDocument/2006/extended-properties" xmlns:vt="http://schemas.openxmlformats.org/officeDocument/2006/docPropsVTypes">
  <Template>Normal.dotm</Template>
  <Pages>51</Pages>
  <Words>13247</Words>
  <Characters>14401</Characters>
  <Lines>184</Lines>
  <Paragraphs>51</Paragraphs>
  <TotalTime>11</TotalTime>
  <ScaleCrop>false</ScaleCrop>
  <LinksUpToDate>false</LinksUpToDate>
  <CharactersWithSpaces>14662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2026-02-09T02:11:00Z</dcterms:created>
  <dc:creator>xb21cn</dc:creator>
  <cp:lastModifiedBy>朱启</cp:lastModifiedBy>
  <dcterms:modified xsi:type="dcterms:W3CDTF">2026-02-10T10:20:09Z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eyJoZGlkIjoiZTQ4OTM2MTIyODI3Njc5MTE5MDBiNjA4NzIzYTUzZmEiLCJ1c2VySWQiOiI3MDAwNjg2OTUifQ==</vt:lpwstr>
  </property>
  <property fmtid="{D5CDD505-2E9C-101B-9397-08002B2CF9AE}" pid="3" name="KSOProductBuildVer">
    <vt:lpwstr>2052-12.1.0.25225</vt:lpwstr>
  </property>
  <property fmtid="{D5CDD505-2E9C-101B-9397-08002B2CF9AE}" pid="4" name="ICV">
    <vt:lpwstr>A3385263C7544C0A8CE2565854C3CD16_12</vt:lpwstr>
  </property>
</Properties>
</file>