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60"/>
          <w:szCs w:val="60"/>
          <w:highlight w:val="none"/>
          <w:u w:color="000000"/>
          <w:lang w:val="en-US" w:eastAsia="zh-CN" w:bidi="ar"/>
        </w:rPr>
        <w:t>滁州市资质审批管理系统运维服务项目</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112"/>
          <w:szCs w:val="112"/>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pStyle w:val="20"/>
        <w:widowControl/>
        <w:rPr>
          <w:highlight w:val="none"/>
          <w:lang w:val="en-US"/>
        </w:rPr>
      </w:pPr>
      <w:r>
        <w:rPr>
          <w:highlight w:val="none"/>
          <w:lang w:val="en-US"/>
        </w:rPr>
        <w:t xml:space="preserve"> </w:t>
      </w:r>
    </w:p>
    <w:p w14:paraId="34F7F837">
      <w:pPr>
        <w:pStyle w:val="20"/>
        <w:widowControl/>
        <w:rPr>
          <w:highlight w:val="none"/>
          <w:lang w:val="en-US"/>
        </w:rPr>
      </w:pPr>
      <w:r>
        <w:rPr>
          <w:highlight w:val="none"/>
          <w:lang w:val="en-US"/>
        </w:rPr>
        <w:t xml:space="preserve"> </w:t>
      </w:r>
    </w:p>
    <w:p w14:paraId="4318EDB1">
      <w:pPr>
        <w:pStyle w:val="20"/>
        <w:widowControl/>
        <w:rPr>
          <w:highlight w:val="none"/>
          <w:lang w:val="en-US"/>
        </w:rPr>
      </w:pPr>
      <w:r>
        <w:rPr>
          <w:highlight w:val="none"/>
          <w:lang w:val="en-US"/>
        </w:rPr>
        <w:t xml:space="preserve"> </w:t>
      </w:r>
    </w:p>
    <w:p w14:paraId="78AFC37B">
      <w:pPr>
        <w:pStyle w:val="20"/>
        <w:widowControl/>
        <w:rPr>
          <w:highlight w:val="none"/>
          <w:lang w:val="en-US"/>
        </w:rPr>
      </w:pPr>
    </w:p>
    <w:p w14:paraId="7C485945">
      <w:pPr>
        <w:pStyle w:val="20"/>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滁州市住房和城乡建设局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eastAsia" w:ascii="宋体" w:hAnsi="宋体" w:eastAsia="宋体" w:cs="宋体"/>
          <w:color w:val="000000"/>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第五章  合同条款及格式 …………………………………………………………25</w:t>
      </w:r>
    </w:p>
    <w:p w14:paraId="293A604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第六章  投标文件格式 ……………………………………………………………34</w:t>
      </w:r>
    </w:p>
    <w:p w14:paraId="056B561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第七章  采购人、采购代理机构对本招标文件的确认 …………………………42</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58430305"/>
      <w:bookmarkEnd w:id="5"/>
      <w:bookmarkStart w:id="6" w:name="_Toc28359079"/>
      <w:bookmarkEnd w:id="6"/>
      <w:bookmarkStart w:id="7" w:name="_Toc35393621"/>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滁州市资质审批管理系统运维服务项目的潜在投标人应在滁州市城投工程咨询管理有限公司网站（https://www.czctgczx.com/）获取招标文件，并于2026年4月8日15时00分（北京时间）前递交投标文件。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项目名称：滁州市资质审批管理系统运维服务项目</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预算金额：40</w:t>
      </w:r>
      <w:r>
        <w:rPr>
          <w:rFonts w:hint="eastAsia" w:ascii="宋体" w:hAnsi="宋体" w:eastAsia="宋体" w:cs="宋体"/>
          <w:color w:val="auto"/>
          <w:kern w:val="0"/>
          <w:sz w:val="24"/>
          <w:szCs w:val="24"/>
          <w:highlight w:val="none"/>
          <w:u w:color="000000"/>
          <w:lang w:val="en-US" w:eastAsia="zh-CN" w:bidi="ar"/>
        </w:rPr>
        <w:t>000元</w:t>
      </w:r>
    </w:p>
    <w:p w14:paraId="003A07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40000元</w:t>
      </w:r>
      <w:r>
        <w:rPr>
          <w:rFonts w:hint="eastAsia" w:ascii="宋体" w:hAnsi="宋体" w:eastAsia="宋体" w:cs="宋体"/>
          <w:b w:val="0"/>
          <w:bCs w:val="0"/>
          <w:color w:val="000000"/>
          <w:kern w:val="0"/>
          <w:sz w:val="24"/>
          <w:szCs w:val="24"/>
          <w:highlight w:val="none"/>
          <w:u w:color="000000"/>
          <w:lang w:val="en-US" w:eastAsia="zh-CN" w:bidi="ar"/>
        </w:rPr>
        <w:t>。投标报价不得超过各最高限价，否则按无效投标处理。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w:t>
      </w:r>
      <w:r>
        <w:rPr>
          <w:rFonts w:hint="eastAsia" w:ascii="宋体" w:hAnsi="宋体" w:eastAsia="宋体" w:cs="Times New Roman"/>
          <w:b w:val="0"/>
          <w:bCs/>
          <w:color w:val="auto"/>
          <w:kern w:val="0"/>
          <w:sz w:val="24"/>
          <w:szCs w:val="21"/>
          <w:highlight w:val="none"/>
          <w:u w:val="none"/>
          <w:lang w:val="en-US" w:eastAsia="zh-CN"/>
        </w:rPr>
        <w:t>合同签订生效后</w:t>
      </w:r>
      <w:r>
        <w:rPr>
          <w:rFonts w:hint="eastAsia" w:ascii="宋体" w:hAnsi="宋体" w:cs="Times New Roman"/>
          <w:b w:val="0"/>
          <w:bCs/>
          <w:color w:val="auto"/>
          <w:kern w:val="0"/>
          <w:sz w:val="24"/>
          <w:szCs w:val="21"/>
          <w:highlight w:val="none"/>
          <w:u w:val="none"/>
          <w:lang w:val="en-US" w:eastAsia="zh-CN"/>
        </w:rPr>
        <w:t>1</w:t>
      </w:r>
      <w:r>
        <w:rPr>
          <w:rFonts w:hint="eastAsia" w:ascii="宋体" w:hAnsi="宋体" w:eastAsia="宋体" w:cs="Times New Roman"/>
          <w:b w:val="0"/>
          <w:bCs/>
          <w:color w:val="auto"/>
          <w:kern w:val="0"/>
          <w:sz w:val="24"/>
          <w:szCs w:val="21"/>
          <w:highlight w:val="none"/>
          <w:u w:val="none"/>
          <w:lang w:val="en-US" w:eastAsia="zh-CN"/>
        </w:rPr>
        <w:t>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3297383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3.本项目的特定资格要求：自2023年1月1日至投标截止日（以合同签订时间为准），投标人提供1个党政机关（或事业单位）的信息化系统运维服务项目业绩。</w:t>
      </w:r>
    </w:p>
    <w:p w14:paraId="181D7C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注：①党政机关包括党的机关、人大机关、行政机关、政协机关、审判机关、检察机关，及各级党政机关派出机构、直属事业单位及工会、共青团、妇联等。 </w:t>
      </w:r>
    </w:p>
    <w:p w14:paraId="62B29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②党政机关（或事业单位）的级别以国家行政区划为界定，如：地级市、自治州、地区、盟政府部门视为地市级，以此类推。</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2026年4月1日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2026年4月8日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bookmarkStart w:id="10" w:name="_Toc35393793"/>
      <w:bookmarkEnd w:id="10"/>
      <w:bookmarkStart w:id="11" w:name="_Toc28359082"/>
      <w:bookmarkEnd w:id="11"/>
      <w:bookmarkStart w:id="12" w:name="_Toc28359005"/>
      <w:bookmarkEnd w:id="12"/>
      <w:bookmarkStart w:id="13" w:name="_Toc58430308"/>
      <w:bookmarkEnd w:id="13"/>
      <w:r>
        <w:rPr>
          <w:rFonts w:hint="eastAsia" w:ascii="宋体" w:hAnsi="宋体" w:eastAsia="宋体" w:cs="宋体"/>
          <w:color w:val="000000"/>
          <w:kern w:val="0"/>
          <w:sz w:val="24"/>
          <w:szCs w:val="24"/>
          <w:highlight w:val="none"/>
          <w:u w:color="000000"/>
          <w:lang w:val="en-US" w:eastAsia="zh-CN" w:bidi="ar"/>
        </w:rPr>
        <w:t>地点：滁州市城投工程咨询管理有限公司网站（https://www.czctgczx.com/）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2026年4月8日15时00分</w:t>
      </w:r>
      <w:r>
        <w:rPr>
          <w:rFonts w:hint="eastAsia" w:ascii="宋体" w:hAnsi="宋体" w:eastAsia="宋体" w:cs="宋体"/>
          <w:bCs/>
          <w:color w:val="000000"/>
          <w:kern w:val="0"/>
          <w:sz w:val="24"/>
          <w:szCs w:val="24"/>
          <w:highlight w:val="none"/>
          <w:u w:color="000000"/>
          <w:lang w:val="en-US" w:eastAsia="zh-CN" w:bidi="ar"/>
        </w:rPr>
        <w:t>（北京时间）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地点：滁州市琅琊西路81号(建设大厦）8楼会议室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名称：滁州市住房和城乡建设局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w:t>
      </w:r>
      <w:r>
        <w:rPr>
          <w:rFonts w:hint="eastAsia" w:ascii="宋体" w:hAnsi="宋体" w:eastAsia="宋体" w:cs="宋体"/>
          <w:color w:val="000000"/>
          <w:kern w:val="0"/>
          <w:sz w:val="24"/>
          <w:szCs w:val="24"/>
          <w:highlight w:val="none"/>
          <w:u w:color="000000"/>
          <w:lang w:val="en-US" w:eastAsia="zh-CN" w:bidi="ar"/>
        </w:rPr>
        <w:t>滁州市琅琊西路81号(建设大厦）8楼</w:t>
      </w:r>
      <w:r>
        <w:rPr>
          <w:rFonts w:hint="eastAsia" w:ascii="宋体" w:hAnsi="宋体" w:eastAsia="宋体" w:cs="宋体"/>
          <w:bCs/>
          <w:color w:val="000000"/>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0550-2170988</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项目联系人：方寸天、周蓓蕾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电话：0550-2170988、0550-3519519、18005505728</w:t>
      </w:r>
    </w:p>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滁州市资质审批管理系统运维服务项目</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cs="宋体"/>
                <w:highlight w:val="none"/>
                <w:lang w:val="en-US" w:eastAsia="zh-CN"/>
              </w:rPr>
              <w:t>方寸天  0550-2170988</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40000元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40000元</w:t>
            </w:r>
            <w:r>
              <w:rPr>
                <w:rFonts w:hint="eastAsia" w:ascii="宋体" w:hAnsi="宋体" w:eastAsia="宋体" w:cs="Times New Roman"/>
                <w:highlight w:val="none"/>
                <w:lang w:val="en-US" w:eastAsia="zh-CN"/>
              </w:rPr>
              <w:t>。投标报价不得超过各最高限价，否则按无效投标处理。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4</w:t>
            </w:r>
            <w:r>
              <w:rPr>
                <w:rFonts w:hint="eastAsia" w:ascii="宋体" w:hAnsi="宋体" w:eastAsia="宋体" w:cs="宋体"/>
                <w:kern w:val="0"/>
                <w:szCs w:val="21"/>
                <w:highlight w:val="none"/>
              </w:rPr>
              <w:t>月</w:t>
            </w:r>
            <w:r>
              <w:rPr>
                <w:rFonts w:hint="eastAsia" w:cs="宋体"/>
                <w:kern w:val="0"/>
                <w:szCs w:val="21"/>
                <w:highlight w:val="none"/>
                <w:lang w:val="en-US" w:eastAsia="zh-CN"/>
              </w:rPr>
              <w:t>3</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w:t>
            </w:r>
            <w:r>
              <w:rPr>
                <w:rFonts w:hAnsi="Times New Roman" w:cs="Times New Roman"/>
                <w:b w:val="0"/>
                <w:bCs w:val="0"/>
                <w:highlight w:val="none"/>
              </w:rPr>
              <w:t>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w:t>
            </w:r>
            <w:r>
              <w:rPr>
                <w:rFonts w:hint="eastAsia" w:hAnsi="Times New Roman" w:cs="Times New Roman"/>
                <w:b w:val="0"/>
                <w:bCs w:val="0"/>
                <w:highlight w:val="none"/>
                <w:lang w:val="en-US" w:eastAsia="zh-CN"/>
              </w:rPr>
              <w:t>gc</w:t>
            </w:r>
            <w:r>
              <w:rPr>
                <w:rFonts w:hAnsi="Times New Roman" w:cs="Times New Roman"/>
                <w:b w:val="0"/>
                <w:bCs w:val="0"/>
                <w:highlight w:val="none"/>
                <w:lang w:val="en-US"/>
              </w:rPr>
              <w:t>zx@163.com</w:t>
            </w:r>
            <w:r>
              <w:rPr>
                <w:rFonts w:hAnsi="Times New Roman" w:cs="Times New Roman"/>
                <w:b w:val="0"/>
                <w:bCs w:val="0"/>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4</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3</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代理服务费金额：1000元。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正本一份，副本</w:t>
            </w:r>
            <w:r>
              <w:rPr>
                <w:rFonts w:hint="eastAsia" w:ascii="宋体" w:hAnsi="宋体" w:cs="宋体"/>
                <w:szCs w:val="21"/>
                <w:highlight w:val="none"/>
                <w:lang w:val="en-US" w:eastAsia="zh-CN"/>
              </w:rPr>
              <w:t>二</w:t>
            </w:r>
            <w:r>
              <w:rPr>
                <w:rFonts w:hint="eastAsia" w:ascii="宋体" w:hAnsi="宋体" w:cs="宋体"/>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Cs w:val="21"/>
                <w:highlight w:val="none"/>
                <w:lang w:val="en-US" w:eastAsia="zh-CN"/>
              </w:rPr>
            </w:pPr>
            <w:r>
              <w:rPr>
                <w:rFonts w:hint="eastAsia"/>
                <w:color w:val="auto"/>
                <w:szCs w:val="21"/>
              </w:rPr>
              <w:t>投标文件的正本和副本应左侧装订，不得有零散页。投标文件应按照“投标文件格式”的目录次序装订，密封</w:t>
            </w:r>
            <w:r>
              <w:rPr>
                <w:rFonts w:hint="eastAsia"/>
                <w:color w:val="auto"/>
                <w:szCs w:val="21"/>
                <w:lang w:eastAsia="zh-CN"/>
              </w:rPr>
              <w:t>，</w:t>
            </w:r>
            <w:r>
              <w:rPr>
                <w:rFonts w:hint="eastAsia"/>
                <w:color w:val="auto"/>
                <w:szCs w:val="21"/>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投标人地址：</w:t>
            </w:r>
            <w:r>
              <w:rPr>
                <w:rFonts w:hint="eastAsia" w:ascii="宋体" w:hAnsi="宋体"/>
                <w:color w:val="auto"/>
                <w:szCs w:val="21"/>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val="en-US"/>
              </w:rPr>
            </w:pPr>
            <w:r>
              <w:rPr>
                <w:rFonts w:hint="eastAsia" w:ascii="宋体" w:hAnsi="宋体"/>
                <w:color w:val="auto"/>
                <w:szCs w:val="21"/>
              </w:rPr>
              <w:t>在</w:t>
            </w:r>
            <w:r>
              <w:rPr>
                <w:rFonts w:hint="eastAsia" w:ascii="宋体" w:hAnsi="宋体" w:cs="宋体-18030"/>
                <w:b/>
                <w:bCs/>
                <w:color w:val="auto"/>
                <w:szCs w:val="21"/>
              </w:rPr>
              <w:t xml:space="preserve"> </w:t>
            </w: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时</w:t>
            </w:r>
            <w:r>
              <w:rPr>
                <w:rFonts w:hint="eastAsia" w:ascii="宋体" w:hAnsi="宋体"/>
                <w:color w:val="auto"/>
                <w:szCs w:val="21"/>
                <w:lang w:val="en-US" w:eastAsia="zh-CN"/>
              </w:rPr>
              <w:t>00</w:t>
            </w:r>
            <w:r>
              <w:rPr>
                <w:rFonts w:hint="eastAsia" w:ascii="宋体" w:hAnsi="宋体"/>
                <w:color w:val="auto"/>
                <w:szCs w:val="21"/>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highlight w:val="none"/>
                <w:lang w:val="en-US"/>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olor w:val="auto"/>
                <w:szCs w:val="21"/>
                <w:lang w:val="en-US" w:eastAsia="zh-CN"/>
              </w:rPr>
              <w:t>15</w:t>
            </w:r>
            <w:r>
              <w:rPr>
                <w:rFonts w:hint="eastAsia" w:ascii="宋体" w:hAnsi="宋体"/>
                <w:color w:val="auto"/>
                <w:szCs w:val="21"/>
              </w:rPr>
              <w:t>时</w:t>
            </w:r>
            <w:r>
              <w:rPr>
                <w:rFonts w:hint="eastAsia" w:ascii="宋体" w:hAnsi="宋体"/>
                <w:color w:val="auto"/>
                <w:szCs w:val="21"/>
                <w:lang w:val="en-US" w:eastAsia="zh-CN"/>
              </w:rPr>
              <w:t xml:space="preserve"> 00</w:t>
            </w:r>
            <w:r>
              <w:rPr>
                <w:rFonts w:hint="eastAsia" w:ascii="宋体" w:hAnsi="宋体"/>
                <w:color w:val="auto"/>
                <w:szCs w:val="21"/>
              </w:rPr>
              <w:t>分（北京时间）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szCs w:val="21"/>
                <w:highlight w:val="none"/>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 xml:space="preserve">时00分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olor w:val="auto"/>
                <w:szCs w:val="21"/>
              </w:rPr>
              <w:t>地</w:t>
            </w:r>
            <w:r>
              <w:rPr>
                <w:rFonts w:hint="eastAsia" w:ascii="宋体" w:hAnsi="宋体"/>
                <w:color w:val="auto"/>
                <w:szCs w:val="21"/>
                <w:lang w:eastAsia="zh-CN"/>
              </w:rPr>
              <w:t>点：</w:t>
            </w:r>
            <w:r>
              <w:rPr>
                <w:rFonts w:hint="eastAsia" w:ascii="宋体" w:hAnsi="宋体"/>
                <w:color w:val="auto"/>
                <w:szCs w:val="21"/>
                <w:lang w:val="en-US" w:eastAsia="zh-CN"/>
              </w:rPr>
              <w:t>滁州市琅琊西路81号(建设大厦）8楼会议室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5A17E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lang w:val="en-US" w:eastAsia="zh-CN"/>
              </w:rPr>
              <w:t>合同履约期满并经采购人验收合格后，一次性付清合同价款。</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247513962"/>
      <w:bookmarkEnd w:id="21"/>
      <w:bookmarkStart w:id="22" w:name="_Toc152042315"/>
      <w:bookmarkEnd w:id="22"/>
      <w:bookmarkStart w:id="23" w:name="_Toc144974507"/>
      <w:bookmarkEnd w:id="23"/>
      <w:bookmarkStart w:id="24" w:name="_Toc152045539"/>
      <w:bookmarkEnd w:id="24"/>
      <w:bookmarkStart w:id="25" w:name="_Toc247527563"/>
      <w:bookmarkEnd w:id="25"/>
      <w:bookmarkStart w:id="26" w:name="_Toc296602429"/>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w:t>
      </w:r>
      <w:r>
        <w:rPr>
          <w:rFonts w:hint="eastAsia" w:ascii="黑体" w:hAnsi="宋体" w:eastAsia="黑体" w:cs="宋体"/>
          <w:b/>
          <w:bCs/>
          <w:color w:val="000000"/>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lang w:val="en-US" w:eastAsia="zh-CN"/>
        </w:rPr>
      </w:pPr>
      <w:r>
        <w:rPr>
          <w:rFonts w:hint="eastAsia" w:ascii="宋体" w:hAnsi="宋体" w:eastAsia="宋体" w:cs="宋体"/>
          <w:color w:val="000000"/>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30407_WPSOffice_Level3"/>
      <w:bookmarkEnd w:id="31"/>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w:t>
      </w:r>
      <w:bookmarkEnd w:id="33"/>
      <w:r>
        <w:rPr>
          <w:rFonts w:hint="eastAsia" w:ascii="宋体"/>
          <w:b/>
          <w:color w:val="auto"/>
          <w:sz w:val="24"/>
          <w:szCs w:val="24"/>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rPr>
      </w:pPr>
      <w:bookmarkStart w:id="34" w:name="_Toc490"/>
      <w:bookmarkEnd w:id="34"/>
      <w:r>
        <w:rPr>
          <w:rFonts w:hint="eastAsia" w:ascii="宋体" w:hAnsi="宋体" w:eastAsia="宋体" w:cs="宋体"/>
          <w:color w:val="000000"/>
          <w:kern w:val="0"/>
          <w:sz w:val="21"/>
          <w:szCs w:val="21"/>
          <w:highlight w:val="none"/>
          <w:u w:color="000000"/>
          <w:lang w:val="en-US" w:eastAsia="zh-CN" w:bidi="ar"/>
        </w:rPr>
        <w:t>25.1</w:t>
      </w:r>
      <w:r>
        <w:rPr>
          <w:rFonts w:hint="eastAsia"/>
          <w:color w:val="auto"/>
          <w:szCs w:val="21"/>
        </w:rPr>
        <w:t>投标文件应按照“投标文件格式”的目录次序装订，密封。</w:t>
      </w:r>
    </w:p>
    <w:p w14:paraId="2CEF2278">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01BC1F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462163F9">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26.1</w:t>
      </w:r>
      <w:r>
        <w:rPr>
          <w:rFonts w:hint="eastAsia" w:ascii="宋体" w:hAnsi="宋体" w:eastAsia="宋体" w:cs="宋体"/>
          <w:color w:val="auto"/>
          <w:szCs w:val="21"/>
        </w:rPr>
        <w:t>投标人应在投标人须知前附表规定的投标截止时间前递交投标文件。投标人未按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0DBD3B3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4CC3D66F">
      <w:pPr>
        <w:spacing w:line="440" w:lineRule="exact"/>
        <w:ind w:firstLine="420" w:firstLineChars="200"/>
        <w:rPr>
          <w:rFonts w:hint="eastAsia"/>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kern w:val="0"/>
          <w:sz w:val="21"/>
          <w:szCs w:val="21"/>
          <w:highlight w:val="none"/>
          <w:u w:color="000000"/>
          <w:lang w:val="en-US" w:eastAsia="zh-CN" w:bidi="ar"/>
        </w:rPr>
      </w:pPr>
      <w:r>
        <w:rPr>
          <w:rFonts w:hint="eastAsia" w:ascii="宋体" w:hAnsi="宋体" w:cs="宋体"/>
          <w:color w:val="000000"/>
          <w:kern w:val="0"/>
          <w:sz w:val="21"/>
          <w:szCs w:val="21"/>
          <w:highlight w:val="none"/>
          <w:u w:color="000000"/>
          <w:lang w:val="en-US" w:eastAsia="zh-CN" w:bidi="ar"/>
        </w:rPr>
        <w:t>28.2.2</w:t>
      </w:r>
      <w:r>
        <w:rPr>
          <w:rFonts w:hint="eastAsia" w:ascii="宋体" w:cs="宋体"/>
          <w:bCs/>
          <w:color w:val="auto"/>
          <w:szCs w:val="21"/>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color="000000"/>
          <w:lang w:val="en-US" w:eastAsia="zh-CN" w:bidi="ar"/>
        </w:rPr>
        <w:t>监督人</w:t>
      </w:r>
      <w:r>
        <w:rPr>
          <w:rFonts w:hint="eastAsia" w:ascii="宋体"/>
          <w:szCs w:val="21"/>
        </w:rPr>
        <w:t>等有关人员姓名；</w:t>
      </w:r>
    </w:p>
    <w:p w14:paraId="4A6E7AC7">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182EC340">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10D43192">
      <w:pPr>
        <w:spacing w:line="440" w:lineRule="exact"/>
        <w:ind w:right="-155" w:rightChars="-74" w:firstLine="210" w:firstLineChars="100"/>
        <w:jc w:val="left"/>
        <w:rPr>
          <w:rFonts w:hint="default" w:ascii="宋体" w:eastAsiaTheme="minorEastAsia"/>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20C95036">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3C37F792">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5D66D194">
      <w:pPr>
        <w:spacing w:line="440" w:lineRule="exact"/>
        <w:ind w:right="-155" w:rightChars="-74" w:firstLine="210" w:firstLineChars="100"/>
        <w:jc w:val="left"/>
        <w:rPr>
          <w:rFonts w:hint="eastAsia" w:ascii="宋体"/>
          <w:szCs w:val="21"/>
        </w:rPr>
      </w:pPr>
      <w:r>
        <w:rPr>
          <w:rFonts w:hint="eastAsia" w:ascii="宋体"/>
          <w:szCs w:val="21"/>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color="000000"/>
          <w:lang w:val="en-US" w:eastAsia="zh-CN" w:bidi="ar"/>
        </w:rPr>
        <w:t xml:space="preserve">33.废标（重新招标）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8"/>
        <w:spacing w:line="460" w:lineRule="exact"/>
        <w:ind w:firstLine="420" w:firstLineChars="200"/>
        <w:rPr>
          <w:rFonts w:hint="eastAsia" w:ascii="宋体" w:hAnsi="Times New Roman" w:eastAsia="宋体" w:cs="Times New Roman"/>
          <w:color w:val="000000"/>
          <w:szCs w:val="21"/>
          <w:highlight w:val="none"/>
        </w:rPr>
      </w:pPr>
      <w:bookmarkStart w:id="37" w:name="_Toc28864"/>
      <w:bookmarkEnd w:id="37"/>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76CD392B">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)投标截止时间止，投标人少于3个的；</w:t>
      </w:r>
    </w:p>
    <w:p w14:paraId="25085923">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)出现影响采购公正的违法、违规行为的；</w:t>
      </w:r>
    </w:p>
    <w:p w14:paraId="7877C882">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)投标人的报价均脱离实际且无充分证据的；</w:t>
      </w:r>
    </w:p>
    <w:p w14:paraId="09928BCF">
      <w:pPr>
        <w:pStyle w:val="8"/>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4</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41222A07">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000000"/>
          <w:kern w:val="0"/>
          <w:sz w:val="21"/>
          <w:szCs w:val="21"/>
          <w:highlight w:val="none"/>
          <w:u w:color="000000"/>
          <w:lang w:val="en-US" w:eastAsia="zh-CN" w:bidi="ar"/>
        </w:rPr>
        <w:t>36.</w:t>
      </w:r>
      <w:bookmarkStart w:id="39"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0" w:name="_Toc316_WPSOffice_Level3"/>
      <w:bookmarkEnd w:id="40"/>
      <w:bookmarkStart w:id="41" w:name="_Toc23484"/>
      <w:r>
        <w:rPr>
          <w:rFonts w:hint="eastAsia" w:ascii="宋体" w:hAnsi="宋体" w:eastAsia="宋体" w:cs="宋体"/>
          <w:color w:val="000000"/>
          <w:kern w:val="0"/>
          <w:sz w:val="21"/>
          <w:szCs w:val="21"/>
          <w:highlight w:val="none"/>
          <w:u w:color="000000"/>
          <w:lang w:val="en-US" w:eastAsia="zh-CN" w:bidi="ar"/>
        </w:rPr>
        <w:t>36.1</w:t>
      </w:r>
      <w:bookmarkEnd w:id="41"/>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41. </w:t>
      </w:r>
      <w:r>
        <w:rPr>
          <w:rFonts w:hint="eastAsia" w:ascii="宋体" w:hAnsi="宋体"/>
          <w:b/>
          <w:color w:val="000000"/>
          <w:szCs w:val="21"/>
          <w:highlight w:val="none"/>
        </w:rPr>
        <w:t>询问、质疑</w:t>
      </w:r>
    </w:p>
    <w:p w14:paraId="3E7A8526">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76271065">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2" w:name="_Toc58430316"/>
      <w:bookmarkEnd w:id="42"/>
      <w:r>
        <w:rPr>
          <w:rFonts w:hint="eastAsia" w:ascii="宋体"/>
          <w:color w:val="000000"/>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4" w:name="_Toc58430326"/>
      <w:bookmarkStart w:id="45" w:name="_Toc469495735"/>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w:t>
      </w:r>
      <w:r>
        <w:rPr>
          <w:rFonts w:hint="eastAsia" w:ascii="宋体" w:hAnsi="Times New Roman" w:eastAsia="宋体" w:cs="Times New Roman"/>
          <w:szCs w:val="21"/>
          <w:highlight w:val="none"/>
        </w:rPr>
        <w:t>经评审的最低价法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w:t>
      </w:r>
      <w:r>
        <w:rPr>
          <w:rFonts w:hint="eastAsia" w:ascii="宋体"/>
          <w:szCs w:val="21"/>
          <w:highlight w:val="none"/>
          <w:lang w:eastAsia="zh-CN"/>
        </w:rPr>
        <w:t>.</w:t>
      </w:r>
      <w:r>
        <w:rPr>
          <w:rFonts w:hint="eastAsia" w:ascii="宋体"/>
          <w:szCs w:val="21"/>
          <w:highlight w:val="none"/>
        </w:rPr>
        <w:t>3.1</w:t>
      </w:r>
      <w:r>
        <w:rPr>
          <w:rFonts w:ascii="宋体"/>
          <w:szCs w:val="21"/>
          <w:highlight w:val="none"/>
        </w:rPr>
        <w:t>按</w:t>
      </w:r>
      <w:bookmarkStart w:id="204" w:name="_GoBack"/>
      <w:r>
        <w:rPr>
          <w:rFonts w:ascii="宋体"/>
          <w:szCs w:val="21"/>
          <w:highlight w:val="none"/>
        </w:rPr>
        <w:t>交易</w:t>
      </w:r>
      <w:bookmarkEnd w:id="204"/>
      <w:r>
        <w:rPr>
          <w:rFonts w:ascii="宋体"/>
          <w:szCs w:val="21"/>
          <w:highlight w:val="none"/>
        </w:rPr>
        <w:t>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6" w:name="_Toc9092_WPSOffice_Level3"/>
      <w:bookmarkEnd w:id="46"/>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szCs w:val="24"/>
                <w:highlight w:val="none"/>
              </w:rPr>
              <w:t>开标时核验</w:t>
            </w:r>
            <w:r>
              <w:rPr>
                <w:rFonts w:hint="eastAsia" w:ascii="宋体"/>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宋体"/>
                <w:color w:val="000000"/>
                <w:kern w:val="2"/>
                <w:sz w:val="21"/>
                <w:szCs w:val="21"/>
                <w:highlight w:val="none"/>
                <w:u w:color="000000"/>
                <w:lang w:val="en-US" w:eastAsia="zh-CN" w:bidi="ar"/>
              </w:rPr>
              <w:t>：</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CDAC4AA">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Times New Roman"/>
                <w:color w:val="000000"/>
                <w:szCs w:val="21"/>
                <w:highlight w:val="none"/>
                <w:lang w:val="en-US" w:eastAsia="zh-CN"/>
              </w:rPr>
              <w:t>业绩合同复印件</w:t>
            </w:r>
          </w:p>
          <w:p w14:paraId="681DFA18">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注：①党政机关包括党的机关、人大机关、行政机关、政协机关、审判机关、检察机关，及各级党政机关派出机构、直属事业单位及工会、共青团、妇联等。 </w:t>
            </w:r>
          </w:p>
          <w:p w14:paraId="18284CED">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②党政机关（或事业单位）的级别以国家行政区划为界定，如：地级市、自治州、地区、盟政府部门视为地市级，以此类推。</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7" w:name="_Toc4660368"/>
      <w:bookmarkEnd w:id="47"/>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22100_WPSOffice_Level2"/>
      <w:bookmarkStart w:id="50" w:name="_Toc831"/>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keepNext w:val="0"/>
        <w:keepLines w:val="0"/>
        <w:pageBreakBefore w:val="0"/>
        <w:widowControl w:val="0"/>
        <w:kinsoku/>
        <w:overflowPunct/>
        <w:topLinePunct w:val="0"/>
        <w:autoSpaceDE/>
        <w:autoSpaceDN/>
        <w:bidi w:val="0"/>
        <w:adjustRightInd/>
        <w:snapToGrid/>
        <w:spacing w:line="460" w:lineRule="exact"/>
        <w:ind w:firstLine="525" w:firstLineChars="250"/>
        <w:textAlignment w:val="auto"/>
        <w:rPr>
          <w:rFonts w:hint="eastAsia" w:ascii="宋体" w:eastAsiaTheme="minorEastAsia"/>
          <w:color w:val="000000"/>
          <w:szCs w:val="21"/>
          <w:highlight w:val="none"/>
          <w:lang w:eastAsia="zh-CN"/>
        </w:rPr>
      </w:pPr>
      <w:r>
        <w:rPr>
          <w:rFonts w:hint="eastAsia" w:ascii="宋体" w:cs="宋体"/>
          <w:color w:val="auto"/>
          <w:szCs w:val="21"/>
          <w:highlight w:val="none"/>
        </w:rPr>
        <w:t>5.1</w:t>
      </w:r>
      <w:r>
        <w:rPr>
          <w:rFonts w:hint="eastAsia" w:ascii="宋体"/>
          <w:color w:val="000000"/>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color w:val="000000"/>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19726_WPSOffice_Level2"/>
      <w:bookmarkStart w:id="52" w:name="_Toc25521"/>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34F75335">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0328420E">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.1对小型和微型企业、残疾人福利性企业、监狱企业产品的价格给予10%扣除，用扣除后的价格参与评审。</w:t>
      </w:r>
    </w:p>
    <w:p w14:paraId="0905841F">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中小型企业的划型标准执行《政府采购促进中小企业发展管理办法》（财库﹝2020﹞46 号）号文件。</w:t>
      </w:r>
    </w:p>
    <w:p w14:paraId="44B8AC1E">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0E78EA0">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widowControl w:val="0"/>
        <w:spacing w:line="440" w:lineRule="exact"/>
        <w:ind w:firstLine="420" w:firstLineChars="200"/>
        <w:textAlignment w:val="auto"/>
        <w:rPr>
          <w:rFonts w:hint="eastAsia" w:ascii="宋体" w:cs="宋体"/>
          <w:color w:val="auto"/>
          <w:szCs w:val="21"/>
          <w:highlight w:val="none"/>
        </w:rPr>
      </w:pPr>
      <w:bookmarkStart w:id="53" w:name="_Toc267320058"/>
      <w:r>
        <w:rPr>
          <w:rFonts w:hint="eastAsia" w:ascii="宋体" w:cs="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s="宋体"/>
          <w:color w:val="auto"/>
          <w:szCs w:val="21"/>
          <w:highlight w:val="none"/>
          <w:lang w:val="en-US" w:eastAsia="zh-CN"/>
        </w:rPr>
        <w:t>采购</w:t>
      </w:r>
      <w:r>
        <w:rPr>
          <w:rFonts w:hint="eastAsia" w:ascii="宋体" w:cs="宋体"/>
          <w:color w:val="auto"/>
          <w:szCs w:val="21"/>
          <w:highlight w:val="none"/>
        </w:rPr>
        <w:t>人现场采取随机摇号的方式确定中标候选人</w:t>
      </w:r>
      <w:r>
        <w:rPr>
          <w:rFonts w:hint="eastAsia" w:ascii="宋体" w:cs="宋体"/>
          <w:color w:val="auto"/>
          <w:szCs w:val="21"/>
          <w:highlight w:val="none"/>
          <w:lang w:val="en-US" w:eastAsia="zh-CN"/>
        </w:rPr>
        <w:t>排序</w:t>
      </w:r>
      <w:r>
        <w:rPr>
          <w:rFonts w:hint="eastAsia" w:ascii="宋体" w:cs="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rPr>
      </w:pPr>
      <w:r>
        <w:rPr>
          <w:rFonts w:hint="eastAsia" w:ascii="宋体"/>
          <w:color w:val="auto"/>
          <w:szCs w:val="21"/>
        </w:rPr>
        <w:t>(1)逾期送达的或者未送达指定地点的投标文件的，投标将被拒绝。</w:t>
      </w:r>
    </w:p>
    <w:p w14:paraId="26660DCA">
      <w:pPr>
        <w:spacing w:line="400" w:lineRule="exact"/>
        <w:ind w:firstLine="420" w:firstLineChars="200"/>
        <w:rPr>
          <w:rFonts w:hint="eastAsia" w:ascii="宋体"/>
          <w:color w:val="auto"/>
          <w:szCs w:val="21"/>
        </w:rPr>
      </w:pP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w:t>
      </w:r>
      <w:r>
        <w:rPr>
          <w:rFonts w:hint="eastAsia" w:ascii="宋体"/>
          <w:color w:val="auto"/>
          <w:szCs w:val="21"/>
          <w:lang w:val="en-US" w:eastAsia="zh-CN"/>
        </w:rPr>
        <w:t>5</w:t>
      </w:r>
      <w:r>
        <w:rPr>
          <w:rFonts w:hint="eastAsia" w:ascii="宋体"/>
          <w:color w:val="auto"/>
          <w:szCs w:val="21"/>
        </w:rPr>
        <w:t>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7C574DE3">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70AFE70B">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25CED30A">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D4946D2">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03D88D42">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5BDC541D">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5EA4AB56">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hAnsi="宋体" w:cs="宋体"/>
          <w:color w:val="auto"/>
          <w:spacing w:val="0"/>
          <w:sz w:val="21"/>
          <w:szCs w:val="21"/>
        </w:rPr>
        <w:t>其它情形，经谈判小组提出按无效响应处理的；</w:t>
      </w:r>
    </w:p>
    <w:p w14:paraId="1297E6CE">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规定的其它无效情形</w:t>
      </w:r>
      <w:r>
        <w:rPr>
          <w:rFonts w:hint="eastAsia" w:ascii="宋体" w:hAnsi="宋体" w:cs="宋体"/>
          <w:bCs/>
          <w:color w:val="auto"/>
          <w:spacing w:val="0"/>
          <w:sz w:val="21"/>
          <w:szCs w:val="21"/>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项目概况</w:t>
      </w:r>
      <w:r>
        <w:rPr>
          <w:rFonts w:hint="eastAsia" w:ascii="宋体" w:hAnsi="宋体" w:eastAsia="宋体" w:cs="宋体"/>
          <w:b/>
          <w:sz w:val="21"/>
          <w:szCs w:val="21"/>
          <w:highlight w:val="none"/>
        </w:rPr>
        <w:t xml:space="preserve"> </w:t>
      </w:r>
    </w:p>
    <w:p w14:paraId="5F48A1F1">
      <w:pPr>
        <w:spacing w:line="480" w:lineRule="exact"/>
        <w:ind w:firstLine="420" w:firstLineChars="200"/>
      </w:pPr>
      <w:r>
        <w:rPr>
          <w:rFonts w:hint="eastAsia" w:ascii="宋体" w:hAnsi="宋体" w:eastAsia="宋体" w:cs="宋体"/>
          <w:sz w:val="21"/>
          <w:szCs w:val="21"/>
          <w:highlight w:val="none"/>
          <w:lang w:val="en-US" w:eastAsia="zh-CN"/>
        </w:rPr>
        <w:t>滁州市资质审批管理系统</w:t>
      </w:r>
      <w:r>
        <w:rPr>
          <w:rFonts w:hint="default" w:ascii="宋体" w:hAnsi="宋体" w:eastAsia="宋体" w:cs="宋体"/>
          <w:sz w:val="21"/>
          <w:szCs w:val="21"/>
          <w:highlight w:val="none"/>
          <w:lang w:val="en-US" w:eastAsia="zh-CN"/>
        </w:rPr>
        <w:t>于前期完成建设</w:t>
      </w:r>
      <w:r>
        <w:rPr>
          <w:rFonts w:hint="eastAsia" w:ascii="宋体" w:hAnsi="宋体" w:eastAsia="宋体" w:cs="宋体"/>
          <w:sz w:val="21"/>
          <w:szCs w:val="21"/>
          <w:highlight w:val="none"/>
          <w:lang w:val="en-US" w:eastAsia="zh-CN"/>
        </w:rPr>
        <w:t>，当前已</w:t>
      </w:r>
      <w:r>
        <w:rPr>
          <w:rFonts w:hint="default" w:ascii="宋体" w:hAnsi="宋体" w:eastAsia="宋体" w:cs="宋体"/>
          <w:sz w:val="21"/>
          <w:szCs w:val="21"/>
          <w:highlight w:val="none"/>
          <w:lang w:val="en-US" w:eastAsia="zh-CN"/>
        </w:rPr>
        <w:t>过免费运维服务期限，为保障平台系统安全稳定运行，满足国家、省、市相关考核要求，持续做好平台系统运维及功能调整，不断提升资质审批效能，</w:t>
      </w:r>
      <w:r>
        <w:rPr>
          <w:rFonts w:hint="eastAsia" w:ascii="宋体" w:hAnsi="宋体" w:eastAsia="宋体" w:cs="宋体"/>
          <w:sz w:val="21"/>
          <w:szCs w:val="21"/>
          <w:highlight w:val="none"/>
          <w:lang w:val="en-US" w:eastAsia="zh-CN"/>
        </w:rPr>
        <w:t>现进行平台运维服务招标工作</w:t>
      </w:r>
      <w:r>
        <w:rPr>
          <w:rFonts w:hint="default" w:ascii="宋体" w:hAnsi="宋体" w:eastAsia="宋体" w:cs="宋体"/>
          <w:sz w:val="21"/>
          <w:szCs w:val="21"/>
          <w:highlight w:val="none"/>
          <w:lang w:val="en-US" w:eastAsia="zh-CN"/>
        </w:rPr>
        <w:t>。</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二、采购内容</w:t>
      </w:r>
    </w:p>
    <w:p w14:paraId="5DA469B9">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（一）服务目标</w:t>
      </w:r>
    </w:p>
    <w:p w14:paraId="2F056ED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本运维项目建设，做好滁州市资质审批管理系统运维项目平台功能调整、日常维护和故障处理工作，并能够改正软件当中存在的缺陷、满足新的要求、调整新的功能，从而持续保障滁州市资质审批管理系统的安全稳定运行。</w:t>
      </w:r>
    </w:p>
    <w:p w14:paraId="52399BC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（二）服务内容</w:t>
      </w:r>
    </w:p>
    <w:p w14:paraId="3F46FB8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包括但不限于以下内容：</w:t>
      </w:r>
    </w:p>
    <w:p w14:paraId="5ECC62D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lang w:val="en-US" w:eastAsia="zh-CN"/>
        </w:rPr>
        <w:t>日常运维服务</w:t>
      </w:r>
    </w:p>
    <w:p w14:paraId="7EDDE70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1.1运行功能维护</w:t>
      </w:r>
    </w:p>
    <w:p w14:paraId="59E1177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通过对滁州市资质审批管理系统开展功能开发维护工作，保障系统的首页、企业信息管理、个人信息管理、建筑业资质、监理资质、安许证、房地产开发资质业务办理模块的安全稳定运行。</w:t>
      </w:r>
    </w:p>
    <w:p w14:paraId="2A2C3E6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1.2运行监控</w:t>
      </w:r>
    </w:p>
    <w:p w14:paraId="4ECFFB2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包括系统运行监控、定期巡检、调整优化、故障排除及处理、补丁升级，主要包括以下内容：</w:t>
      </w:r>
    </w:p>
    <w:p w14:paraId="2E0E76F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运行检查：负责服务器操作系统、数据库和中间件日常运行状态检查、监控及预警，包括CPU、内存、硬盘使用率、连接池、缓冲池、表空间、吞吐量、数据交换、数据库容量、数据库连接数、软件访问速度，确保系统正常运行。如发现运行异常，第一时间处理并上报。</w:t>
      </w:r>
    </w:p>
    <w:p w14:paraId="1C939100">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（2）定期巡检：负责服务器应用性能分析、设备日志检查分析。安排技术人员每月对业务应用系统各方面运行状况进行全面检测，针对可能存在的问题提出调整意见。巡检结束后形成巡检报告。</w:t>
      </w:r>
    </w:p>
    <w:p w14:paraId="57E29D9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（3）调整优化：负责对服务器、操作系统配置优化、性能调优、内存分配、磁盘空间清理。</w:t>
      </w:r>
    </w:p>
    <w:p w14:paraId="60B0FF3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（4）故障排除及处理：负责对服务器、操作系统发生的运行故障及时响应，组织排查、诊断、处理和后续改进。</w:t>
      </w:r>
    </w:p>
    <w:p w14:paraId="383DDC5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（5）补丁升级：负责对操作系统、应用中间件进行补丁升级。</w:t>
      </w:r>
    </w:p>
    <w:p w14:paraId="7237CA9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1.3数据库维护</w:t>
      </w:r>
    </w:p>
    <w:p w14:paraId="6726077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据库的运维主要结合系统的实际情况，制定切实可行的运维建设机制，内容覆盖数据库管理、数据库巡检、数据库运行监控、数据库故障处理与更新，依据服务内容进行相应的定制。制定全面的、针对性的服务解决方案，以保证系统稳定、高效、可靠运行。</w:t>
      </w:r>
    </w:p>
    <w:p w14:paraId="56E38F0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（1）数据库巡检</w:t>
      </w:r>
    </w:p>
    <w:p w14:paraId="26530E0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对数据库备份情况进行巡检，检查前一天数据库备份是否正常，数据库服务器内存、磁盘空间是否充足。</w:t>
      </w:r>
    </w:p>
    <w:p w14:paraId="654CFD1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（2）数据库运行监控</w:t>
      </w:r>
    </w:p>
    <w:p w14:paraId="74E4A63F">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提供相关数据库运行监控，监控数据库的存储空间、日志、进程状态、性能、是否出现死锁。</w:t>
      </w:r>
    </w:p>
    <w:p w14:paraId="0999F2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1.4系统故障处理</w:t>
      </w:r>
    </w:p>
    <w:p w14:paraId="41F3FD1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采购人向中标人提交业务应用系统使用过程中发现的有关问题，中标人应在半个工作日内对所提交的问题进行处理，并对问题进行跟踪，处理完成后对问题提交人进行回复。</w:t>
      </w:r>
    </w:p>
    <w:p w14:paraId="7655B0B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（1）简单问题，运维人员应在1个工作日内解决。</w:t>
      </w:r>
    </w:p>
    <w:p w14:paraId="61026338">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需运维人员与软件开发人员配合处理的问题（非新增需求类），应在2个工作日内完成工作确认，解决问题期限不超过1周；开发人员将问题解决后，经测试验证合格后，告知问题提交人，并同时协定系统更新时间。</w:t>
      </w:r>
    </w:p>
    <w:p w14:paraId="6097331E">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（3）若因第三方软、硬件故障导致业务系统无法正常使用的状况发生，协助第三方积极进行故障排查；在第三方软、硬件故障短时间内无法排除的情况下，提供临时解决方案，协助恢复业务系统运行。</w:t>
      </w:r>
    </w:p>
    <w:p w14:paraId="5FFF39D4">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r>
        <w:rPr>
          <w:rFonts w:hint="default" w:ascii="宋体" w:hAnsi="宋体" w:eastAsia="宋体" w:cs="宋体"/>
          <w:sz w:val="21"/>
          <w:szCs w:val="21"/>
          <w:highlight w:val="none"/>
          <w:lang w:val="en-US" w:eastAsia="zh-CN"/>
        </w:rPr>
        <w:t>突发事件响应及处理</w:t>
      </w:r>
    </w:p>
    <w:p w14:paraId="5D62DFE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系统出现无法登录、运行速度异常缓慢、系统无法使用无预兆、无计划突发情况时，进行及时响应处理，确保系统稳定运行。</w:t>
      </w:r>
    </w:p>
    <w:p w14:paraId="0130220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（1）突发事件发生后，中标人应在1小时内予以响应。</w:t>
      </w:r>
    </w:p>
    <w:p w14:paraId="269CC48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（2）协助系统维护人员收集信息、分析原因、确定突发事件性质与级别。根据突发事件性质与级别，启动突发事件应急响应预案，并在最短时间内制定出有效的解决方案；使系统在最短时间内恢复正常。</w:t>
      </w:r>
    </w:p>
    <w:p w14:paraId="2F57EE2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（3）根据解决方案，在既定时间内排除故障，原则上不超过2个小时，如遇特殊原因需要延长解决期限的，应与采购人协商确定新的解决期限。</w:t>
      </w:r>
    </w:p>
    <w:p w14:paraId="509DFB5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（4）因业务量剧增、数据传输交换造成的数据库阻塞或系统崩溃，中标人原则上不超过半天排除故障。</w:t>
      </w:r>
    </w:p>
    <w:p w14:paraId="05585E5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（5）因停电、部件损坏造成的硬件故障，导致系统功能损坏或系统崩溃，中标人在硬件故障排除后原则上不超过1天恢复。若数据库发生严重故障无法修复，应说明原因，共同协商解决。</w:t>
      </w:r>
    </w:p>
    <w:p w14:paraId="5E4E1AD2">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（6）在突发事件处理完毕后，及时分析事件产生原因，明确改进措施，完成《故障处理报告》。</w:t>
      </w:r>
    </w:p>
    <w:p w14:paraId="7B63020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2.维护性开发工作</w:t>
      </w:r>
    </w:p>
    <w:p w14:paraId="72E4350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业务工作的需要，做好运维系统新增功能的开发和优化完善工作，对于维护性开发的功能，遵循与系统原有功能相同的技术架构和标准，确保与系统原有功能在逻辑上相互协调，不存在冲突或遗漏；保证能够正确地处理、存储和传输系统产生的全部数据；满足系统的稳定性、可扩展性、安全性和合规性要求。</w:t>
      </w:r>
    </w:p>
    <w:p w14:paraId="3DCF9050">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系统功能调整后，需做好安全检测后进行软件更新，满足业务发展的需要，保障系统各项业务的正常运行，具体要求如下：</w:t>
      </w:r>
    </w:p>
    <w:p w14:paraId="1523D7A1">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（1）对应用系统功能进行修改、完善优化的需求，需经采购人确认后组织开发。</w:t>
      </w:r>
    </w:p>
    <w:p w14:paraId="4D050D65">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（2）根据业务的变化及技术的发展，主动提出对软件进行优化的意见建议，经采购人同意后进行软件更新。</w:t>
      </w:r>
    </w:p>
    <w:p w14:paraId="15401AD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（3）因法律法规的调整、业务规则的变化所引发的涉及系统功能模块变更或者新增业务模块，且在5个工作日内（包括需求分析、开发、测试）能实现的需求，一并纳入维护性开发服务范围。</w:t>
      </w:r>
    </w:p>
    <w:p w14:paraId="77AE7EA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（三）服务要求</w:t>
      </w:r>
    </w:p>
    <w:p w14:paraId="07B2B29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1.驻点服务</w:t>
      </w:r>
    </w:p>
    <w:p w14:paraId="610EB9B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合同履行期内，中标人需提供本地驻点技术服务，至少提供1名技术人员常驻采购人指定现场。</w:t>
      </w:r>
    </w:p>
    <w:p w14:paraId="6DF533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2.安全要求</w:t>
      </w:r>
    </w:p>
    <w:p w14:paraId="2A861726">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遵照《中华人民共和国网络安全法》《中华人民共和国数据安全法》《中华人民共和国个人信息保护法》、等级保护条例法律法规以及安徽省有关规章制度、采购人管理制度开展网络安全服务工作，包括以下内容：</w:t>
      </w:r>
    </w:p>
    <w:p w14:paraId="0085AD6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（1）与采购人签订保密协议，项目组人员签署保密承诺书。</w:t>
      </w:r>
    </w:p>
    <w:p w14:paraId="52E9E2A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（2）对网络安全漏洞及隐患，及时做好修复和验证。</w:t>
      </w:r>
    </w:p>
    <w:p w14:paraId="53127D38">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（3）在不影响系统正常运行及业务办理的前提下，配合采购人开展网络安全应急演练、重大活动技术保障。</w:t>
      </w:r>
    </w:p>
    <w:p w14:paraId="698E8D7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3.运维报告</w:t>
      </w:r>
    </w:p>
    <w:p w14:paraId="77E3C49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软件运行维护服务的内容，按月生成运维报告，并提交采购人。报告内容包括：当月运维工作总体情况；问题受理及处理情况；各项任务完成情况；版本升级情况；通过修改软件所解决的问题情况；软件平台运行状况；改进建议。</w:t>
      </w:r>
    </w:p>
    <w:p w14:paraId="4DAFE23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根据全年运维内容和工作情况，提交总结性报告，报告内容包括：软件维护服务内容、工作量汇总；全年故障处理情况汇总；系统整体运行情况的总结和建议。</w:t>
      </w:r>
    </w:p>
    <w:p w14:paraId="4683D28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4.验收要求</w:t>
      </w:r>
    </w:p>
    <w:p w14:paraId="77BA0054">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服务期结束后，由中标人按照相关要求开展项目验收，提出验收申请</w:t>
      </w:r>
      <w:r>
        <w:rPr>
          <w:rFonts w:hint="eastAsia" w:ascii="宋体" w:hAnsi="宋体" w:eastAsia="宋体" w:cs="宋体"/>
          <w:lang w:val="en-US" w:eastAsia="zh-CN"/>
        </w:rPr>
        <w:t>，由</w:t>
      </w:r>
      <w:r>
        <w:rPr>
          <w:rFonts w:hint="default" w:ascii="宋体" w:hAnsi="宋体" w:eastAsia="宋体" w:cs="宋体"/>
          <w:lang w:val="en-US" w:eastAsia="zh-CN"/>
        </w:rPr>
        <w:t>采购人组织验收。验收时，中标人</w:t>
      </w:r>
      <w:r>
        <w:rPr>
          <w:rFonts w:hint="eastAsia" w:ascii="宋体" w:hAnsi="宋体" w:eastAsia="宋体" w:cs="宋体"/>
          <w:lang w:val="en-US" w:eastAsia="zh-CN"/>
        </w:rPr>
        <w:t>需</w:t>
      </w:r>
      <w:r>
        <w:rPr>
          <w:rFonts w:hint="default" w:ascii="宋体" w:hAnsi="宋体" w:eastAsia="宋体" w:cs="宋体"/>
          <w:lang w:val="en-US" w:eastAsia="zh-CN"/>
        </w:rPr>
        <w:t>提交相关验收材料，包括：实施方案、运维月报、总结报告、验收申请表。</w:t>
      </w:r>
    </w:p>
    <w:p w14:paraId="49C46FC2">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3"/>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0"/>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4"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4"/>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5"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55"/>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6"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56"/>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9039F63">
      <w:pPr>
        <w:pStyle w:val="10"/>
        <w:rPr>
          <w:rFonts w:hint="eastAsia"/>
          <w:highlight w:val="none"/>
        </w:rPr>
      </w:pPr>
    </w:p>
    <w:p w14:paraId="4E49A7A1">
      <w:pPr>
        <w:pStyle w:val="10"/>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滁州市资质审批管理系统运维服务项目</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u w:val="single"/>
          <w:lang w:eastAsia="zh-CN"/>
          <w14:textFill>
            <w14:solidFill>
              <w14:schemeClr w14:val="tx1"/>
            </w14:solidFill>
          </w14:textFill>
        </w:rPr>
        <w:t>滁州市住房和城乡建设局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4059"/>
      <w:bookmarkStart w:id="58" w:name="_Toc2232"/>
      <w:bookmarkStart w:id="59" w:name="_Toc302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22185"/>
      <w:bookmarkStart w:id="61" w:name="_Toc6773"/>
      <w:bookmarkStart w:id="62" w:name="_Toc6311"/>
      <w:bookmarkStart w:id="63" w:name="_Toc18585"/>
      <w:bookmarkStart w:id="64" w:name="_Toc291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0"/>
      <w:bookmarkEnd w:id="61"/>
      <w:bookmarkEnd w:id="62"/>
      <w:bookmarkEnd w:id="63"/>
      <w:bookmarkEnd w:id="6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滁州市资质审批管理系统运维服务项目</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1551"/>
      <w:bookmarkStart w:id="66" w:name="_Toc23292"/>
      <w:bookmarkStart w:id="67" w:name="_Toc2163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8" w:name="_Toc10340"/>
      <w:bookmarkStart w:id="69" w:name="_Toc22618"/>
      <w:bookmarkStart w:id="70" w:name="_Toc181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1" w:name="_Toc19304"/>
      <w:bookmarkStart w:id="72" w:name="_Toc2846"/>
      <w:bookmarkStart w:id="73" w:name="_Toc320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合同签订生效后1年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4" w:name="_Toc27250"/>
      <w:bookmarkStart w:id="75" w:name="_Toc19554"/>
      <w:bookmarkStart w:id="76" w:name="_Toc2142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7" w:name="_Toc28375"/>
      <w:bookmarkStart w:id="78" w:name="_Toc15583"/>
      <w:bookmarkStart w:id="79" w:name="_Toc1602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0" w:name="_Toc11173"/>
      <w:bookmarkStart w:id="81" w:name="_Toc7245"/>
      <w:bookmarkStart w:id="82" w:name="_Toc1532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3"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4"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4"/>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5"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6" w:name="_Ref467379214"/>
      <w:bookmarkStart w:id="87" w:name="_Ref467379205"/>
      <w:bookmarkStart w:id="88" w:name="_Ref467379225"/>
      <w:bookmarkStart w:id="89" w:name="_Ref467378499"/>
      <w:bookmarkStart w:id="90" w:name="_Toc28763"/>
      <w:bookmarkStart w:id="91" w:name="_Ref467378404"/>
      <w:bookmarkStart w:id="92" w:name="_Toc259093669"/>
      <w:bookmarkStart w:id="93" w:name="_Ref467379094"/>
      <w:bookmarkStart w:id="94" w:name="_Ref467379195"/>
      <w:bookmarkStart w:id="95" w:name="_Ref467378463"/>
      <w:bookmarkStart w:id="96" w:name="_Toc19614"/>
      <w:bookmarkStart w:id="97" w:name="_Ref467379109"/>
      <w:bookmarkStart w:id="98" w:name="_Ref467379101"/>
      <w:bookmarkStart w:id="99" w:name="_Toc16917"/>
      <w:bookmarkStart w:id="100" w:name="_Toc279701240"/>
      <w:bookmarkStart w:id="101" w:name="_Toc48790034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2"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3"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4"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5" w:name="_Toc27635"/>
      <w:bookmarkStart w:id="106" w:name="_Toc13336"/>
      <w:bookmarkStart w:id="107" w:name="_Toc259093670"/>
      <w:bookmarkStart w:id="108" w:name="_Toc279701241"/>
      <w:bookmarkStart w:id="109" w:name="_Toc32504"/>
      <w:bookmarkStart w:id="110" w:name="_Toc48790035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1" w:name="_Toc9829"/>
      <w:bookmarkStart w:id="112" w:name="_Toc27853"/>
      <w:bookmarkStart w:id="113" w:name="_Toc279701242"/>
      <w:bookmarkStart w:id="114" w:name="_Toc487900351"/>
      <w:bookmarkStart w:id="115" w:name="_Toc259093671"/>
      <w:bookmarkStart w:id="116" w:name="_Toc3163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7" w:name="_Toc487900354"/>
      <w:bookmarkStart w:id="118" w:name="_Toc259093674"/>
      <w:bookmarkStart w:id="119" w:name="_Ref467378591"/>
      <w:bookmarkStart w:id="120" w:name="_Toc279701245"/>
      <w:bookmarkStart w:id="121" w:name="_Ref467379542"/>
      <w:bookmarkStart w:id="122" w:name="_Ref467379527"/>
      <w:bookmarkStart w:id="123" w:name="_Ref467379536"/>
      <w:bookmarkStart w:id="124" w:name="_Ref467378541"/>
      <w:bookmarkStart w:id="125" w:name="_Toc19074"/>
      <w:bookmarkStart w:id="126" w:name="_Toc30272"/>
      <w:bookmarkStart w:id="127" w:name="_Toc2618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8" w:name="_Toc186431854"/>
      <w:bookmarkStart w:id="129" w:name="_Ref467379793"/>
      <w:bookmarkStart w:id="130" w:name="_Toc487900357"/>
      <w:bookmarkStart w:id="131" w:name="_Toc259093676"/>
      <w:bookmarkStart w:id="132" w:name="_Ref467379807"/>
      <w:bookmarkStart w:id="133" w:name="_Toc27970124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4"/>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5" w:name="_Toc19219"/>
      <w:bookmarkStart w:id="136" w:name="_Toc28451"/>
      <w:bookmarkStart w:id="137"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Toc487900358"/>
      <w:bookmarkStart w:id="139" w:name="_Toc259093677"/>
      <w:bookmarkStart w:id="140" w:name="_Toc279701248"/>
      <w:bookmarkStart w:id="141" w:name="_Ref467379923"/>
      <w:bookmarkStart w:id="142" w:name="_Ref467379863"/>
      <w:bookmarkStart w:id="143" w:name="_Ref467379852"/>
      <w:bookmarkStart w:id="144" w:name="_Toc16110"/>
      <w:bookmarkStart w:id="145" w:name="_Toc3225"/>
      <w:bookmarkStart w:id="146" w:name="_Toc7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8"/>
      <w:bookmarkEnd w:id="139"/>
      <w:bookmarkEnd w:id="140"/>
      <w:bookmarkEnd w:id="141"/>
      <w:bookmarkEnd w:id="142"/>
      <w:bookmarkEnd w:id="14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7"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47"/>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8"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8"/>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7502"/>
      <w:bookmarkStart w:id="150" w:name="_Ref467378121"/>
      <w:bookmarkStart w:id="151" w:name="_Toc259093683"/>
      <w:bookmarkStart w:id="152" w:name="_Toc487900364"/>
      <w:bookmarkStart w:id="153" w:name="_Toc27970125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9"/>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4" w:name="_Toc487900369"/>
      <w:bookmarkStart w:id="155" w:name="_Toc279701259"/>
      <w:bookmarkStart w:id="156" w:name="_Toc259093688"/>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7" w:name="_Toc15237"/>
      <w:bookmarkStart w:id="158" w:name="_Toc10366"/>
      <w:bookmarkStart w:id="159" w:name="_Toc229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4"/>
      <w:bookmarkEnd w:id="155"/>
      <w:bookmarkEnd w:id="15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0" w:name="_Toc13566"/>
      <w:bookmarkStart w:id="161" w:name="_Toc16508"/>
      <w:bookmarkStart w:id="162"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3" w:name="_Toc259093684"/>
      <w:bookmarkStart w:id="164" w:name="_Toc689"/>
      <w:bookmarkStart w:id="165" w:name="_Toc30676"/>
      <w:bookmarkStart w:id="166" w:name="_Toc6969"/>
      <w:bookmarkStart w:id="167" w:name="_Toc487900365"/>
      <w:bookmarkStart w:id="168" w:name="_Toc2797012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9" w:name="_Toc8298"/>
      <w:bookmarkStart w:id="170" w:name="_Toc259093687"/>
      <w:bookmarkStart w:id="171" w:name="_Toc16959"/>
      <w:bookmarkStart w:id="172" w:name="_Toc487900368"/>
      <w:bookmarkStart w:id="173" w:name="_Toc7102"/>
      <w:bookmarkStart w:id="174"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5" w:name="_Toc15387"/>
      <w:bookmarkStart w:id="176" w:name="_Toc6134"/>
      <w:bookmarkStart w:id="177" w:name="_Toc2933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8" w:name="_Toc6596"/>
      <w:bookmarkStart w:id="179" w:name="_Toc14563"/>
      <w:bookmarkStart w:id="180" w:name="_Toc11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1" w:name="_Toc279701263"/>
      <w:bookmarkStart w:id="182" w:name="_Toc259093692"/>
      <w:bookmarkStart w:id="183" w:name="_Toc12773"/>
      <w:bookmarkStart w:id="184" w:name="_Toc10330"/>
      <w:bookmarkStart w:id="185" w:name="_Toc487900373"/>
      <w:bookmarkStart w:id="186" w:name="_Toc18567"/>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7" w:name="_Toc259093693"/>
      <w:bookmarkStart w:id="188" w:name="_Toc12004"/>
      <w:bookmarkStart w:id="189" w:name="_Toc279701264"/>
      <w:bookmarkStart w:id="190" w:name="_Toc3148"/>
      <w:bookmarkStart w:id="191" w:name="_Toc16673"/>
      <w:bookmarkStart w:id="192"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3" w:name="_Toc14001"/>
      <w:bookmarkStart w:id="194" w:name="_Toc6885"/>
      <w:bookmarkStart w:id="195" w:name="_Toc1989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96"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96"/>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合同履约期满并经</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验收合格后，一次性付清合同价款。</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highlight w:val="none"/>
                <w:lang w:val="en-US" w:eastAsia="zh-CN"/>
              </w:rPr>
            </w:pPr>
            <w:r>
              <w:rPr>
                <w:rFonts w:hint="eastAsia" w:ascii="宋体" w:hAnsi="宋体" w:eastAsia="宋体" w:cs="宋体"/>
                <w:color w:val="000000"/>
                <w:sz w:val="24"/>
                <w:szCs w:val="24"/>
                <w:highlight w:val="none"/>
              </w:rPr>
              <w:t>2.15.3验收</w:t>
            </w:r>
            <w:r>
              <w:rPr>
                <w:rFonts w:hint="eastAsia" w:ascii="宋体" w:hAnsi="宋体" w:eastAsia="宋体" w:cs="宋体"/>
                <w:color w:val="000000"/>
                <w:sz w:val="24"/>
                <w:szCs w:val="24"/>
                <w:highlight w:val="none"/>
                <w:lang w:val="en-US" w:eastAsia="zh-CN"/>
              </w:rPr>
              <w:t>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 xml:space="preserve">方有权视违约情节的轻重，处以1000 元/次违约金（从合同价款中扣除）。情节严重的，解除合同。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4"/>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1" w:name="_Toc7180_WPSOffice_Level3"/>
      <w:bookmarkEnd w:id="201"/>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0"/>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34AFE46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（8）中小企业声明函或残疾人福利性企业（格式见附件）（如是）；</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3" w:name="_Toc6019_WPSOffice_Level1"/>
      <w:bookmarkEnd w:id="203"/>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783F2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val="en-US" w:eastAsia="zh-CN"/>
              </w:rPr>
              <w:t>报</w:t>
            </w:r>
            <w:r>
              <w:rPr>
                <w:rFonts w:hint="eastAsia" w:ascii="宋体" w:hAnsi="宋体" w:eastAsia="宋体" w:cs="宋体"/>
                <w:color w:val="000000"/>
                <w:sz w:val="21"/>
                <w:szCs w:val="21"/>
                <w:highlight w:val="none"/>
              </w:rPr>
              <w:t>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含税）</w:t>
            </w:r>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06EC2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680" w:firstLineChars="8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小</w:t>
            </w:r>
            <w:r>
              <w:rPr>
                <w:rFonts w:hint="eastAsia" w:ascii="宋体" w:hAnsi="宋体" w:eastAsia="宋体" w:cs="宋体"/>
                <w:color w:val="000000"/>
                <w:sz w:val="21"/>
                <w:szCs w:val="21"/>
                <w:highlight w:val="none"/>
              </w:rPr>
              <w:t>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2153B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其中，</w:t>
            </w:r>
            <w:r>
              <w:rPr>
                <w:rFonts w:hint="eastAsia" w:ascii="宋体" w:hAnsi="宋体" w:eastAsia="宋体" w:cs="宋体"/>
                <w:b/>
                <w:color w:val="auto"/>
                <w:sz w:val="21"/>
                <w:szCs w:val="21"/>
                <w:highlight w:val="none"/>
              </w:rPr>
              <w:t>小、微型、监狱、残疾人福利性企业报价（</w:t>
            </w:r>
            <w:r>
              <w:rPr>
                <w:rFonts w:hint="eastAsia" w:ascii="宋体" w:hAnsi="宋体" w:eastAsia="宋体" w:cs="宋体"/>
                <w:color w:val="auto"/>
                <w:sz w:val="21"/>
                <w:szCs w:val="21"/>
                <w:highlight w:val="none"/>
              </w:rPr>
              <w:t>注：非小微等企业可以不填写</w:t>
            </w:r>
            <w:r>
              <w:rPr>
                <w:rFonts w:hint="eastAsia" w:ascii="宋体" w:hAnsi="宋体" w:eastAsia="宋体" w:cs="宋体"/>
                <w:b/>
                <w:color w:val="auto"/>
                <w:sz w:val="21"/>
                <w:szCs w:val="21"/>
                <w:highlight w:val="none"/>
              </w:rPr>
              <w:t>）</w:t>
            </w:r>
          </w:p>
          <w:p w14:paraId="3A30B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CCCF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050" w:firstLineChars="5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B5FF9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hAnsi="宋体" w:eastAsia="宋体" w:cs="宋体"/>
                <w:color w:val="000000"/>
                <w:sz w:val="21"/>
                <w:szCs w:val="21"/>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5"/>
        <w:rPr>
          <w:highlight w:val="none"/>
          <w:lang w:eastAsia="zh-CN"/>
        </w:rPr>
      </w:pPr>
    </w:p>
    <w:p w14:paraId="3C99150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滁州市资质审批管理系统运维服务项目</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采购人：滁州市住房和城乡建设局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联系人：方寸天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联系电话：0550-2170988</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5"/>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1C00708B">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D08A6"/>
    <w:multiLevelType w:val="singleLevel"/>
    <w:tmpl w:val="B5AD08A6"/>
    <w:lvl w:ilvl="0" w:tentative="0">
      <w:start w:val="5"/>
      <w:numFmt w:val="chineseCounting"/>
      <w:suff w:val="space"/>
      <w:lvlText w:val="第%1章"/>
      <w:lvlJc w:val="left"/>
      <w:rPr>
        <w:rFonts w:hint="eastAsia"/>
      </w:rPr>
    </w:lvl>
  </w:abstractNum>
  <w:abstractNum w:abstractNumId="1">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92754C"/>
    <w:multiLevelType w:val="singleLevel"/>
    <w:tmpl w:val="3792754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B625D1F"/>
    <w:rsid w:val="0B8B29D7"/>
    <w:rsid w:val="0B911CD2"/>
    <w:rsid w:val="0B9716C3"/>
    <w:rsid w:val="0CEF01A1"/>
    <w:rsid w:val="0D586601"/>
    <w:rsid w:val="0D8F0D8C"/>
    <w:rsid w:val="0E064672"/>
    <w:rsid w:val="0E264319"/>
    <w:rsid w:val="0E602A45"/>
    <w:rsid w:val="0EBB3464"/>
    <w:rsid w:val="0FEC3D6A"/>
    <w:rsid w:val="10182671"/>
    <w:rsid w:val="10E74A70"/>
    <w:rsid w:val="114F3AD5"/>
    <w:rsid w:val="12082018"/>
    <w:rsid w:val="13EA2ED7"/>
    <w:rsid w:val="14334ED5"/>
    <w:rsid w:val="14C00319"/>
    <w:rsid w:val="14CF696D"/>
    <w:rsid w:val="15D46184"/>
    <w:rsid w:val="16813D78"/>
    <w:rsid w:val="18D96084"/>
    <w:rsid w:val="1AB3384D"/>
    <w:rsid w:val="1B522696"/>
    <w:rsid w:val="1D1554B2"/>
    <w:rsid w:val="1D2A5FD4"/>
    <w:rsid w:val="1DA44462"/>
    <w:rsid w:val="1E474369"/>
    <w:rsid w:val="1E567970"/>
    <w:rsid w:val="1F9647B1"/>
    <w:rsid w:val="1FBE5586"/>
    <w:rsid w:val="202979CC"/>
    <w:rsid w:val="222D5B93"/>
    <w:rsid w:val="22EA440E"/>
    <w:rsid w:val="23503E27"/>
    <w:rsid w:val="23A81E13"/>
    <w:rsid w:val="23DF40E5"/>
    <w:rsid w:val="25F022C1"/>
    <w:rsid w:val="273D0BD7"/>
    <w:rsid w:val="277C7584"/>
    <w:rsid w:val="287E4991"/>
    <w:rsid w:val="29681BB6"/>
    <w:rsid w:val="29BA55DC"/>
    <w:rsid w:val="2CD13D11"/>
    <w:rsid w:val="2D921DED"/>
    <w:rsid w:val="2EE605DD"/>
    <w:rsid w:val="2FD4269B"/>
    <w:rsid w:val="382B3EBA"/>
    <w:rsid w:val="3AFB18B9"/>
    <w:rsid w:val="3BFD65FB"/>
    <w:rsid w:val="3E6E477F"/>
    <w:rsid w:val="40585B1F"/>
    <w:rsid w:val="41C76417"/>
    <w:rsid w:val="42AB7679"/>
    <w:rsid w:val="435713C8"/>
    <w:rsid w:val="43EE045E"/>
    <w:rsid w:val="440F4D94"/>
    <w:rsid w:val="4443363F"/>
    <w:rsid w:val="454247AC"/>
    <w:rsid w:val="454513CE"/>
    <w:rsid w:val="454F1D39"/>
    <w:rsid w:val="456E0582"/>
    <w:rsid w:val="46DE1424"/>
    <w:rsid w:val="47DC16A5"/>
    <w:rsid w:val="49C27036"/>
    <w:rsid w:val="4B8A2C90"/>
    <w:rsid w:val="4BBE3EC0"/>
    <w:rsid w:val="4BF21D42"/>
    <w:rsid w:val="4C3857CB"/>
    <w:rsid w:val="4F522371"/>
    <w:rsid w:val="502A52F7"/>
    <w:rsid w:val="50620C14"/>
    <w:rsid w:val="51A91BC3"/>
    <w:rsid w:val="523D4012"/>
    <w:rsid w:val="54C56489"/>
    <w:rsid w:val="54D369B1"/>
    <w:rsid w:val="56797A9A"/>
    <w:rsid w:val="570240F3"/>
    <w:rsid w:val="58BC42F8"/>
    <w:rsid w:val="59237566"/>
    <w:rsid w:val="5AB972A9"/>
    <w:rsid w:val="5AC41FE9"/>
    <w:rsid w:val="5AD57D84"/>
    <w:rsid w:val="5BEA4FCB"/>
    <w:rsid w:val="5C2219D2"/>
    <w:rsid w:val="5C940834"/>
    <w:rsid w:val="5EEC02FA"/>
    <w:rsid w:val="5F35414B"/>
    <w:rsid w:val="642277FE"/>
    <w:rsid w:val="6509245E"/>
    <w:rsid w:val="668A652A"/>
    <w:rsid w:val="691E05DB"/>
    <w:rsid w:val="6CC47100"/>
    <w:rsid w:val="6EA934B6"/>
    <w:rsid w:val="6FB65A92"/>
    <w:rsid w:val="702C496F"/>
    <w:rsid w:val="72D30C05"/>
    <w:rsid w:val="75843174"/>
    <w:rsid w:val="76B7003F"/>
    <w:rsid w:val="7782285E"/>
    <w:rsid w:val="77FF70A2"/>
    <w:rsid w:val="78412396"/>
    <w:rsid w:val="794F00D8"/>
    <w:rsid w:val="79924E45"/>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6"/>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customStyle="1" w:styleId="6">
    <w:name w:val="正文2"/>
    <w:basedOn w:val="1"/>
    <w:next w:val="1"/>
    <w:autoRedefine/>
    <w:qFormat/>
    <w:uiPriority w:val="0"/>
    <w:pPr>
      <w:spacing w:line="360" w:lineRule="auto"/>
      <w:ind w:firstLine="420" w:firstLineChars="200"/>
    </w:pPr>
    <w:rPr>
      <w:rFonts w:ascii="Times New Roman" w:hAnsi="Times New Roman" w:eastAsia="宋体"/>
    </w:rPr>
  </w:style>
  <w:style w:type="paragraph" w:styleId="7">
    <w:name w:val="toc 7"/>
    <w:basedOn w:val="1"/>
    <w:next w:val="1"/>
    <w:qFormat/>
    <w:uiPriority w:val="39"/>
    <w:pPr>
      <w:ind w:left="1260"/>
      <w:jc w:val="left"/>
    </w:pPr>
    <w:rPr>
      <w:sz w:val="18"/>
      <w:szCs w:val="18"/>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qFormat/>
    <w:uiPriority w:val="0"/>
    <w:pPr>
      <w:widowControl w:val="0"/>
      <w:snapToGrid w:val="0"/>
      <w:spacing w:line="360" w:lineRule="auto"/>
    </w:pPr>
    <w:rPr>
      <w:rFonts w:ascii="Arial" w:hAnsi="Arial" w:eastAsia="仿宋_GB2312"/>
      <w:sz w:val="31"/>
    </w:rPr>
  </w:style>
  <w:style w:type="paragraph" w:styleId="11">
    <w:name w:val="Body Text Indent"/>
    <w:basedOn w:val="1"/>
    <w:next w:val="12"/>
    <w:link w:val="34"/>
    <w:qFormat/>
    <w:uiPriority w:val="0"/>
    <w:pPr>
      <w:spacing w:after="120" w:afterLines="0" w:afterAutospacing="0"/>
      <w:ind w:left="420" w:leftChars="200"/>
    </w:pPr>
  </w:style>
  <w:style w:type="paragraph" w:styleId="12">
    <w:name w:val="envelope return"/>
    <w:basedOn w:val="1"/>
    <w:next w:val="7"/>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10"/>
    <w:next w:val="25"/>
    <w:unhideWhenUsed/>
    <w:qFormat/>
    <w:uiPriority w:val="99"/>
    <w:pPr>
      <w:ind w:firstLine="420" w:firstLineChars="100"/>
    </w:pPr>
  </w:style>
  <w:style w:type="paragraph" w:styleId="25">
    <w:name w:val="Body Text First Indent 2"/>
    <w:basedOn w:val="11"/>
    <w:next w:val="1"/>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5"/>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6"/>
    <w:qFormat/>
    <w:uiPriority w:val="0"/>
    <w:rPr>
      <w:rFonts w:ascii="Arial" w:hAnsi="Arial" w:eastAsia="仿宋_GB2312" w:cs="Arial"/>
      <w:color w:val="000000"/>
      <w:sz w:val="32"/>
      <w:szCs w:val="32"/>
      <w:u w:color="000000"/>
    </w:rPr>
  </w:style>
  <w:style w:type="character" w:customStyle="1" w:styleId="37">
    <w:name w:val="标题 2 Char"/>
    <w:basedOn w:val="27"/>
    <w:link w:val="4"/>
    <w:qFormat/>
    <w:uiPriority w:val="0"/>
    <w:rPr>
      <w:rFonts w:hint="default" w:ascii="Times New Roman" w:hAnsi="Times New Roman" w:eastAsia="宋体" w:cs="Times New Roman"/>
      <w:kern w:val="0"/>
      <w:sz w:val="24"/>
      <w:szCs w:val="24"/>
    </w:rPr>
  </w:style>
  <w:style w:type="character" w:customStyle="1" w:styleId="3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5"/>
    <w:qFormat/>
    <w:uiPriority w:val="0"/>
    <w:rPr>
      <w:rFonts w:hint="eastAsia" w:ascii="宋体" w:hAnsi="宋体" w:eastAsia="宋体" w:cs="宋体"/>
      <w:szCs w:val="21"/>
    </w:rPr>
  </w:style>
  <w:style w:type="character" w:customStyle="1" w:styleId="4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3"/>
    <w:qFormat/>
    <w:uiPriority w:val="0"/>
    <w:pPr>
      <w:spacing w:line="360" w:lineRule="auto"/>
      <w:ind w:firstLine="480" w:firstLineChars="200"/>
    </w:pPr>
    <w:rPr>
      <w:sz w:val="24"/>
      <w:lang w:val="zh-CN"/>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17561</Words>
  <Characters>18771</Characters>
  <Lines>0</Lines>
  <Paragraphs>0</Paragraphs>
  <TotalTime>63</TotalTime>
  <ScaleCrop>false</ScaleCrop>
  <LinksUpToDate>false</LinksUpToDate>
  <CharactersWithSpaces>19788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2026-04-01T10:31:49Z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