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461631222"/>
      <w:bookmarkStart w:id="1" w:name="_Toc506107265"/>
      <w:bookmarkStart w:id="2" w:name="_Toc247085669"/>
      <w:bookmarkStart w:id="3" w:name="_Toc296602400"/>
      <w:bookmarkStart w:id="4" w:name="_Toc324404811"/>
      <w:bookmarkStart w:id="5" w:name="_Toc246996898"/>
      <w:bookmarkStart w:id="6" w:name="_Toc15058843"/>
      <w:bookmarkStart w:id="7" w:name="OLE_LINK1"/>
      <w:bookmarkStart w:id="8" w:name="OLE_LINK3"/>
      <w:bookmarkStart w:id="9" w:name="OLE_LINK4"/>
      <w:bookmarkStart w:id="10" w:name="OLE_LINK2"/>
      <w:bookmarkStart w:id="11" w:name="OLE_LINK5"/>
    </w:p>
    <w:p w14:paraId="779E00EC">
      <w:pPr>
        <w:keepNext w:val="0"/>
        <w:keepLines w:val="0"/>
        <w:pageBreakBefore w:val="0"/>
        <w:widowControl w:val="0"/>
        <w:kinsoku/>
        <w:wordWrap w:val="0"/>
        <w:overflowPunct/>
        <w:topLinePunct w:val="0"/>
        <w:autoSpaceDE/>
        <w:autoSpaceDN/>
        <w:bidi w:val="0"/>
        <w:adjustRightInd/>
        <w:snapToGrid/>
        <w:jc w:val="center"/>
        <w:textAlignment w:val="auto"/>
        <w:rPr>
          <w:rFonts w:hint="default" w:hAnsi="宋体" w:cs="宋体"/>
          <w:b/>
          <w:color w:val="auto"/>
          <w:kern w:val="0"/>
          <w:sz w:val="56"/>
          <w:szCs w:val="56"/>
          <w:highlight w:val="none"/>
          <w:lang w:val="en-US" w:eastAsia="zh-CN"/>
        </w:rPr>
      </w:pPr>
      <w:r>
        <w:rPr>
          <w:rFonts w:hint="eastAsia" w:hAnsi="宋体" w:cs="宋体"/>
          <w:b/>
          <w:color w:val="auto"/>
          <w:kern w:val="0"/>
          <w:sz w:val="56"/>
          <w:szCs w:val="56"/>
          <w:highlight w:val="none"/>
          <w:lang w:eastAsia="zh-CN"/>
        </w:rPr>
        <w:t>滁宁城际铁路相官车辆段1250kW/2610kWh储能电站项目（</w:t>
      </w:r>
      <w:r>
        <w:rPr>
          <w:rFonts w:hint="eastAsia" w:hAnsi="宋体" w:cs="宋体"/>
          <w:b/>
          <w:color w:val="auto"/>
          <w:kern w:val="0"/>
          <w:sz w:val="56"/>
          <w:szCs w:val="56"/>
          <w:highlight w:val="none"/>
          <w:lang w:val="en-US" w:eastAsia="zh-CN"/>
        </w:rPr>
        <w:t>二次）</w:t>
      </w:r>
    </w:p>
    <w:p w14:paraId="4D87E2F7">
      <w:pPr>
        <w:jc w:val="center"/>
        <w:rPr>
          <w:rFonts w:hint="eastAsia" w:hAnsi="宋体" w:cs="宋体"/>
          <w:b/>
          <w:color w:val="auto"/>
          <w:kern w:val="0"/>
          <w:sz w:val="56"/>
          <w:szCs w:val="56"/>
          <w:highlight w:val="none"/>
          <w:lang w:eastAsia="zh-CN"/>
        </w:rPr>
      </w:pPr>
    </w:p>
    <w:p w14:paraId="2FFBD6DE">
      <w:pPr>
        <w:jc w:val="center"/>
        <w:rPr>
          <w:rFonts w:hint="eastAsia" w:hAnsi="宋体" w:cs="宋体"/>
          <w:b/>
          <w:color w:val="auto"/>
          <w:kern w:val="0"/>
          <w:sz w:val="56"/>
          <w:szCs w:val="56"/>
          <w:highlight w:val="none"/>
          <w:lang w:eastAsia="zh-CN"/>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项目编号：HXJY1110001055381</w:t>
      </w:r>
    </w:p>
    <w:p w14:paraId="307F5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default"/>
          <w:color w:val="auto"/>
          <w:sz w:val="22"/>
          <w:szCs w:val="21"/>
          <w:highlight w:val="none"/>
          <w:lang w:val="en-US" w:eastAsia="zh-CN"/>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57C971B3">
      <w:pPr>
        <w:pStyle w:val="14"/>
        <w:ind w:left="0" w:leftChars="0" w:firstLine="0" w:firstLineChars="0"/>
      </w:pPr>
    </w:p>
    <w:p w14:paraId="00CEC72B"/>
    <w:p w14:paraId="0FB3EFCA">
      <w:pPr>
        <w:pStyle w:val="14"/>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5 </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9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79632527"/>
      <w:bookmarkStart w:id="13" w:name="_Toc152042287"/>
      <w:bookmarkStart w:id="14" w:name="_Toc144974479"/>
      <w:bookmarkStart w:id="15" w:name="_Toc152045511"/>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rFonts w:hint="eastAsia"/>
          <w:color w:val="000000"/>
          <w:sz w:val="28"/>
          <w:lang w:val="en-US" w:eastAsia="zh-CN"/>
        </w:rPr>
        <w:t>1</w:t>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4</w:t>
      </w:r>
      <w:r>
        <w:rPr>
          <w:rStyle w:val="58"/>
          <w:color w:val="000000"/>
          <w:sz w:val="28"/>
        </w:rPr>
        <w:fldChar w:fldCharType="end"/>
      </w:r>
    </w:p>
    <w:p w14:paraId="4117FED1">
      <w:pPr>
        <w:pStyle w:val="31"/>
        <w:tabs>
          <w:tab w:val="right" w:leader="dot" w:pos="9460"/>
        </w:tabs>
        <w:rPr>
          <w:rFonts w:hint="default"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20</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3</w:t>
      </w:r>
    </w:p>
    <w:p w14:paraId="72BC3D8C">
      <w:pPr>
        <w:pStyle w:val="31"/>
        <w:tabs>
          <w:tab w:val="right" w:leader="dot" w:pos="9460"/>
        </w:tabs>
        <w:rPr>
          <w:rStyle w:val="58"/>
          <w:rFonts w:hint="eastAsia"/>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2</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6</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77</w:t>
      </w:r>
    </w:p>
    <w:p w14:paraId="63D8DA84">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招标人、招标代理机构对本招标文件的确认</w:t>
      </w:r>
      <w:bookmarkStart w:id="17" w:name="_Hlt95223550"/>
      <w:bookmarkStart w:id="18" w:name="_Hlt95223551"/>
      <w:r>
        <w:rPr>
          <w:color w:val="000000"/>
          <w:sz w:val="28"/>
        </w:rPr>
        <w:tab/>
      </w:r>
      <w:bookmarkEnd w:id="17"/>
      <w:bookmarkEnd w:id="18"/>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0</w:t>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1</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5</w:t>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15058844"/>
      <w:bookmarkStart w:id="21" w:name="_Toc324404813"/>
      <w:bookmarkStart w:id="22" w:name="_Toc152045527"/>
      <w:bookmarkStart w:id="23" w:name="_Toc246996916"/>
      <w:bookmarkStart w:id="24" w:name="_Toc144974495"/>
      <w:bookmarkStart w:id="25" w:name="_Toc35425050"/>
      <w:bookmarkStart w:id="26" w:name="_Toc179632544"/>
      <w:bookmarkStart w:id="27" w:name="_Toc246996173"/>
      <w:bookmarkStart w:id="28" w:name="_Toc35424883"/>
      <w:bookmarkStart w:id="29" w:name="_Toc247085687"/>
      <w:bookmarkStart w:id="30" w:name="_Toc152042303"/>
      <w:bookmarkStart w:id="31" w:name="_Toc506107267"/>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36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滁宁城际铁路相官车辆段1250kW/2610kWh储能电站项目（</w:t>
            </w:r>
            <w:r>
              <w:rPr>
                <w:rFonts w:hint="eastAsia" w:ascii="宋体" w:hAnsi="宋体" w:cs="宋体"/>
                <w:bCs/>
                <w:color w:val="auto"/>
                <w:kern w:val="1"/>
                <w:sz w:val="21"/>
                <w:szCs w:val="21"/>
                <w:highlight w:val="none"/>
                <w:lang w:val="en-US" w:eastAsia="zh-CN"/>
              </w:rPr>
              <w:t>二次）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滁宁城际铁路相官车辆段1250kW/2610kWh储能电站项目</w:t>
            </w:r>
            <w:r>
              <w:rPr>
                <w:rFonts w:hint="eastAsia" w:ascii="宋体" w:hAnsi="宋体" w:cs="宋体"/>
                <w:bCs/>
                <w:color w:val="auto"/>
                <w:kern w:val="1"/>
                <w:sz w:val="21"/>
                <w:szCs w:val="21"/>
                <w:highlight w:val="none"/>
                <w:lang w:eastAsia="zh-CN"/>
              </w:rPr>
              <w:t>（</w:t>
            </w:r>
            <w:r>
              <w:rPr>
                <w:rFonts w:hint="eastAsia" w:ascii="宋体" w:hAnsi="宋体" w:cs="宋体"/>
                <w:bCs/>
                <w:color w:val="auto"/>
                <w:kern w:val="1"/>
                <w:sz w:val="21"/>
                <w:szCs w:val="21"/>
                <w:highlight w:val="none"/>
                <w:lang w:val="en-US" w:eastAsia="zh-CN"/>
              </w:rPr>
              <w:t>二次）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建设规模</w:t>
            </w:r>
          </w:p>
        </w:tc>
        <w:tc>
          <w:tcPr>
            <w:tcW w:w="7997" w:type="dxa"/>
            <w:noWrap w:val="0"/>
            <w:vAlign w:val="center"/>
          </w:tcPr>
          <w:p w14:paraId="4D5C3FC8">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ascii="宋体" w:hAnsi="宋体" w:cs="宋体"/>
                <w:color w:val="auto"/>
                <w:sz w:val="21"/>
                <w:szCs w:val="21"/>
                <w:highlight w:val="none"/>
                <w:lang w:val="en-US" w:eastAsia="zh-CN"/>
              </w:rPr>
            </w:pPr>
            <w:r>
              <w:rPr>
                <w:rFonts w:hint="eastAsia" w:ascii="宋体" w:hAnsi="宋体" w:eastAsia="宋体" w:cs="宋体"/>
                <w:bCs/>
                <w:color w:val="auto"/>
                <w:kern w:val="1"/>
                <w:sz w:val="21"/>
                <w:szCs w:val="21"/>
                <w:highlight w:val="none"/>
                <w:lang w:eastAsia="zh-CN"/>
              </w:rPr>
              <w:t>主要工程内容</w:t>
            </w:r>
            <w:r>
              <w:rPr>
                <w:rFonts w:hint="eastAsia" w:ascii="宋体" w:hAnsi="宋体" w:eastAsia="宋体" w:cs="宋体"/>
                <w:bCs/>
                <w:color w:val="auto"/>
                <w:kern w:val="1"/>
                <w:sz w:val="21"/>
                <w:szCs w:val="21"/>
                <w:highlight w:val="none"/>
                <w:lang w:val="en-US" w:eastAsia="zh-CN"/>
              </w:rPr>
              <w:t>含场地平整，新建储能柜设备基础，新建防护舱，新建金属围栏，并网柜系统、储能系统安装，防雷接地系统安装，监控系统安装，室外电气安装等。</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约350万元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0C5C6C0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不高于60个日历天通过工程竣工验收（其中自合同签订之日起不高于30</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供电公司并网验收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以投标人自报的承诺工期为考核标准，每延期一天供电公司并网验收将处以5000元违约金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每延期一天</w:t>
            </w:r>
            <w:r>
              <w:rPr>
                <w:rFonts w:hint="eastAsia" w:ascii="宋体" w:hAnsi="宋体" w:cs="宋体"/>
                <w:color w:val="auto"/>
                <w:sz w:val="21"/>
                <w:szCs w:val="21"/>
                <w:highlight w:val="none"/>
                <w:lang w:val="en-US" w:eastAsia="zh-CN"/>
              </w:rPr>
              <w:t>通过工程竣工验收</w:t>
            </w:r>
            <w:r>
              <w:rPr>
                <w:rFonts w:hint="eastAsia" w:ascii="宋体" w:hAnsi="宋体" w:eastAsia="宋体" w:cs="宋体"/>
                <w:color w:val="auto"/>
                <w:sz w:val="21"/>
                <w:szCs w:val="21"/>
                <w:highlight w:val="none"/>
                <w:lang w:val="en-US" w:eastAsia="zh-CN"/>
              </w:rPr>
              <w:t>将处以10000元违约金。</w:t>
            </w:r>
          </w:p>
          <w:p w14:paraId="2A63EF7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注：投标单位应综合考虑天气、协调、组织等潜在因素影响工期的外部条件。并网工期30天不予延期。</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36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400B53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②具备有效的《承装（修、试）电力设施许可证》，且承装类、承修类、承试类许可等级均须达到三级及以上（按照现行有效的《承装（修、试）电力设施许可证》等级标准认定）</w:t>
            </w:r>
            <w:r>
              <w:rPr>
                <w:rFonts w:hint="eastAsia" w:ascii="宋体" w:hAnsi="宋体" w:cs="宋体"/>
                <w:color w:val="auto"/>
                <w:sz w:val="21"/>
                <w:szCs w:val="21"/>
                <w:highlight w:val="none"/>
                <w:lang w:val="en-US" w:eastAsia="zh-CN"/>
              </w:rPr>
              <w:t>。</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对于持有尚未换发新证、且仍在有效期内的旧版《承装（修、试）电力设施许可证》的投标人，承装类、承修类、承试类许可等级均须达到五级及以上。</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keepNext w:val="0"/>
              <w:keepLines w:val="0"/>
              <w:pageBreakBefore w:val="0"/>
              <w:widowControl/>
              <w:kinsoku/>
              <w:overflowPunct/>
              <w:topLinePunct w:val="0"/>
              <w:autoSpaceDN/>
              <w:bidi w:val="0"/>
              <w:adjustRightInd/>
              <w:snapToGrid/>
              <w:spacing w:line="360" w:lineRule="exact"/>
              <w:jc w:val="center"/>
              <w:textAlignment w:val="auto"/>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9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5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14 </w:t>
            </w:r>
            <w:r>
              <w:rPr>
                <w:rFonts w:hint="eastAsia" w:ascii="宋体" w:hAnsi="宋体" w:eastAsia="宋体" w:cs="宋体"/>
                <w:bCs/>
                <w:snapToGrid w:val="0"/>
                <w:color w:val="000000"/>
                <w:kern w:val="0"/>
                <w:szCs w:val="21"/>
                <w:highlight w:val="none"/>
              </w:rPr>
              <w:t>日</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w:t>
            </w:r>
            <w:r>
              <w:rPr>
                <w:rFonts w:hint="eastAsia" w:cs="Times New Roman"/>
                <w:lang w:val="en-US" w:eastAsia="zh-CN"/>
              </w:rPr>
              <w:t>0512-58151515</w:t>
            </w:r>
            <w:r>
              <w:rPr>
                <w:rFonts w:hint="eastAsia" w:ascii="Times New Roman" w:hAnsi="Times New Roman" w:eastAsia="宋体" w:cs="Times New Roman"/>
                <w:lang w:val="en-US" w:eastAsia="zh-CN"/>
              </w:rPr>
              <w:t>（工作日）。  </w:t>
            </w:r>
          </w:p>
          <w:p w14:paraId="1CA3EC44">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w:t>
            </w:r>
            <w:r>
              <w:rPr>
                <w:rFonts w:hint="eastAsia" w:cs="Times New Roman"/>
                <w:lang w:val="en-US" w:eastAsia="zh-CN"/>
              </w:rPr>
              <w:t>0512-58151515</w:t>
            </w:r>
            <w:r>
              <w:rPr>
                <w:rFonts w:hint="eastAsia" w:ascii="Times New Roman" w:hAnsi="Times New Roman" w:eastAsia="宋体" w:cs="Times New Roman"/>
                <w:lang w:val="en-US" w:eastAsia="zh-CN"/>
              </w:rPr>
              <w:t>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2026年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9 </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6.9</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滁宁城际铁路相官车辆段1250kW/2610kWh储能电站项目（二次）</w:t>
            </w:r>
            <w:r>
              <w:rPr>
                <w:rFonts w:hint="eastAsia" w:ascii="Times New Roman" w:hAnsi="Times New Roman" w:eastAsia="宋体" w:cs="Times New Roman"/>
                <w:highlight w:val="none"/>
                <w:lang w:val="en-US" w:eastAsia="zh-CN"/>
              </w:rPr>
              <w:t>”投标保证金。</w:t>
            </w:r>
          </w:p>
          <w:p w14:paraId="4162EA8F">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6E8DF290">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144974496"/>
      <w:bookmarkStart w:id="34" w:name="_Toc15058845"/>
      <w:bookmarkStart w:id="35" w:name="_Toc506107268"/>
      <w:bookmarkStart w:id="36" w:name="_Toc35425051"/>
      <w:bookmarkStart w:id="37" w:name="_Toc179632545"/>
      <w:bookmarkStart w:id="38" w:name="_Toc246996917"/>
      <w:bookmarkStart w:id="39" w:name="_Toc324404814"/>
      <w:bookmarkStart w:id="40" w:name="_Toc152042304"/>
      <w:bookmarkStart w:id="41" w:name="_Toc152045528"/>
      <w:bookmarkStart w:id="42" w:name="_Toc246996174"/>
      <w:bookmarkStart w:id="43" w:name="_Toc247085688"/>
      <w:bookmarkStart w:id="44" w:name="_Toc35424884"/>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52045529"/>
            <w:bookmarkStart w:id="46" w:name="_Toc506107269"/>
            <w:bookmarkStart w:id="47" w:name="_Toc144974497"/>
            <w:bookmarkStart w:id="48" w:name="_Toc152042305"/>
            <w:bookmarkStart w:id="49" w:name="_Toc324404815"/>
            <w:bookmarkStart w:id="50" w:name="_Toc179632546"/>
            <w:bookmarkStart w:id="51" w:name="_Toc246996175"/>
            <w:bookmarkStart w:id="52" w:name="_Toc247085689"/>
            <w:bookmarkStart w:id="53" w:name="_Toc246996918"/>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11</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12</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有，公布的最高投标限价：</w:t>
            </w:r>
            <w:r>
              <w:rPr>
                <w:rFonts w:hint="eastAsia" w:ascii="宋体" w:hAnsi="宋体" w:eastAsia="宋体" w:cs="宋体"/>
                <w:color w:val="auto"/>
                <w:sz w:val="21"/>
                <w:szCs w:val="21"/>
                <w:highlight w:val="none"/>
                <w:u w:val="single"/>
                <w:lang w:val="en-US" w:eastAsia="zh-CN"/>
              </w:rPr>
              <w:t>3495030.95</w:t>
            </w:r>
            <w:r>
              <w:rPr>
                <w:rFonts w:hint="eastAsia" w:ascii="宋体" w:hAnsi="宋体" w:eastAsia="宋体" w:cs="宋体"/>
                <w:color w:val="auto"/>
                <w:sz w:val="21"/>
                <w:szCs w:val="21"/>
                <w:highlight w:val="none"/>
                <w:lang w:val="en-US" w:eastAsia="zh-CN"/>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1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14"/>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5</w:t>
            </w:r>
            <w:r>
              <w:rPr>
                <w:rFonts w:hint="eastAsia" w:ascii="宋体" w:hAnsi="宋体" w:eastAsia="宋体" w:cs="宋体"/>
                <w:szCs w:val="21"/>
                <w:highlight w:val="none"/>
              </w:rPr>
              <w:t>月</w:t>
            </w:r>
            <w:r>
              <w:rPr>
                <w:rFonts w:hint="eastAsia" w:ascii="宋体" w:hAnsi="宋体" w:cs="宋体"/>
                <w:szCs w:val="21"/>
                <w:highlight w:val="none"/>
                <w:lang w:val="en-US" w:eastAsia="zh-CN"/>
              </w:rPr>
              <w:t>14</w:t>
            </w:r>
            <w:r>
              <w:rPr>
                <w:rFonts w:hint="eastAsia" w:ascii="宋体" w:hAnsi="宋体" w:eastAsia="宋体" w:cs="宋体"/>
                <w:szCs w:val="21"/>
                <w:highlight w:val="none"/>
              </w:rPr>
              <w:t>日</w:t>
            </w:r>
            <w:r>
              <w:rPr>
                <w:rFonts w:hint="eastAsia" w:ascii="宋体" w:hAnsi="宋体" w:cs="宋体"/>
                <w:szCs w:val="21"/>
                <w:highlight w:val="none"/>
                <w:lang w:val="en-US" w:eastAsia="zh-CN"/>
              </w:rPr>
              <w:t>9</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合同价款30%的工程款（请款时须提供预付款同等金额的见索即付银行保函）；完成供电公司并网验收后付至合同价款的80%（同期扣除预付工程款）；工程竣工验收合格并经审计结算后付至工程审计结算价款的98%，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满后付清余款。质量保证金支持银行保函，采用银行保函的不再从工程进度款中扣留质量保证金，保函有效期须与工程缺陷责任期截止时间保持一致。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13733</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35425053"/>
            <w:bookmarkStart w:id="55" w:name="_Toc15058846"/>
            <w:bookmarkStart w:id="56" w:name="_Toc5813"/>
            <w:bookmarkStart w:id="57" w:name="_Toc35424887"/>
            <w:bookmarkStart w:id="58" w:name="_Toc78803322"/>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059470D2">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324404816"/>
      <w:bookmarkStart w:id="60" w:name="_Toc246996176"/>
      <w:bookmarkStart w:id="61" w:name="_Toc4678"/>
      <w:bookmarkStart w:id="62" w:name="_Toc246996919"/>
      <w:bookmarkStart w:id="63" w:name="_Toc152042306"/>
      <w:bookmarkStart w:id="64" w:name="_Toc179632547"/>
      <w:bookmarkStart w:id="65" w:name="_Toc296602421"/>
      <w:bookmarkStart w:id="66" w:name="_Toc144974498"/>
      <w:bookmarkStart w:id="67" w:name="_Toc152045530"/>
      <w:bookmarkStart w:id="68" w:name="_Toc35424888"/>
      <w:bookmarkStart w:id="69" w:name="_Toc506107270"/>
      <w:bookmarkStart w:id="70" w:name="_Toc15058847"/>
      <w:bookmarkStart w:id="71" w:name="_Toc247085690"/>
      <w:bookmarkStart w:id="72" w:name="_Toc78803323"/>
      <w:bookmarkStart w:id="73" w:name="_Toc35425054"/>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246996177"/>
      <w:bookmarkStart w:id="75" w:name="_Toc152045531"/>
      <w:bookmarkStart w:id="76" w:name="_Toc35425055"/>
      <w:bookmarkStart w:id="77" w:name="_Toc35424889"/>
      <w:bookmarkStart w:id="78" w:name="_Toc144974499"/>
      <w:bookmarkStart w:id="79" w:name="_Toc296602422"/>
      <w:bookmarkStart w:id="80" w:name="_Toc179632548"/>
      <w:bookmarkStart w:id="81" w:name="_Toc7142"/>
      <w:bookmarkStart w:id="82" w:name="_Toc246996920"/>
      <w:bookmarkStart w:id="83" w:name="_Toc247085691"/>
      <w:bookmarkStart w:id="84" w:name="_Toc152042307"/>
      <w:bookmarkStart w:id="85" w:name="_Toc506107271"/>
      <w:bookmarkStart w:id="86" w:name="_Toc15058848"/>
      <w:bookmarkStart w:id="87" w:name="_Toc324404817"/>
      <w:bookmarkStart w:id="88" w:name="_Toc78803324"/>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296602423"/>
      <w:bookmarkStart w:id="90" w:name="_Toc324404818"/>
      <w:bookmarkStart w:id="91" w:name="_Toc246996921"/>
      <w:bookmarkStart w:id="92" w:name="_Toc6330"/>
      <w:bookmarkStart w:id="93" w:name="_Toc35425056"/>
      <w:bookmarkStart w:id="94" w:name="_Toc15058849"/>
      <w:bookmarkStart w:id="95" w:name="_Toc247085692"/>
      <w:bookmarkStart w:id="96" w:name="_Toc144974500"/>
      <w:bookmarkStart w:id="97" w:name="_Toc246996178"/>
      <w:bookmarkStart w:id="98" w:name="_Toc35424890"/>
      <w:bookmarkStart w:id="99" w:name="_Toc152042308"/>
      <w:bookmarkStart w:id="100" w:name="_Toc78803325"/>
      <w:bookmarkStart w:id="101" w:name="_Toc506107272"/>
      <w:bookmarkStart w:id="102" w:name="_Toc179632549"/>
      <w:bookmarkStart w:id="103" w:name="_Toc152045532"/>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计划工期</w:t>
      </w:r>
      <w:r>
        <w:rPr>
          <w:rFonts w:hint="eastAsia" w:ascii="宋体" w:hAnsi="宋体" w:cs="宋体"/>
          <w:szCs w:val="21"/>
          <w:highlight w:val="none"/>
        </w:rPr>
        <w:t>：见投标人须知前附表。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247085693"/>
      <w:bookmarkStart w:id="105" w:name="_Toc152042310"/>
      <w:bookmarkStart w:id="106" w:name="_Toc324404819"/>
      <w:bookmarkStart w:id="107" w:name="_Toc35425057"/>
      <w:bookmarkStart w:id="108" w:name="_Toc15058850"/>
      <w:bookmarkStart w:id="109" w:name="_Toc35424891"/>
      <w:bookmarkStart w:id="110" w:name="_Toc78803326"/>
      <w:bookmarkStart w:id="111" w:name="_Toc144974502"/>
      <w:bookmarkStart w:id="112" w:name="_Toc246996922"/>
      <w:bookmarkStart w:id="113" w:name="_Toc26897"/>
      <w:bookmarkStart w:id="114" w:name="_Toc506107273"/>
      <w:bookmarkStart w:id="115" w:name="_Toc296602424"/>
      <w:bookmarkStart w:id="116" w:name="_Toc152045534"/>
      <w:bookmarkStart w:id="117" w:name="_Toc246996179"/>
      <w:bookmarkStart w:id="118" w:name="_Toc179632551"/>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52042311"/>
      <w:bookmarkStart w:id="120" w:name="_Toc247085694"/>
      <w:bookmarkStart w:id="121" w:name="_Toc35425058"/>
      <w:bookmarkStart w:id="122" w:name="_Toc296602425"/>
      <w:bookmarkStart w:id="123" w:name="_Toc152045535"/>
      <w:bookmarkStart w:id="124" w:name="_Toc144974503"/>
      <w:bookmarkStart w:id="125" w:name="_Toc246996180"/>
      <w:bookmarkStart w:id="126" w:name="_Toc324404820"/>
      <w:bookmarkStart w:id="127" w:name="_Toc246996923"/>
      <w:bookmarkStart w:id="128" w:name="_Toc179632552"/>
      <w:bookmarkStart w:id="129" w:name="_Toc506107274"/>
      <w:bookmarkStart w:id="130" w:name="_Toc10179"/>
      <w:bookmarkStart w:id="131" w:name="_Toc78803327"/>
      <w:bookmarkStart w:id="132" w:name="_Toc35424892"/>
      <w:bookmarkStart w:id="133" w:name="_Toc15058851"/>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179632553"/>
      <w:bookmarkStart w:id="135" w:name="_Toc152042312"/>
      <w:bookmarkStart w:id="136" w:name="_Toc246996924"/>
      <w:bookmarkStart w:id="137" w:name="_Toc506107275"/>
      <w:bookmarkStart w:id="138" w:name="_Toc78803328"/>
      <w:bookmarkStart w:id="139" w:name="_Toc247085695"/>
      <w:bookmarkStart w:id="140" w:name="_Toc35424893"/>
      <w:bookmarkStart w:id="141" w:name="_Toc35425059"/>
      <w:bookmarkStart w:id="142" w:name="_Toc296602426"/>
      <w:bookmarkStart w:id="143" w:name="_Toc15058852"/>
      <w:bookmarkStart w:id="144" w:name="_Toc152045536"/>
      <w:bookmarkStart w:id="145" w:name="_Toc246996181"/>
      <w:bookmarkStart w:id="146" w:name="_Toc144974504"/>
      <w:bookmarkStart w:id="147" w:name="_Toc4092"/>
      <w:bookmarkStart w:id="148" w:name="_Toc324404821"/>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4119"/>
      <w:bookmarkStart w:id="151" w:name="_Toc247085696"/>
      <w:bookmarkStart w:id="152" w:name="_Toc78803329"/>
      <w:bookmarkStart w:id="153" w:name="_Toc246996182"/>
      <w:bookmarkStart w:id="154" w:name="_Toc15058853"/>
      <w:bookmarkStart w:id="155" w:name="_Toc324404822"/>
      <w:bookmarkStart w:id="156" w:name="_Toc506107276"/>
      <w:bookmarkStart w:id="157" w:name="_Toc35424894"/>
      <w:bookmarkStart w:id="158" w:name="_Toc152045537"/>
      <w:bookmarkStart w:id="159" w:name="_Toc152042313"/>
      <w:bookmarkStart w:id="160" w:name="_Toc35425060"/>
      <w:bookmarkStart w:id="161" w:name="_Toc246996925"/>
      <w:bookmarkStart w:id="162" w:name="_Toc296602427"/>
      <w:bookmarkStart w:id="163" w:name="_Toc179632554"/>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79632555"/>
      <w:bookmarkStart w:id="165" w:name="_Toc144974506"/>
      <w:bookmarkStart w:id="166" w:name="_Toc246996926"/>
      <w:bookmarkStart w:id="167" w:name="_Toc247085697"/>
      <w:bookmarkStart w:id="168" w:name="_Toc246996183"/>
      <w:bookmarkStart w:id="169" w:name="_Toc152042314"/>
      <w:bookmarkStart w:id="170" w:name="_Toc152045538"/>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296602428"/>
      <w:bookmarkStart w:id="172" w:name="_Toc324404823"/>
      <w:bookmarkStart w:id="173" w:name="_Toc13408"/>
      <w:bookmarkStart w:id="174" w:name="_Toc78803330"/>
      <w:bookmarkStart w:id="175" w:name="_Toc35424895"/>
      <w:bookmarkStart w:id="176" w:name="_Toc35425061"/>
      <w:bookmarkStart w:id="177" w:name="_Toc506107277"/>
      <w:bookmarkStart w:id="178" w:name="_Toc15058854"/>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324404824"/>
      <w:bookmarkStart w:id="180" w:name="_Toc247513962"/>
      <w:bookmarkStart w:id="181" w:name="_Toc506107278"/>
      <w:bookmarkStart w:id="182" w:name="_Toc35425062"/>
      <w:bookmarkStart w:id="183" w:name="_Toc296602429"/>
      <w:bookmarkStart w:id="184" w:name="_Toc78803331"/>
      <w:bookmarkStart w:id="185" w:name="_Toc11493"/>
      <w:bookmarkStart w:id="186" w:name="_Toc247592876"/>
      <w:bookmarkStart w:id="187" w:name="_Toc144974507"/>
      <w:bookmarkStart w:id="188" w:name="_Toc247527563"/>
      <w:bookmarkStart w:id="189" w:name="_Toc152042315"/>
      <w:bookmarkStart w:id="190" w:name="_Toc15058855"/>
      <w:bookmarkStart w:id="191" w:name="_Toc35424896"/>
      <w:bookmarkStart w:id="192" w:name="_Toc152045539"/>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35424897"/>
      <w:bookmarkStart w:id="194" w:name="_Toc506107279"/>
      <w:bookmarkStart w:id="195" w:name="_Toc247592877"/>
      <w:bookmarkStart w:id="196" w:name="_Toc35425063"/>
      <w:bookmarkStart w:id="197" w:name="_Toc296602430"/>
      <w:bookmarkStart w:id="198" w:name="_Toc324404825"/>
      <w:bookmarkStart w:id="199" w:name="_Toc15058856"/>
      <w:bookmarkStart w:id="200" w:name="_Toc78803332"/>
      <w:bookmarkStart w:id="201" w:name="_Toc152042316"/>
      <w:bookmarkStart w:id="202" w:name="_Toc144974508"/>
      <w:bookmarkStart w:id="203" w:name="_Toc247527564"/>
      <w:bookmarkStart w:id="204" w:name="_Toc247513963"/>
      <w:bookmarkStart w:id="205" w:name="_Toc22954"/>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60061444"/>
      <w:bookmarkStart w:id="209" w:name="_Toc83301699"/>
      <w:bookmarkStart w:id="210" w:name="_Toc324404826"/>
      <w:bookmarkStart w:id="211" w:name="_Toc35424898"/>
      <w:bookmarkStart w:id="212" w:name="_Toc35425064"/>
      <w:bookmarkStart w:id="213" w:name="_Toc32016"/>
      <w:bookmarkStart w:id="214" w:name="_Toc506107280"/>
      <w:bookmarkStart w:id="215" w:name="_Toc78803333"/>
      <w:bookmarkStart w:id="216" w:name="_Toc296602431"/>
      <w:bookmarkStart w:id="217" w:name="_Toc15058857"/>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144974510"/>
      <w:bookmarkStart w:id="219" w:name="_Toc15058858"/>
      <w:bookmarkStart w:id="220" w:name="_Toc4012"/>
      <w:bookmarkStart w:id="221" w:name="_Toc152042318"/>
      <w:bookmarkStart w:id="222" w:name="_Toc179632560"/>
      <w:bookmarkStart w:id="223" w:name="_Toc35425065"/>
      <w:bookmarkStart w:id="224" w:name="_Toc246996930"/>
      <w:bookmarkStart w:id="225" w:name="_Toc246996187"/>
      <w:bookmarkStart w:id="226" w:name="_Toc324404827"/>
      <w:bookmarkStart w:id="227" w:name="_Toc78803334"/>
      <w:bookmarkStart w:id="228" w:name="_Toc152045542"/>
      <w:bookmarkStart w:id="229" w:name="_Toc35424899"/>
      <w:bookmarkStart w:id="230" w:name="_Toc506107281"/>
      <w:bookmarkStart w:id="231" w:name="_Toc247085701"/>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15058859"/>
      <w:bookmarkStart w:id="233" w:name="_Toc246996188"/>
      <w:bookmarkStart w:id="234" w:name="_Toc247085702"/>
      <w:bookmarkStart w:id="235" w:name="_Toc144974511"/>
      <w:bookmarkStart w:id="236" w:name="_Toc506107282"/>
      <w:bookmarkStart w:id="237" w:name="_Toc296602433"/>
      <w:bookmarkStart w:id="238" w:name="_Toc35425066"/>
      <w:bookmarkStart w:id="239" w:name="_Toc246996931"/>
      <w:bookmarkStart w:id="240" w:name="_Toc179632561"/>
      <w:bookmarkStart w:id="241" w:name="_Toc35424900"/>
      <w:bookmarkStart w:id="242" w:name="_Toc13213"/>
      <w:bookmarkStart w:id="243" w:name="_Toc152042319"/>
      <w:bookmarkStart w:id="244" w:name="_Toc152045543"/>
      <w:bookmarkStart w:id="245" w:name="_Toc324404828"/>
      <w:bookmarkStart w:id="246" w:name="_Toc78803335"/>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35424901"/>
      <w:bookmarkStart w:id="248" w:name="_Toc144974512"/>
      <w:bookmarkStart w:id="249" w:name="_Toc506107283"/>
      <w:bookmarkStart w:id="250" w:name="_Toc35425067"/>
      <w:bookmarkStart w:id="251" w:name="_Toc296602434"/>
      <w:bookmarkStart w:id="252" w:name="_Toc78803336"/>
      <w:bookmarkStart w:id="253" w:name="_Toc179632562"/>
      <w:bookmarkStart w:id="254" w:name="_Toc247085703"/>
      <w:bookmarkStart w:id="255" w:name="_Toc152045544"/>
      <w:bookmarkStart w:id="256" w:name="_Toc324404829"/>
      <w:bookmarkStart w:id="257" w:name="_Toc15058860"/>
      <w:bookmarkStart w:id="258" w:name="_Toc152042320"/>
      <w:bookmarkStart w:id="259" w:name="_Toc32239"/>
      <w:bookmarkStart w:id="260" w:name="_Toc246996932"/>
      <w:bookmarkStart w:id="261" w:name="_Toc246996189"/>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247085704"/>
      <w:bookmarkStart w:id="263" w:name="_Toc152042321"/>
      <w:bookmarkStart w:id="264" w:name="_Toc15058861"/>
      <w:bookmarkStart w:id="265" w:name="_Toc152045545"/>
      <w:bookmarkStart w:id="266" w:name="_Toc35425068"/>
      <w:bookmarkStart w:id="267" w:name="_Toc296602435"/>
      <w:bookmarkStart w:id="268" w:name="_Toc179632563"/>
      <w:bookmarkStart w:id="269" w:name="_Toc24633"/>
      <w:bookmarkStart w:id="270" w:name="_Toc144974513"/>
      <w:bookmarkStart w:id="271" w:name="_Toc246996190"/>
      <w:bookmarkStart w:id="272" w:name="_Toc506107284"/>
      <w:bookmarkStart w:id="273" w:name="_Toc324404830"/>
      <w:bookmarkStart w:id="274" w:name="_Toc35424902"/>
      <w:bookmarkStart w:id="275" w:name="_Toc246996933"/>
      <w:bookmarkStart w:id="276" w:name="_Toc78803337"/>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78803338"/>
      <w:bookmarkStart w:id="278" w:name="_Toc35425069"/>
      <w:bookmarkStart w:id="279" w:name="_Toc2696"/>
      <w:bookmarkStart w:id="280" w:name="_Toc324404831"/>
      <w:bookmarkStart w:id="281" w:name="_Toc35424903"/>
      <w:bookmarkStart w:id="282" w:name="_Toc15058862"/>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506107285"/>
      <w:bookmarkStart w:id="284" w:name="_Toc152042322"/>
      <w:bookmarkStart w:id="285" w:name="_Toc179632564"/>
      <w:bookmarkStart w:id="286" w:name="_Toc35424904"/>
      <w:bookmarkStart w:id="287" w:name="_Toc324404832"/>
      <w:bookmarkStart w:id="288" w:name="_Toc144974514"/>
      <w:bookmarkStart w:id="289" w:name="_Toc246996191"/>
      <w:bookmarkStart w:id="290" w:name="_Toc6464"/>
      <w:bookmarkStart w:id="291" w:name="_Toc152045546"/>
      <w:bookmarkStart w:id="292" w:name="_Toc247085705"/>
      <w:bookmarkStart w:id="293" w:name="_Toc246996934"/>
      <w:bookmarkStart w:id="294" w:name="_Toc15058863"/>
      <w:bookmarkStart w:id="295" w:name="_Toc78803339"/>
      <w:bookmarkStart w:id="296" w:name="_Toc35425070"/>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247085706"/>
      <w:bookmarkStart w:id="298" w:name="_Toc15058864"/>
      <w:bookmarkStart w:id="299" w:name="_Toc296602437"/>
      <w:bookmarkStart w:id="300" w:name="_Toc324404833"/>
      <w:bookmarkStart w:id="301" w:name="_Toc157"/>
      <w:bookmarkStart w:id="302" w:name="_Toc506107286"/>
      <w:bookmarkStart w:id="303" w:name="_Toc246996935"/>
      <w:bookmarkStart w:id="304" w:name="_Toc35424905"/>
      <w:bookmarkStart w:id="305" w:name="_Toc179632565"/>
      <w:bookmarkStart w:id="306" w:name="_Toc152042323"/>
      <w:bookmarkStart w:id="307" w:name="_Toc246996192"/>
      <w:bookmarkStart w:id="308" w:name="_Toc152045547"/>
      <w:bookmarkStart w:id="309" w:name="_Toc144974515"/>
      <w:bookmarkStart w:id="310" w:name="_Toc35425071"/>
      <w:bookmarkStart w:id="311" w:name="_Toc78803340"/>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246996193"/>
      <w:bookmarkStart w:id="313" w:name="_Toc35424906"/>
      <w:bookmarkStart w:id="314" w:name="_Toc296602438"/>
      <w:bookmarkStart w:id="315" w:name="_Toc247085707"/>
      <w:bookmarkStart w:id="316" w:name="_Toc152042324"/>
      <w:bookmarkStart w:id="317" w:name="_Toc506107287"/>
      <w:bookmarkStart w:id="318" w:name="_Toc78803341"/>
      <w:bookmarkStart w:id="319" w:name="_Toc144974516"/>
      <w:bookmarkStart w:id="320" w:name="_Toc179632566"/>
      <w:bookmarkStart w:id="321" w:name="_Toc152045548"/>
      <w:bookmarkStart w:id="322" w:name="_Toc35425072"/>
      <w:bookmarkStart w:id="323" w:name="_Toc246996936"/>
      <w:bookmarkStart w:id="324" w:name="_Toc15058865"/>
      <w:bookmarkStart w:id="325" w:name="_Toc6829"/>
      <w:bookmarkStart w:id="326" w:name="_Toc324404834"/>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31735"/>
      <w:bookmarkStart w:id="328" w:name="_Toc246996194"/>
      <w:bookmarkStart w:id="329" w:name="_Toc179632567"/>
      <w:bookmarkStart w:id="330" w:name="_Toc324404835"/>
      <w:bookmarkStart w:id="331" w:name="_Toc35425073"/>
      <w:bookmarkStart w:id="332" w:name="_Toc247085708"/>
      <w:bookmarkStart w:id="333" w:name="_Toc35424907"/>
      <w:bookmarkStart w:id="334" w:name="_Toc246996937"/>
      <w:bookmarkStart w:id="335" w:name="_Toc15058866"/>
      <w:bookmarkStart w:id="336" w:name="_Toc152045549"/>
      <w:bookmarkStart w:id="337" w:name="_Toc506107288"/>
      <w:bookmarkStart w:id="338" w:name="_Toc296602439"/>
      <w:bookmarkStart w:id="339" w:name="_Toc144974517"/>
      <w:bookmarkStart w:id="340" w:name="_Toc78803342"/>
      <w:bookmarkStart w:id="341" w:name="_Toc152042325"/>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246996938"/>
      <w:bookmarkStart w:id="343" w:name="_Toc78803343"/>
      <w:bookmarkStart w:id="344" w:name="_Toc296602440"/>
      <w:bookmarkStart w:id="345" w:name="_Toc10714"/>
      <w:bookmarkStart w:id="346" w:name="_Toc35424908"/>
      <w:bookmarkStart w:id="347" w:name="_Toc152042326"/>
      <w:bookmarkStart w:id="348" w:name="_Toc144974518"/>
      <w:bookmarkStart w:id="349" w:name="_Toc506107289"/>
      <w:bookmarkStart w:id="350" w:name="_Toc324404836"/>
      <w:bookmarkStart w:id="351" w:name="_Toc247085709"/>
      <w:bookmarkStart w:id="352" w:name="_Toc15058867"/>
      <w:bookmarkStart w:id="353" w:name="_Toc152045550"/>
      <w:bookmarkStart w:id="354" w:name="_Toc246996195"/>
      <w:bookmarkStart w:id="355" w:name="_Toc35425074"/>
      <w:bookmarkStart w:id="356" w:name="_Toc17963256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506107290"/>
      <w:bookmarkStart w:id="358" w:name="_Toc15058868"/>
      <w:bookmarkStart w:id="359" w:name="_Toc78803344"/>
      <w:bookmarkStart w:id="360" w:name="_Toc35425075"/>
      <w:bookmarkStart w:id="361" w:name="_Toc35424909"/>
      <w:bookmarkStart w:id="362" w:name="_Toc19037"/>
      <w:bookmarkStart w:id="363" w:name="_Toc324404837"/>
      <w:bookmarkStart w:id="364" w:name="_Toc296602442"/>
      <w:bookmarkStart w:id="365" w:name="_Toc179632571"/>
      <w:bookmarkStart w:id="366" w:name="_Toc152042329"/>
      <w:bookmarkStart w:id="367" w:name="_Toc247085711"/>
      <w:bookmarkStart w:id="368" w:name="_Toc144974521"/>
      <w:bookmarkStart w:id="369" w:name="_Toc246996940"/>
      <w:bookmarkStart w:id="370" w:name="_Toc246996197"/>
      <w:bookmarkStart w:id="371" w:name="_Toc152045553"/>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52042331"/>
      <w:bookmarkStart w:id="373" w:name="_Toc246996199"/>
      <w:bookmarkStart w:id="374" w:name="_Toc247085713"/>
      <w:bookmarkStart w:id="375" w:name="_Toc246996942"/>
      <w:bookmarkStart w:id="376" w:name="_Toc144974523"/>
      <w:bookmarkStart w:id="377" w:name="_Toc324404838"/>
      <w:bookmarkStart w:id="378" w:name="_Toc179632573"/>
      <w:bookmarkStart w:id="379" w:name="_Toc152045555"/>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19455"/>
      <w:bookmarkStart w:id="381" w:name="_Toc78803345"/>
      <w:bookmarkStart w:id="382" w:name="_Toc35424910"/>
      <w:bookmarkStart w:id="383" w:name="_Toc506107291"/>
      <w:bookmarkStart w:id="384" w:name="_Toc15058869"/>
      <w:bookmarkStart w:id="385" w:name="_Toc35425076"/>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60061458"/>
      <w:bookmarkStart w:id="387" w:name="_Toc83301713"/>
      <w:bookmarkStart w:id="388" w:name="_Toc95223361"/>
      <w:bookmarkStart w:id="389" w:name="_Toc35424911"/>
      <w:bookmarkStart w:id="390" w:name="_Toc14473"/>
      <w:bookmarkStart w:id="391" w:name="_Toc78803346"/>
      <w:bookmarkStart w:id="392" w:name="_Toc35425077"/>
      <w:bookmarkStart w:id="393" w:name="_Toc15058870"/>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w:t>
      </w:r>
      <w:r>
        <w:rPr>
          <w:rFonts w:hint="eastAsia" w:ascii="宋体" w:hAnsi="宋体" w:cs="宋体"/>
          <w:kern w:val="0"/>
          <w:sz w:val="21"/>
          <w:szCs w:val="21"/>
          <w:highlight w:val="none"/>
          <w:lang w:val="en-US" w:eastAsia="zh-CN" w:bidi="ar-SA"/>
        </w:rPr>
        <w:t>0512-58151515</w:t>
      </w:r>
      <w:r>
        <w:rPr>
          <w:rFonts w:hint="eastAsia" w:ascii="宋体" w:hAnsi="宋体" w:eastAsia="宋体" w:cs="宋体"/>
          <w:kern w:val="0"/>
          <w:sz w:val="21"/>
          <w:szCs w:val="21"/>
          <w:highlight w:val="none"/>
          <w:lang w:val="en-US" w:eastAsia="zh-CN" w:bidi="ar-SA"/>
        </w:rPr>
        <w:t>（工作日）。</w:t>
      </w:r>
    </w:p>
    <w:p w14:paraId="1CEF98C2">
      <w:pPr>
        <w:pStyle w:val="3"/>
        <w:ind w:firstLine="422" w:firstLineChars="200"/>
        <w:rPr>
          <w:rFonts w:hint="eastAsia" w:ascii="宋体" w:hAnsi="宋体" w:eastAsia="宋体" w:cs="宋体"/>
          <w:highlight w:val="none"/>
        </w:rPr>
      </w:pPr>
      <w:bookmarkStart w:id="394" w:name="_Toc144974524"/>
      <w:bookmarkStart w:id="395" w:name="_Toc179632574"/>
      <w:bookmarkStart w:id="396" w:name="_Toc152042332"/>
      <w:bookmarkStart w:id="397" w:name="_Toc247085714"/>
      <w:bookmarkStart w:id="398" w:name="_Toc15058871"/>
      <w:bookmarkStart w:id="399" w:name="_Toc246996943"/>
      <w:bookmarkStart w:id="400" w:name="_Toc152045556"/>
      <w:bookmarkStart w:id="401" w:name="_Toc296602444"/>
      <w:bookmarkStart w:id="402" w:name="_Toc506107292"/>
      <w:bookmarkStart w:id="403" w:name="_Toc246996200"/>
      <w:bookmarkStart w:id="404" w:name="_Toc324404839"/>
      <w:bookmarkStart w:id="405" w:name="_Toc83301714"/>
      <w:bookmarkStart w:id="406" w:name="_Toc95223362"/>
      <w:bookmarkStart w:id="407" w:name="_Toc60061459"/>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247085715"/>
      <w:bookmarkStart w:id="409" w:name="_Toc179632575"/>
      <w:bookmarkStart w:id="410" w:name="_Toc246996201"/>
      <w:bookmarkStart w:id="411" w:name="_Toc324404840"/>
      <w:bookmarkStart w:id="412" w:name="_Toc296602445"/>
      <w:bookmarkStart w:id="413" w:name="_Toc152045557"/>
      <w:bookmarkStart w:id="414" w:name="_Toc246996944"/>
      <w:bookmarkStart w:id="415" w:name="_Toc144974525"/>
      <w:bookmarkStart w:id="416" w:name="_Toc152042333"/>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60061460"/>
      <w:bookmarkStart w:id="418" w:name="_Toc506107293"/>
      <w:bookmarkStart w:id="419" w:name="_Toc15058872"/>
      <w:bookmarkStart w:id="420" w:name="_Toc83301715"/>
      <w:bookmarkStart w:id="421" w:name="_Toc95223363"/>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83301716"/>
      <w:bookmarkStart w:id="423" w:name="_Toc60061461"/>
      <w:bookmarkStart w:id="424" w:name="_Toc95223364"/>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35424915"/>
      <w:bookmarkStart w:id="426" w:name="_Toc15058874"/>
      <w:bookmarkStart w:id="427" w:name="_Toc144974527"/>
      <w:bookmarkStart w:id="428" w:name="_Toc152045559"/>
      <w:bookmarkStart w:id="429" w:name="_Toc179632577"/>
      <w:bookmarkStart w:id="430" w:name="_Toc324404842"/>
      <w:bookmarkStart w:id="431" w:name="_Toc246996203"/>
      <w:bookmarkStart w:id="432" w:name="_Toc35425081"/>
      <w:bookmarkStart w:id="433" w:name="_Toc78803348"/>
      <w:bookmarkStart w:id="434" w:name="_Toc506107295"/>
      <w:bookmarkStart w:id="435" w:name="_Toc246996946"/>
      <w:bookmarkStart w:id="436" w:name="_Toc247085717"/>
      <w:bookmarkStart w:id="437" w:name="_Toc152042335"/>
      <w:bookmarkStart w:id="438" w:name="_Toc29639"/>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15058875"/>
      <w:bookmarkStart w:id="440" w:name="_Toc35425082"/>
      <w:bookmarkStart w:id="441" w:name="_Toc246996204"/>
      <w:bookmarkStart w:id="442" w:name="_Toc246996947"/>
      <w:bookmarkStart w:id="443" w:name="_Toc296602448"/>
      <w:bookmarkStart w:id="444" w:name="_Toc152045560"/>
      <w:bookmarkStart w:id="445" w:name="_Toc13691"/>
      <w:bookmarkStart w:id="446" w:name="_Toc324404843"/>
      <w:bookmarkStart w:id="447" w:name="_Toc506107296"/>
      <w:bookmarkStart w:id="448" w:name="_Toc152042336"/>
      <w:bookmarkStart w:id="449" w:name="_Toc247085718"/>
      <w:bookmarkStart w:id="450" w:name="_Toc78803349"/>
      <w:bookmarkStart w:id="451" w:name="_Toc144974528"/>
      <w:bookmarkStart w:id="452" w:name="_Toc35424916"/>
      <w:bookmarkStart w:id="453" w:name="_Toc17963257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35424917"/>
      <w:bookmarkStart w:id="455" w:name="_Toc506107297"/>
      <w:bookmarkStart w:id="456" w:name="_Toc78803350"/>
      <w:bookmarkStart w:id="457" w:name="_Toc247085719"/>
      <w:bookmarkStart w:id="458" w:name="_Toc144974529"/>
      <w:bookmarkStart w:id="459" w:name="_Toc179632579"/>
      <w:bookmarkStart w:id="460" w:name="_Toc32451"/>
      <w:bookmarkStart w:id="461" w:name="_Toc152045561"/>
      <w:bookmarkStart w:id="462" w:name="_Toc152042337"/>
      <w:bookmarkStart w:id="463" w:name="_Toc324404844"/>
      <w:bookmarkStart w:id="464" w:name="_Toc246996948"/>
      <w:bookmarkStart w:id="465" w:name="_Toc35425083"/>
      <w:bookmarkStart w:id="466" w:name="_Toc15058876"/>
      <w:bookmarkStart w:id="467" w:name="_Toc296602449"/>
      <w:bookmarkStart w:id="468" w:name="_Toc246996205"/>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246996206"/>
      <w:bookmarkStart w:id="470" w:name="_Toc152045562"/>
      <w:bookmarkStart w:id="471" w:name="_Toc324404846"/>
      <w:bookmarkStart w:id="472" w:name="_Toc35425085"/>
      <w:bookmarkStart w:id="473" w:name="_Toc247085720"/>
      <w:bookmarkStart w:id="474" w:name="_Toc20689"/>
      <w:bookmarkStart w:id="475" w:name="_Toc152042338"/>
      <w:bookmarkStart w:id="476" w:name="_Toc506107299"/>
      <w:bookmarkStart w:id="477" w:name="_Toc144974530"/>
      <w:bookmarkStart w:id="478" w:name="_Toc179632580"/>
      <w:bookmarkStart w:id="479" w:name="_Toc246996949"/>
      <w:bookmarkStart w:id="480" w:name="_Toc15058884"/>
      <w:bookmarkStart w:id="481" w:name="_Toc78803352"/>
      <w:bookmarkStart w:id="482" w:name="_Toc35424919"/>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324404847"/>
      <w:bookmarkStart w:id="484" w:name="_Toc152042339"/>
      <w:bookmarkStart w:id="485" w:name="_Toc152045563"/>
      <w:bookmarkStart w:id="486" w:name="_Toc60061467"/>
      <w:bookmarkStart w:id="487" w:name="_Toc83301722"/>
      <w:bookmarkStart w:id="488" w:name="_Toc296602452"/>
      <w:bookmarkStart w:id="489" w:name="_Toc506107300"/>
      <w:bookmarkStart w:id="490" w:name="_Toc179632581"/>
      <w:bookmarkStart w:id="491" w:name="_Toc246996950"/>
      <w:bookmarkStart w:id="492" w:name="_Toc246996207"/>
      <w:bookmarkStart w:id="493" w:name="_Toc144974531"/>
      <w:bookmarkStart w:id="494" w:name="_Toc95223370"/>
      <w:bookmarkStart w:id="495" w:name="_Toc15058885"/>
      <w:bookmarkStart w:id="496" w:name="_Toc247085721"/>
      <w:bookmarkStart w:id="497" w:name="_Toc179632582"/>
      <w:bookmarkStart w:id="498" w:name="_Toc78803354"/>
      <w:bookmarkStart w:id="499" w:name="_Toc35424921"/>
      <w:bookmarkStart w:id="500" w:name="_Toc144974532"/>
      <w:bookmarkStart w:id="501" w:name="_Toc15058886"/>
      <w:bookmarkStart w:id="502" w:name="_Toc35425087"/>
      <w:bookmarkStart w:id="503" w:name="_Toc324404848"/>
      <w:bookmarkStart w:id="504" w:name="_Toc296602453"/>
      <w:bookmarkStart w:id="505" w:name="_Toc152042340"/>
      <w:bookmarkStart w:id="506" w:name="_Toc246996951"/>
      <w:bookmarkStart w:id="507" w:name="_Toc247085722"/>
      <w:bookmarkStart w:id="508" w:name="_Toc506107301"/>
      <w:bookmarkStart w:id="509" w:name="_Toc246996208"/>
      <w:bookmarkStart w:id="510" w:name="_Toc152045564"/>
      <w:bookmarkStart w:id="511" w:name="_Toc12948"/>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152042341"/>
      <w:bookmarkStart w:id="513" w:name="_Toc35424922"/>
      <w:bookmarkStart w:id="514" w:name="_Toc144974533"/>
      <w:bookmarkStart w:id="515" w:name="_Toc14892"/>
      <w:bookmarkStart w:id="516" w:name="_Toc506107302"/>
      <w:bookmarkStart w:id="517" w:name="_Toc324404849"/>
      <w:bookmarkStart w:id="518" w:name="_Toc296602454"/>
      <w:bookmarkStart w:id="519" w:name="_Toc179632583"/>
      <w:bookmarkStart w:id="520" w:name="_Toc35425088"/>
      <w:bookmarkStart w:id="521" w:name="_Toc78803355"/>
      <w:bookmarkStart w:id="522" w:name="_Toc246996209"/>
      <w:bookmarkStart w:id="523" w:name="_Toc152045565"/>
      <w:bookmarkStart w:id="524" w:name="_Toc15058887"/>
      <w:bookmarkStart w:id="525" w:name="_Toc246996952"/>
      <w:bookmarkStart w:id="526" w:name="_Toc247085723"/>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52042342"/>
      <w:bookmarkStart w:id="528" w:name="_Toc246996210"/>
      <w:bookmarkStart w:id="529" w:name="_Toc144974534"/>
      <w:bookmarkStart w:id="530" w:name="_Toc246996953"/>
      <w:bookmarkStart w:id="531" w:name="_Toc152045566"/>
      <w:bookmarkStart w:id="532" w:name="_Toc324404850"/>
      <w:bookmarkStart w:id="533" w:name="_Toc247085724"/>
      <w:bookmarkStart w:id="534" w:name="_Toc17963258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506107303"/>
      <w:bookmarkStart w:id="536" w:name="_Toc78803356"/>
      <w:bookmarkStart w:id="537" w:name="_Toc26182"/>
      <w:bookmarkStart w:id="538" w:name="_Toc35425089"/>
      <w:bookmarkStart w:id="539" w:name="_Toc15058888"/>
      <w:bookmarkStart w:id="540" w:name="_Toc3542492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95223374"/>
      <w:bookmarkStart w:id="542" w:name="_Toc83301726"/>
      <w:bookmarkStart w:id="543" w:name="_Toc15058890"/>
      <w:bookmarkStart w:id="544" w:name="_Toc60061472"/>
      <w:bookmarkStart w:id="545" w:name="_Toc324404852"/>
      <w:bookmarkStart w:id="546" w:name="_Toc506107305"/>
      <w:bookmarkStart w:id="547" w:name="_Toc296602457"/>
      <w:bookmarkStart w:id="548" w:name="_Toc78803359"/>
      <w:bookmarkStart w:id="549" w:name="_Toc35425092"/>
      <w:bookmarkStart w:id="550" w:name="_Toc27040"/>
      <w:bookmarkStart w:id="551" w:name="_Toc35424926"/>
      <w:bookmarkStart w:id="552" w:name="_Toc8261"/>
      <w:bookmarkStart w:id="553" w:name="_Toc246996212"/>
      <w:bookmarkStart w:id="554" w:name="_Toc152042344"/>
      <w:bookmarkStart w:id="555" w:name="_Toc15058891"/>
      <w:bookmarkStart w:id="556" w:name="_Toc247085726"/>
      <w:bookmarkStart w:id="557" w:name="_Toc35425093"/>
      <w:bookmarkStart w:id="558" w:name="_Toc144974536"/>
      <w:bookmarkStart w:id="559" w:name="_Toc179632586"/>
      <w:bookmarkStart w:id="560" w:name="_Toc296602458"/>
      <w:bookmarkStart w:id="561" w:name="_Toc246996955"/>
      <w:bookmarkStart w:id="562" w:name="_Toc14692"/>
      <w:bookmarkStart w:id="563" w:name="_Toc152045568"/>
      <w:bookmarkStart w:id="564" w:name="_Toc506107306"/>
      <w:bookmarkStart w:id="565" w:name="_Toc324404853"/>
      <w:bookmarkStart w:id="566" w:name="_Toc35424927"/>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35424929"/>
      <w:bookmarkStart w:id="573" w:name="_Toc25501"/>
      <w:bookmarkStart w:id="574" w:name="_Toc152042345"/>
      <w:bookmarkStart w:id="575" w:name="_Toc296602459"/>
      <w:bookmarkStart w:id="576" w:name="_Toc78803362"/>
      <w:bookmarkStart w:id="577" w:name="_Toc152045569"/>
      <w:bookmarkStart w:id="578" w:name="_Toc506107307"/>
      <w:bookmarkStart w:id="579" w:name="_Toc324404854"/>
      <w:bookmarkStart w:id="580" w:name="_Toc246996213"/>
      <w:bookmarkStart w:id="581" w:name="_Toc35425095"/>
      <w:bookmarkStart w:id="582" w:name="_Toc246996956"/>
      <w:bookmarkStart w:id="583" w:name="_Toc144974537"/>
      <w:bookmarkStart w:id="584" w:name="_Toc179632587"/>
      <w:bookmarkStart w:id="585" w:name="_Toc247085727"/>
      <w:bookmarkStart w:id="586" w:name="_Toc15058892"/>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246996214"/>
      <w:bookmarkStart w:id="588" w:name="_Toc324404855"/>
      <w:bookmarkStart w:id="589" w:name="_Toc152045570"/>
      <w:bookmarkStart w:id="590" w:name="_Toc35424930"/>
      <w:bookmarkStart w:id="591" w:name="_Toc11010"/>
      <w:bookmarkStart w:id="592" w:name="_Toc247085728"/>
      <w:bookmarkStart w:id="593" w:name="_Toc144974538"/>
      <w:bookmarkStart w:id="594" w:name="_Toc78803363"/>
      <w:bookmarkStart w:id="595" w:name="_Toc296602460"/>
      <w:bookmarkStart w:id="596" w:name="_Toc179632588"/>
      <w:bookmarkStart w:id="597" w:name="_Toc506107308"/>
      <w:bookmarkStart w:id="598" w:name="_Toc15058893"/>
      <w:bookmarkStart w:id="599" w:name="_Toc152042346"/>
      <w:bookmarkStart w:id="600" w:name="_Toc35425096"/>
      <w:bookmarkStart w:id="601" w:name="_Toc246996957"/>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324404856"/>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179632589"/>
      <w:bookmarkStart w:id="606" w:name="_Toc95223381"/>
      <w:bookmarkStart w:id="607" w:name="_Toc60061478"/>
      <w:bookmarkStart w:id="608" w:name="_Toc83301732"/>
      <w:bookmarkStart w:id="609" w:name="_Toc152042347"/>
      <w:bookmarkStart w:id="610" w:name="_Toc144974539"/>
      <w:bookmarkStart w:id="611" w:name="_Toc152045571"/>
      <w:bookmarkStart w:id="612" w:name="_Toc35424931"/>
      <w:bookmarkStart w:id="613" w:name="_Toc26974"/>
      <w:bookmarkStart w:id="614" w:name="_Toc31686"/>
      <w:bookmarkStart w:id="615" w:name="_Toc25375"/>
      <w:bookmarkStart w:id="616" w:name="_Toc35425097"/>
      <w:bookmarkStart w:id="617" w:name="_Toc78803367"/>
      <w:bookmarkStart w:id="618" w:name="_Toc324404864"/>
      <w:bookmarkStart w:id="619" w:name="_Toc506107317"/>
      <w:bookmarkStart w:id="620" w:name="_Toc15058902"/>
      <w:bookmarkStart w:id="621" w:name="_Toc35425105"/>
      <w:bookmarkStart w:id="622" w:name="_Toc35424939"/>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152042348"/>
      <w:bookmarkStart w:id="625" w:name="_Toc144974540"/>
      <w:bookmarkStart w:id="626" w:name="_Toc83301733"/>
      <w:bookmarkStart w:id="627" w:name="_Toc152045572"/>
      <w:bookmarkStart w:id="628" w:name="_Toc95223382"/>
      <w:bookmarkStart w:id="629" w:name="_Toc179632590"/>
      <w:bookmarkStart w:id="630" w:name="_Toc60061479"/>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60061480"/>
      <w:bookmarkStart w:id="632" w:name="_Toc83301734"/>
      <w:bookmarkStart w:id="633" w:name="_Toc152045573"/>
      <w:bookmarkStart w:id="634" w:name="_Toc179632591"/>
      <w:bookmarkStart w:id="635" w:name="_Toc152042349"/>
      <w:bookmarkStart w:id="636" w:name="_Toc95223383"/>
      <w:bookmarkStart w:id="637" w:name="_Toc144974541"/>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35425098"/>
      <w:bookmarkStart w:id="639" w:name="_Toc246996219"/>
      <w:bookmarkStart w:id="640" w:name="_Toc506107310"/>
      <w:bookmarkStart w:id="641" w:name="_Toc246996962"/>
      <w:bookmarkStart w:id="642" w:name="_Toc152045575"/>
      <w:bookmarkStart w:id="643" w:name="_Toc144974543"/>
      <w:bookmarkStart w:id="644" w:name="_Toc15607"/>
      <w:bookmarkStart w:id="645" w:name="_Toc247085733"/>
      <w:bookmarkStart w:id="646" w:name="_Toc296590983"/>
      <w:bookmarkStart w:id="647" w:name="_Toc152042351"/>
      <w:bookmarkStart w:id="648" w:name="_Toc324404857"/>
      <w:bookmarkStart w:id="649" w:name="_Toc2855"/>
      <w:bookmarkStart w:id="650" w:name="_Toc179632593"/>
      <w:bookmarkStart w:id="651" w:name="_Toc15058895"/>
      <w:bookmarkStart w:id="652" w:name="_Toc78803368"/>
      <w:bookmarkStart w:id="653" w:name="_Toc296602462"/>
      <w:bookmarkStart w:id="654" w:name="_Toc35424932"/>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19779"/>
      <w:bookmarkStart w:id="656" w:name="_Toc78803369"/>
      <w:bookmarkStart w:id="657" w:name="_Toc296602463"/>
      <w:bookmarkStart w:id="658" w:name="_Toc246996963"/>
      <w:bookmarkStart w:id="659" w:name="_Toc247085734"/>
      <w:bookmarkStart w:id="660" w:name="_Toc246996220"/>
      <w:bookmarkStart w:id="661" w:name="_Toc324404858"/>
      <w:bookmarkStart w:id="662" w:name="_Toc152045576"/>
      <w:bookmarkStart w:id="663" w:name="_Toc506107311"/>
      <w:bookmarkStart w:id="664" w:name="_Toc152042352"/>
      <w:bookmarkStart w:id="665" w:name="_Toc144974544"/>
      <w:bookmarkStart w:id="666" w:name="_Toc35425099"/>
      <w:bookmarkStart w:id="667" w:name="_Toc15058896"/>
      <w:bookmarkStart w:id="668" w:name="_Toc32177"/>
      <w:bookmarkStart w:id="669" w:name="_Toc179632594"/>
      <w:bookmarkStart w:id="670" w:name="_Toc35424933"/>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246996964"/>
      <w:bookmarkStart w:id="672" w:name="_Toc324404859"/>
      <w:bookmarkStart w:id="673" w:name="_Toc152042353"/>
      <w:bookmarkStart w:id="674" w:name="_Toc296602464"/>
      <w:bookmarkStart w:id="675" w:name="_Toc35425100"/>
      <w:bookmarkStart w:id="676" w:name="_Toc15058897"/>
      <w:bookmarkStart w:id="677" w:name="_Toc144974545"/>
      <w:bookmarkStart w:id="678" w:name="_Toc35424934"/>
      <w:bookmarkStart w:id="679" w:name="_Toc12564"/>
      <w:bookmarkStart w:id="680" w:name="_Toc247085735"/>
      <w:bookmarkStart w:id="681" w:name="_Toc152045577"/>
      <w:bookmarkStart w:id="682" w:name="_Toc506107312"/>
      <w:bookmarkStart w:id="683" w:name="_Toc13043"/>
      <w:bookmarkStart w:id="684" w:name="_Toc78803370"/>
      <w:bookmarkStart w:id="685" w:name="_Toc179632595"/>
      <w:bookmarkStart w:id="686" w:name="_Toc246996221"/>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35425101"/>
      <w:bookmarkStart w:id="688" w:name="_Toc179632596"/>
      <w:bookmarkStart w:id="689" w:name="_Toc78803371"/>
      <w:bookmarkStart w:id="690" w:name="_Toc324404860"/>
      <w:bookmarkStart w:id="691" w:name="_Toc247085736"/>
      <w:bookmarkStart w:id="692" w:name="_Toc18329"/>
      <w:bookmarkStart w:id="693" w:name="_Toc152045578"/>
      <w:bookmarkStart w:id="694" w:name="_Toc32214"/>
      <w:bookmarkStart w:id="695" w:name="_Toc296602465"/>
      <w:bookmarkStart w:id="696" w:name="_Toc152042354"/>
      <w:bookmarkStart w:id="697" w:name="_Toc246996222"/>
      <w:bookmarkStart w:id="698" w:name="_Toc246996965"/>
      <w:bookmarkStart w:id="699" w:name="_Toc15058898"/>
      <w:bookmarkStart w:id="700" w:name="_Toc506107313"/>
      <w:bookmarkStart w:id="701" w:name="_Toc3542493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296602466"/>
      <w:bookmarkStart w:id="705" w:name="_Toc247085737"/>
      <w:bookmarkStart w:id="706" w:name="_Toc15058899"/>
      <w:bookmarkStart w:id="707" w:name="_Toc35424936"/>
      <w:bookmarkStart w:id="708" w:name="_Toc2811"/>
      <w:bookmarkStart w:id="709" w:name="_Toc23607"/>
      <w:bookmarkStart w:id="710" w:name="_Toc78803372"/>
      <w:bookmarkStart w:id="711" w:name="_Toc152045579"/>
      <w:bookmarkStart w:id="712" w:name="_Toc35425102"/>
      <w:bookmarkStart w:id="713" w:name="_Toc246996966"/>
      <w:bookmarkStart w:id="714" w:name="_Toc324404861"/>
      <w:bookmarkStart w:id="715" w:name="_Toc246996223"/>
      <w:bookmarkStart w:id="716" w:name="_Toc179632597"/>
      <w:bookmarkStart w:id="717" w:name="_Toc152042356"/>
      <w:bookmarkStart w:id="718" w:name="_Toc506107314"/>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152045580"/>
      <w:bookmarkStart w:id="720" w:name="_Toc16463"/>
      <w:bookmarkStart w:id="721" w:name="_Toc144974547"/>
      <w:bookmarkStart w:id="722" w:name="_Toc246996967"/>
      <w:bookmarkStart w:id="723" w:name="_Toc506107315"/>
      <w:bookmarkStart w:id="724" w:name="_Toc35425103"/>
      <w:bookmarkStart w:id="725" w:name="_Toc78803373"/>
      <w:bookmarkStart w:id="726" w:name="_Toc20669"/>
      <w:bookmarkStart w:id="727" w:name="_Toc31643"/>
      <w:bookmarkStart w:id="728" w:name="_Toc152042357"/>
      <w:bookmarkStart w:id="729" w:name="_Toc247085738"/>
      <w:bookmarkStart w:id="730" w:name="_Toc15058900"/>
      <w:bookmarkStart w:id="731" w:name="_Toc324404862"/>
      <w:bookmarkStart w:id="732" w:name="_Toc246996224"/>
      <w:bookmarkStart w:id="733" w:name="_Toc35424937"/>
      <w:bookmarkStart w:id="734" w:name="_Toc179632598"/>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15058903"/>
      <w:bookmarkStart w:id="738" w:name="_Toc506107318"/>
      <w:bookmarkStart w:id="739" w:name="_Toc324404865"/>
      <w:bookmarkStart w:id="740" w:name="_Toc35425106"/>
      <w:bookmarkStart w:id="741" w:name="_Toc35424940"/>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2BD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60043FA6">
            <w:pPr>
              <w:spacing w:line="440" w:lineRule="exact"/>
              <w:jc w:val="center"/>
              <w:rPr>
                <w:rFonts w:ascii="宋体" w:hAnsi="宋体" w:cs="宋体"/>
                <w:szCs w:val="21"/>
                <w:highlight w:val="none"/>
              </w:rPr>
            </w:pPr>
          </w:p>
        </w:tc>
        <w:tc>
          <w:tcPr>
            <w:tcW w:w="1258" w:type="dxa"/>
            <w:vMerge w:val="continue"/>
            <w:noWrap/>
            <w:vAlign w:val="center"/>
          </w:tcPr>
          <w:p w14:paraId="563E5D5C">
            <w:pPr>
              <w:spacing w:line="440" w:lineRule="exact"/>
              <w:jc w:val="center"/>
              <w:rPr>
                <w:rFonts w:ascii="宋体" w:hAnsi="宋体" w:cs="宋体"/>
                <w:b/>
                <w:bCs/>
                <w:szCs w:val="21"/>
                <w:highlight w:val="none"/>
              </w:rPr>
            </w:pPr>
          </w:p>
        </w:tc>
        <w:tc>
          <w:tcPr>
            <w:tcW w:w="6183" w:type="dxa"/>
            <w:noWrap/>
            <w:vAlign w:val="center"/>
          </w:tcPr>
          <w:p w14:paraId="171CD7E8">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p>
        </w:tc>
        <w:tc>
          <w:tcPr>
            <w:tcW w:w="1860" w:type="dxa"/>
            <w:vMerge w:val="continue"/>
            <w:noWrap/>
            <w:vAlign w:val="center"/>
          </w:tcPr>
          <w:p w14:paraId="12F5E86C">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2D2648D2">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35425107"/>
      <w:bookmarkStart w:id="743" w:name="_Toc324404866"/>
      <w:bookmarkStart w:id="744" w:name="_Toc506107319"/>
      <w:bookmarkStart w:id="745" w:name="_Toc15058904"/>
      <w:bookmarkStart w:id="746" w:name="_Toc78803376"/>
      <w:bookmarkStart w:id="747" w:name="_Toc35424941"/>
      <w:bookmarkStart w:id="748" w:name="_Toc27127"/>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93BB5C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12549"/>
      <w:bookmarkStart w:id="752" w:name="_Toc35425108"/>
      <w:bookmarkStart w:id="753" w:name="_Toc15058909"/>
      <w:bookmarkStart w:id="754" w:name="_Toc35424942"/>
      <w:bookmarkStart w:id="755" w:name="_Toc78803377"/>
      <w:bookmarkStart w:id="756" w:name="_Toc506107320"/>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15058910"/>
      <w:bookmarkStart w:id="758" w:name="_Toc35424943"/>
      <w:bookmarkStart w:id="759" w:name="_Toc324404868"/>
      <w:bookmarkStart w:id="760" w:name="_Toc78803378"/>
      <w:bookmarkStart w:id="761" w:name="_Toc506107321"/>
      <w:bookmarkStart w:id="762" w:name="_Toc15626"/>
      <w:bookmarkStart w:id="763" w:name="_Toc35425109"/>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5424944"/>
      <w:bookmarkStart w:id="765" w:name="_Toc324404869"/>
      <w:bookmarkStart w:id="766" w:name="_Toc78803379"/>
      <w:bookmarkStart w:id="767" w:name="_Toc15058911"/>
      <w:bookmarkStart w:id="768" w:name="_Toc506107322"/>
      <w:bookmarkStart w:id="769" w:name="_Toc10330"/>
      <w:bookmarkStart w:id="770" w:name="_Toc3542511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35425111"/>
      <w:bookmarkStart w:id="773" w:name="_Toc15058912"/>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152042366"/>
      <w:bookmarkStart w:id="777" w:name="_Toc247085747"/>
      <w:bookmarkStart w:id="778" w:name="_Toc144974556"/>
      <w:bookmarkStart w:id="779" w:name="_Toc152045589"/>
      <w:bookmarkStart w:id="780" w:name="_Toc6491"/>
      <w:bookmarkStart w:id="781" w:name="_Toc179632607"/>
      <w:bookmarkStart w:id="782" w:name="_Toc35425113"/>
      <w:bookmarkStart w:id="783" w:name="_Toc506107324"/>
      <w:bookmarkStart w:id="784" w:name="_Toc246996232"/>
      <w:bookmarkStart w:id="785" w:name="_Toc246996975"/>
      <w:bookmarkStart w:id="786" w:name="_Toc35424947"/>
      <w:bookmarkStart w:id="787" w:name="_Toc324404872"/>
      <w:bookmarkStart w:id="788" w:name="_Toc15058913"/>
      <w:bookmarkStart w:id="789" w:name="_Toc78803381"/>
      <w:bookmarkStart w:id="790" w:name="_Toc324404873"/>
      <w:bookmarkStart w:id="791" w:name="_Toc35424948"/>
      <w:bookmarkStart w:id="792" w:name="_Toc11945"/>
      <w:bookmarkStart w:id="793" w:name="_Toc15058914"/>
      <w:bookmarkStart w:id="794" w:name="_Toc35425114"/>
      <w:bookmarkStart w:id="795" w:name="_Toc78803382"/>
      <w:bookmarkStart w:id="796" w:name="_Toc506107325"/>
      <w:bookmarkStart w:id="797" w:name="_Toc179632608"/>
      <w:bookmarkStart w:id="798" w:name="_Toc246996233"/>
      <w:bookmarkStart w:id="799" w:name="_Toc152045590"/>
      <w:bookmarkStart w:id="800" w:name="_Toc296602478"/>
      <w:bookmarkStart w:id="801" w:name="_Toc246996976"/>
      <w:bookmarkStart w:id="802" w:name="_Toc144974557"/>
      <w:bookmarkStart w:id="803" w:name="_Toc152042367"/>
      <w:bookmarkStart w:id="804" w:name="_Toc247085748"/>
      <w:r>
        <w:rPr>
          <w:rFonts w:hint="eastAsia"/>
          <w:b/>
          <w:bCs/>
          <w:color w:val="000000"/>
          <w:sz w:val="28"/>
          <w:szCs w:val="28"/>
        </w:rPr>
        <w:t>（一）</w:t>
      </w:r>
      <w:r>
        <w:rPr>
          <w:rFonts w:hint="eastAsia"/>
          <w:b/>
          <w:color w:val="000000"/>
          <w:sz w:val="28"/>
          <w:szCs w:val="21"/>
        </w:rPr>
        <w:t>中标候选人的确定</w:t>
      </w:r>
    </w:p>
    <w:p w14:paraId="084210A1">
      <w:pPr>
        <w:pStyle w:val="14"/>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14"/>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highlight w:val="none"/>
                <w:u w:val="none"/>
                <w:lang w:val="en-US" w:eastAsia="zh-CN"/>
              </w:rPr>
              <w:t>自 2021年1月 1 日至投标截止日（以</w:t>
            </w:r>
            <w:r>
              <w:rPr>
                <w:rFonts w:hint="eastAsia" w:ascii="Times New Roman" w:hAnsi="Times New Roman" w:eastAsia="宋体" w:cs="Times New Roman"/>
                <w:color w:val="000000"/>
                <w:highlight w:val="none"/>
                <w:lang w:val="en-US" w:eastAsia="zh-CN"/>
              </w:rPr>
              <w:t>合同签订时间为准），投标人每提供一个单项合同金额不低于270万元(含)的储能工程施工业绩</w:t>
            </w:r>
            <w:r>
              <w:rPr>
                <w:rFonts w:hint="eastAsia"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或包含单项合同金额不低于270万元储能内容的工程施工业绩的）得5分；其他的不得分，本项满分10分。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14"/>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满分40分）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结合现场主要施工方案与技术措施；②确保工程质量的管理体系与措施；③确保安全生产的管理体系与措施；④工程进度计划与措施及施工图网络图及电力接入实施方案；⑤确保文明施工的管理体系与措施等。</w:t>
            </w:r>
          </w:p>
          <w:p w14:paraId="35EE4EC6">
            <w:pPr>
              <w:adjustRightInd w:val="0"/>
              <w:snapToGrid w:val="0"/>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7.2</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6.4</w:t>
            </w:r>
            <w:r>
              <w:rPr>
                <w:rFonts w:hint="eastAsia" w:ascii="宋体" w:hAnsi="宋体" w:eastAsia="宋体" w:cs="宋体"/>
                <w:color w:val="auto"/>
                <w:szCs w:val="21"/>
                <w:highlight w:val="none"/>
              </w:rPr>
              <w:t>分，合格得</w:t>
            </w:r>
            <w:r>
              <w:rPr>
                <w:rFonts w:hint="eastAsia" w:ascii="宋体" w:hAnsi="宋体" w:cs="宋体"/>
                <w:color w:val="auto"/>
                <w:szCs w:val="21"/>
                <w:highlight w:val="none"/>
                <w:lang w:val="en-US" w:eastAsia="zh-CN"/>
              </w:rPr>
              <w:t>5.6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14"/>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14"/>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50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②投标报价高于评标基准价的，投标报价得分=报价满分值-偏差率×100×</w:t>
            </w:r>
            <w:r>
              <w:rPr>
                <w:rFonts w:hint="eastAsia" w:ascii="宋体" w:hAnsi="宋体" w:cs="宋体"/>
                <w:color w:val="000000"/>
                <w:szCs w:val="21"/>
                <w:highlight w:val="none"/>
                <w:lang w:val="en-US" w:eastAsia="zh-CN"/>
              </w:rPr>
              <w:t>0.5</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w:t>
            </w:r>
          </w:p>
          <w:p w14:paraId="701AE7E0">
            <w:pPr>
              <w:pStyle w:val="14"/>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highlight w:val="none"/>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5、K值（评标基准价系数）的抽取：资信标、技术标、商务标详细评审完成后，由评标委员会主任委员或招标人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bookmarkStart w:id="1053" w:name="_GoBack"/>
      <w:bookmarkEnd w:id="1053"/>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②电力工程施工总承包壹级资质企业：机电工程专业一级注册建造师不少于15人。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③电力工程施工总承包贰级、叁级资质企业：机电工程专业注册建造师不少于5人。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15058915"/>
      <w:bookmarkStart w:id="806" w:name="_Toc35424949"/>
      <w:bookmarkStart w:id="807" w:name="_Toc78803384"/>
      <w:bookmarkStart w:id="808" w:name="_Toc35425115"/>
      <w:bookmarkStart w:id="809" w:name="_Toc324404874"/>
      <w:bookmarkStart w:id="810" w:name="_Toc17377"/>
      <w:bookmarkStart w:id="811" w:name="_Toc506107326"/>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27389"/>
      <w:bookmarkStart w:id="813" w:name="_Toc15058916"/>
      <w:bookmarkStart w:id="814" w:name="_Toc78803385"/>
      <w:bookmarkStart w:id="815" w:name="_Toc35425116"/>
      <w:bookmarkStart w:id="816" w:name="_Toc35424950"/>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324404875"/>
      <w:bookmarkStart w:id="819" w:name="_Toc12200"/>
      <w:bookmarkStart w:id="820" w:name="_Toc78803389"/>
      <w:bookmarkStart w:id="821" w:name="_Toc35424954"/>
      <w:bookmarkStart w:id="822" w:name="_Toc35425120"/>
      <w:bookmarkStart w:id="823" w:name="_Toc15058919"/>
      <w:bookmarkStart w:id="824" w:name="_Toc506107327"/>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9630"/>
      <w:bookmarkStart w:id="828" w:name="_Toc7880339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78803392"/>
      <w:bookmarkStart w:id="831" w:name="_Toc13125"/>
      <w:bookmarkStart w:id="832" w:name="_Toc506107328"/>
      <w:bookmarkStart w:id="833" w:name="_Toc35424957"/>
      <w:bookmarkStart w:id="834" w:name="_Toc324404876"/>
      <w:bookmarkStart w:id="835" w:name="_Toc15058922"/>
      <w:bookmarkStart w:id="836" w:name="_Toc35425123"/>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324404877"/>
      <w:bookmarkStart w:id="838" w:name="_Toc35425124"/>
      <w:bookmarkStart w:id="839" w:name="_Toc27846"/>
      <w:bookmarkStart w:id="840" w:name="_Toc35424958"/>
      <w:bookmarkStart w:id="841" w:name="_Toc15058923"/>
      <w:bookmarkStart w:id="842" w:name="_Toc78803393"/>
      <w:bookmarkStart w:id="843" w:name="_Toc506107329"/>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15058927"/>
      <w:bookmarkStart w:id="849" w:name="_Toc35425128"/>
      <w:bookmarkStart w:id="850" w:name="_Toc506107333"/>
      <w:bookmarkStart w:id="851" w:name="_Toc35424962"/>
      <w:bookmarkStart w:id="852" w:name="_Toc152045767"/>
      <w:bookmarkStart w:id="853" w:name="_Toc152042546"/>
      <w:bookmarkStart w:id="854" w:name="_Toc179632785"/>
      <w:bookmarkStart w:id="855" w:name="_Toc144974826"/>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2"/>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宋体" w:hAnsi="宋体" w:cs="宋体"/>
          <w:b/>
          <w:sz w:val="52"/>
          <w:szCs w:val="52"/>
          <w:highlight w:val="none"/>
        </w:rPr>
      </w:pPr>
      <w:r>
        <w:rPr>
          <w:rFonts w:hint="eastAsia" w:ascii="宋体" w:hAnsi="宋体" w:cs="宋体"/>
          <w:b/>
          <w:sz w:val="56"/>
          <w:szCs w:val="44"/>
          <w:highlight w:val="none"/>
          <w:lang w:eastAsia="zh-CN"/>
        </w:rPr>
        <w:t>滁宁城际铁路相官车辆段1250kW/2610kWh储能电站项目</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14"/>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14"/>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4"/>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滁宁城际铁路相官车辆段1250kW/2610kWh储能电站项目</w:t>
      </w:r>
      <w:r>
        <w:rPr>
          <w:rFonts w:hint="eastAsia" w:ascii="宋体" w:cs="宋体"/>
          <w:szCs w:val="21"/>
        </w:rPr>
        <w:t>施工及有关事项协商一致，共同达成如下协议：</w:t>
      </w:r>
    </w:p>
    <w:p w14:paraId="1300C206">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滁宁城际铁路相官车辆段1250kW/2610kWh储能电站项目</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5"/>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5"/>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均具有同等法律效力，发包人执正本壹份、副本壹份，承包人执正本壹份、副本壹份。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ascii="宋体" w:hAnsi="宋体" w:cs="宋体"/>
                <w:color w:val="auto"/>
                <w:kern w:val="0"/>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14"/>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4"/>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4"/>
        <w:jc w:val="center"/>
        <w:rPr>
          <w:rFonts w:hint="eastAsia" w:ascii="黑体" w:eastAsia="黑体" w:cs="黑体"/>
        </w:rPr>
      </w:pPr>
      <w:r>
        <w:rPr>
          <w:rFonts w:hint="eastAsia" w:ascii="黑体" w:eastAsia="黑体" w:cs="黑体"/>
        </w:rPr>
        <w:t>第三节 专用合同条款</w:t>
      </w:r>
    </w:p>
    <w:p w14:paraId="0E66893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14:paraId="2514E7E6">
      <w:pPr>
        <w:pStyle w:val="14"/>
        <w:spacing w:after="0" w:line="440" w:lineRule="exact"/>
        <w:ind w:left="0" w:leftChars="0"/>
      </w:pPr>
      <w:r>
        <w:t>上述各项合同文件包括合同当事人就该项合同文件所作出的补充和修改，属于同一类内容的文件，应以最新签署的为准。</w:t>
      </w:r>
    </w:p>
    <w:p w14:paraId="3FF7D5E3">
      <w:pPr>
        <w:pStyle w:val="14"/>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5"/>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5"/>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0EA2545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highlight w:val="none"/>
          <w:u w:val="single"/>
          <w:lang w:val="en-US" w:eastAsia="zh-CN"/>
        </w:rPr>
      </w:pPr>
      <w:r>
        <w:rPr>
          <w:rFonts w:hint="eastAsia"/>
          <w:color w:val="auto"/>
        </w:rPr>
        <w:t>因承包人原因造成工期延误，逾期竣工违约金的计算方法为：</w:t>
      </w:r>
      <w:r>
        <w:rPr>
          <w:rFonts w:hint="eastAsia" w:ascii="宋体" w:hAnsi="宋体" w:eastAsia="宋体" w:cs="宋体"/>
          <w:b/>
          <w:bCs/>
          <w:color w:val="auto"/>
          <w:highlight w:val="none"/>
          <w:u w:val="single"/>
        </w:rPr>
        <w:t>因承包</w:t>
      </w:r>
      <w:r>
        <w:rPr>
          <w:rFonts w:hint="eastAsia" w:ascii="宋体" w:hAnsi="宋体" w:eastAsia="宋体" w:cs="宋体"/>
          <w:b/>
          <w:bCs/>
          <w:color w:val="auto"/>
          <w:highlight w:val="none"/>
          <w:u w:val="single"/>
          <w:lang w:val="en-US" w:eastAsia="zh-CN"/>
        </w:rPr>
        <w:t>人</w:t>
      </w:r>
      <w:r>
        <w:rPr>
          <w:rFonts w:hint="eastAsia" w:ascii="宋体" w:hAnsi="宋体" w:eastAsia="宋体" w:cs="宋体"/>
          <w:b/>
          <w:bCs/>
          <w:color w:val="auto"/>
          <w:highlight w:val="none"/>
          <w:u w:val="single"/>
        </w:rPr>
        <w:t>原因造成的工期延误，</w:t>
      </w:r>
      <w:r>
        <w:rPr>
          <w:rFonts w:hint="eastAsia" w:ascii="宋体" w:hAnsi="宋体" w:eastAsia="宋体" w:cs="宋体"/>
          <w:b/>
          <w:bCs/>
          <w:color w:val="auto"/>
          <w:highlight w:val="none"/>
          <w:u w:val="single"/>
          <w:lang w:eastAsia="zh-CN"/>
        </w:rPr>
        <w:t>每推迟一天</w:t>
      </w:r>
      <w:r>
        <w:rPr>
          <w:rFonts w:hint="eastAsia" w:ascii="宋体" w:hAnsi="宋体" w:eastAsia="宋体" w:cs="宋体"/>
          <w:b/>
          <w:bCs/>
          <w:color w:val="auto"/>
          <w:highlight w:val="none"/>
          <w:u w:val="single"/>
          <w:lang w:val="en-US" w:eastAsia="zh-CN"/>
        </w:rPr>
        <w:t>完成供电公司并网验收</w:t>
      </w:r>
      <w:r>
        <w:rPr>
          <w:rFonts w:hint="eastAsia" w:ascii="宋体" w:hAnsi="宋体" w:eastAsia="宋体" w:cs="宋体"/>
          <w:b/>
          <w:bCs/>
          <w:color w:val="auto"/>
          <w:highlight w:val="none"/>
          <w:u w:val="single"/>
          <w:lang w:eastAsia="zh-CN"/>
        </w:rPr>
        <w:t>，按</w:t>
      </w:r>
      <w:r>
        <w:rPr>
          <w:rFonts w:hint="eastAsia" w:ascii="宋体" w:hAnsi="宋体" w:eastAsia="宋体" w:cs="宋体"/>
          <w:b/>
          <w:bCs/>
          <w:color w:val="auto"/>
          <w:highlight w:val="none"/>
          <w:u w:val="single"/>
          <w:lang w:val="en-US" w:eastAsia="zh-CN"/>
        </w:rPr>
        <w:t>5000</w:t>
      </w:r>
      <w:r>
        <w:rPr>
          <w:rFonts w:hint="eastAsia" w:ascii="宋体" w:hAnsi="宋体" w:eastAsia="宋体" w:cs="宋体"/>
          <w:b/>
          <w:bCs/>
          <w:color w:val="auto"/>
          <w:highlight w:val="none"/>
          <w:u w:val="single"/>
        </w:rPr>
        <w:t>元/天处以违约金</w:t>
      </w:r>
      <w:r>
        <w:rPr>
          <w:rFonts w:hint="eastAsia" w:ascii="宋体" w:hAnsi="宋体" w:eastAsia="宋体" w:cs="宋体"/>
          <w:b/>
          <w:bCs/>
          <w:color w:val="auto"/>
          <w:highlight w:val="none"/>
          <w:u w:val="single"/>
          <w:lang w:eastAsia="zh-CN"/>
        </w:rPr>
        <w:t>；每推迟一天</w:t>
      </w:r>
      <w:r>
        <w:rPr>
          <w:rFonts w:hint="eastAsia" w:ascii="宋体" w:hAnsi="宋体" w:eastAsia="宋体" w:cs="宋体"/>
          <w:b/>
          <w:bCs/>
          <w:color w:val="auto"/>
          <w:highlight w:val="none"/>
          <w:u w:val="single"/>
          <w:lang w:val="en-US" w:eastAsia="zh-CN"/>
        </w:rPr>
        <w:t>通过工程竣工验收</w:t>
      </w:r>
      <w:r>
        <w:rPr>
          <w:rFonts w:hint="eastAsia" w:ascii="宋体" w:hAnsi="宋体" w:eastAsia="宋体" w:cs="宋体"/>
          <w:b/>
          <w:bCs/>
          <w:color w:val="auto"/>
          <w:highlight w:val="none"/>
          <w:u w:val="single"/>
          <w:lang w:eastAsia="zh-CN"/>
        </w:rPr>
        <w:t>，按</w:t>
      </w:r>
      <w:r>
        <w:rPr>
          <w:rFonts w:hint="eastAsia" w:ascii="宋体" w:hAnsi="宋体" w:eastAsia="宋体" w:cs="宋体"/>
          <w:b/>
          <w:bCs/>
          <w:color w:val="auto"/>
          <w:highlight w:val="none"/>
          <w:u w:val="single"/>
          <w:lang w:val="en-US" w:eastAsia="zh-CN"/>
        </w:rPr>
        <w:t>10000</w:t>
      </w:r>
      <w:r>
        <w:rPr>
          <w:rFonts w:hint="eastAsia" w:ascii="宋体" w:hAnsi="宋体" w:eastAsia="宋体" w:cs="宋体"/>
          <w:b/>
          <w:bCs/>
          <w:color w:val="auto"/>
          <w:highlight w:val="none"/>
          <w:u w:val="single"/>
        </w:rPr>
        <w:t>元/天处以违约金</w:t>
      </w:r>
      <w:r>
        <w:rPr>
          <w:rFonts w:hint="eastAsia" w:ascii="宋体" w:hAnsi="宋体" w:eastAsia="宋体" w:cs="宋体"/>
          <w:b/>
          <w:bCs/>
          <w:color w:val="auto"/>
          <w:highlight w:val="none"/>
          <w:u w:val="single"/>
          <w:lang w:val="en-US" w:eastAsia="zh-CN"/>
        </w:rPr>
        <w:t>。</w:t>
      </w:r>
    </w:p>
    <w:p w14:paraId="6D2F809F">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highlight w:val="none"/>
        </w:rPr>
        <w:t>因承包人原因造成工期延误，逾期竣工违约金的上限：</w:t>
      </w:r>
      <w:r>
        <w:rPr>
          <w:rFonts w:hint="eastAsia"/>
          <w:highlight w:val="none"/>
          <w:u w:val="single"/>
        </w:rPr>
        <w:t xml:space="preserve"> 全额履</w:t>
      </w:r>
      <w:r>
        <w:rPr>
          <w:rFonts w:hint="eastAsia"/>
          <w:u w:val="single"/>
        </w:rPr>
        <w:t xml:space="preserve">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14"/>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5"/>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5"/>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合同价款30%的工程款（请款时须提供预付款同等金额的见索即付银行保函）；完成供电公司并网验收后付至合同价款的80%（同期扣除预付工程款）；工程竣工验收合格并经审计结算后付至工程审计结算价款的98%，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满后付清余款。质量保证金支持银行保函，采用银行保函的不再从工程进度款中扣留质量保证金，保函有效期须与工程缺陷责任期截止时间保持一致。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lang w:eastAsia="zh-CN"/>
        </w:rPr>
        <w:t>：</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kern w:val="0"/>
        </w:rPr>
      </w:pPr>
      <w:bookmarkStart w:id="860" w:name="_Toc95223485"/>
      <w:r>
        <w:rPr>
          <w:rFonts w:hint="eastAsia" w:ascii="宋体" w:hAnsi="宋体" w:eastAsia="宋体" w:cs="宋体"/>
          <w:color w:val="000000"/>
          <w:kern w:val="0"/>
        </w:rPr>
        <w:t>21. 补充条款</w:t>
      </w:r>
      <w:bookmarkEnd w:id="860"/>
      <w:r>
        <w:rPr>
          <w:rFonts w:hint="eastAsia" w:ascii="宋体" w:hAnsi="宋体" w:eastAsia="宋体" w:cs="宋体"/>
          <w:color w:val="000000"/>
          <w:kern w:val="0"/>
        </w:rPr>
        <w:t xml:space="preserve"> </w:t>
      </w:r>
    </w:p>
    <w:p w14:paraId="5B8AE915">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kern w:val="0"/>
        </w:rPr>
      </w:pPr>
      <w:r>
        <w:rPr>
          <w:rFonts w:hint="eastAsia" w:ascii="宋体" w:hAnsi="宋体" w:eastAsia="宋体" w:cs="宋体"/>
          <w:color w:val="000000"/>
          <w:kern w:val="0"/>
        </w:rPr>
        <w:t>本补充条款是专用条款的一部分，其解释顺序优先于专用条款内的其他条款。</w:t>
      </w:r>
    </w:p>
    <w:p w14:paraId="14AE0E0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20CAA265">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eastAsia="宋体"/>
          <w:lang w:eastAsia="zh-CN"/>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r>
        <w:rPr>
          <w:rFonts w:hint="eastAsia" w:ascii="宋体" w:hAnsi="宋体" w:cs="宋体"/>
          <w:color w:val="000000"/>
          <w:kern w:val="0"/>
          <w:lang w:eastAsia="zh-CN"/>
        </w:rPr>
        <w:t>。</w:t>
      </w: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57F105B">
      <w:pPr>
        <w:adjustRightInd w:val="0"/>
        <w:snapToGrid w:val="0"/>
        <w:spacing w:line="360" w:lineRule="auto"/>
        <w:rPr>
          <w:rFonts w:hint="eastAsia" w:ascii="黑体" w:eastAsia="黑体"/>
          <w:b/>
          <w:sz w:val="32"/>
          <w:szCs w:val="32"/>
          <w:lang w:val="en-US" w:eastAsia="zh-CN"/>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0FE14811">
      <w:pPr>
        <w:spacing w:line="360" w:lineRule="auto"/>
        <w:rPr>
          <w:rFonts w:hint="eastAsia" w:ascii="宋体" w:hAnsi="宋体" w:cs="宋体"/>
          <w:color w:val="000000"/>
        </w:rPr>
      </w:pP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96891265"/>
      <w:bookmarkStart w:id="863" w:name="_Toc296503225"/>
      <w:bookmarkStart w:id="864" w:name="_Toc267261692"/>
      <w:bookmarkStart w:id="865" w:name="_Toc296346726"/>
      <w:bookmarkStart w:id="866" w:name="_Toc296891053"/>
      <w:bookmarkStart w:id="867" w:name="_Toc296347224"/>
      <w:bookmarkStart w:id="868" w:name="_Toc296944564"/>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14"/>
        <w:rPr>
          <w:rFonts w:hint="eastAsia"/>
        </w:rPr>
      </w:pPr>
    </w:p>
    <w:p w14:paraId="63658383">
      <w:pPr>
        <w:rPr>
          <w:rFonts w:hint="eastAsia"/>
        </w:rPr>
      </w:pPr>
    </w:p>
    <w:p w14:paraId="668911F2">
      <w:pPr>
        <w:pStyle w:val="14"/>
        <w:rPr>
          <w:rFonts w:hint="eastAsia"/>
        </w:rPr>
      </w:pPr>
    </w:p>
    <w:p w14:paraId="346A727E">
      <w:pPr>
        <w:rPr>
          <w:rFonts w:hint="eastAsia"/>
        </w:rPr>
      </w:pPr>
    </w:p>
    <w:p w14:paraId="1C5B9316">
      <w:pPr>
        <w:pStyle w:val="14"/>
        <w:rPr>
          <w:rFonts w:hint="eastAsia"/>
        </w:rPr>
      </w:pPr>
    </w:p>
    <w:p w14:paraId="6CEDC117">
      <w:pPr>
        <w:rPr>
          <w:rFonts w:hint="eastAsia"/>
        </w:rPr>
      </w:pPr>
    </w:p>
    <w:p w14:paraId="60FA8106">
      <w:pPr>
        <w:pStyle w:val="14"/>
        <w:rPr>
          <w:rFonts w:hint="eastAsia"/>
        </w:rPr>
      </w:pPr>
    </w:p>
    <w:p w14:paraId="750E2ED4">
      <w:pPr>
        <w:rPr>
          <w:rFonts w:hint="eastAsia"/>
        </w:rPr>
      </w:pPr>
    </w:p>
    <w:p w14:paraId="7B7E6C0E">
      <w:pPr>
        <w:pStyle w:val="14"/>
        <w:rPr>
          <w:rFonts w:hint="eastAsia"/>
        </w:rPr>
      </w:pPr>
    </w:p>
    <w:p w14:paraId="5690D59A">
      <w:pPr>
        <w:rPr>
          <w:rFonts w:hint="eastAsia"/>
        </w:rPr>
      </w:pPr>
    </w:p>
    <w:p w14:paraId="609DECB3">
      <w:pPr>
        <w:pStyle w:val="14"/>
        <w:rPr>
          <w:rFonts w:hint="eastAsia"/>
        </w:rPr>
      </w:pPr>
    </w:p>
    <w:p w14:paraId="6D713AB3">
      <w:pPr>
        <w:pStyle w:val="14"/>
        <w:rPr>
          <w:rFonts w:hint="eastAsia"/>
          <w:color w:val="000000"/>
        </w:rPr>
      </w:pPr>
    </w:p>
    <w:p w14:paraId="2BFFADDB">
      <w:pPr>
        <w:rPr>
          <w:rFonts w:hint="eastAsia"/>
          <w:color w:val="000000"/>
        </w:rPr>
      </w:pPr>
    </w:p>
    <w:p w14:paraId="5A3C4779">
      <w:pPr>
        <w:pStyle w:val="14"/>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 住宅小区内的给排水设施、道路等配套工程为2年；</w:t>
      </w:r>
    </w:p>
    <w:p w14:paraId="38F5E66C">
      <w:pPr>
        <w:adjustRightInd w:val="0"/>
        <w:snapToGrid w:val="0"/>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rPr>
        <w:t>7. 其他项目保修期限约定如下：</w:t>
      </w:r>
      <w:r>
        <w:rPr>
          <w:rFonts w:hint="eastAsia" w:ascii="宋体" w:hAnsi="宋体" w:eastAsia="宋体" w:cs="宋体"/>
          <w:color w:val="000000"/>
          <w:szCs w:val="21"/>
          <w:u w:val="single"/>
          <w:lang w:val="en-US" w:eastAsia="zh-CN"/>
        </w:rPr>
        <w:t>储能设备</w:t>
      </w:r>
      <w:r>
        <w:rPr>
          <w:rFonts w:hint="eastAsia" w:ascii="宋体" w:hAnsi="宋体" w:cs="宋体"/>
          <w:color w:val="000000"/>
          <w:szCs w:val="21"/>
          <w:u w:val="single"/>
          <w:lang w:val="en-US" w:eastAsia="zh-CN"/>
        </w:rPr>
        <w:t>质保期10</w:t>
      </w:r>
      <w:r>
        <w:rPr>
          <w:rFonts w:hint="eastAsia" w:ascii="宋体" w:hAnsi="宋体" w:eastAsia="宋体" w:cs="宋体"/>
          <w:color w:val="000000"/>
          <w:szCs w:val="21"/>
          <w:u w:val="single"/>
          <w:lang w:val="en-US" w:eastAsia="zh-CN"/>
        </w:rPr>
        <w:t>年</w:t>
      </w:r>
      <w:r>
        <w:rPr>
          <w:rFonts w:hint="eastAsia" w:ascii="宋体" w:hAnsi="宋体" w:eastAsia="宋体" w:cs="宋体"/>
          <w:color w:val="000000"/>
          <w:szCs w:val="21"/>
        </w:rPr>
        <w:t>。</w:t>
      </w:r>
    </w:p>
    <w:p w14:paraId="77FA168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w:t>
      </w:r>
      <w:r>
        <w:rPr>
          <w:rFonts w:hint="eastAsia" w:ascii="宋体" w:hAnsi="宋体" w:cs="宋体"/>
          <w:color w:val="000000"/>
          <w:szCs w:val="21"/>
          <w:highlight w:val="none"/>
        </w:rPr>
        <w:t>为</w:t>
      </w:r>
      <w:r>
        <w:rPr>
          <w:rFonts w:hint="eastAsia" w:ascii="宋体" w:hAnsi="宋体" w:cs="宋体"/>
          <w:color w:val="000000"/>
          <w:szCs w:val="21"/>
          <w:highlight w:val="none"/>
          <w:u w:val="single"/>
          <w:lang w:val="en-US" w:eastAsia="zh-CN"/>
        </w:rPr>
        <w:t>2年</w:t>
      </w:r>
      <w:r>
        <w:rPr>
          <w:rFonts w:hint="eastAsia" w:ascii="宋体" w:hAnsi="宋体" w:cs="宋体"/>
          <w:color w:val="000000"/>
          <w:szCs w:val="21"/>
          <w:highlight w:val="none"/>
        </w:rPr>
        <w:t>，缺</w:t>
      </w:r>
      <w:r>
        <w:rPr>
          <w:rFonts w:hint="eastAsia" w:ascii="宋体" w:hAnsi="宋体" w:cs="宋体"/>
          <w:color w:val="000000"/>
          <w:szCs w:val="21"/>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000000"/>
          <w:szCs w:val="21"/>
        </w:rPr>
      </w:pPr>
      <w:r>
        <w:rPr>
          <w:rFonts w:hint="eastAsia" w:ascii="宋体" w:hAnsi="宋体" w:cs="宋体"/>
          <w:color w:val="000000"/>
          <w:szCs w:val="21"/>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96347226"/>
      <w:bookmarkStart w:id="873" w:name="_Toc296346728"/>
      <w:bookmarkStart w:id="874" w:name="_Toc296891055"/>
      <w:bookmarkStart w:id="875" w:name="_Toc296503227"/>
      <w:bookmarkStart w:id="876" w:name="_Toc267261698"/>
      <w:bookmarkStart w:id="877" w:name="_Toc296944566"/>
      <w:bookmarkStart w:id="878" w:name="_Toc296891267"/>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96944567"/>
      <w:bookmarkStart w:id="881" w:name="_Toc296347227"/>
      <w:bookmarkStart w:id="882" w:name="_Toc296891268"/>
      <w:bookmarkStart w:id="883" w:name="_Toc267261699"/>
      <w:bookmarkStart w:id="884" w:name="_Toc296503228"/>
      <w:bookmarkStart w:id="885" w:name="_Toc296891056"/>
      <w:bookmarkStart w:id="886" w:name="_Toc296346729"/>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503229"/>
      <w:bookmarkStart w:id="889" w:name="_Toc296347228"/>
      <w:bookmarkStart w:id="890" w:name="_Toc296944568"/>
      <w:bookmarkStart w:id="891" w:name="_Toc296346730"/>
      <w:bookmarkStart w:id="892" w:name="_Toc296891269"/>
      <w:bookmarkStart w:id="893" w:name="_Toc296891057"/>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22101"/>
      <w:bookmarkStart w:id="895" w:name="_Toc179"/>
      <w:bookmarkStart w:id="896" w:name="_Toc95223494"/>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7655"/>
      <w:bookmarkStart w:id="898" w:name="_Toc25726"/>
      <w:bookmarkStart w:id="899" w:name="_Toc95223495"/>
      <w:r>
        <w:rPr>
          <w:rFonts w:hint="eastAsia" w:ascii="宋体" w:hAnsi="宋体" w:cs="宋体"/>
          <w:bCs/>
          <w:color w:val="000000"/>
          <w:sz w:val="24"/>
        </w:rPr>
        <w:t>附</w:t>
      </w:r>
      <w:bookmarkStart w:id="900" w:name="_Toc296347230"/>
      <w:bookmarkStart w:id="901" w:name="_Toc296891059"/>
      <w:bookmarkStart w:id="902" w:name="_Toc296944570"/>
      <w:bookmarkStart w:id="903" w:name="_Toc296891271"/>
      <w:bookmarkStart w:id="904" w:name="_Toc296503231"/>
      <w:bookmarkStart w:id="905" w:name="_Toc296346732"/>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7607"/>
      <w:bookmarkStart w:id="907" w:name="_Toc9808"/>
      <w:bookmarkStart w:id="908" w:name="_Toc95223496"/>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21306"/>
      <w:bookmarkStart w:id="910" w:name="_Toc9888"/>
      <w:bookmarkStart w:id="911" w:name="_Toc95223497"/>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95223498"/>
      <w:bookmarkStart w:id="913" w:name="_Toc3866"/>
      <w:bookmarkStart w:id="914" w:name="_Toc1917"/>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20831"/>
      <w:bookmarkStart w:id="916" w:name="_Toc10556"/>
      <w:bookmarkStart w:id="917" w:name="_Toc95223499"/>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2198"/>
      <w:bookmarkStart w:id="919" w:name="_Toc14507"/>
      <w:bookmarkStart w:id="920" w:name="_Toc95223500"/>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10228"/>
      <w:bookmarkStart w:id="922" w:name="_Toc95223501"/>
      <w:bookmarkStart w:id="923" w:name="_Toc2334"/>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17717"/>
      <w:bookmarkStart w:id="925" w:name="_Toc95223502"/>
      <w:bookmarkStart w:id="926" w:name="_Toc32140"/>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1871"/>
      <w:bookmarkStart w:id="928" w:name="_Toc95223503"/>
      <w:bookmarkStart w:id="929" w:name="_Toc24032"/>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25855"/>
      <w:bookmarkStart w:id="932" w:name="_Toc95223505"/>
      <w:bookmarkStart w:id="933" w:name="_Toc865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14"/>
        <w:rPr>
          <w:rFonts w:hint="eastAsia"/>
        </w:rPr>
      </w:pPr>
    </w:p>
    <w:p w14:paraId="69C8F633">
      <w:pPr>
        <w:rPr>
          <w:rFonts w:hint="eastAsia"/>
        </w:rPr>
      </w:pPr>
    </w:p>
    <w:p w14:paraId="76400CEE">
      <w:pPr>
        <w:pStyle w:val="14"/>
        <w:rPr>
          <w:rFonts w:hint="eastAsia"/>
        </w:rPr>
      </w:pPr>
    </w:p>
    <w:p w14:paraId="76457BD2">
      <w:pPr>
        <w:rPr>
          <w:rFonts w:hint="eastAsia"/>
        </w:rPr>
      </w:pPr>
    </w:p>
    <w:p w14:paraId="2C88A51B">
      <w:pPr>
        <w:pStyle w:val="14"/>
        <w:rPr>
          <w:rFonts w:hint="eastAsia"/>
        </w:rPr>
      </w:pPr>
    </w:p>
    <w:p w14:paraId="3BCEEA04">
      <w:pPr>
        <w:rPr>
          <w:rFonts w:hint="eastAsia"/>
        </w:rPr>
      </w:pPr>
    </w:p>
    <w:p w14:paraId="4C77474F">
      <w:pPr>
        <w:pStyle w:val="14"/>
        <w:rPr>
          <w:rFonts w:hint="eastAsia"/>
        </w:rPr>
      </w:pPr>
    </w:p>
    <w:p w14:paraId="141AAD89">
      <w:pPr>
        <w:rPr>
          <w:rFonts w:hint="eastAsia"/>
        </w:rPr>
      </w:pPr>
    </w:p>
    <w:p w14:paraId="27F03065">
      <w:pPr>
        <w:pStyle w:val="14"/>
        <w:rPr>
          <w:rFonts w:hint="eastAsia"/>
        </w:rPr>
      </w:pPr>
    </w:p>
    <w:p w14:paraId="69D396E4">
      <w:pPr>
        <w:rPr>
          <w:rFonts w:hint="eastAsia"/>
        </w:rPr>
      </w:pPr>
    </w:p>
    <w:p w14:paraId="39270C67">
      <w:pPr>
        <w:pStyle w:val="14"/>
        <w:rPr>
          <w:rFonts w:hint="eastAsia"/>
        </w:rPr>
      </w:pPr>
    </w:p>
    <w:p w14:paraId="4EF26578">
      <w:pPr>
        <w:rPr>
          <w:rFonts w:hint="eastAsia"/>
        </w:rPr>
      </w:pPr>
    </w:p>
    <w:p w14:paraId="34AF1D57">
      <w:pPr>
        <w:pStyle w:val="14"/>
        <w:rPr>
          <w:rFonts w:hint="eastAsia"/>
        </w:rPr>
      </w:pPr>
    </w:p>
    <w:p w14:paraId="4E2EF806">
      <w:pPr>
        <w:rPr>
          <w:rFonts w:hint="eastAsia"/>
        </w:rPr>
      </w:pPr>
    </w:p>
    <w:p w14:paraId="2795EB99">
      <w:pPr>
        <w:pStyle w:val="14"/>
        <w:rPr>
          <w:rFonts w:hint="eastAsia"/>
        </w:rPr>
      </w:pPr>
    </w:p>
    <w:p w14:paraId="3AD96EBF">
      <w:pPr>
        <w:rPr>
          <w:rFonts w:hint="eastAsia"/>
        </w:rPr>
      </w:pPr>
    </w:p>
    <w:p w14:paraId="306DB33B">
      <w:pPr>
        <w:pStyle w:val="14"/>
        <w:rPr>
          <w:rFonts w:hint="eastAsia"/>
        </w:rPr>
      </w:pPr>
    </w:p>
    <w:p w14:paraId="7CA85646">
      <w:pPr>
        <w:rPr>
          <w:rFonts w:hint="eastAsia"/>
        </w:rPr>
      </w:pPr>
    </w:p>
    <w:p w14:paraId="7761C5F1">
      <w:pPr>
        <w:pStyle w:val="14"/>
        <w:rPr>
          <w:rFonts w:hint="eastAsia"/>
        </w:rPr>
      </w:pPr>
    </w:p>
    <w:p w14:paraId="3789AFD7">
      <w:pPr>
        <w:rPr>
          <w:rFonts w:hint="eastAsia"/>
        </w:rPr>
      </w:pPr>
    </w:p>
    <w:p w14:paraId="7E98CAE6">
      <w:pPr>
        <w:pStyle w:val="14"/>
        <w:rPr>
          <w:rFonts w:hint="eastAsia"/>
        </w:rPr>
      </w:pPr>
    </w:p>
    <w:p w14:paraId="493D1F8E">
      <w:pPr>
        <w:rPr>
          <w:rFonts w:hint="eastAsia"/>
        </w:rPr>
      </w:pPr>
    </w:p>
    <w:p w14:paraId="74A9875F">
      <w:pPr>
        <w:pStyle w:val="14"/>
        <w:rPr>
          <w:rFonts w:hint="eastAsia"/>
        </w:rPr>
      </w:pPr>
    </w:p>
    <w:p w14:paraId="729BAD1F">
      <w:pPr>
        <w:pStyle w:val="14"/>
        <w:ind w:left="0" w:leftChars="0" w:firstLine="0" w:firstLineChars="0"/>
        <w:rPr>
          <w:rFonts w:hint="eastAsia"/>
        </w:rPr>
      </w:pPr>
    </w:p>
    <w:p w14:paraId="7DFF9969">
      <w:pPr>
        <w:pStyle w:val="14"/>
        <w:rPr>
          <w:rFonts w:hint="eastAsia"/>
        </w:rPr>
      </w:pPr>
    </w:p>
    <w:p w14:paraId="010E5067">
      <w:pPr>
        <w:rPr>
          <w:rFonts w:hint="eastAsia"/>
        </w:rPr>
      </w:pPr>
    </w:p>
    <w:p w14:paraId="1FB8C0CE">
      <w:pPr>
        <w:pStyle w:val="14"/>
        <w:rPr>
          <w:rFonts w:hint="eastAsia"/>
        </w:rPr>
      </w:pPr>
    </w:p>
    <w:p w14:paraId="68ACD3C1">
      <w:pPr>
        <w:rPr>
          <w:rFonts w:hint="eastAsia"/>
        </w:rPr>
      </w:pPr>
    </w:p>
    <w:p w14:paraId="67A75671">
      <w:pPr>
        <w:pStyle w:val="14"/>
        <w:rPr>
          <w:rFonts w:hint="eastAsia"/>
        </w:rPr>
      </w:pPr>
    </w:p>
    <w:p w14:paraId="74BCE3F1">
      <w:pPr>
        <w:rPr>
          <w:rFonts w:hint="eastAsia"/>
        </w:rPr>
      </w:pPr>
    </w:p>
    <w:p w14:paraId="4745516D">
      <w:pPr>
        <w:pStyle w:val="14"/>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891273"/>
      <w:bookmarkStart w:id="940" w:name="_Toc296944572"/>
      <w:bookmarkStart w:id="941" w:name="_Toc296503233"/>
      <w:bookmarkStart w:id="942" w:name="_Toc296891061"/>
      <w:bookmarkStart w:id="943" w:name="_Toc296346734"/>
      <w:bookmarkStart w:id="944" w:name="_Toc296347232"/>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3562"/>
      <w:bookmarkStart w:id="946" w:name="_Toc8319"/>
      <w:bookmarkStart w:id="947" w:name="_Toc95223509"/>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32439"/>
      <w:bookmarkStart w:id="952" w:name="_Toc95223512"/>
      <w:bookmarkStart w:id="953" w:name="_Toc16956"/>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95223514"/>
      <w:bookmarkStart w:id="956" w:name="_Toc20282"/>
      <w:bookmarkStart w:id="957" w:name="_Toc19059"/>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14"/>
        <w:ind w:left="0" w:leftChars="0" w:firstLine="0" w:firstLineChars="0"/>
        <w:jc w:val="center"/>
        <w:outlineLvl w:val="0"/>
        <w:rPr>
          <w:rFonts w:hint="eastAsia"/>
          <w:color w:val="000000"/>
        </w:rPr>
      </w:pPr>
      <w:bookmarkStart w:id="958" w:name="_Toc4767"/>
      <w:bookmarkStart w:id="959" w:name="_Toc95223515"/>
      <w:bookmarkStart w:id="960" w:name="_Toc152045786"/>
      <w:bookmarkStart w:id="961" w:name="_Toc78803398"/>
      <w:bookmarkStart w:id="962" w:name="_Toc144974855"/>
      <w:bookmarkStart w:id="963" w:name="_Toc246997097"/>
      <w:bookmarkStart w:id="964" w:name="_Toc152042575"/>
      <w:bookmarkStart w:id="965" w:name="_Toc324404888"/>
      <w:bookmarkStart w:id="966" w:name="_Toc247085872"/>
      <w:bookmarkStart w:id="967" w:name="_Toc506107340"/>
      <w:bookmarkStart w:id="968" w:name="_Toc179632806"/>
      <w:bookmarkStart w:id="969" w:name="_Toc35424970"/>
      <w:bookmarkStart w:id="970" w:name="_Toc246996354"/>
      <w:bookmarkStart w:id="971" w:name="_Toc15058934"/>
      <w:bookmarkStart w:id="972" w:name="_Toc35425136"/>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14"/>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2"/>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95223525"/>
      <w:bookmarkStart w:id="976" w:name="_Toc4608"/>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95223526"/>
      <w:bookmarkStart w:id="978" w:name="_Toc32647"/>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26107"/>
      <w:bookmarkStart w:id="980" w:name="_Toc95223527"/>
      <w:r>
        <w:rPr>
          <w:rFonts w:hint="eastAsia" w:ascii="宋体" w:hAnsi="宋体" w:cs="宋体"/>
          <w:bCs/>
          <w:color w:val="auto"/>
          <w:szCs w:val="21"/>
        </w:rPr>
        <w:t>2. 特殊技术标准和要求</w:t>
      </w:r>
      <w:bookmarkEnd w:id="979"/>
      <w:bookmarkEnd w:id="980"/>
    </w:p>
    <w:p w14:paraId="2AEEBE0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见招标项目施工图纸；其中环控、监控系统应具备可视、可测、可调、可控，且须匹配并接入招标人监控系统服务器平台系统，储能柜电池仓需采用液冷冷却方式。</w:t>
      </w:r>
    </w:p>
    <w:p w14:paraId="11B96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设备开箱需提供出厂检测报告、型式试验报告等相关报告。设备安装前需提供第三方检测报告。设备调试后需提供调试报告。储能管理系统需具备根据分时电价政策的变化，按照既定策略，自动调节充放电模式的功能。</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95223528"/>
      <w:bookmarkStart w:id="982" w:name="_Toc30517"/>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bCs/>
          <w:color w:val="auto"/>
          <w:szCs w:val="21"/>
          <w:lang w:val="en-US" w:eastAsia="zh-CN"/>
        </w:rPr>
      </w:pPr>
    </w:p>
    <w:p w14:paraId="6F140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Cs/>
          <w:color w:val="auto"/>
          <w:szCs w:val="21"/>
        </w:rPr>
      </w:pPr>
      <w:r>
        <w:rPr>
          <w:rFonts w:hint="eastAsia" w:ascii="宋体" w:hAnsi="宋体" w:eastAsia="宋体" w:cs="宋体"/>
          <w:bCs/>
          <w:color w:val="auto"/>
          <w:szCs w:val="21"/>
          <w:lang w:val="en-US" w:eastAsia="zh-CN"/>
        </w:rPr>
        <w:t>4.</w:t>
      </w:r>
      <w:r>
        <w:rPr>
          <w:rFonts w:hint="eastAsia" w:ascii="宋体" w:hAnsi="宋体" w:eastAsia="宋体" w:cs="宋体"/>
          <w:bCs/>
          <w:color w:val="auto"/>
          <w:szCs w:val="21"/>
        </w:rPr>
        <w:t>招标人推荐品牌</w:t>
      </w:r>
    </w:p>
    <w:tbl>
      <w:tblPr>
        <w:tblStyle w:val="47"/>
        <w:tblW w:w="0" w:type="auto"/>
        <w:jc w:val="center"/>
        <w:tblLayout w:type="fixed"/>
        <w:tblCellMar>
          <w:top w:w="0" w:type="dxa"/>
          <w:left w:w="0" w:type="dxa"/>
          <w:bottom w:w="0" w:type="dxa"/>
          <w:right w:w="0" w:type="dxa"/>
        </w:tblCellMar>
      </w:tblPr>
      <w:tblGrid>
        <w:gridCol w:w="870"/>
        <w:gridCol w:w="2100"/>
        <w:gridCol w:w="5675"/>
      </w:tblGrid>
      <w:tr w14:paraId="4EF10083">
        <w:tblPrEx>
          <w:tblCellMar>
            <w:top w:w="0" w:type="dxa"/>
            <w:left w:w="0" w:type="dxa"/>
            <w:bottom w:w="0" w:type="dxa"/>
            <w:right w:w="0" w:type="dxa"/>
          </w:tblCellMar>
        </w:tblPrEx>
        <w:trPr>
          <w:trHeight w:val="4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256DED2">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序号</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353DA0E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rPr>
              <w:t>设备</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07285D1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rPr>
              <w:t>推荐品牌名称</w:t>
            </w:r>
          </w:p>
        </w:tc>
      </w:tr>
      <w:tr w14:paraId="1597CF2C">
        <w:tblPrEx>
          <w:tblCellMar>
            <w:top w:w="0" w:type="dxa"/>
            <w:left w:w="0" w:type="dxa"/>
            <w:bottom w:w="0" w:type="dxa"/>
            <w:right w:w="0" w:type="dxa"/>
          </w:tblCellMar>
        </w:tblPrEx>
        <w:trPr>
          <w:trHeight w:val="30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38A41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2100"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435DE6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储能一体柜</w:t>
            </w:r>
          </w:p>
        </w:tc>
        <w:tc>
          <w:tcPr>
            <w:tcW w:w="5675" w:type="dxa"/>
            <w:tcBorders>
              <w:top w:val="single" w:color="000000" w:sz="4" w:space="0"/>
              <w:left w:val="nil"/>
              <w:bottom w:val="single" w:color="000000" w:sz="4" w:space="0"/>
              <w:right w:val="single" w:color="000000" w:sz="4" w:space="0"/>
            </w:tcBorders>
            <w:noWrap/>
            <w:tcMar>
              <w:top w:w="15" w:type="dxa"/>
              <w:left w:w="15" w:type="dxa"/>
              <w:bottom w:w="0" w:type="dxa"/>
              <w:right w:w="15" w:type="dxa"/>
            </w:tcMar>
            <w:vAlign w:val="center"/>
          </w:tcPr>
          <w:p w14:paraId="1637AA9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天合储能、阳光电源、华为数字能源、宁德时代</w:t>
            </w:r>
          </w:p>
        </w:tc>
      </w:tr>
    </w:tbl>
    <w:p w14:paraId="15D349D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如招标人对主要材料、设备的技术性能指标有特殊要求，应在招标文件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A3DFD1F">
      <w:pPr>
        <w:pStyle w:val="2"/>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3" w:name="_Toc12683"/>
      <w:bookmarkStart w:id="984" w:name="_Toc35424971"/>
      <w:bookmarkStart w:id="985"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6"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3"/>
      <w:bookmarkEnd w:id="984"/>
      <w:bookmarkEnd w:id="985"/>
      <w:bookmarkEnd w:id="986"/>
      <w:r>
        <w:rPr>
          <w:rFonts w:hint="eastAsia" w:ascii="宋体" w:hAnsi="宋体" w:cs="宋体"/>
          <w:b/>
          <w:sz w:val="28"/>
          <w:szCs w:val="28"/>
          <w:highlight w:val="none"/>
        </w:rPr>
        <w:t>：资信证明文件目录</w:t>
      </w:r>
    </w:p>
    <w:p w14:paraId="6711C0C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C0854E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66CCC4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E5FDD6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6FCAD8C">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1681E94C">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7BB1073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7" w:name="_Toc26598"/>
      <w:bookmarkStart w:id="988" w:name="_Toc506107356"/>
      <w:bookmarkStart w:id="989" w:name="_Toc503196197"/>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7"/>
      <w:bookmarkEnd w:id="988"/>
      <w:bookmarkEnd w:id="989"/>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0" w:name="OLE_LINK133"/>
      <w:bookmarkStart w:id="991"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0"/>
      <w:bookmarkEnd w:id="991"/>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14"/>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14"/>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14"/>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2"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2"/>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14"/>
      </w:pPr>
    </w:p>
    <w:p w14:paraId="50582D72"/>
    <w:p w14:paraId="4408DAAE">
      <w:pPr>
        <w:pStyle w:val="14"/>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3" w:name="_Toc35425139"/>
      <w:bookmarkStart w:id="994" w:name="_Toc19174"/>
      <w:bookmarkStart w:id="995" w:name="_Toc35424973"/>
      <w:bookmarkStart w:id="996" w:name="_Toc78803401"/>
      <w:r>
        <w:rPr>
          <w:rStyle w:val="120"/>
          <w:rFonts w:hint="eastAsia" w:ascii="宋体" w:hAnsi="宋体" w:cs="宋体"/>
          <w:sz w:val="32"/>
          <w:highlight w:val="none"/>
        </w:rPr>
        <w:t>投标文件</w:t>
      </w:r>
      <w:bookmarkEnd w:id="993"/>
      <w:bookmarkEnd w:id="994"/>
      <w:bookmarkEnd w:id="995"/>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6"/>
    </w:p>
    <w:p w14:paraId="3318E4A9">
      <w:pPr>
        <w:adjustRightInd w:val="0"/>
        <w:snapToGrid w:val="0"/>
        <w:spacing w:line="560" w:lineRule="exact"/>
        <w:ind w:firstLine="420" w:firstLineChars="200"/>
        <w:rPr>
          <w:rFonts w:hint="eastAsia" w:ascii="宋体" w:hAnsi="宋体" w:eastAsia="宋体"/>
          <w:color w:val="000000"/>
          <w:szCs w:val="21"/>
        </w:rPr>
      </w:pPr>
      <w:r>
        <w:rPr>
          <w:rFonts w:hint="eastAsia" w:ascii="宋体" w:hAnsi="宋体" w:eastAsia="宋体"/>
          <w:color w:val="000000"/>
          <w:szCs w:val="21"/>
        </w:rPr>
        <w:t>（1）投标函；</w:t>
      </w:r>
    </w:p>
    <w:p w14:paraId="4E3CCDEE">
      <w:pPr>
        <w:adjustRightInd w:val="0"/>
        <w:snapToGrid w:val="0"/>
        <w:spacing w:line="560" w:lineRule="exact"/>
        <w:ind w:firstLine="420" w:firstLineChars="200"/>
        <w:rPr>
          <w:rFonts w:hint="eastAsia" w:ascii="宋体" w:hAnsi="宋体" w:eastAsia="宋体"/>
          <w:color w:val="000000"/>
          <w:szCs w:val="21"/>
          <w:lang w:eastAsia="zh-CN"/>
        </w:rPr>
      </w:pPr>
      <w:r>
        <w:rPr>
          <w:rFonts w:hint="eastAsia" w:ascii="宋体" w:hAnsi="宋体" w:eastAsia="宋体"/>
          <w:color w:val="000000"/>
          <w:szCs w:val="21"/>
        </w:rPr>
        <w:t>（2）工程量清单报价书</w:t>
      </w:r>
      <w:r>
        <w:rPr>
          <w:rFonts w:hint="eastAsia" w:ascii="宋体" w:hAnsi="宋体" w:eastAsia="宋体"/>
          <w:color w:val="000000"/>
          <w:szCs w:val="21"/>
          <w:lang w:eastAsia="zh-CN"/>
        </w:rPr>
        <w:t>；</w:t>
      </w:r>
    </w:p>
    <w:p w14:paraId="10752DCE">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olor w:val="000000"/>
          <w:szCs w:val="21"/>
        </w:rPr>
        <w:t>（</w:t>
      </w:r>
      <w:r>
        <w:rPr>
          <w:rFonts w:hint="eastAsia" w:ascii="宋体" w:hAnsi="宋体" w:eastAsia="宋体"/>
          <w:color w:val="000000"/>
          <w:szCs w:val="21"/>
          <w:lang w:val="en-US" w:eastAsia="zh-CN"/>
        </w:rPr>
        <w:t>3</w:t>
      </w:r>
      <w:r>
        <w:rPr>
          <w:rFonts w:hint="eastAsia" w:ascii="宋体" w:hAnsi="宋体" w:eastAsia="宋体"/>
          <w:color w:val="000000"/>
          <w:szCs w:val="21"/>
        </w:rPr>
        <w:t>）招标人推荐的材料品牌</w:t>
      </w:r>
      <w:r>
        <w:rPr>
          <w:rFonts w:hint="eastAsia" w:ascii="宋体" w:hAnsi="宋体" w:eastAsia="宋体"/>
          <w:color w:val="000000"/>
          <w:szCs w:val="21"/>
          <w:lang w:val="en-US" w:eastAsia="zh-CN"/>
        </w:rPr>
        <w:t>响应</w:t>
      </w:r>
      <w:r>
        <w:rPr>
          <w:rFonts w:hint="eastAsia" w:ascii="宋体" w:hAnsi="宋体" w:eastAsia="宋体"/>
          <w:color w:val="000000"/>
          <w:szCs w:val="21"/>
        </w:rPr>
        <w:t>表；</w:t>
      </w:r>
    </w:p>
    <w:p w14:paraId="292E0F28">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w:t>
      </w:r>
      <w:r>
        <w:rPr>
          <w:rFonts w:hint="eastAsia" w:ascii="宋体" w:hAnsi="宋体" w:cs="宋体"/>
          <w:bCs/>
          <w:szCs w:val="21"/>
          <w:highlight w:val="none"/>
        </w:rPr>
        <w:t>货物的详细配置清单；</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5）</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6</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7" w:name="_Toc35424974"/>
      <w:bookmarkStart w:id="998" w:name="_Toc506107366"/>
      <w:bookmarkStart w:id="999" w:name="_Toc15058950"/>
      <w:bookmarkStart w:id="1000" w:name="_Toc35425140"/>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1"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1"/>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w:t>
      </w:r>
      <w:r>
        <w:rPr>
          <w:rFonts w:hint="eastAsia" w:ascii="宋体" w:hAnsi="宋体"/>
          <w:color w:val="000000"/>
          <w:sz w:val="21"/>
          <w:szCs w:val="21"/>
          <w:highlight w:val="none"/>
        </w:rPr>
        <w:t>在</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个日历天内完成</w:t>
      </w:r>
      <w:r>
        <w:rPr>
          <w:rFonts w:hint="eastAsia" w:ascii="宋体" w:hAnsi="宋体" w:cs="宋体"/>
          <w:color w:val="auto"/>
          <w:sz w:val="21"/>
          <w:szCs w:val="21"/>
          <w:highlight w:val="none"/>
          <w:lang w:val="en-US" w:eastAsia="zh-CN"/>
        </w:rPr>
        <w:t>通过工程竣工验收（其中自合同签订之日起不高于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个日历天</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val="en-US" w:eastAsia="zh-CN"/>
        </w:rPr>
        <w:t>供电公司并网验收</w:t>
      </w:r>
      <w:r>
        <w:rPr>
          <w:rFonts w:hint="eastAsia" w:ascii="宋体" w:hAnsi="宋体" w:cs="宋体"/>
          <w:color w:val="auto"/>
          <w:sz w:val="21"/>
          <w:szCs w:val="21"/>
          <w:highlight w:val="none"/>
          <w:lang w:val="en-US" w:eastAsia="zh-CN"/>
        </w:rPr>
        <w:t>）。</w:t>
      </w:r>
      <w:r>
        <w:rPr>
          <w:rFonts w:hint="eastAsia" w:ascii="宋体" w:hAnsi="宋体"/>
          <w:color w:val="000000"/>
          <w:sz w:val="21"/>
          <w:szCs w:val="21"/>
        </w:rPr>
        <w:t>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4"/>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7"/>
      <w:bookmarkEnd w:id="998"/>
      <w:bookmarkEnd w:id="999"/>
      <w:bookmarkEnd w:id="1000"/>
      <w:bookmarkStart w:id="1002"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4"/>
        <w:adjustRightInd w:val="0"/>
        <w:snapToGrid w:val="0"/>
        <w:spacing w:before="0" w:after="0" w:line="560" w:lineRule="exact"/>
        <w:jc w:val="center"/>
        <w:rPr>
          <w:rFonts w:hint="eastAsia"/>
          <w:color w:val="000000"/>
        </w:rPr>
      </w:pPr>
      <w:bookmarkStart w:id="1003" w:name="_Toc95223546"/>
    </w:p>
    <w:bookmarkEnd w:id="1003"/>
    <w:p w14:paraId="65A7D629">
      <w:pPr>
        <w:rPr>
          <w:rFonts w:hint="eastAsia"/>
          <w:bCs/>
          <w:szCs w:val="32"/>
          <w:highlight w:val="none"/>
        </w:rPr>
      </w:pPr>
      <w:r>
        <w:rPr>
          <w:rFonts w:hint="eastAsia"/>
          <w:bCs/>
          <w:szCs w:val="32"/>
          <w:highlight w:val="none"/>
        </w:rPr>
        <w:br w:type="page"/>
      </w:r>
    </w:p>
    <w:p w14:paraId="0E8FE90C">
      <w:pPr>
        <w:pStyle w:val="4"/>
        <w:adjustRightInd w:val="0"/>
        <w:snapToGrid w:val="0"/>
        <w:spacing w:before="0" w:after="0" w:line="560" w:lineRule="exact"/>
        <w:jc w:val="center"/>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color w:val="auto"/>
          <w:highlight w:val="none"/>
        </w:rPr>
        <w:t>招标人推荐的材料品牌响应表</w:t>
      </w:r>
    </w:p>
    <w:p w14:paraId="306D7B56">
      <w:pPr>
        <w:pStyle w:val="20"/>
        <w:tabs>
          <w:tab w:val="left" w:pos="6462"/>
          <w:tab w:val="left" w:pos="6988"/>
          <w:tab w:val="left" w:pos="7722"/>
        </w:tabs>
        <w:adjustRightInd w:val="0"/>
        <w:snapToGrid w:val="0"/>
        <w:spacing w:after="0" w:line="560" w:lineRule="exact"/>
        <w:jc w:val="left"/>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p>
    <w:p w14:paraId="49CCE97B">
      <w:pPr>
        <w:pStyle w:val="20"/>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w:t>
      </w:r>
    </w:p>
    <w:p w14:paraId="799A78D1">
      <w:pPr>
        <w:pStyle w:val="20"/>
        <w:adjustRightInd w:val="0"/>
        <w:snapToGrid w:val="0"/>
        <w:spacing w:after="0" w:line="560" w:lineRule="exact"/>
        <w:rPr>
          <w:b/>
          <w:color w:val="auto"/>
          <w:sz w:val="5"/>
          <w:highlight w:val="none"/>
        </w:rPr>
      </w:pPr>
    </w:p>
    <w:tbl>
      <w:tblPr>
        <w:tblStyle w:val="47"/>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5B3F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542B76AB">
            <w:pPr>
              <w:pStyle w:val="92"/>
              <w:adjustRightInd w:val="0"/>
              <w:snapToGrid w:val="0"/>
              <w:spacing w:line="560" w:lineRule="exact"/>
              <w:jc w:val="center"/>
              <w:rPr>
                <w:rFonts w:hint="eastAsia" w:ascii="黑体" w:eastAsia="黑体"/>
                <w:color w:val="auto"/>
                <w:highlight w:val="none"/>
              </w:rPr>
            </w:pPr>
            <w:r>
              <w:rPr>
                <w:rFonts w:hint="eastAsia" w:ascii="黑体" w:eastAsia="黑体"/>
                <w:color w:val="auto"/>
                <w:highlight w:val="none"/>
              </w:rPr>
              <w:t>序号</w:t>
            </w:r>
          </w:p>
        </w:tc>
        <w:tc>
          <w:tcPr>
            <w:tcW w:w="1685" w:type="dxa"/>
            <w:noWrap w:val="0"/>
            <w:vAlign w:val="top"/>
          </w:tcPr>
          <w:p w14:paraId="61BF1EDD">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411795EF">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1</w:t>
            </w:r>
          </w:p>
        </w:tc>
        <w:tc>
          <w:tcPr>
            <w:tcW w:w="794" w:type="dxa"/>
            <w:noWrap w:val="0"/>
            <w:vAlign w:val="top"/>
          </w:tcPr>
          <w:p w14:paraId="3D1B4E48">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2</w:t>
            </w:r>
          </w:p>
        </w:tc>
        <w:tc>
          <w:tcPr>
            <w:tcW w:w="794" w:type="dxa"/>
            <w:noWrap w:val="0"/>
            <w:vAlign w:val="top"/>
          </w:tcPr>
          <w:p w14:paraId="3879E16E">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3</w:t>
            </w:r>
          </w:p>
        </w:tc>
        <w:tc>
          <w:tcPr>
            <w:tcW w:w="791" w:type="dxa"/>
            <w:noWrap w:val="0"/>
            <w:vAlign w:val="top"/>
          </w:tcPr>
          <w:p w14:paraId="30BEDAD3">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4</w:t>
            </w:r>
          </w:p>
        </w:tc>
        <w:tc>
          <w:tcPr>
            <w:tcW w:w="635" w:type="dxa"/>
            <w:noWrap w:val="0"/>
            <w:vAlign w:val="top"/>
          </w:tcPr>
          <w:p w14:paraId="0ED51A4C">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备注</w:t>
            </w:r>
          </w:p>
        </w:tc>
        <w:tc>
          <w:tcPr>
            <w:tcW w:w="1687" w:type="dxa"/>
            <w:noWrap w:val="0"/>
            <w:vAlign w:val="top"/>
          </w:tcPr>
          <w:p w14:paraId="059268C5">
            <w:pPr>
              <w:pStyle w:val="92"/>
              <w:adjustRightInd w:val="0"/>
              <w:snapToGrid w:val="0"/>
              <w:spacing w:line="560" w:lineRule="exact"/>
              <w:rPr>
                <w:rFonts w:hint="eastAsia" w:ascii="黑体" w:eastAsia="黑体"/>
                <w:color w:val="auto"/>
                <w:highlight w:val="none"/>
              </w:rPr>
            </w:pPr>
            <w:r>
              <w:rPr>
                <w:rFonts w:hint="eastAsia" w:ascii="黑体" w:eastAsia="黑体"/>
                <w:color w:val="auto"/>
                <w:highlight w:val="none"/>
              </w:rPr>
              <w:t>投标人选定品牌</w:t>
            </w:r>
          </w:p>
        </w:tc>
      </w:tr>
      <w:tr w14:paraId="6D5B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DC91FA9">
            <w:pPr>
              <w:pStyle w:val="92"/>
              <w:adjustRightInd w:val="0"/>
              <w:snapToGrid w:val="0"/>
              <w:spacing w:line="560" w:lineRule="exact"/>
              <w:jc w:val="center"/>
              <w:rPr>
                <w:color w:val="auto"/>
                <w:highlight w:val="none"/>
              </w:rPr>
            </w:pPr>
            <w:r>
              <w:rPr>
                <w:color w:val="auto"/>
                <w:highlight w:val="none"/>
              </w:rPr>
              <w:t>1</w:t>
            </w:r>
          </w:p>
        </w:tc>
        <w:tc>
          <w:tcPr>
            <w:tcW w:w="1685" w:type="dxa"/>
            <w:noWrap w:val="0"/>
            <w:vAlign w:val="top"/>
          </w:tcPr>
          <w:p w14:paraId="3E58DA77">
            <w:pPr>
              <w:pStyle w:val="92"/>
              <w:adjustRightInd w:val="0"/>
              <w:snapToGrid w:val="0"/>
              <w:spacing w:line="560" w:lineRule="exact"/>
              <w:rPr>
                <w:rFonts w:ascii="Times New Roman"/>
                <w:color w:val="auto"/>
                <w:sz w:val="20"/>
                <w:highlight w:val="none"/>
              </w:rPr>
            </w:pPr>
          </w:p>
        </w:tc>
        <w:tc>
          <w:tcPr>
            <w:tcW w:w="794" w:type="dxa"/>
            <w:noWrap w:val="0"/>
            <w:vAlign w:val="top"/>
          </w:tcPr>
          <w:p w14:paraId="54387593">
            <w:pPr>
              <w:pStyle w:val="92"/>
              <w:adjustRightInd w:val="0"/>
              <w:snapToGrid w:val="0"/>
              <w:spacing w:line="560" w:lineRule="exact"/>
              <w:rPr>
                <w:rFonts w:ascii="Times New Roman"/>
                <w:color w:val="auto"/>
                <w:sz w:val="20"/>
                <w:highlight w:val="none"/>
              </w:rPr>
            </w:pPr>
          </w:p>
        </w:tc>
        <w:tc>
          <w:tcPr>
            <w:tcW w:w="794" w:type="dxa"/>
            <w:noWrap w:val="0"/>
            <w:vAlign w:val="top"/>
          </w:tcPr>
          <w:p w14:paraId="49DE832E">
            <w:pPr>
              <w:pStyle w:val="92"/>
              <w:adjustRightInd w:val="0"/>
              <w:snapToGrid w:val="0"/>
              <w:spacing w:line="560" w:lineRule="exact"/>
              <w:rPr>
                <w:rFonts w:ascii="Times New Roman"/>
                <w:color w:val="auto"/>
                <w:sz w:val="20"/>
                <w:highlight w:val="none"/>
              </w:rPr>
            </w:pPr>
          </w:p>
        </w:tc>
        <w:tc>
          <w:tcPr>
            <w:tcW w:w="794" w:type="dxa"/>
            <w:noWrap w:val="0"/>
            <w:vAlign w:val="top"/>
          </w:tcPr>
          <w:p w14:paraId="63ED4B00">
            <w:pPr>
              <w:pStyle w:val="92"/>
              <w:adjustRightInd w:val="0"/>
              <w:snapToGrid w:val="0"/>
              <w:spacing w:line="560" w:lineRule="exact"/>
              <w:rPr>
                <w:rFonts w:ascii="Times New Roman"/>
                <w:color w:val="auto"/>
                <w:sz w:val="20"/>
                <w:highlight w:val="none"/>
              </w:rPr>
            </w:pPr>
          </w:p>
        </w:tc>
        <w:tc>
          <w:tcPr>
            <w:tcW w:w="791" w:type="dxa"/>
            <w:noWrap w:val="0"/>
            <w:vAlign w:val="top"/>
          </w:tcPr>
          <w:p w14:paraId="652862DD">
            <w:pPr>
              <w:pStyle w:val="92"/>
              <w:adjustRightInd w:val="0"/>
              <w:snapToGrid w:val="0"/>
              <w:spacing w:line="560" w:lineRule="exact"/>
              <w:rPr>
                <w:rFonts w:ascii="Times New Roman"/>
                <w:color w:val="auto"/>
                <w:sz w:val="20"/>
                <w:highlight w:val="none"/>
              </w:rPr>
            </w:pPr>
          </w:p>
        </w:tc>
        <w:tc>
          <w:tcPr>
            <w:tcW w:w="635" w:type="dxa"/>
            <w:noWrap w:val="0"/>
            <w:vAlign w:val="top"/>
          </w:tcPr>
          <w:p w14:paraId="096E73C7">
            <w:pPr>
              <w:pStyle w:val="92"/>
              <w:adjustRightInd w:val="0"/>
              <w:snapToGrid w:val="0"/>
              <w:spacing w:line="560" w:lineRule="exact"/>
              <w:rPr>
                <w:rFonts w:ascii="Times New Roman"/>
                <w:color w:val="auto"/>
                <w:sz w:val="20"/>
                <w:highlight w:val="none"/>
              </w:rPr>
            </w:pPr>
          </w:p>
        </w:tc>
        <w:tc>
          <w:tcPr>
            <w:tcW w:w="1687" w:type="dxa"/>
            <w:noWrap w:val="0"/>
            <w:vAlign w:val="top"/>
          </w:tcPr>
          <w:p w14:paraId="4116D8BB">
            <w:pPr>
              <w:pStyle w:val="92"/>
              <w:adjustRightInd w:val="0"/>
              <w:snapToGrid w:val="0"/>
              <w:spacing w:line="560" w:lineRule="exact"/>
              <w:rPr>
                <w:rFonts w:ascii="Times New Roman"/>
                <w:color w:val="auto"/>
                <w:sz w:val="20"/>
                <w:highlight w:val="none"/>
              </w:rPr>
            </w:pPr>
          </w:p>
        </w:tc>
      </w:tr>
      <w:tr w14:paraId="7D4B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1CA8361">
            <w:pPr>
              <w:pStyle w:val="92"/>
              <w:adjustRightInd w:val="0"/>
              <w:snapToGrid w:val="0"/>
              <w:spacing w:line="560" w:lineRule="exact"/>
              <w:jc w:val="center"/>
              <w:rPr>
                <w:color w:val="auto"/>
                <w:highlight w:val="none"/>
              </w:rPr>
            </w:pPr>
            <w:r>
              <w:rPr>
                <w:color w:val="auto"/>
                <w:highlight w:val="none"/>
              </w:rPr>
              <w:t>2</w:t>
            </w:r>
          </w:p>
        </w:tc>
        <w:tc>
          <w:tcPr>
            <w:tcW w:w="1685" w:type="dxa"/>
            <w:noWrap w:val="0"/>
            <w:vAlign w:val="top"/>
          </w:tcPr>
          <w:p w14:paraId="132CA825">
            <w:pPr>
              <w:pStyle w:val="92"/>
              <w:adjustRightInd w:val="0"/>
              <w:snapToGrid w:val="0"/>
              <w:spacing w:line="560" w:lineRule="exact"/>
              <w:rPr>
                <w:rFonts w:ascii="Times New Roman"/>
                <w:color w:val="auto"/>
                <w:sz w:val="20"/>
                <w:highlight w:val="none"/>
              </w:rPr>
            </w:pPr>
          </w:p>
        </w:tc>
        <w:tc>
          <w:tcPr>
            <w:tcW w:w="794" w:type="dxa"/>
            <w:noWrap w:val="0"/>
            <w:vAlign w:val="top"/>
          </w:tcPr>
          <w:p w14:paraId="6913F79B">
            <w:pPr>
              <w:pStyle w:val="92"/>
              <w:adjustRightInd w:val="0"/>
              <w:snapToGrid w:val="0"/>
              <w:spacing w:line="560" w:lineRule="exact"/>
              <w:rPr>
                <w:rFonts w:ascii="Times New Roman"/>
                <w:color w:val="auto"/>
                <w:sz w:val="20"/>
                <w:highlight w:val="none"/>
              </w:rPr>
            </w:pPr>
          </w:p>
        </w:tc>
        <w:tc>
          <w:tcPr>
            <w:tcW w:w="794" w:type="dxa"/>
            <w:noWrap w:val="0"/>
            <w:vAlign w:val="top"/>
          </w:tcPr>
          <w:p w14:paraId="22143E78">
            <w:pPr>
              <w:pStyle w:val="92"/>
              <w:adjustRightInd w:val="0"/>
              <w:snapToGrid w:val="0"/>
              <w:spacing w:line="560" w:lineRule="exact"/>
              <w:rPr>
                <w:rFonts w:ascii="Times New Roman"/>
                <w:color w:val="auto"/>
                <w:sz w:val="20"/>
                <w:highlight w:val="none"/>
              </w:rPr>
            </w:pPr>
          </w:p>
        </w:tc>
        <w:tc>
          <w:tcPr>
            <w:tcW w:w="794" w:type="dxa"/>
            <w:noWrap w:val="0"/>
            <w:vAlign w:val="top"/>
          </w:tcPr>
          <w:p w14:paraId="4EC5DD16">
            <w:pPr>
              <w:pStyle w:val="92"/>
              <w:adjustRightInd w:val="0"/>
              <w:snapToGrid w:val="0"/>
              <w:spacing w:line="560" w:lineRule="exact"/>
              <w:rPr>
                <w:rFonts w:ascii="Times New Roman"/>
                <w:color w:val="auto"/>
                <w:sz w:val="20"/>
                <w:highlight w:val="none"/>
              </w:rPr>
            </w:pPr>
          </w:p>
        </w:tc>
        <w:tc>
          <w:tcPr>
            <w:tcW w:w="791" w:type="dxa"/>
            <w:noWrap w:val="0"/>
            <w:vAlign w:val="top"/>
          </w:tcPr>
          <w:p w14:paraId="22F48174">
            <w:pPr>
              <w:pStyle w:val="92"/>
              <w:adjustRightInd w:val="0"/>
              <w:snapToGrid w:val="0"/>
              <w:spacing w:line="560" w:lineRule="exact"/>
              <w:rPr>
                <w:rFonts w:ascii="Times New Roman"/>
                <w:color w:val="auto"/>
                <w:sz w:val="20"/>
                <w:highlight w:val="none"/>
              </w:rPr>
            </w:pPr>
          </w:p>
        </w:tc>
        <w:tc>
          <w:tcPr>
            <w:tcW w:w="635" w:type="dxa"/>
            <w:noWrap w:val="0"/>
            <w:vAlign w:val="top"/>
          </w:tcPr>
          <w:p w14:paraId="23F85965">
            <w:pPr>
              <w:pStyle w:val="92"/>
              <w:adjustRightInd w:val="0"/>
              <w:snapToGrid w:val="0"/>
              <w:spacing w:line="560" w:lineRule="exact"/>
              <w:rPr>
                <w:rFonts w:ascii="Times New Roman"/>
                <w:color w:val="auto"/>
                <w:sz w:val="20"/>
                <w:highlight w:val="none"/>
              </w:rPr>
            </w:pPr>
          </w:p>
        </w:tc>
        <w:tc>
          <w:tcPr>
            <w:tcW w:w="1687" w:type="dxa"/>
            <w:noWrap w:val="0"/>
            <w:vAlign w:val="top"/>
          </w:tcPr>
          <w:p w14:paraId="6127E2FA">
            <w:pPr>
              <w:pStyle w:val="92"/>
              <w:adjustRightInd w:val="0"/>
              <w:snapToGrid w:val="0"/>
              <w:spacing w:line="560" w:lineRule="exact"/>
              <w:rPr>
                <w:rFonts w:ascii="Times New Roman"/>
                <w:color w:val="auto"/>
                <w:sz w:val="20"/>
                <w:highlight w:val="none"/>
              </w:rPr>
            </w:pPr>
          </w:p>
        </w:tc>
      </w:tr>
      <w:tr w14:paraId="6F84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715282FD">
            <w:pPr>
              <w:pStyle w:val="92"/>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noWrap w:val="0"/>
            <w:vAlign w:val="top"/>
          </w:tcPr>
          <w:p w14:paraId="488EC458">
            <w:pPr>
              <w:pStyle w:val="92"/>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2902C3D1">
            <w:pPr>
              <w:pStyle w:val="92"/>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07781792">
            <w:pPr>
              <w:pStyle w:val="92"/>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31D13E21">
            <w:pPr>
              <w:pStyle w:val="92"/>
              <w:adjustRightInd w:val="0"/>
              <w:snapToGrid w:val="0"/>
              <w:spacing w:line="560" w:lineRule="exact"/>
              <w:rPr>
                <w:rFonts w:ascii="Times New Roman"/>
                <w:color w:val="auto"/>
                <w:sz w:val="20"/>
                <w:highlight w:val="none"/>
              </w:rPr>
            </w:pPr>
          </w:p>
        </w:tc>
        <w:tc>
          <w:tcPr>
            <w:tcW w:w="791" w:type="dxa"/>
            <w:tcBorders>
              <w:bottom w:val="single" w:color="000000" w:sz="6" w:space="0"/>
            </w:tcBorders>
            <w:noWrap w:val="0"/>
            <w:vAlign w:val="top"/>
          </w:tcPr>
          <w:p w14:paraId="3D030F10">
            <w:pPr>
              <w:pStyle w:val="92"/>
              <w:adjustRightInd w:val="0"/>
              <w:snapToGrid w:val="0"/>
              <w:spacing w:line="560" w:lineRule="exact"/>
              <w:rPr>
                <w:rFonts w:ascii="Times New Roman"/>
                <w:color w:val="auto"/>
                <w:sz w:val="20"/>
                <w:highlight w:val="none"/>
              </w:rPr>
            </w:pPr>
          </w:p>
        </w:tc>
        <w:tc>
          <w:tcPr>
            <w:tcW w:w="635" w:type="dxa"/>
            <w:tcBorders>
              <w:bottom w:val="single" w:color="000000" w:sz="6" w:space="0"/>
            </w:tcBorders>
            <w:noWrap w:val="0"/>
            <w:vAlign w:val="top"/>
          </w:tcPr>
          <w:p w14:paraId="23F27042">
            <w:pPr>
              <w:pStyle w:val="92"/>
              <w:adjustRightInd w:val="0"/>
              <w:snapToGrid w:val="0"/>
              <w:spacing w:line="560" w:lineRule="exact"/>
              <w:rPr>
                <w:rFonts w:ascii="Times New Roman"/>
                <w:color w:val="auto"/>
                <w:sz w:val="20"/>
                <w:highlight w:val="none"/>
              </w:rPr>
            </w:pPr>
          </w:p>
        </w:tc>
        <w:tc>
          <w:tcPr>
            <w:tcW w:w="1687" w:type="dxa"/>
            <w:tcBorders>
              <w:bottom w:val="single" w:color="000000" w:sz="6" w:space="0"/>
            </w:tcBorders>
            <w:noWrap w:val="0"/>
            <w:vAlign w:val="top"/>
          </w:tcPr>
          <w:p w14:paraId="6B912569">
            <w:pPr>
              <w:pStyle w:val="92"/>
              <w:adjustRightInd w:val="0"/>
              <w:snapToGrid w:val="0"/>
              <w:spacing w:line="560" w:lineRule="exact"/>
              <w:rPr>
                <w:rFonts w:ascii="Times New Roman"/>
                <w:color w:val="auto"/>
                <w:sz w:val="20"/>
                <w:highlight w:val="none"/>
              </w:rPr>
            </w:pPr>
          </w:p>
        </w:tc>
      </w:tr>
      <w:tr w14:paraId="6FC15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34FC2E82">
            <w:pPr>
              <w:pStyle w:val="92"/>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tcBorders>
            <w:noWrap w:val="0"/>
            <w:vAlign w:val="top"/>
          </w:tcPr>
          <w:p w14:paraId="18BEB3AA">
            <w:pPr>
              <w:pStyle w:val="92"/>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1CD25920">
            <w:pPr>
              <w:pStyle w:val="92"/>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5DE2D127">
            <w:pPr>
              <w:pStyle w:val="92"/>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22D9C562">
            <w:pPr>
              <w:pStyle w:val="92"/>
              <w:adjustRightInd w:val="0"/>
              <w:snapToGrid w:val="0"/>
              <w:spacing w:line="560" w:lineRule="exact"/>
              <w:rPr>
                <w:rFonts w:ascii="Times New Roman"/>
                <w:color w:val="auto"/>
                <w:sz w:val="20"/>
                <w:highlight w:val="none"/>
              </w:rPr>
            </w:pPr>
          </w:p>
        </w:tc>
        <w:tc>
          <w:tcPr>
            <w:tcW w:w="791" w:type="dxa"/>
            <w:tcBorders>
              <w:top w:val="single" w:color="000000" w:sz="6" w:space="0"/>
            </w:tcBorders>
            <w:noWrap w:val="0"/>
            <w:vAlign w:val="top"/>
          </w:tcPr>
          <w:p w14:paraId="0F77C055">
            <w:pPr>
              <w:pStyle w:val="92"/>
              <w:adjustRightInd w:val="0"/>
              <w:snapToGrid w:val="0"/>
              <w:spacing w:line="560" w:lineRule="exact"/>
              <w:rPr>
                <w:rFonts w:ascii="Times New Roman"/>
                <w:color w:val="auto"/>
                <w:sz w:val="20"/>
                <w:highlight w:val="none"/>
              </w:rPr>
            </w:pPr>
          </w:p>
        </w:tc>
        <w:tc>
          <w:tcPr>
            <w:tcW w:w="635" w:type="dxa"/>
            <w:tcBorders>
              <w:top w:val="single" w:color="000000" w:sz="6" w:space="0"/>
            </w:tcBorders>
            <w:noWrap w:val="0"/>
            <w:vAlign w:val="top"/>
          </w:tcPr>
          <w:p w14:paraId="77E18072">
            <w:pPr>
              <w:pStyle w:val="92"/>
              <w:adjustRightInd w:val="0"/>
              <w:snapToGrid w:val="0"/>
              <w:spacing w:line="560" w:lineRule="exact"/>
              <w:rPr>
                <w:rFonts w:ascii="Times New Roman"/>
                <w:color w:val="auto"/>
                <w:sz w:val="20"/>
                <w:highlight w:val="none"/>
              </w:rPr>
            </w:pPr>
          </w:p>
        </w:tc>
        <w:tc>
          <w:tcPr>
            <w:tcW w:w="1687" w:type="dxa"/>
            <w:tcBorders>
              <w:top w:val="single" w:color="000000" w:sz="6" w:space="0"/>
            </w:tcBorders>
            <w:noWrap w:val="0"/>
            <w:vAlign w:val="top"/>
          </w:tcPr>
          <w:p w14:paraId="5703E02F">
            <w:pPr>
              <w:pStyle w:val="92"/>
              <w:adjustRightInd w:val="0"/>
              <w:snapToGrid w:val="0"/>
              <w:spacing w:line="560" w:lineRule="exact"/>
              <w:rPr>
                <w:rFonts w:ascii="Times New Roman"/>
                <w:color w:val="auto"/>
                <w:sz w:val="20"/>
                <w:highlight w:val="none"/>
              </w:rPr>
            </w:pPr>
          </w:p>
        </w:tc>
      </w:tr>
      <w:tr w14:paraId="138F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DC906ED">
            <w:pPr>
              <w:pStyle w:val="92"/>
              <w:adjustRightInd w:val="0"/>
              <w:snapToGrid w:val="0"/>
              <w:spacing w:line="560" w:lineRule="exact"/>
              <w:jc w:val="center"/>
              <w:rPr>
                <w:color w:val="auto"/>
                <w:highlight w:val="none"/>
              </w:rPr>
            </w:pPr>
            <w:r>
              <w:rPr>
                <w:color w:val="auto"/>
                <w:highlight w:val="none"/>
              </w:rPr>
              <w:t>5</w:t>
            </w:r>
          </w:p>
        </w:tc>
        <w:tc>
          <w:tcPr>
            <w:tcW w:w="1685" w:type="dxa"/>
            <w:noWrap w:val="0"/>
            <w:vAlign w:val="top"/>
          </w:tcPr>
          <w:p w14:paraId="184C53F3">
            <w:pPr>
              <w:pStyle w:val="92"/>
              <w:adjustRightInd w:val="0"/>
              <w:snapToGrid w:val="0"/>
              <w:spacing w:line="560" w:lineRule="exact"/>
              <w:rPr>
                <w:rFonts w:ascii="Times New Roman"/>
                <w:color w:val="auto"/>
                <w:sz w:val="20"/>
                <w:highlight w:val="none"/>
              </w:rPr>
            </w:pPr>
          </w:p>
        </w:tc>
        <w:tc>
          <w:tcPr>
            <w:tcW w:w="794" w:type="dxa"/>
            <w:noWrap w:val="0"/>
            <w:vAlign w:val="top"/>
          </w:tcPr>
          <w:p w14:paraId="20C66F6C">
            <w:pPr>
              <w:pStyle w:val="92"/>
              <w:adjustRightInd w:val="0"/>
              <w:snapToGrid w:val="0"/>
              <w:spacing w:line="560" w:lineRule="exact"/>
              <w:rPr>
                <w:rFonts w:ascii="Times New Roman"/>
                <w:color w:val="auto"/>
                <w:sz w:val="20"/>
                <w:highlight w:val="none"/>
              </w:rPr>
            </w:pPr>
          </w:p>
        </w:tc>
        <w:tc>
          <w:tcPr>
            <w:tcW w:w="794" w:type="dxa"/>
            <w:noWrap w:val="0"/>
            <w:vAlign w:val="top"/>
          </w:tcPr>
          <w:p w14:paraId="40C6A4F0">
            <w:pPr>
              <w:pStyle w:val="92"/>
              <w:adjustRightInd w:val="0"/>
              <w:snapToGrid w:val="0"/>
              <w:spacing w:line="560" w:lineRule="exact"/>
              <w:rPr>
                <w:rFonts w:ascii="Times New Roman"/>
                <w:color w:val="auto"/>
                <w:sz w:val="20"/>
                <w:highlight w:val="none"/>
              </w:rPr>
            </w:pPr>
          </w:p>
        </w:tc>
        <w:tc>
          <w:tcPr>
            <w:tcW w:w="794" w:type="dxa"/>
            <w:noWrap w:val="0"/>
            <w:vAlign w:val="top"/>
          </w:tcPr>
          <w:p w14:paraId="5C372B19">
            <w:pPr>
              <w:pStyle w:val="92"/>
              <w:adjustRightInd w:val="0"/>
              <w:snapToGrid w:val="0"/>
              <w:spacing w:line="560" w:lineRule="exact"/>
              <w:rPr>
                <w:rFonts w:ascii="Times New Roman"/>
                <w:color w:val="auto"/>
                <w:sz w:val="20"/>
                <w:highlight w:val="none"/>
              </w:rPr>
            </w:pPr>
          </w:p>
        </w:tc>
        <w:tc>
          <w:tcPr>
            <w:tcW w:w="791" w:type="dxa"/>
            <w:noWrap w:val="0"/>
            <w:vAlign w:val="top"/>
          </w:tcPr>
          <w:p w14:paraId="6C0A258A">
            <w:pPr>
              <w:pStyle w:val="92"/>
              <w:adjustRightInd w:val="0"/>
              <w:snapToGrid w:val="0"/>
              <w:spacing w:line="560" w:lineRule="exact"/>
              <w:rPr>
                <w:rFonts w:ascii="Times New Roman"/>
                <w:color w:val="auto"/>
                <w:sz w:val="20"/>
                <w:highlight w:val="none"/>
              </w:rPr>
            </w:pPr>
          </w:p>
        </w:tc>
        <w:tc>
          <w:tcPr>
            <w:tcW w:w="635" w:type="dxa"/>
            <w:noWrap w:val="0"/>
            <w:vAlign w:val="top"/>
          </w:tcPr>
          <w:p w14:paraId="63BA6477">
            <w:pPr>
              <w:pStyle w:val="92"/>
              <w:adjustRightInd w:val="0"/>
              <w:snapToGrid w:val="0"/>
              <w:spacing w:line="560" w:lineRule="exact"/>
              <w:rPr>
                <w:rFonts w:ascii="Times New Roman"/>
                <w:color w:val="auto"/>
                <w:sz w:val="20"/>
                <w:highlight w:val="none"/>
              </w:rPr>
            </w:pPr>
          </w:p>
        </w:tc>
        <w:tc>
          <w:tcPr>
            <w:tcW w:w="1687" w:type="dxa"/>
            <w:noWrap w:val="0"/>
            <w:vAlign w:val="top"/>
          </w:tcPr>
          <w:p w14:paraId="2795033E">
            <w:pPr>
              <w:pStyle w:val="92"/>
              <w:adjustRightInd w:val="0"/>
              <w:snapToGrid w:val="0"/>
              <w:spacing w:line="560" w:lineRule="exact"/>
              <w:rPr>
                <w:rFonts w:ascii="Times New Roman"/>
                <w:color w:val="auto"/>
                <w:sz w:val="20"/>
                <w:highlight w:val="none"/>
              </w:rPr>
            </w:pPr>
          </w:p>
        </w:tc>
      </w:tr>
      <w:tr w14:paraId="237D4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43E9398">
            <w:pPr>
              <w:pStyle w:val="92"/>
              <w:adjustRightInd w:val="0"/>
              <w:snapToGrid w:val="0"/>
              <w:spacing w:line="560" w:lineRule="exact"/>
              <w:jc w:val="center"/>
              <w:rPr>
                <w:color w:val="auto"/>
                <w:highlight w:val="none"/>
              </w:rPr>
            </w:pPr>
            <w:r>
              <w:rPr>
                <w:color w:val="auto"/>
                <w:highlight w:val="none"/>
              </w:rPr>
              <w:t>6</w:t>
            </w:r>
          </w:p>
        </w:tc>
        <w:tc>
          <w:tcPr>
            <w:tcW w:w="1685" w:type="dxa"/>
            <w:noWrap w:val="0"/>
            <w:vAlign w:val="top"/>
          </w:tcPr>
          <w:p w14:paraId="1388388A">
            <w:pPr>
              <w:pStyle w:val="92"/>
              <w:adjustRightInd w:val="0"/>
              <w:snapToGrid w:val="0"/>
              <w:spacing w:line="560" w:lineRule="exact"/>
              <w:rPr>
                <w:rFonts w:ascii="Times New Roman"/>
                <w:color w:val="auto"/>
                <w:sz w:val="20"/>
                <w:highlight w:val="none"/>
              </w:rPr>
            </w:pPr>
          </w:p>
        </w:tc>
        <w:tc>
          <w:tcPr>
            <w:tcW w:w="794" w:type="dxa"/>
            <w:noWrap w:val="0"/>
            <w:vAlign w:val="top"/>
          </w:tcPr>
          <w:p w14:paraId="23FCFF14">
            <w:pPr>
              <w:pStyle w:val="92"/>
              <w:adjustRightInd w:val="0"/>
              <w:snapToGrid w:val="0"/>
              <w:spacing w:line="560" w:lineRule="exact"/>
              <w:rPr>
                <w:rFonts w:ascii="Times New Roman"/>
                <w:color w:val="auto"/>
                <w:sz w:val="20"/>
                <w:highlight w:val="none"/>
              </w:rPr>
            </w:pPr>
          </w:p>
        </w:tc>
        <w:tc>
          <w:tcPr>
            <w:tcW w:w="794" w:type="dxa"/>
            <w:noWrap w:val="0"/>
            <w:vAlign w:val="top"/>
          </w:tcPr>
          <w:p w14:paraId="174C572B">
            <w:pPr>
              <w:pStyle w:val="92"/>
              <w:adjustRightInd w:val="0"/>
              <w:snapToGrid w:val="0"/>
              <w:spacing w:line="560" w:lineRule="exact"/>
              <w:rPr>
                <w:rFonts w:ascii="Times New Roman"/>
                <w:color w:val="auto"/>
                <w:sz w:val="20"/>
                <w:highlight w:val="none"/>
              </w:rPr>
            </w:pPr>
          </w:p>
        </w:tc>
        <w:tc>
          <w:tcPr>
            <w:tcW w:w="794" w:type="dxa"/>
            <w:noWrap w:val="0"/>
            <w:vAlign w:val="top"/>
          </w:tcPr>
          <w:p w14:paraId="606DF630">
            <w:pPr>
              <w:pStyle w:val="92"/>
              <w:adjustRightInd w:val="0"/>
              <w:snapToGrid w:val="0"/>
              <w:spacing w:line="560" w:lineRule="exact"/>
              <w:rPr>
                <w:rFonts w:ascii="Times New Roman"/>
                <w:color w:val="auto"/>
                <w:sz w:val="20"/>
                <w:highlight w:val="none"/>
              </w:rPr>
            </w:pPr>
          </w:p>
        </w:tc>
        <w:tc>
          <w:tcPr>
            <w:tcW w:w="791" w:type="dxa"/>
            <w:noWrap w:val="0"/>
            <w:vAlign w:val="top"/>
          </w:tcPr>
          <w:p w14:paraId="3684A99C">
            <w:pPr>
              <w:pStyle w:val="92"/>
              <w:adjustRightInd w:val="0"/>
              <w:snapToGrid w:val="0"/>
              <w:spacing w:line="560" w:lineRule="exact"/>
              <w:rPr>
                <w:rFonts w:ascii="Times New Roman"/>
                <w:color w:val="auto"/>
                <w:sz w:val="20"/>
                <w:highlight w:val="none"/>
              </w:rPr>
            </w:pPr>
          </w:p>
        </w:tc>
        <w:tc>
          <w:tcPr>
            <w:tcW w:w="635" w:type="dxa"/>
            <w:noWrap w:val="0"/>
            <w:vAlign w:val="top"/>
          </w:tcPr>
          <w:p w14:paraId="4CB015A3">
            <w:pPr>
              <w:pStyle w:val="92"/>
              <w:adjustRightInd w:val="0"/>
              <w:snapToGrid w:val="0"/>
              <w:spacing w:line="560" w:lineRule="exact"/>
              <w:rPr>
                <w:rFonts w:ascii="Times New Roman"/>
                <w:color w:val="auto"/>
                <w:sz w:val="20"/>
                <w:highlight w:val="none"/>
              </w:rPr>
            </w:pPr>
          </w:p>
        </w:tc>
        <w:tc>
          <w:tcPr>
            <w:tcW w:w="1687" w:type="dxa"/>
            <w:noWrap w:val="0"/>
            <w:vAlign w:val="top"/>
          </w:tcPr>
          <w:p w14:paraId="23F5F5EF">
            <w:pPr>
              <w:pStyle w:val="92"/>
              <w:adjustRightInd w:val="0"/>
              <w:snapToGrid w:val="0"/>
              <w:spacing w:line="560" w:lineRule="exact"/>
              <w:rPr>
                <w:rFonts w:ascii="Times New Roman"/>
                <w:color w:val="auto"/>
                <w:sz w:val="20"/>
                <w:highlight w:val="none"/>
              </w:rPr>
            </w:pPr>
          </w:p>
        </w:tc>
      </w:tr>
      <w:tr w14:paraId="58267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3AFDE9E">
            <w:pPr>
              <w:pStyle w:val="92"/>
              <w:adjustRightInd w:val="0"/>
              <w:snapToGrid w:val="0"/>
              <w:spacing w:line="560" w:lineRule="exact"/>
              <w:rPr>
                <w:rFonts w:ascii="Times New Roman"/>
                <w:color w:val="auto"/>
                <w:sz w:val="20"/>
                <w:highlight w:val="none"/>
              </w:rPr>
            </w:pPr>
          </w:p>
        </w:tc>
        <w:tc>
          <w:tcPr>
            <w:tcW w:w="1685" w:type="dxa"/>
            <w:noWrap w:val="0"/>
            <w:vAlign w:val="top"/>
          </w:tcPr>
          <w:p w14:paraId="0E1DD752">
            <w:pPr>
              <w:pStyle w:val="92"/>
              <w:adjustRightInd w:val="0"/>
              <w:snapToGrid w:val="0"/>
              <w:spacing w:line="560" w:lineRule="exact"/>
              <w:rPr>
                <w:rFonts w:ascii="Times New Roman"/>
                <w:color w:val="auto"/>
                <w:sz w:val="20"/>
                <w:highlight w:val="none"/>
              </w:rPr>
            </w:pPr>
          </w:p>
        </w:tc>
        <w:tc>
          <w:tcPr>
            <w:tcW w:w="794" w:type="dxa"/>
            <w:noWrap w:val="0"/>
            <w:vAlign w:val="top"/>
          </w:tcPr>
          <w:p w14:paraId="3E947AD9">
            <w:pPr>
              <w:pStyle w:val="92"/>
              <w:adjustRightInd w:val="0"/>
              <w:snapToGrid w:val="0"/>
              <w:spacing w:line="560" w:lineRule="exact"/>
              <w:rPr>
                <w:rFonts w:ascii="Times New Roman"/>
                <w:color w:val="auto"/>
                <w:sz w:val="20"/>
                <w:highlight w:val="none"/>
              </w:rPr>
            </w:pPr>
          </w:p>
        </w:tc>
        <w:tc>
          <w:tcPr>
            <w:tcW w:w="794" w:type="dxa"/>
            <w:noWrap w:val="0"/>
            <w:vAlign w:val="top"/>
          </w:tcPr>
          <w:p w14:paraId="79727069">
            <w:pPr>
              <w:pStyle w:val="92"/>
              <w:adjustRightInd w:val="0"/>
              <w:snapToGrid w:val="0"/>
              <w:spacing w:line="560" w:lineRule="exact"/>
              <w:rPr>
                <w:rFonts w:ascii="Times New Roman"/>
                <w:color w:val="auto"/>
                <w:sz w:val="20"/>
                <w:highlight w:val="none"/>
              </w:rPr>
            </w:pPr>
          </w:p>
        </w:tc>
        <w:tc>
          <w:tcPr>
            <w:tcW w:w="794" w:type="dxa"/>
            <w:noWrap w:val="0"/>
            <w:vAlign w:val="top"/>
          </w:tcPr>
          <w:p w14:paraId="31693097">
            <w:pPr>
              <w:pStyle w:val="92"/>
              <w:adjustRightInd w:val="0"/>
              <w:snapToGrid w:val="0"/>
              <w:spacing w:line="560" w:lineRule="exact"/>
              <w:rPr>
                <w:rFonts w:ascii="Times New Roman"/>
                <w:color w:val="auto"/>
                <w:sz w:val="20"/>
                <w:highlight w:val="none"/>
              </w:rPr>
            </w:pPr>
          </w:p>
        </w:tc>
        <w:tc>
          <w:tcPr>
            <w:tcW w:w="791" w:type="dxa"/>
            <w:noWrap w:val="0"/>
            <w:vAlign w:val="top"/>
          </w:tcPr>
          <w:p w14:paraId="5AF0F050">
            <w:pPr>
              <w:pStyle w:val="92"/>
              <w:adjustRightInd w:val="0"/>
              <w:snapToGrid w:val="0"/>
              <w:spacing w:line="560" w:lineRule="exact"/>
              <w:rPr>
                <w:rFonts w:ascii="Times New Roman"/>
                <w:color w:val="auto"/>
                <w:sz w:val="20"/>
                <w:highlight w:val="none"/>
              </w:rPr>
            </w:pPr>
          </w:p>
        </w:tc>
        <w:tc>
          <w:tcPr>
            <w:tcW w:w="635" w:type="dxa"/>
            <w:noWrap w:val="0"/>
            <w:vAlign w:val="top"/>
          </w:tcPr>
          <w:p w14:paraId="244C04F4">
            <w:pPr>
              <w:pStyle w:val="92"/>
              <w:adjustRightInd w:val="0"/>
              <w:snapToGrid w:val="0"/>
              <w:spacing w:line="560" w:lineRule="exact"/>
              <w:rPr>
                <w:rFonts w:ascii="Times New Roman"/>
                <w:color w:val="auto"/>
                <w:sz w:val="20"/>
                <w:highlight w:val="none"/>
              </w:rPr>
            </w:pPr>
          </w:p>
        </w:tc>
        <w:tc>
          <w:tcPr>
            <w:tcW w:w="1687" w:type="dxa"/>
            <w:noWrap w:val="0"/>
            <w:vAlign w:val="top"/>
          </w:tcPr>
          <w:p w14:paraId="0CAF3B3A">
            <w:pPr>
              <w:pStyle w:val="92"/>
              <w:adjustRightInd w:val="0"/>
              <w:snapToGrid w:val="0"/>
              <w:spacing w:line="560" w:lineRule="exact"/>
              <w:rPr>
                <w:rFonts w:ascii="Times New Roman"/>
                <w:color w:val="auto"/>
                <w:sz w:val="20"/>
                <w:highlight w:val="none"/>
              </w:rPr>
            </w:pPr>
          </w:p>
        </w:tc>
      </w:tr>
      <w:tr w14:paraId="3BCD2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56DC2CC">
            <w:pPr>
              <w:pStyle w:val="92"/>
              <w:adjustRightInd w:val="0"/>
              <w:snapToGrid w:val="0"/>
              <w:spacing w:line="560" w:lineRule="exact"/>
              <w:rPr>
                <w:rFonts w:ascii="Times New Roman"/>
                <w:color w:val="auto"/>
                <w:sz w:val="20"/>
                <w:highlight w:val="none"/>
              </w:rPr>
            </w:pPr>
          </w:p>
        </w:tc>
        <w:tc>
          <w:tcPr>
            <w:tcW w:w="1685" w:type="dxa"/>
            <w:noWrap w:val="0"/>
            <w:vAlign w:val="top"/>
          </w:tcPr>
          <w:p w14:paraId="5C5B59E9">
            <w:pPr>
              <w:pStyle w:val="92"/>
              <w:adjustRightInd w:val="0"/>
              <w:snapToGrid w:val="0"/>
              <w:spacing w:line="560" w:lineRule="exact"/>
              <w:rPr>
                <w:rFonts w:ascii="Times New Roman"/>
                <w:color w:val="auto"/>
                <w:sz w:val="20"/>
                <w:highlight w:val="none"/>
              </w:rPr>
            </w:pPr>
          </w:p>
        </w:tc>
        <w:tc>
          <w:tcPr>
            <w:tcW w:w="794" w:type="dxa"/>
            <w:noWrap w:val="0"/>
            <w:vAlign w:val="top"/>
          </w:tcPr>
          <w:p w14:paraId="4C45FA2D">
            <w:pPr>
              <w:pStyle w:val="92"/>
              <w:adjustRightInd w:val="0"/>
              <w:snapToGrid w:val="0"/>
              <w:spacing w:line="560" w:lineRule="exact"/>
              <w:rPr>
                <w:rFonts w:ascii="Times New Roman"/>
                <w:color w:val="auto"/>
                <w:sz w:val="20"/>
                <w:highlight w:val="none"/>
              </w:rPr>
            </w:pPr>
          </w:p>
        </w:tc>
        <w:tc>
          <w:tcPr>
            <w:tcW w:w="794" w:type="dxa"/>
            <w:noWrap w:val="0"/>
            <w:vAlign w:val="top"/>
          </w:tcPr>
          <w:p w14:paraId="58722AC1">
            <w:pPr>
              <w:pStyle w:val="92"/>
              <w:adjustRightInd w:val="0"/>
              <w:snapToGrid w:val="0"/>
              <w:spacing w:line="560" w:lineRule="exact"/>
              <w:rPr>
                <w:rFonts w:ascii="Times New Roman"/>
                <w:color w:val="auto"/>
                <w:sz w:val="20"/>
                <w:highlight w:val="none"/>
              </w:rPr>
            </w:pPr>
          </w:p>
        </w:tc>
        <w:tc>
          <w:tcPr>
            <w:tcW w:w="794" w:type="dxa"/>
            <w:noWrap w:val="0"/>
            <w:vAlign w:val="top"/>
          </w:tcPr>
          <w:p w14:paraId="7648C88D">
            <w:pPr>
              <w:pStyle w:val="92"/>
              <w:adjustRightInd w:val="0"/>
              <w:snapToGrid w:val="0"/>
              <w:spacing w:line="560" w:lineRule="exact"/>
              <w:rPr>
                <w:rFonts w:ascii="Times New Roman"/>
                <w:color w:val="auto"/>
                <w:sz w:val="20"/>
                <w:highlight w:val="none"/>
              </w:rPr>
            </w:pPr>
          </w:p>
        </w:tc>
        <w:tc>
          <w:tcPr>
            <w:tcW w:w="791" w:type="dxa"/>
            <w:noWrap w:val="0"/>
            <w:vAlign w:val="top"/>
          </w:tcPr>
          <w:p w14:paraId="46A9AE36">
            <w:pPr>
              <w:pStyle w:val="92"/>
              <w:adjustRightInd w:val="0"/>
              <w:snapToGrid w:val="0"/>
              <w:spacing w:line="560" w:lineRule="exact"/>
              <w:rPr>
                <w:rFonts w:ascii="Times New Roman"/>
                <w:color w:val="auto"/>
                <w:sz w:val="20"/>
                <w:highlight w:val="none"/>
              </w:rPr>
            </w:pPr>
          </w:p>
        </w:tc>
        <w:tc>
          <w:tcPr>
            <w:tcW w:w="635" w:type="dxa"/>
            <w:noWrap w:val="0"/>
            <w:vAlign w:val="top"/>
          </w:tcPr>
          <w:p w14:paraId="1A97771E">
            <w:pPr>
              <w:pStyle w:val="92"/>
              <w:adjustRightInd w:val="0"/>
              <w:snapToGrid w:val="0"/>
              <w:spacing w:line="560" w:lineRule="exact"/>
              <w:rPr>
                <w:rFonts w:ascii="Times New Roman"/>
                <w:color w:val="auto"/>
                <w:sz w:val="20"/>
                <w:highlight w:val="none"/>
              </w:rPr>
            </w:pPr>
          </w:p>
        </w:tc>
        <w:tc>
          <w:tcPr>
            <w:tcW w:w="1687" w:type="dxa"/>
            <w:noWrap w:val="0"/>
            <w:vAlign w:val="top"/>
          </w:tcPr>
          <w:p w14:paraId="67C4A559">
            <w:pPr>
              <w:pStyle w:val="92"/>
              <w:adjustRightInd w:val="0"/>
              <w:snapToGrid w:val="0"/>
              <w:spacing w:line="560" w:lineRule="exact"/>
              <w:rPr>
                <w:rFonts w:ascii="Times New Roman"/>
                <w:color w:val="auto"/>
                <w:sz w:val="20"/>
                <w:highlight w:val="none"/>
              </w:rPr>
            </w:pPr>
          </w:p>
        </w:tc>
      </w:tr>
      <w:tr w14:paraId="73940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B61A3DC">
            <w:pPr>
              <w:pStyle w:val="92"/>
              <w:adjustRightInd w:val="0"/>
              <w:snapToGrid w:val="0"/>
              <w:spacing w:line="560" w:lineRule="exact"/>
              <w:rPr>
                <w:rFonts w:ascii="Times New Roman"/>
                <w:color w:val="auto"/>
                <w:sz w:val="20"/>
                <w:highlight w:val="none"/>
              </w:rPr>
            </w:pPr>
          </w:p>
        </w:tc>
        <w:tc>
          <w:tcPr>
            <w:tcW w:w="1685" w:type="dxa"/>
            <w:noWrap w:val="0"/>
            <w:vAlign w:val="top"/>
          </w:tcPr>
          <w:p w14:paraId="0F07F889">
            <w:pPr>
              <w:pStyle w:val="92"/>
              <w:adjustRightInd w:val="0"/>
              <w:snapToGrid w:val="0"/>
              <w:spacing w:line="560" w:lineRule="exact"/>
              <w:rPr>
                <w:rFonts w:ascii="Times New Roman"/>
                <w:color w:val="auto"/>
                <w:sz w:val="20"/>
                <w:highlight w:val="none"/>
              </w:rPr>
            </w:pPr>
          </w:p>
        </w:tc>
        <w:tc>
          <w:tcPr>
            <w:tcW w:w="794" w:type="dxa"/>
            <w:noWrap w:val="0"/>
            <w:vAlign w:val="top"/>
          </w:tcPr>
          <w:p w14:paraId="135F5B4B">
            <w:pPr>
              <w:pStyle w:val="92"/>
              <w:adjustRightInd w:val="0"/>
              <w:snapToGrid w:val="0"/>
              <w:spacing w:line="560" w:lineRule="exact"/>
              <w:rPr>
                <w:rFonts w:ascii="Times New Roman"/>
                <w:color w:val="auto"/>
                <w:sz w:val="20"/>
                <w:highlight w:val="none"/>
              </w:rPr>
            </w:pPr>
          </w:p>
        </w:tc>
        <w:tc>
          <w:tcPr>
            <w:tcW w:w="794" w:type="dxa"/>
            <w:noWrap w:val="0"/>
            <w:vAlign w:val="top"/>
          </w:tcPr>
          <w:p w14:paraId="23CD23AF">
            <w:pPr>
              <w:pStyle w:val="92"/>
              <w:adjustRightInd w:val="0"/>
              <w:snapToGrid w:val="0"/>
              <w:spacing w:line="560" w:lineRule="exact"/>
              <w:rPr>
                <w:rFonts w:ascii="Times New Roman"/>
                <w:color w:val="auto"/>
                <w:sz w:val="20"/>
                <w:highlight w:val="none"/>
              </w:rPr>
            </w:pPr>
          </w:p>
        </w:tc>
        <w:tc>
          <w:tcPr>
            <w:tcW w:w="794" w:type="dxa"/>
            <w:noWrap w:val="0"/>
            <w:vAlign w:val="top"/>
          </w:tcPr>
          <w:p w14:paraId="55FC99BA">
            <w:pPr>
              <w:pStyle w:val="92"/>
              <w:adjustRightInd w:val="0"/>
              <w:snapToGrid w:val="0"/>
              <w:spacing w:line="560" w:lineRule="exact"/>
              <w:rPr>
                <w:rFonts w:ascii="Times New Roman"/>
                <w:color w:val="auto"/>
                <w:sz w:val="20"/>
                <w:highlight w:val="none"/>
              </w:rPr>
            </w:pPr>
          </w:p>
        </w:tc>
        <w:tc>
          <w:tcPr>
            <w:tcW w:w="791" w:type="dxa"/>
            <w:noWrap w:val="0"/>
            <w:vAlign w:val="top"/>
          </w:tcPr>
          <w:p w14:paraId="02697120">
            <w:pPr>
              <w:pStyle w:val="92"/>
              <w:adjustRightInd w:val="0"/>
              <w:snapToGrid w:val="0"/>
              <w:spacing w:line="560" w:lineRule="exact"/>
              <w:rPr>
                <w:rFonts w:ascii="Times New Roman"/>
                <w:color w:val="auto"/>
                <w:sz w:val="20"/>
                <w:highlight w:val="none"/>
              </w:rPr>
            </w:pPr>
          </w:p>
        </w:tc>
        <w:tc>
          <w:tcPr>
            <w:tcW w:w="635" w:type="dxa"/>
            <w:noWrap w:val="0"/>
            <w:vAlign w:val="top"/>
          </w:tcPr>
          <w:p w14:paraId="106861C2">
            <w:pPr>
              <w:pStyle w:val="92"/>
              <w:adjustRightInd w:val="0"/>
              <w:snapToGrid w:val="0"/>
              <w:spacing w:line="560" w:lineRule="exact"/>
              <w:rPr>
                <w:rFonts w:ascii="Times New Roman"/>
                <w:color w:val="auto"/>
                <w:sz w:val="20"/>
                <w:highlight w:val="none"/>
              </w:rPr>
            </w:pPr>
          </w:p>
        </w:tc>
        <w:tc>
          <w:tcPr>
            <w:tcW w:w="1687" w:type="dxa"/>
            <w:noWrap w:val="0"/>
            <w:vAlign w:val="top"/>
          </w:tcPr>
          <w:p w14:paraId="18778542">
            <w:pPr>
              <w:pStyle w:val="92"/>
              <w:adjustRightInd w:val="0"/>
              <w:snapToGrid w:val="0"/>
              <w:spacing w:line="560" w:lineRule="exact"/>
              <w:rPr>
                <w:rFonts w:ascii="Times New Roman"/>
                <w:color w:val="auto"/>
                <w:sz w:val="20"/>
                <w:highlight w:val="none"/>
              </w:rPr>
            </w:pPr>
          </w:p>
        </w:tc>
      </w:tr>
    </w:tbl>
    <w:p w14:paraId="2A713037">
      <w:pPr>
        <w:pStyle w:val="20"/>
        <w:adjustRightInd w:val="0"/>
        <w:snapToGrid w:val="0"/>
        <w:spacing w:after="0" w:line="560" w:lineRule="exact"/>
        <w:rPr>
          <w:color w:val="auto"/>
          <w:highlight w:val="none"/>
        </w:rPr>
      </w:pPr>
      <w:r>
        <w:rPr>
          <w:color w:val="auto"/>
          <w:highlight w:val="none"/>
        </w:rPr>
        <w:t>注：</w:t>
      </w:r>
    </w:p>
    <w:p w14:paraId="2C152F88">
      <w:pPr>
        <w:pStyle w:val="65"/>
        <w:tabs>
          <w:tab w:val="left" w:pos="1319"/>
        </w:tabs>
        <w:adjustRightInd w:val="0"/>
        <w:snapToGrid w:val="0"/>
        <w:spacing w:line="560" w:lineRule="exact"/>
        <w:ind w:left="0" w:firstLine="408" w:firstLineChars="200"/>
        <w:rPr>
          <w:color w:val="auto"/>
          <w:highlight w:val="none"/>
        </w:rPr>
      </w:pPr>
      <w:r>
        <w:rPr>
          <w:rFonts w:hint="eastAsia"/>
          <w:color w:val="auto"/>
          <w:spacing w:val="-3"/>
          <w:highlight w:val="none"/>
          <w:lang w:val="en-US"/>
        </w:rPr>
        <w:t>1、</w:t>
      </w:r>
      <w:r>
        <w:rPr>
          <w:color w:val="auto"/>
          <w:spacing w:val="-3"/>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2CFD667D">
      <w:pPr>
        <w:pStyle w:val="65"/>
        <w:tabs>
          <w:tab w:val="left" w:pos="1319"/>
        </w:tabs>
        <w:adjustRightInd w:val="0"/>
        <w:snapToGrid w:val="0"/>
        <w:spacing w:line="560" w:lineRule="exact"/>
        <w:ind w:left="0" w:firstLine="408" w:firstLineChars="200"/>
        <w:rPr>
          <w:rFonts w:hint="eastAsia"/>
          <w:color w:val="auto"/>
          <w:spacing w:val="-3"/>
          <w:highlight w:val="none"/>
        </w:r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对于招标人推荐品牌的材料、设备等，投标人如认为招标人推荐的品牌有限定性、唯一性、明显不在同一档次等级的或者其他疑问的，应在本项目澄清提出的截止时间前通过电子交易系统</w:t>
      </w:r>
      <w:r>
        <w:rPr>
          <w:rFonts w:hint="eastAsia"/>
          <w:color w:val="auto"/>
          <w:spacing w:val="-3"/>
          <w:highlight w:val="none"/>
        </w:rPr>
        <w:t>。</w:t>
      </w:r>
    </w:p>
    <w:p w14:paraId="5ECEC396">
      <w:pPr>
        <w:rPr>
          <w:rFonts w:hint="eastAsia" w:ascii="宋体" w:hAnsi="宋体" w:eastAsia="宋体" w:cs="Times New Roman"/>
          <w:b/>
          <w:color w:val="auto"/>
          <w:sz w:val="30"/>
          <w:szCs w:val="30"/>
          <w:highlight w:val="none"/>
          <w:lang w:eastAsia="zh-CN"/>
        </w:rPr>
      </w:pPr>
      <w:r>
        <w:rPr>
          <w:rFonts w:hint="eastAsia" w:ascii="宋体" w:hAnsi="宋体" w:eastAsia="宋体" w:cs="Times New Roman"/>
          <w:b/>
          <w:color w:val="auto"/>
          <w:sz w:val="30"/>
          <w:szCs w:val="30"/>
          <w:highlight w:val="none"/>
          <w:lang w:eastAsia="zh-CN"/>
        </w:rPr>
        <w:br w:type="page"/>
      </w: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cs="Times New Roman"/>
          <w:b/>
          <w:color w:val="auto"/>
          <w:sz w:val="30"/>
          <w:szCs w:val="30"/>
          <w:highlight w:val="none"/>
          <w:lang w:val="en-US" w:eastAsia="zh-CN"/>
        </w:rPr>
        <w:t>4</w:t>
      </w:r>
      <w:r>
        <w:rPr>
          <w:rFonts w:hint="eastAsia" w:ascii="宋体" w:hAnsi="宋体" w:eastAsia="宋体" w:cs="Times New Roman"/>
          <w:b/>
          <w:color w:val="auto"/>
          <w:sz w:val="30"/>
          <w:szCs w:val="30"/>
          <w:highlight w:val="none"/>
          <w:lang w:val="en-US" w:eastAsia="zh-CN"/>
        </w:rPr>
        <w:t>）</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ind w:left="635" w:leftChars="0" w:firstLineChars="0"/>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eastAsia="宋体"/>
                <w:color w:val="auto"/>
                <w:szCs w:val="21"/>
                <w:highlight w:val="none"/>
                <w:lang w:eastAsia="zh-CN"/>
              </w:rPr>
            </w:pPr>
            <w:r>
              <w:rPr>
                <w:rFonts w:hint="eastAsia" w:ascii="宋体" w:hAnsi="宋体"/>
                <w:color w:val="auto"/>
                <w:szCs w:val="21"/>
                <w:highlight w:val="none"/>
              </w:rPr>
              <w:t>储能</w:t>
            </w:r>
            <w:r>
              <w:rPr>
                <w:rFonts w:hint="eastAsia" w:ascii="宋体" w:hAnsi="宋体"/>
                <w:color w:val="auto"/>
                <w:szCs w:val="21"/>
                <w:highlight w:val="none"/>
                <w:lang w:val="en-US" w:eastAsia="zh-CN"/>
              </w:rPr>
              <w:t>设备</w:t>
            </w: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bl>
    <w:p w14:paraId="604D8B81">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0079C3">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滁宁城际铁路相官车辆段1250kW/2610kWh储能电站项目（</w:t>
            </w:r>
            <w:r>
              <w:rPr>
                <w:rFonts w:hint="eastAsia"/>
                <w:sz w:val="28"/>
                <w:szCs w:val="28"/>
                <w:highlight w:val="none"/>
                <w:u w:val="single"/>
                <w:lang w:val="en-US" w:eastAsia="zh-CN"/>
              </w:rPr>
              <w:t>二次）</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w:t>
            </w:r>
          </w:p>
          <w:p w14:paraId="4EDF8AEB">
            <w:pPr>
              <w:pStyle w:val="14"/>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4" w:name="OLE_LINK25"/>
      <w:bookmarkStart w:id="1005" w:name="OLE_LINK24"/>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4"/>
    <w:bookmarkEnd w:id="1005"/>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6" w:name="OLE_LINK93"/>
      <w:bookmarkStart w:id="1007" w:name="OLE_LINK91"/>
      <w:bookmarkStart w:id="1008" w:name="OLE_LINK92"/>
      <w:bookmarkStart w:id="1009" w:name="OLE_LINK103"/>
      <w:r>
        <w:rPr>
          <w:rFonts w:hint="eastAsia" w:ascii="仿宋_GB2312" w:hAnsi="宋体" w:eastAsia="仿宋_GB2312"/>
          <w:color w:val="000000"/>
          <w:sz w:val="28"/>
          <w:szCs w:val="28"/>
        </w:rPr>
        <w:t>投标人、法定代表人及其项目经理(建造师)</w:t>
      </w:r>
      <w:bookmarkEnd w:id="1006"/>
      <w:bookmarkEnd w:id="1007"/>
      <w:bookmarkEnd w:id="1008"/>
      <w:bookmarkEnd w:id="1009"/>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0" w:name="OLE_LINK87"/>
      <w:bookmarkStart w:id="1011" w:name="OLE_LINK21"/>
      <w:bookmarkStart w:id="1012" w:name="OLE_LINK119"/>
      <w:bookmarkStart w:id="1013" w:name="OLE_LINK94"/>
      <w:bookmarkStart w:id="1014" w:name="OLE_LINK86"/>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5" w:name="OLE_LINK118"/>
      <w:bookmarkStart w:id="1016" w:name="OLE_LINK117"/>
      <w:bookmarkStart w:id="1017" w:name="OLE_LINK116"/>
      <w:bookmarkStart w:id="1018" w:name="OLE_LINK115"/>
      <w:r>
        <w:rPr>
          <w:rFonts w:hint="eastAsia" w:ascii="仿宋_GB2312" w:hAnsi="宋体" w:eastAsia="仿宋_GB2312"/>
          <w:color w:val="000000"/>
          <w:sz w:val="28"/>
          <w:szCs w:val="28"/>
        </w:rPr>
        <w:t>“重大税收违法失信主体”</w:t>
      </w:r>
      <w:bookmarkEnd w:id="1015"/>
      <w:bookmarkEnd w:id="1016"/>
      <w:bookmarkEnd w:id="1017"/>
      <w:bookmarkEnd w:id="1018"/>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19" w:name="OLE_LINK85"/>
      <w:bookmarkStart w:id="1020" w:name="OLE_LINK84"/>
      <w:r>
        <w:rPr>
          <w:rFonts w:hint="eastAsia" w:ascii="仿宋_GB2312" w:hAnsi="宋体" w:eastAsia="仿宋_GB2312"/>
          <w:color w:val="000000"/>
          <w:sz w:val="28"/>
          <w:szCs w:val="28"/>
        </w:rPr>
        <w:t>农民工工资失信联合惩戒对象</w:t>
      </w:r>
      <w:bookmarkEnd w:id="1019"/>
      <w:bookmarkEnd w:id="1020"/>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0"/>
    <w:bookmarkEnd w:id="1011"/>
    <w:bookmarkEnd w:id="1012"/>
    <w:bookmarkEnd w:id="1013"/>
    <w:bookmarkEnd w:id="1014"/>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1" w:name="OLE_LINK130"/>
      <w:r>
        <w:rPr>
          <w:rFonts w:hint="eastAsia" w:ascii="仿宋_GB2312" w:hAnsi="宋体" w:eastAsia="仿宋_GB2312"/>
          <w:color w:val="000000"/>
          <w:sz w:val="28"/>
          <w:szCs w:val="28"/>
        </w:rPr>
        <w:t>国家企业信用信息公示系统网站</w:t>
      </w:r>
      <w:bookmarkEnd w:id="1021"/>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2" w:name="OLE_LINK90"/>
      <w:bookmarkStart w:id="1023" w:name="OLE_LINK89"/>
      <w:r>
        <w:rPr>
          <w:rStyle w:val="58"/>
          <w:rFonts w:hint="eastAsia" w:ascii="仿宋_GB2312" w:hAnsi="宋体" w:eastAsia="仿宋_GB2312"/>
          <w:color w:val="000000"/>
          <w:sz w:val="28"/>
          <w:szCs w:val="28"/>
        </w:rPr>
        <w:t>www.gsxt.gov.cn</w:t>
      </w:r>
      <w:bookmarkEnd w:id="1022"/>
      <w:bookmarkEnd w:id="1023"/>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4" w:name="OLE_LINK120"/>
      <w:bookmarkStart w:id="1025" w:name="OLE_LINK122"/>
      <w:bookmarkStart w:id="1026" w:name="OLE_LINK121"/>
      <w:r>
        <w:rPr>
          <w:rFonts w:hint="eastAsia" w:ascii="仿宋_GB2312" w:hAnsi="宋体" w:eastAsia="仿宋_GB2312"/>
          <w:color w:val="000000"/>
          <w:sz w:val="28"/>
          <w:szCs w:val="28"/>
        </w:rPr>
        <w:t>①被列入“经营异常名录”或者“严重违法失信名单”的。</w:t>
      </w:r>
      <w:bookmarkEnd w:id="1024"/>
      <w:bookmarkEnd w:id="1025"/>
      <w:bookmarkEnd w:id="1026"/>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7" w:name="OLE_LINK124"/>
      <w:bookmarkStart w:id="1028"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29" w:name="OLE_LINK107"/>
      <w:bookmarkStart w:id="1030" w:name="OLE_LINK108"/>
      <w:r>
        <w:rPr>
          <w:rFonts w:hint="eastAsia" w:ascii="仿宋_GB2312" w:hAnsi="宋体" w:eastAsia="仿宋_GB2312"/>
          <w:color w:val="000000"/>
          <w:sz w:val="28"/>
          <w:szCs w:val="28"/>
        </w:rPr>
        <w:t>县级及以上有关行政主管部门限制投标资格且在限制期限内的</w:t>
      </w:r>
      <w:bookmarkEnd w:id="1029"/>
      <w:bookmarkEnd w:id="1030"/>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7"/>
    <w:bookmarkEnd w:id="1028"/>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1" w:name="OLE_LINK102"/>
      <w:bookmarkStart w:id="1032" w:name="OLE_LINK100"/>
      <w:bookmarkStart w:id="1033" w:name="OLE_LINK101"/>
      <w:r>
        <w:rPr>
          <w:rFonts w:hint="eastAsia" w:ascii="仿宋_GB2312" w:hAnsi="宋体" w:eastAsia="仿宋_GB2312"/>
          <w:color w:val="000000"/>
          <w:sz w:val="28"/>
          <w:szCs w:val="28"/>
        </w:rPr>
        <w:t>被列入“经营异常名录”或者“严重违法失信名单”的</w:t>
      </w:r>
      <w:bookmarkEnd w:id="1031"/>
      <w:bookmarkEnd w:id="1032"/>
      <w:bookmarkEnd w:id="1033"/>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4" w:name="OLE_LINK95"/>
      <w:bookmarkStart w:id="1035"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4"/>
      <w:bookmarkEnd w:id="1035"/>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6" w:name="OLE_LINK106"/>
      <w:bookmarkStart w:id="1037" w:name="OLE_LINK105"/>
      <w:bookmarkStart w:id="1038" w:name="OLE_LINK104"/>
      <w:r>
        <w:rPr>
          <w:rFonts w:hint="eastAsia" w:ascii="仿宋_GB2312" w:hAnsi="宋体" w:eastAsia="仿宋_GB2312"/>
          <w:color w:val="000000"/>
          <w:sz w:val="28"/>
          <w:szCs w:val="28"/>
        </w:rPr>
        <w:t>被列入“政府采购严重违法失信行为信息记录”的</w:t>
      </w:r>
      <w:bookmarkEnd w:id="1036"/>
      <w:bookmarkEnd w:id="1037"/>
      <w:bookmarkEnd w:id="1038"/>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14"/>
        <w:rPr>
          <w:rFonts w:hint="eastAsia"/>
          <w:color w:val="000000"/>
        </w:rPr>
      </w:pPr>
    </w:p>
    <w:p w14:paraId="331B4991">
      <w:pPr>
        <w:rPr>
          <w:color w:val="000000"/>
        </w:rPr>
      </w:pPr>
    </w:p>
    <w:p w14:paraId="7B3BCB78">
      <w:pPr>
        <w:pStyle w:val="14"/>
        <w:rPr>
          <w:color w:val="000000"/>
        </w:rPr>
      </w:pPr>
    </w:p>
    <w:p w14:paraId="64AC7B5D">
      <w:pPr>
        <w:rPr>
          <w:color w:val="000000"/>
        </w:rPr>
      </w:pPr>
    </w:p>
    <w:p w14:paraId="5BD1D4CA">
      <w:pPr>
        <w:pStyle w:val="14"/>
        <w:rPr>
          <w:color w:val="000000"/>
        </w:rPr>
      </w:pPr>
    </w:p>
    <w:p w14:paraId="2DB666D3">
      <w:pPr>
        <w:rPr>
          <w:color w:val="000000"/>
        </w:rPr>
      </w:pPr>
    </w:p>
    <w:p w14:paraId="4AF62CEA">
      <w:pPr>
        <w:pStyle w:val="14"/>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39" w:name="_Toc95223549"/>
      <w:bookmarkStart w:id="1040" w:name="OLE_LINK41"/>
      <w:bookmarkStart w:id="1041" w:name="OLE_LINK31"/>
      <w:r>
        <w:rPr>
          <w:rFonts w:hint="eastAsia" w:ascii="黑体" w:hAnsi="黑体" w:eastAsia="黑体"/>
          <w:b/>
          <w:bCs/>
          <w:color w:val="000000"/>
          <w:kern w:val="44"/>
          <w:sz w:val="36"/>
          <w:szCs w:val="28"/>
        </w:rPr>
        <w:t xml:space="preserve">附件2 </w:t>
      </w:r>
      <w:bookmarkStart w:id="1042" w:name="OLE_LINK75"/>
      <w:bookmarkStart w:id="1043" w:name="OLE_LINK74"/>
      <w:r>
        <w:rPr>
          <w:rFonts w:hint="eastAsia" w:ascii="黑体" w:hAnsi="黑体" w:eastAsia="黑体"/>
          <w:b/>
          <w:bCs/>
          <w:color w:val="000000"/>
          <w:kern w:val="44"/>
          <w:sz w:val="36"/>
          <w:szCs w:val="28"/>
        </w:rPr>
        <w:t>“信用中国”查询的严重失信行为</w:t>
      </w:r>
      <w:bookmarkStart w:id="1044" w:name="OLE_LINK38"/>
      <w:bookmarkStart w:id="1045" w:name="OLE_LINK76"/>
      <w:bookmarkStart w:id="1046" w:name="OLE_LINK40"/>
      <w:bookmarkStart w:id="1047" w:name="OLE_LINK39"/>
      <w:r>
        <w:rPr>
          <w:rFonts w:hint="eastAsia" w:ascii="黑体" w:hAnsi="黑体" w:eastAsia="黑体"/>
          <w:b/>
          <w:bCs/>
          <w:color w:val="000000"/>
          <w:kern w:val="44"/>
          <w:sz w:val="36"/>
          <w:szCs w:val="28"/>
        </w:rPr>
        <w:t>类别及判定依据</w:t>
      </w:r>
      <w:bookmarkEnd w:id="1039"/>
      <w:bookmarkEnd w:id="1042"/>
      <w:bookmarkEnd w:id="1043"/>
      <w:bookmarkEnd w:id="1044"/>
      <w:bookmarkEnd w:id="1045"/>
      <w:bookmarkEnd w:id="1046"/>
      <w:bookmarkEnd w:id="1047"/>
    </w:p>
    <w:bookmarkEnd w:id="1040"/>
    <w:bookmarkEnd w:id="1041"/>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48" w:name="OLE_LINK12"/>
      <w:r>
        <w:rPr>
          <w:rFonts w:hint="eastAsia" w:ascii="仿宋_GB2312" w:hAnsi="宋体" w:eastAsia="仿宋_GB2312"/>
          <w:b/>
          <w:color w:val="000000"/>
          <w:sz w:val="28"/>
          <w:szCs w:val="28"/>
        </w:rPr>
        <w:t>企业环境信用评价办法（试行）</w:t>
      </w:r>
      <w:bookmarkEnd w:id="1048"/>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49" w:name="OLE_LINK13"/>
      <w:r>
        <w:rPr>
          <w:rFonts w:hint="eastAsia" w:ascii="仿宋_GB2312" w:hAnsi="宋体" w:eastAsia="仿宋_GB2312"/>
          <w:b/>
          <w:color w:val="000000"/>
          <w:sz w:val="28"/>
          <w:szCs w:val="28"/>
        </w:rPr>
        <w:t>关于对公共资源交易领域严重失信主体开展联合惩戒的备忘录</w:t>
      </w:r>
      <w:bookmarkEnd w:id="1049"/>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0" w:name="OLE_LINK18"/>
      <w:r>
        <w:rPr>
          <w:rFonts w:hint="eastAsia" w:ascii="仿宋_GB2312" w:hAnsi="Calibri" w:eastAsia="仿宋_GB2312"/>
          <w:b/>
          <w:color w:val="000000"/>
          <w:sz w:val="28"/>
          <w:szCs w:val="28"/>
        </w:rPr>
        <w:t>建筑市场信用管理暂行办法</w:t>
      </w:r>
      <w:bookmarkEnd w:id="1050"/>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1" w:name="OLE_LINK20"/>
      <w:bookmarkStart w:id="1052" w:name="OLE_LINK19"/>
      <w:r>
        <w:rPr>
          <w:rFonts w:hint="eastAsia" w:ascii="仿宋_GB2312" w:hAnsi="宋体" w:eastAsia="仿宋_GB2312"/>
          <w:b/>
          <w:color w:val="000000"/>
          <w:sz w:val="28"/>
          <w:szCs w:val="28"/>
        </w:rPr>
        <w:t>政府采购严重失信行为</w:t>
      </w:r>
      <w:bookmarkEnd w:id="1051"/>
      <w:bookmarkEnd w:id="1052"/>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14"/>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0000000C"/>
    <w:multiLevelType w:val="singleLevel"/>
    <w:tmpl w:val="0000000C"/>
    <w:lvl w:ilvl="0" w:tentative="0">
      <w:start w:val="1"/>
      <w:numFmt w:val="decimal"/>
      <w:lvlText w:val="%1."/>
      <w:lvlJc w:val="left"/>
      <w:pPr>
        <w:ind w:left="635" w:hanging="425"/>
      </w:pPr>
      <w:rPr>
        <w:rFonts w:hint="default"/>
      </w:rPr>
    </w:lvl>
  </w:abstractNum>
  <w:abstractNum w:abstractNumId="2">
    <w:nsid w:val="152B3C79"/>
    <w:multiLevelType w:val="singleLevel"/>
    <w:tmpl w:val="152B3C79"/>
    <w:lvl w:ilvl="0" w:tentative="0">
      <w:start w:val="1"/>
      <w:numFmt w:val="decimal"/>
      <w:suff w:val="nothing"/>
      <w:lvlText w:val="（%1）"/>
      <w:lvlJc w:val="left"/>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534A4"/>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B5BA4"/>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7078E0"/>
    <w:rsid w:val="0B895D1E"/>
    <w:rsid w:val="0B903157"/>
    <w:rsid w:val="0B9335CE"/>
    <w:rsid w:val="0BA653BF"/>
    <w:rsid w:val="0BAC6F99"/>
    <w:rsid w:val="0BCD1EAC"/>
    <w:rsid w:val="0BCF142C"/>
    <w:rsid w:val="0BDB2211"/>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4D2B4D"/>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2B528F"/>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91E6B"/>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0821DD"/>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A599B"/>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E53F53"/>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1F15E1"/>
    <w:rsid w:val="272A0E33"/>
    <w:rsid w:val="272A2D2F"/>
    <w:rsid w:val="274020AE"/>
    <w:rsid w:val="27446B6F"/>
    <w:rsid w:val="274F752C"/>
    <w:rsid w:val="27520933"/>
    <w:rsid w:val="27584657"/>
    <w:rsid w:val="275E5A93"/>
    <w:rsid w:val="27736226"/>
    <w:rsid w:val="27755DA7"/>
    <w:rsid w:val="277C3C9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6375A1"/>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36077"/>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AA6FE2"/>
    <w:rsid w:val="30C87FB8"/>
    <w:rsid w:val="30CB1DAF"/>
    <w:rsid w:val="30E90E2B"/>
    <w:rsid w:val="30ED02EA"/>
    <w:rsid w:val="30EE2912"/>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43180"/>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D76029"/>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6905EE"/>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986FA1"/>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0584C"/>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267FB"/>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CC6C4D"/>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EF4C65"/>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15734"/>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1E11F2"/>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single" w:color="BDBEC1" w:sz="2" w:space="0"/>
      <w:shd w:val="clear" w:fill="F2F4F9"/>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 w:type="character" w:customStyle="1" w:styleId="217">
    <w:name w:val="样式 宋体 四号"/>
    <w:qFormat/>
    <w:uiPriority w:val="0"/>
    <w:rPr>
      <w:rFonts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103</Pages>
  <Words>16676</Words>
  <Characters>18197</Characters>
  <Lines>411</Lines>
  <Paragraphs>115</Paragraphs>
  <TotalTime>64</TotalTime>
  <ScaleCrop>false</ScaleCrop>
  <LinksUpToDate>false</LinksUpToDate>
  <CharactersWithSpaces>18480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2026-05-09T02:36:04Z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40CBC1B083924196992377331F4909AC_13</vt:lpwstr>
  </property>
  <property fmtid="{D5CDD505-2E9C-101B-9397-08002B2CF9AE}" pid="4" name="KSOTemplateDocerSaveRecord">
    <vt:lpwstr>eyJoZGlkIjoiMTljMDcwYWJmYjExZWQzNTVmZDAzZTYwM2JlMzJmZDYiLCJ1c2VySWQiOiIzODU2Mzk2OTQifQ==</vt:lpwstr>
  </property>
</Properties>
</file>