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5F7E1">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p>
    <w:p w14:paraId="7C3A8A2D">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p>
    <w:p w14:paraId="2EC27274">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eastAsia="zh-CN"/>
        </w:rPr>
      </w:pPr>
      <w:bookmarkStart w:id="0" w:name="_Hlk9544796"/>
      <w:r>
        <w:rPr>
          <w:rFonts w:hint="eastAsia" w:asciiTheme="minorEastAsia" w:hAnsiTheme="minorEastAsia" w:eastAsiaTheme="minorEastAsia"/>
          <w:b/>
          <w:bCs/>
          <w:color w:val="auto"/>
          <w:sz w:val="52"/>
          <w:szCs w:val="52"/>
          <w:highlight w:val="none"/>
          <w:lang w:eastAsia="zh-CN"/>
        </w:rPr>
        <w:t>安徽省</w:t>
      </w:r>
      <w:r>
        <w:rPr>
          <w:rFonts w:hint="eastAsia" w:asciiTheme="minorEastAsia" w:hAnsiTheme="minorEastAsia" w:eastAsiaTheme="minorEastAsia"/>
          <w:b/>
          <w:bCs/>
          <w:color w:val="auto"/>
          <w:sz w:val="52"/>
          <w:szCs w:val="52"/>
          <w:highlight w:val="none"/>
        </w:rPr>
        <w:t>政府采购</w:t>
      </w:r>
      <w:r>
        <w:rPr>
          <w:rFonts w:hint="eastAsia" w:asciiTheme="minorEastAsia" w:hAnsiTheme="minorEastAsia" w:eastAsiaTheme="minorEastAsia"/>
          <w:b/>
          <w:bCs/>
          <w:color w:val="auto"/>
          <w:sz w:val="52"/>
          <w:szCs w:val="52"/>
          <w:highlight w:val="none"/>
          <w:lang w:eastAsia="zh-CN"/>
        </w:rPr>
        <w:t>项目</w:t>
      </w:r>
    </w:p>
    <w:p w14:paraId="3CCAFC5D">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r>
        <w:rPr>
          <w:rFonts w:hint="eastAsia" w:asciiTheme="minorEastAsia" w:hAnsiTheme="minorEastAsia" w:eastAsiaTheme="minorEastAsia"/>
          <w:b/>
          <w:bCs/>
          <w:color w:val="auto"/>
          <w:sz w:val="52"/>
          <w:szCs w:val="52"/>
          <w:highlight w:val="none"/>
        </w:rPr>
        <w:t>单一来源采购文件示范文本</w:t>
      </w:r>
    </w:p>
    <w:p w14:paraId="62AA7722">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rPr>
      </w:pPr>
      <w:r>
        <w:rPr>
          <w:rFonts w:hint="eastAsia" w:asciiTheme="minorEastAsia" w:hAnsiTheme="minorEastAsia" w:eastAsiaTheme="minorEastAsia"/>
          <w:b/>
          <w:bCs/>
          <w:color w:val="auto"/>
          <w:sz w:val="52"/>
          <w:szCs w:val="52"/>
          <w:highlight w:val="none"/>
        </w:rPr>
        <w:t>（服务类）</w:t>
      </w:r>
    </w:p>
    <w:p w14:paraId="6981CE07">
      <w:pPr>
        <w:tabs>
          <w:tab w:val="left" w:pos="315"/>
          <w:tab w:val="left" w:pos="8820"/>
        </w:tabs>
        <w:spacing w:before="240" w:beforeLines="100" w:after="120" w:afterLines="50" w:line="500" w:lineRule="exact"/>
        <w:ind w:right="267" w:rightChars="127"/>
        <w:jc w:val="center"/>
      </w:pPr>
      <w:r>
        <w:rPr>
          <w:rFonts w:hint="eastAsia" w:asciiTheme="minorEastAsia" w:hAnsiTheme="minorEastAsia" w:eastAsiaTheme="minorEastAsia"/>
          <w:b/>
          <w:bCs/>
          <w:color w:val="auto"/>
          <w:sz w:val="52"/>
          <w:szCs w:val="52"/>
          <w:highlight w:val="none"/>
          <w:lang w:eastAsia="zh-CN"/>
        </w:rPr>
        <w:t>（</w:t>
      </w:r>
      <w:r>
        <w:rPr>
          <w:rFonts w:hint="eastAsia" w:asciiTheme="minorEastAsia" w:hAnsiTheme="minorEastAsia" w:eastAsiaTheme="minorEastAsia"/>
          <w:b/>
          <w:bCs/>
          <w:color w:val="auto"/>
          <w:sz w:val="52"/>
          <w:szCs w:val="52"/>
          <w:highlight w:val="none"/>
          <w:lang w:val="en-US" w:eastAsia="zh-CN"/>
        </w:rPr>
        <w:t>2026年版</w:t>
      </w:r>
      <w:r>
        <w:rPr>
          <w:rFonts w:hint="eastAsia" w:asciiTheme="minorEastAsia" w:hAnsiTheme="minorEastAsia" w:eastAsiaTheme="minorEastAsia"/>
          <w:b/>
          <w:bCs/>
          <w:color w:val="auto"/>
          <w:sz w:val="52"/>
          <w:szCs w:val="52"/>
          <w:highlight w:val="none"/>
          <w:lang w:eastAsia="zh-CN"/>
        </w:rPr>
        <w:t>）</w:t>
      </w:r>
    </w:p>
    <w:bookmarkEnd w:id="0"/>
    <w:p w14:paraId="60894E8E">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Cs/>
          <w:color w:val="auto"/>
          <w:sz w:val="44"/>
          <w:szCs w:val="44"/>
          <w:highlight w:val="none"/>
        </w:rPr>
      </w:pPr>
    </w:p>
    <w:p w14:paraId="51C4525A">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7A41E173">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7CD865B0">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0685F33F">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67844860">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4F588D14">
      <w:pPr>
        <w:tabs>
          <w:tab w:val="left" w:pos="2410"/>
        </w:tabs>
        <w:autoSpaceDE w:val="0"/>
        <w:autoSpaceDN w:val="0"/>
        <w:adjustRightInd w:val="0"/>
        <w:snapToGrid w:val="0"/>
        <w:spacing w:line="360" w:lineRule="auto"/>
        <w:ind w:firstLine="723" w:firstLineChars="200"/>
        <w:rPr>
          <w:rFonts w:hint="eastAsia" w:asciiTheme="minorEastAsia" w:hAnsiTheme="minorEastAsia" w:eastAsiaTheme="minorEastAsia"/>
          <w:b/>
          <w:color w:val="auto"/>
          <w:sz w:val="32"/>
          <w:szCs w:val="32"/>
          <w:highlight w:val="none"/>
          <w:u w:val="single"/>
          <w:lang w:val="en-US" w:eastAsia="zh-CN"/>
        </w:rPr>
      </w:pPr>
      <w:r>
        <w:rPr>
          <w:rFonts w:hint="eastAsia" w:asciiTheme="minorEastAsia" w:hAnsiTheme="minorEastAsia" w:eastAsiaTheme="minorEastAsia"/>
          <w:b/>
          <w:color w:val="auto"/>
          <w:spacing w:val="20"/>
          <w:kern w:val="0"/>
          <w:sz w:val="32"/>
          <w:szCs w:val="32"/>
          <w:highlight w:val="none"/>
        </w:rPr>
        <w:t>项目名称</w:t>
      </w:r>
      <w:r>
        <w:rPr>
          <w:rFonts w:hint="eastAsia" w:asciiTheme="minorEastAsia" w:hAnsiTheme="minorEastAsia" w:eastAsiaTheme="minorEastAsia"/>
          <w:b/>
          <w:color w:val="auto"/>
          <w:spacing w:val="20"/>
          <w:kern w:val="0"/>
          <w:sz w:val="32"/>
          <w:szCs w:val="32"/>
          <w:highlight w:val="none"/>
          <w:lang w:eastAsia="zh-CN"/>
        </w:rPr>
        <w:t>：</w:t>
      </w:r>
      <w:r>
        <w:rPr>
          <w:rFonts w:hint="eastAsia" w:asciiTheme="minorEastAsia" w:hAnsiTheme="minorEastAsia" w:eastAsiaTheme="minorEastAsia"/>
          <w:b/>
          <w:color w:val="auto"/>
          <w:sz w:val="32"/>
          <w:szCs w:val="32"/>
          <w:highlight w:val="none"/>
          <w:u w:val="single"/>
          <w:lang w:val="en-US" w:eastAsia="zh-CN"/>
        </w:rPr>
        <w:t>滁州学院2026年图书馆电子资源采购项目</w:t>
      </w:r>
    </w:p>
    <w:p w14:paraId="3A6154CD">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u w:val="single"/>
        </w:rPr>
      </w:pPr>
      <w:r>
        <w:rPr>
          <w:rFonts w:hint="eastAsia" w:asciiTheme="minorEastAsia" w:hAnsiTheme="minorEastAsia" w:eastAsiaTheme="minorEastAsia"/>
          <w:b/>
          <w:color w:val="auto"/>
          <w:spacing w:val="20"/>
          <w:kern w:val="0"/>
          <w:sz w:val="32"/>
          <w:szCs w:val="32"/>
          <w:highlight w:val="none"/>
        </w:rPr>
        <w:t>项目编号：</w:t>
      </w:r>
      <w:r>
        <w:rPr>
          <w:rFonts w:hint="eastAsia" w:asciiTheme="minorEastAsia" w:hAnsiTheme="minorEastAsia" w:eastAsiaTheme="minorEastAsia"/>
          <w:b/>
          <w:color w:val="auto"/>
          <w:spacing w:val="20"/>
          <w:kern w:val="0"/>
          <w:sz w:val="32"/>
          <w:szCs w:val="32"/>
          <w:highlight w:val="none"/>
          <w:u w:val="single"/>
        </w:rPr>
        <w:t>czsjcg202606-017</w:t>
      </w:r>
    </w:p>
    <w:p w14:paraId="049DAFA4">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采 购 人：</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2"/>
          <w:szCs w:val="32"/>
          <w:highlight w:val="none"/>
          <w:u w:val="single"/>
          <w:lang w:val="en-US" w:eastAsia="zh-CN"/>
        </w:rPr>
        <w:t>滁州学院</w:t>
      </w:r>
      <w:r>
        <w:rPr>
          <w:rFonts w:hint="eastAsia" w:asciiTheme="minorEastAsia" w:hAnsiTheme="minorEastAsia" w:eastAsiaTheme="minorEastAsia"/>
          <w:b/>
          <w:color w:val="auto"/>
          <w:sz w:val="36"/>
          <w:highlight w:val="none"/>
          <w:u w:val="single"/>
        </w:rPr>
        <w:t xml:space="preserve"> </w:t>
      </w:r>
    </w:p>
    <w:p w14:paraId="51659FAA">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采购代理机构：</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2"/>
          <w:szCs w:val="32"/>
          <w:highlight w:val="none"/>
          <w:u w:val="single"/>
          <w:lang w:val="en-US" w:eastAsia="zh-CN"/>
        </w:rPr>
        <w:t>滁州市城投工程咨询管理有限公司</w:t>
      </w:r>
    </w:p>
    <w:p w14:paraId="2FD3AEBC">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7FE3200C">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36"/>
          <w:highlight w:val="none"/>
        </w:rPr>
      </w:pPr>
      <w:r>
        <w:rPr>
          <w:rFonts w:hint="eastAsia" w:asciiTheme="minorEastAsia" w:hAnsiTheme="minorEastAsia" w:eastAsiaTheme="minorEastAsia"/>
          <w:b/>
          <w:color w:val="auto"/>
          <w:sz w:val="36"/>
          <w:highlight w:val="none"/>
          <w:u w:val="single"/>
          <w:lang w:val="en-US" w:eastAsia="zh-CN"/>
        </w:rPr>
        <w:t>2026</w:t>
      </w:r>
      <w:r>
        <w:rPr>
          <w:rFonts w:hint="eastAsia" w:asciiTheme="minorEastAsia" w:hAnsiTheme="minorEastAsia" w:eastAsiaTheme="minorEastAsia"/>
          <w:b/>
          <w:color w:val="auto"/>
          <w:sz w:val="36"/>
          <w:highlight w:val="none"/>
        </w:rPr>
        <w:t>年</w:t>
      </w:r>
      <w:r>
        <w:rPr>
          <w:rFonts w:hint="eastAsia" w:asciiTheme="minorEastAsia" w:hAnsiTheme="minorEastAsia" w:eastAsiaTheme="minorEastAsia"/>
          <w:b/>
          <w:color w:val="auto"/>
          <w:sz w:val="36"/>
          <w:highlight w:val="none"/>
          <w:u w:val="single"/>
          <w:lang w:val="en-US" w:eastAsia="zh-CN"/>
        </w:rPr>
        <w:t>6</w:t>
      </w:r>
      <w:r>
        <w:rPr>
          <w:rFonts w:hint="eastAsia" w:asciiTheme="minorEastAsia" w:hAnsiTheme="minorEastAsia" w:eastAsiaTheme="minorEastAsia"/>
          <w:b/>
          <w:color w:val="auto"/>
          <w:sz w:val="36"/>
          <w:highlight w:val="none"/>
        </w:rPr>
        <w:t>月</w:t>
      </w:r>
      <w:r>
        <w:rPr>
          <w:rFonts w:asciiTheme="minorEastAsia" w:hAnsiTheme="minorEastAsia" w:eastAsiaTheme="minorEastAsia"/>
          <w:b/>
          <w:color w:val="auto"/>
          <w:sz w:val="36"/>
          <w:highlight w:val="none"/>
        </w:rPr>
        <w:br w:type="page"/>
      </w:r>
    </w:p>
    <w:p w14:paraId="0D98B005">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目  录</w:t>
      </w:r>
    </w:p>
    <w:p w14:paraId="6C4354C3">
      <w:pPr>
        <w:pStyle w:val="18"/>
        <w:tabs>
          <w:tab w:val="right" w:leader="dot" w:pos="8279"/>
        </w:tabs>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_Toc22016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单一来源采购</w:t>
      </w:r>
      <w:r>
        <w:rPr>
          <w:rFonts w:asciiTheme="minorEastAsia" w:hAnsiTheme="minorEastAsia" w:eastAsiaTheme="minorEastAsia"/>
          <w:highlight w:val="none"/>
        </w:rPr>
        <w:t>邀请</w:t>
      </w:r>
      <w:r>
        <w:tab/>
      </w:r>
      <w:r>
        <w:fldChar w:fldCharType="begin"/>
      </w:r>
      <w:r>
        <w:instrText xml:space="preserve"> PAGEREF _Toc22016 \h </w:instrText>
      </w:r>
      <w:r>
        <w:fldChar w:fldCharType="separate"/>
      </w:r>
      <w:r>
        <w:t>1</w:t>
      </w:r>
      <w:r>
        <w:fldChar w:fldCharType="end"/>
      </w:r>
      <w:r>
        <w:rPr>
          <w:rFonts w:asciiTheme="minorEastAsia" w:hAnsiTheme="minorEastAsia" w:eastAsiaTheme="minorEastAsia"/>
          <w:color w:val="auto"/>
          <w:szCs w:val="24"/>
          <w:highlight w:val="none"/>
        </w:rPr>
        <w:fldChar w:fldCharType="end"/>
      </w:r>
    </w:p>
    <w:p w14:paraId="4A4E488E">
      <w:pPr>
        <w:pStyle w:val="18"/>
        <w:tabs>
          <w:tab w:val="right" w:leader="dot" w:pos="8279"/>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_Toc23855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tab/>
      </w:r>
      <w:r>
        <w:rPr>
          <w:rFonts w:hint="eastAsia"/>
          <w:lang w:val="en-US" w:eastAsia="zh-CN"/>
        </w:rPr>
        <w:t>4</w:t>
      </w:r>
      <w:r>
        <w:rPr>
          <w:rFonts w:asciiTheme="minorEastAsia" w:hAnsiTheme="minorEastAsia" w:eastAsiaTheme="minorEastAsia"/>
          <w:color w:val="auto"/>
          <w:szCs w:val="24"/>
          <w:highlight w:val="none"/>
        </w:rPr>
        <w:fldChar w:fldCharType="end"/>
      </w:r>
    </w:p>
    <w:p w14:paraId="7915A28E">
      <w:pPr>
        <w:pStyle w:val="18"/>
        <w:tabs>
          <w:tab w:val="right" w:leader="dot" w:pos="8279"/>
        </w:tabs>
        <w:rPr>
          <w:rFonts w:hint="eastAsia" w:eastAsiaTheme="minorEastAsia"/>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_Toc25641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第三章  采购需求</w:t>
      </w:r>
      <w:r>
        <w:tab/>
      </w:r>
      <w:r>
        <w:rPr>
          <w:rFonts w:hint="eastAsia"/>
          <w:lang w:val="en-US" w:eastAsia="zh-CN"/>
        </w:rPr>
        <w:t>1</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5</w:t>
      </w:r>
    </w:p>
    <w:p w14:paraId="522A715C">
      <w:pPr>
        <w:pStyle w:val="18"/>
        <w:tabs>
          <w:tab w:val="right" w:leader="dot" w:pos="8279"/>
        </w:tabs>
        <w:rPr>
          <w:rFonts w:hint="eastAsia" w:eastAsiaTheme="minorEastAsia"/>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_Toc18944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第四章  协商程序和评审标准</w:t>
      </w:r>
      <w:r>
        <w:tab/>
      </w:r>
      <w:r>
        <w:rPr>
          <w:rFonts w:hint="eastAsia"/>
          <w:lang w:val="en-US" w:eastAsia="zh-CN"/>
        </w:rPr>
        <w:t>2</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2</w:t>
      </w:r>
    </w:p>
    <w:p w14:paraId="4DD7719F">
      <w:pPr>
        <w:pStyle w:val="18"/>
        <w:tabs>
          <w:tab w:val="right" w:leader="dot" w:pos="8279"/>
        </w:tabs>
        <w:rPr>
          <w:rFonts w:hint="eastAsia" w:eastAsiaTheme="minorEastAsia"/>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_Toc2510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第五章  政府采购合同</w:t>
      </w:r>
      <w:r>
        <w:tab/>
      </w:r>
      <w:r>
        <w:rPr>
          <w:rFonts w:hint="eastAsia"/>
          <w:lang w:val="en-US" w:eastAsia="zh-CN"/>
        </w:rPr>
        <w:t>2</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6</w:t>
      </w:r>
    </w:p>
    <w:p w14:paraId="352A2353">
      <w:pPr>
        <w:pStyle w:val="18"/>
        <w:tabs>
          <w:tab w:val="right" w:leader="dot" w:pos="8279"/>
        </w:tabs>
        <w:rPr>
          <w:rFonts w:hint="eastAsia" w:eastAsiaTheme="minorEastAsia"/>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_Toc3480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第六章  响应文件格式</w:t>
      </w:r>
      <w:r>
        <w:tab/>
      </w:r>
      <w:r>
        <w:rPr>
          <w:rFonts w:hint="eastAsia"/>
          <w:lang w:val="en-US" w:eastAsia="zh-CN"/>
        </w:rPr>
        <w:t>3</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7</w:t>
      </w:r>
    </w:p>
    <w:p w14:paraId="677F1B90">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2FBC37AA">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851" w:gutter="0"/>
          <w:cols w:space="720" w:num="1"/>
          <w:docGrid w:linePitch="462" w:charSpace="0"/>
        </w:sectPr>
      </w:pPr>
    </w:p>
    <w:p w14:paraId="3077E399">
      <w:pPr>
        <w:spacing w:line="360" w:lineRule="auto"/>
        <w:jc w:val="center"/>
        <w:outlineLvl w:val="0"/>
        <w:rPr>
          <w:rFonts w:asciiTheme="minorEastAsia" w:hAnsiTheme="minorEastAsia" w:eastAsiaTheme="minorEastAsia"/>
          <w:b/>
          <w:color w:val="auto"/>
          <w:sz w:val="28"/>
          <w:highlight w:val="none"/>
        </w:rPr>
      </w:pPr>
      <w:bookmarkStart w:id="1" w:name="_Toc22016"/>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单一来源采购</w:t>
      </w:r>
      <w:r>
        <w:rPr>
          <w:rFonts w:asciiTheme="minorEastAsia" w:hAnsiTheme="minorEastAsia" w:eastAsiaTheme="minorEastAsia"/>
          <w:b/>
          <w:color w:val="auto"/>
          <w:sz w:val="28"/>
          <w:highlight w:val="none"/>
        </w:rPr>
        <w:t>邀请</w:t>
      </w:r>
      <w:bookmarkEnd w:id="1"/>
    </w:p>
    <w:p w14:paraId="643FEF13">
      <w:pPr>
        <w:spacing w:line="360" w:lineRule="auto"/>
        <w:ind w:firstLine="435"/>
        <w:outlineLvl w:val="1"/>
        <w:rPr>
          <w:rFonts w:asciiTheme="minorEastAsia" w:hAnsiTheme="minorEastAsia" w:eastAsiaTheme="minorEastAsia"/>
          <w:b/>
          <w:bCs/>
          <w:color w:val="auto"/>
          <w:sz w:val="24"/>
          <w:szCs w:val="18"/>
          <w:highlight w:val="none"/>
        </w:rPr>
      </w:pPr>
      <w:bookmarkStart w:id="2" w:name="_Toc18247"/>
      <w:bookmarkStart w:id="3" w:name="_Toc16126"/>
      <w:r>
        <w:rPr>
          <w:rFonts w:hint="eastAsia" w:asciiTheme="minorEastAsia" w:hAnsiTheme="minorEastAsia" w:eastAsiaTheme="minorEastAsia"/>
          <w:b/>
          <w:bCs/>
          <w:color w:val="auto"/>
          <w:sz w:val="24"/>
          <w:szCs w:val="18"/>
          <w:highlight w:val="none"/>
        </w:rPr>
        <w:t>一</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bCs/>
          <w:color w:val="auto"/>
          <w:sz w:val="24"/>
          <w:szCs w:val="18"/>
          <w:highlight w:val="none"/>
        </w:rPr>
        <w:t>项目名称及内容</w:t>
      </w:r>
      <w:bookmarkEnd w:id="2"/>
      <w:bookmarkEnd w:id="3"/>
    </w:p>
    <w:p w14:paraId="2CD8907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1.项目编号：</w:t>
      </w:r>
      <w:r>
        <w:rPr>
          <w:rFonts w:hint="eastAsia" w:asciiTheme="minorEastAsia" w:hAnsiTheme="minorEastAsia" w:eastAsiaTheme="minorEastAsia"/>
          <w:color w:val="auto"/>
          <w:sz w:val="24"/>
          <w:highlight w:val="none"/>
          <w:u w:val="single"/>
        </w:rPr>
        <w:t>czsjcg202606-017</w:t>
      </w:r>
    </w:p>
    <w:p w14:paraId="6EA1707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u w:val="single"/>
        </w:rPr>
        <w:t>滁州学院2026年图书馆电子资源采购项目</w:t>
      </w:r>
    </w:p>
    <w:p w14:paraId="01AA070A">
      <w:pPr>
        <w:spacing w:line="360" w:lineRule="auto"/>
        <w:ind w:firstLine="435"/>
        <w:rPr>
          <w:rFonts w:asciiTheme="majorEastAsia" w:hAnsiTheme="majorEastAsia" w:eastAsiaTheme="majorEastAsia"/>
          <w:color w:val="auto"/>
          <w:sz w:val="24"/>
          <w:szCs w:val="18"/>
          <w:highlight w:val="none"/>
          <w:u w:val="single"/>
        </w:rPr>
      </w:pPr>
      <w:r>
        <w:rPr>
          <w:rFonts w:hint="eastAsia" w:asciiTheme="majorEastAsia" w:hAnsiTheme="majorEastAsia" w:eastAsiaTheme="majorEastAsia"/>
          <w:color w:val="auto"/>
          <w:sz w:val="24"/>
          <w:szCs w:val="18"/>
          <w:highlight w:val="none"/>
          <w:lang w:val="en-US" w:eastAsia="zh-CN"/>
        </w:rPr>
        <w:t>3</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项目概况：</w:t>
      </w:r>
      <w:r>
        <w:rPr>
          <w:rFonts w:hint="eastAsia" w:asciiTheme="majorEastAsia" w:hAnsiTheme="majorEastAsia" w:eastAsiaTheme="majorEastAsia"/>
          <w:color w:val="auto"/>
          <w:sz w:val="24"/>
          <w:szCs w:val="18"/>
          <w:highlight w:val="none"/>
          <w:u w:val="single"/>
        </w:rPr>
        <w:t>电子资源采购</w:t>
      </w:r>
    </w:p>
    <w:p w14:paraId="602E63B0">
      <w:pPr>
        <w:spacing w:line="360" w:lineRule="auto"/>
        <w:ind w:firstLine="435"/>
        <w:rPr>
          <w:rFonts w:hint="default" w:asciiTheme="majorEastAsia" w:hAnsiTheme="majorEastAsia" w:eastAsiaTheme="majorEastAsia"/>
          <w:color w:val="auto"/>
          <w:sz w:val="24"/>
          <w:szCs w:val="18"/>
          <w:highlight w:val="none"/>
          <w:lang w:val="en-US" w:eastAsia="zh-CN"/>
        </w:rPr>
      </w:pPr>
      <w:r>
        <w:rPr>
          <w:rFonts w:hint="eastAsia" w:asciiTheme="majorEastAsia" w:hAnsiTheme="majorEastAsia" w:eastAsiaTheme="majorEastAsia"/>
          <w:color w:val="auto"/>
          <w:sz w:val="24"/>
          <w:szCs w:val="18"/>
          <w:highlight w:val="none"/>
          <w:lang w:val="en-US" w:eastAsia="zh-CN"/>
        </w:rPr>
        <w:t>4</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项目预算：</w:t>
      </w:r>
      <w:r>
        <w:rPr>
          <w:rFonts w:hint="eastAsia" w:ascii="宋体" w:hAnsi="宋体" w:eastAsia="宋体"/>
          <w:color w:val="auto"/>
          <w:sz w:val="24"/>
          <w:szCs w:val="18"/>
          <w:highlight w:val="none"/>
          <w:u w:val="single"/>
          <w:lang w:val="en-US" w:eastAsia="zh-CN"/>
        </w:rPr>
        <w:t>174.03万元</w:t>
      </w:r>
    </w:p>
    <w:p w14:paraId="17D4BE11">
      <w:pPr>
        <w:spacing w:line="360" w:lineRule="auto"/>
        <w:ind w:firstLine="435"/>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lang w:val="en-US" w:eastAsia="zh-CN"/>
        </w:rPr>
        <w:t>5</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标段（包别）划分：共分</w:t>
      </w:r>
      <w:r>
        <w:rPr>
          <w:rFonts w:hint="eastAsia" w:asciiTheme="majorEastAsia" w:hAnsiTheme="majorEastAsia" w:eastAsiaTheme="majorEastAsia"/>
          <w:color w:val="auto"/>
          <w:sz w:val="24"/>
          <w:szCs w:val="18"/>
          <w:highlight w:val="none"/>
          <w:u w:val="single"/>
          <w:lang w:val="en-US" w:eastAsia="zh-CN"/>
        </w:rPr>
        <w:t>16</w:t>
      </w:r>
      <w:r>
        <w:rPr>
          <w:rFonts w:hint="eastAsia" w:asciiTheme="majorEastAsia" w:hAnsiTheme="majorEastAsia" w:eastAsiaTheme="majorEastAsia"/>
          <w:color w:val="auto"/>
          <w:sz w:val="24"/>
          <w:szCs w:val="18"/>
          <w:highlight w:val="none"/>
        </w:rPr>
        <w:t>个包，本次采购第</w:t>
      </w:r>
      <w:r>
        <w:rPr>
          <w:rFonts w:hint="eastAsia" w:asciiTheme="majorEastAsia" w:hAnsiTheme="majorEastAsia" w:eastAsiaTheme="majorEastAsia"/>
          <w:color w:val="auto"/>
          <w:sz w:val="24"/>
          <w:szCs w:val="18"/>
          <w:highlight w:val="none"/>
          <w:u w:val="single"/>
          <w:lang w:val="en-US" w:eastAsia="zh-CN"/>
        </w:rPr>
        <w:t>1-16</w:t>
      </w:r>
      <w:r>
        <w:rPr>
          <w:rFonts w:hint="eastAsia" w:asciiTheme="majorEastAsia" w:hAnsiTheme="majorEastAsia" w:eastAsiaTheme="majorEastAsia"/>
          <w:color w:val="auto"/>
          <w:sz w:val="24"/>
          <w:szCs w:val="18"/>
          <w:highlight w:val="none"/>
        </w:rPr>
        <w:t>包</w:t>
      </w:r>
    </w:p>
    <w:p w14:paraId="3514CDC5">
      <w:pPr>
        <w:spacing w:line="360" w:lineRule="auto"/>
        <w:ind w:firstLine="435"/>
        <w:outlineLvl w:val="1"/>
        <w:rPr>
          <w:rFonts w:asciiTheme="minorEastAsia" w:hAnsiTheme="minorEastAsia" w:eastAsiaTheme="minorEastAsia"/>
          <w:b/>
          <w:bCs/>
          <w:color w:val="auto"/>
          <w:sz w:val="24"/>
          <w:szCs w:val="18"/>
          <w:highlight w:val="none"/>
        </w:rPr>
      </w:pPr>
      <w:bookmarkStart w:id="4" w:name="_Toc10262"/>
      <w:bookmarkStart w:id="5" w:name="_Toc1306"/>
      <w:r>
        <w:rPr>
          <w:rFonts w:hint="eastAsia" w:asciiTheme="minorEastAsia" w:hAnsiTheme="minorEastAsia" w:eastAsiaTheme="minor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bCs/>
          <w:color w:val="auto"/>
          <w:sz w:val="24"/>
          <w:szCs w:val="18"/>
          <w:highlight w:val="none"/>
        </w:rPr>
        <w:t>采购文件的获取</w:t>
      </w:r>
      <w:bookmarkEnd w:id="4"/>
      <w:bookmarkEnd w:id="5"/>
    </w:p>
    <w:p w14:paraId="485EF0DB">
      <w:pPr>
        <w:autoSpaceDE w:val="0"/>
        <w:autoSpaceDN w:val="0"/>
        <w:adjustRightInd w:val="0"/>
        <w:spacing w:line="360" w:lineRule="auto"/>
        <w:ind w:firstLine="436" w:firstLineChars="182"/>
        <w:jc w:val="left"/>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1</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获取时间：</w:t>
      </w: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日至</w:t>
      </w: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日</w:t>
      </w:r>
    </w:p>
    <w:p w14:paraId="74266A80">
      <w:pPr>
        <w:autoSpaceDE w:val="0"/>
        <w:autoSpaceDN w:val="0"/>
        <w:adjustRightInd w:val="0"/>
        <w:spacing w:line="360" w:lineRule="auto"/>
        <w:ind w:firstLine="436" w:firstLineChars="182"/>
        <w:jc w:val="left"/>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highlight w:val="none"/>
        </w:rPr>
        <w:t>2.</w:t>
      </w:r>
      <w:r>
        <w:rPr>
          <w:rFonts w:hint="eastAsia" w:asciiTheme="majorEastAsia" w:hAnsiTheme="majorEastAsia" w:eastAsiaTheme="majorEastAsia"/>
          <w:color w:val="auto"/>
          <w:sz w:val="24"/>
          <w:szCs w:val="18"/>
          <w:highlight w:val="none"/>
        </w:rPr>
        <w:t>获取方式及地点：滁州市公共资源交易中心网网上下载</w:t>
      </w:r>
    </w:p>
    <w:p w14:paraId="5B791C68">
      <w:pPr>
        <w:spacing w:line="360" w:lineRule="auto"/>
        <w:ind w:firstLine="435"/>
        <w:outlineLvl w:val="1"/>
        <w:rPr>
          <w:rFonts w:asciiTheme="minorEastAsia" w:hAnsiTheme="minorEastAsia" w:eastAsiaTheme="minorEastAsia"/>
          <w:b/>
          <w:bCs/>
          <w:color w:val="auto"/>
          <w:sz w:val="24"/>
          <w:szCs w:val="18"/>
          <w:highlight w:val="none"/>
        </w:rPr>
      </w:pPr>
      <w:bookmarkStart w:id="6" w:name="_Toc26864"/>
      <w:bookmarkStart w:id="7" w:name="_Toc8662"/>
      <w:r>
        <w:rPr>
          <w:rFonts w:hint="eastAsia" w:asciiTheme="minorEastAsia" w:hAnsiTheme="minorEastAsia" w:eastAsiaTheme="minorEastAsia"/>
          <w:b/>
          <w:bCs/>
          <w:color w:val="auto"/>
          <w:sz w:val="24"/>
          <w:szCs w:val="18"/>
          <w:highlight w:val="none"/>
        </w:rPr>
        <w:t>三</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bCs/>
          <w:color w:val="auto"/>
          <w:sz w:val="24"/>
          <w:szCs w:val="18"/>
          <w:highlight w:val="none"/>
        </w:rPr>
        <w:t>协商时间及地点</w:t>
      </w:r>
      <w:bookmarkEnd w:id="6"/>
      <w:bookmarkEnd w:id="7"/>
    </w:p>
    <w:p w14:paraId="1DBFA50A">
      <w:pPr>
        <w:spacing w:line="360" w:lineRule="auto"/>
        <w:ind w:firstLine="435"/>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1</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时间：</w:t>
      </w:r>
      <w:r>
        <w:rPr>
          <w:rFonts w:hint="eastAsia" w:asciiTheme="majorEastAsia" w:hAnsiTheme="majorEastAsia" w:eastAsiaTheme="majorEastAsia"/>
          <w:color w:val="auto"/>
          <w:sz w:val="24"/>
          <w:szCs w:val="18"/>
          <w:highlight w:val="none"/>
          <w:u w:val="single"/>
          <w:lang w:val="en-US" w:eastAsia="zh-CN"/>
        </w:rPr>
        <w:t>2026</w:t>
      </w:r>
      <w:r>
        <w:rPr>
          <w:rFonts w:hint="eastAsia" w:asciiTheme="majorEastAsia" w:hAnsiTheme="majorEastAsia" w:eastAsiaTheme="majorEastAsia"/>
          <w:color w:val="auto"/>
          <w:sz w:val="24"/>
          <w:szCs w:val="18"/>
          <w:highlight w:val="none"/>
        </w:rPr>
        <w:t>年</w:t>
      </w:r>
      <w:r>
        <w:rPr>
          <w:rFonts w:hint="eastAsia" w:asciiTheme="majorEastAsia" w:hAnsiTheme="majorEastAsia" w:eastAsiaTheme="majorEastAsia"/>
          <w:color w:val="auto"/>
          <w:sz w:val="24"/>
          <w:szCs w:val="18"/>
          <w:highlight w:val="none"/>
          <w:u w:val="single"/>
          <w:lang w:val="en-US" w:eastAsia="zh-CN"/>
        </w:rPr>
        <w:t>6</w:t>
      </w:r>
      <w:r>
        <w:rPr>
          <w:rFonts w:hint="eastAsia" w:asciiTheme="majorEastAsia" w:hAnsiTheme="majorEastAsia" w:eastAsiaTheme="majorEastAsia"/>
          <w:color w:val="auto"/>
          <w:sz w:val="24"/>
          <w:szCs w:val="18"/>
          <w:highlight w:val="none"/>
        </w:rPr>
        <w:t>月</w:t>
      </w:r>
      <w:r>
        <w:rPr>
          <w:rFonts w:hint="eastAsia" w:asciiTheme="majorEastAsia" w:hAnsiTheme="majorEastAsia" w:eastAsiaTheme="majorEastAsia"/>
          <w:color w:val="auto"/>
          <w:sz w:val="24"/>
          <w:szCs w:val="18"/>
          <w:highlight w:val="none"/>
          <w:u w:val="single"/>
          <w:lang w:val="en-US" w:eastAsia="zh-CN"/>
        </w:rPr>
        <w:t>17</w:t>
      </w:r>
      <w:r>
        <w:rPr>
          <w:rFonts w:hint="eastAsia" w:asciiTheme="majorEastAsia" w:hAnsiTheme="majorEastAsia" w:eastAsiaTheme="majorEastAsia"/>
          <w:color w:val="auto"/>
          <w:sz w:val="24"/>
          <w:szCs w:val="18"/>
          <w:highlight w:val="none"/>
        </w:rPr>
        <w:t>日</w:t>
      </w:r>
      <w:r>
        <w:rPr>
          <w:rFonts w:hint="eastAsia" w:asciiTheme="majorEastAsia" w:hAnsiTheme="majorEastAsia" w:eastAsiaTheme="majorEastAsia"/>
          <w:color w:val="auto"/>
          <w:sz w:val="24"/>
          <w:szCs w:val="18"/>
          <w:highlight w:val="none"/>
          <w:u w:val="single"/>
          <w:lang w:val="en-US" w:eastAsia="zh-CN"/>
        </w:rPr>
        <w:t>8</w:t>
      </w:r>
      <w:r>
        <w:rPr>
          <w:rFonts w:hint="eastAsia" w:asciiTheme="majorEastAsia" w:hAnsiTheme="majorEastAsia" w:eastAsiaTheme="majorEastAsia"/>
          <w:color w:val="auto"/>
          <w:sz w:val="24"/>
          <w:szCs w:val="18"/>
          <w:highlight w:val="none"/>
        </w:rPr>
        <w:t>时</w:t>
      </w:r>
      <w:r>
        <w:rPr>
          <w:rFonts w:hint="eastAsia" w:asciiTheme="majorEastAsia" w:hAnsiTheme="majorEastAsia" w:eastAsiaTheme="majorEastAsia"/>
          <w:color w:val="auto"/>
          <w:sz w:val="24"/>
          <w:szCs w:val="18"/>
          <w:highlight w:val="none"/>
          <w:u w:val="single"/>
          <w:lang w:val="en-US" w:eastAsia="zh-CN"/>
        </w:rPr>
        <w:t>30</w:t>
      </w:r>
      <w:r>
        <w:rPr>
          <w:rFonts w:hint="eastAsia" w:asciiTheme="majorEastAsia" w:hAnsiTheme="majorEastAsia" w:eastAsiaTheme="majorEastAsia"/>
          <w:color w:val="auto"/>
          <w:sz w:val="24"/>
          <w:szCs w:val="18"/>
          <w:highlight w:val="none"/>
        </w:rPr>
        <w:t>分</w:t>
      </w:r>
    </w:p>
    <w:p w14:paraId="21355795">
      <w:pPr>
        <w:spacing w:line="360" w:lineRule="auto"/>
        <w:ind w:firstLine="435"/>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2</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地点：网上开启</w:t>
      </w:r>
    </w:p>
    <w:p w14:paraId="41FDCD3D">
      <w:pPr>
        <w:spacing w:line="360" w:lineRule="auto"/>
        <w:ind w:firstLine="435"/>
        <w:outlineLvl w:val="1"/>
        <w:rPr>
          <w:rFonts w:asciiTheme="minorEastAsia" w:hAnsiTheme="minorEastAsia" w:eastAsiaTheme="minorEastAsia"/>
          <w:b/>
          <w:bCs/>
          <w:color w:val="auto"/>
          <w:sz w:val="24"/>
          <w:szCs w:val="18"/>
          <w:highlight w:val="none"/>
        </w:rPr>
      </w:pPr>
      <w:bookmarkStart w:id="8" w:name="_Toc26484"/>
      <w:bookmarkStart w:id="9" w:name="_Toc22190"/>
      <w:r>
        <w:rPr>
          <w:rFonts w:hint="eastAsia" w:asciiTheme="minorEastAsia" w:hAnsiTheme="minorEastAsia" w:eastAsiaTheme="minorEastAsia"/>
          <w:b/>
          <w:bCs/>
          <w:color w:val="auto"/>
          <w:sz w:val="24"/>
          <w:szCs w:val="18"/>
          <w:highlight w:val="none"/>
        </w:rPr>
        <w:t>四</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bCs/>
          <w:color w:val="auto"/>
          <w:sz w:val="24"/>
          <w:szCs w:val="18"/>
          <w:highlight w:val="none"/>
        </w:rPr>
        <w:t>响应文件提交截止时</w:t>
      </w:r>
      <w:bookmarkStart w:id="263" w:name="_GoBack"/>
      <w:bookmarkEnd w:id="263"/>
      <w:r>
        <w:rPr>
          <w:rFonts w:hint="eastAsia" w:asciiTheme="minorEastAsia" w:hAnsiTheme="minorEastAsia" w:eastAsiaTheme="minorEastAsia"/>
          <w:b/>
          <w:bCs/>
          <w:color w:val="auto"/>
          <w:sz w:val="24"/>
          <w:szCs w:val="18"/>
          <w:highlight w:val="none"/>
        </w:rPr>
        <w:t>间及提交地点</w:t>
      </w:r>
      <w:bookmarkEnd w:id="8"/>
      <w:bookmarkEnd w:id="9"/>
    </w:p>
    <w:p w14:paraId="2B59CCA4">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rPr>
        <w:t>同协商时间及地点</w:t>
      </w:r>
    </w:p>
    <w:p w14:paraId="01B6E96F">
      <w:pPr>
        <w:spacing w:line="360" w:lineRule="auto"/>
        <w:ind w:firstLine="435"/>
        <w:outlineLvl w:val="1"/>
        <w:rPr>
          <w:rFonts w:hint="eastAsia" w:asciiTheme="majorEastAsia" w:hAnsiTheme="majorEastAsia" w:eastAsiaTheme="majorEastAsia"/>
          <w:b/>
          <w:bCs/>
          <w:color w:val="auto"/>
          <w:sz w:val="24"/>
          <w:szCs w:val="18"/>
          <w:highlight w:val="none"/>
        </w:rPr>
      </w:pPr>
      <w:bookmarkStart w:id="10" w:name="_Toc20096"/>
      <w:bookmarkStart w:id="11" w:name="_Toc10200"/>
      <w:r>
        <w:rPr>
          <w:rFonts w:hint="eastAsia" w:asciiTheme="majorEastAsia" w:hAnsiTheme="majorEastAsia" w:eastAsiaTheme="majorEastAsia"/>
          <w:b/>
          <w:bCs/>
          <w:color w:val="auto"/>
          <w:sz w:val="24"/>
          <w:szCs w:val="18"/>
          <w:highlight w:val="none"/>
          <w:lang w:val="en-US" w:eastAsia="zh-CN"/>
        </w:rPr>
        <w:t>五、</w:t>
      </w:r>
      <w:bookmarkStart w:id="12" w:name="_Toc35393635"/>
      <w:bookmarkStart w:id="13" w:name="_Toc35393804"/>
      <w:r>
        <w:rPr>
          <w:rFonts w:hint="eastAsia" w:asciiTheme="majorEastAsia" w:hAnsiTheme="majorEastAsia" w:eastAsiaTheme="majorEastAsia"/>
          <w:b/>
          <w:bCs/>
          <w:color w:val="auto"/>
          <w:sz w:val="24"/>
          <w:szCs w:val="18"/>
          <w:highlight w:val="none"/>
        </w:rPr>
        <w:t>其他补充事宜</w:t>
      </w:r>
      <w:bookmarkEnd w:id="10"/>
      <w:bookmarkEnd w:id="11"/>
      <w:bookmarkEnd w:id="12"/>
      <w:bookmarkEnd w:id="13"/>
    </w:p>
    <w:p w14:paraId="6AC8808B">
      <w:pPr>
        <w:keepNext w:val="0"/>
        <w:keepLines w:val="0"/>
        <w:pageBreakBefore w:val="0"/>
        <w:widowControl w:val="0"/>
        <w:kinsoku/>
        <w:wordWrap/>
        <w:overflowPunct/>
        <w:topLinePunct w:val="0"/>
        <w:autoSpaceDE/>
        <w:autoSpaceDN/>
        <w:bidi w:val="0"/>
        <w:adjustRightInd/>
        <w:snapToGrid/>
        <w:spacing w:line="500" w:lineRule="exact"/>
        <w:ind w:left="-420" w:leftChars="-200" w:firstLine="909" w:firstLineChars="379"/>
        <w:jc w:val="left"/>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rPr>
        <w:t>项目采用全流程电子化采购方式，</w:t>
      </w:r>
      <w:r>
        <w:rPr>
          <w:rFonts w:hint="eastAsia" w:ascii="宋体" w:hAnsi="宋体" w:eastAsia="宋体"/>
          <w:b w:val="0"/>
          <w:bCs w:val="0"/>
          <w:color w:val="auto"/>
          <w:sz w:val="24"/>
          <w:szCs w:val="18"/>
          <w:highlight w:val="none"/>
          <w:lang w:val="en-US" w:eastAsia="zh-CN"/>
        </w:rPr>
        <w:t>相关操作说明如下：</w:t>
      </w:r>
    </w:p>
    <w:p w14:paraId="01105FC1">
      <w:pPr>
        <w:keepNext w:val="0"/>
        <w:keepLines w:val="0"/>
        <w:pageBreakBefore w:val="0"/>
        <w:widowControl w:val="0"/>
        <w:kinsoku/>
        <w:wordWrap/>
        <w:overflowPunct/>
        <w:topLinePunct w:val="0"/>
        <w:autoSpaceDE/>
        <w:autoSpaceDN/>
        <w:bidi w:val="0"/>
        <w:adjustRightInd/>
        <w:snapToGrid/>
        <w:spacing w:line="500" w:lineRule="exact"/>
        <w:ind w:left="0" w:leftChars="0" w:firstLine="638" w:firstLineChars="266"/>
        <w:jc w:val="left"/>
        <w:textAlignment w:val="auto"/>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1.本项目只接受在安徽省公共资源交易市场主体库（http://ggzy.ah.gov.cn/ahggfwpt-zhutiku/dengludenglu）登记并进行信息确认提交的供应商投标，未登记的供应商请及时办理CA数字证书并登录安徽省公共资源交易市场主体库进行信息填写及确认提交；已办理过CA数字证书视为已在省库登记，进行信息更新及确认提交即可。办理流程为登</w:t>
      </w:r>
      <w:r>
        <w:rPr>
          <w:rFonts w:hint="eastAsia" w:ascii="宋体" w:hAnsi="宋体" w:eastAsia="宋体"/>
          <w:b w:val="0"/>
          <w:bCs w:val="0"/>
          <w:color w:val="auto"/>
          <w:sz w:val="24"/>
          <w:szCs w:val="18"/>
          <w:highlight w:val="none"/>
          <w:lang w:val="en-US" w:eastAsia="zh-CN"/>
        </w:rPr>
        <w:t>录</w:t>
      </w:r>
      <w:r>
        <w:rPr>
          <w:rFonts w:hint="eastAsia" w:ascii="宋体" w:hAnsi="宋体" w:eastAsia="宋体"/>
          <w:b w:val="0"/>
          <w:bCs w:val="0"/>
          <w:color w:val="auto"/>
          <w:sz w:val="24"/>
          <w:szCs w:val="18"/>
          <w:highlight w:val="none"/>
          <w:lang w:eastAsia="zh-CN"/>
        </w:rPr>
        <w:t>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4BE081E5">
      <w:pPr>
        <w:keepNext w:val="0"/>
        <w:keepLines w:val="0"/>
        <w:pageBreakBefore w:val="0"/>
        <w:widowControl w:val="0"/>
        <w:kinsoku/>
        <w:wordWrap/>
        <w:overflowPunct/>
        <w:topLinePunct w:val="0"/>
        <w:autoSpaceDE/>
        <w:autoSpaceDN/>
        <w:bidi w:val="0"/>
        <w:adjustRightInd/>
        <w:snapToGrid/>
        <w:spacing w:line="500" w:lineRule="exact"/>
        <w:ind w:left="0" w:leftChars="0" w:firstLine="638" w:firstLineChars="266"/>
        <w:jc w:val="left"/>
        <w:textAlignment w:val="auto"/>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2.请供应商登录滁州市公共资源交易中心网站查看参加本项目的程序。（具体操作步骤和程序请参见服务指南&gt;交易须知&gt;投标人填写投标信息、下载文件及网上提问操作手册）。</w:t>
      </w:r>
    </w:p>
    <w:p w14:paraId="22B0EEEA">
      <w:pPr>
        <w:keepNext w:val="0"/>
        <w:keepLines w:val="0"/>
        <w:pageBreakBefore w:val="0"/>
        <w:widowControl w:val="0"/>
        <w:kinsoku/>
        <w:wordWrap/>
        <w:overflowPunct/>
        <w:topLinePunct w:val="0"/>
        <w:autoSpaceDE/>
        <w:autoSpaceDN/>
        <w:bidi w:val="0"/>
        <w:adjustRightInd/>
        <w:snapToGrid/>
        <w:spacing w:line="500" w:lineRule="exact"/>
        <w:ind w:left="0" w:leftChars="0" w:firstLine="638" w:firstLineChars="266"/>
        <w:jc w:val="left"/>
        <w:textAlignment w:val="auto"/>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3.本项目采用不见面开标（远程解密)方式，开标时供应商无须至开标现场进行解密，开标采取远程解密方式解密投标文件，解密方式为：供应商在开标时间前使用CA数字证书登录滁州市“不见面开标系统”，网址为https：//ggzy.chuzhou.gov.cn/BidOpening,等待开标并按系统提示进行相应的供应商解密等事项，无需到开标现场。采用本方式可以观看开标现场音视频直播并进行互动交流。具体操作方法见中心网站&gt;服务指南&gt;交易须知中的《滁州市不见面开标系统操作手册》；</w:t>
      </w:r>
    </w:p>
    <w:p w14:paraId="6F18DBC4">
      <w:pPr>
        <w:keepNext w:val="0"/>
        <w:keepLines w:val="0"/>
        <w:pageBreakBefore w:val="0"/>
        <w:widowControl w:val="0"/>
        <w:kinsoku/>
        <w:wordWrap/>
        <w:overflowPunct/>
        <w:topLinePunct w:val="0"/>
        <w:autoSpaceDE/>
        <w:autoSpaceDN/>
        <w:bidi w:val="0"/>
        <w:adjustRightInd/>
        <w:snapToGrid/>
        <w:spacing w:line="500" w:lineRule="exact"/>
        <w:ind w:left="0" w:leftChars="0" w:firstLine="638" w:firstLineChars="266"/>
        <w:jc w:val="left"/>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eastAsia="zh-CN"/>
        </w:rPr>
        <w:t>4.供应商接到远程解密指令后，须在规定时间内解密。因供应商自身原因导致投标文件在规定时间内未能解密、解密失败或解密超时，投标文件无效；因采购代理机构原因或网上平台发生故障，导致无法按时完成投标文件解密的，经采购代理机构申请后可延迟解密时间。</w:t>
      </w:r>
    </w:p>
    <w:p w14:paraId="26E390A3">
      <w:pPr>
        <w:spacing w:line="360" w:lineRule="auto"/>
        <w:ind w:firstLine="435"/>
        <w:outlineLvl w:val="1"/>
        <w:rPr>
          <w:rFonts w:hint="eastAsia" w:asciiTheme="majorEastAsia" w:hAnsiTheme="majorEastAsia" w:eastAsiaTheme="majorEastAsia"/>
          <w:b/>
          <w:bCs/>
          <w:color w:val="auto"/>
          <w:sz w:val="24"/>
          <w:szCs w:val="18"/>
          <w:highlight w:val="none"/>
          <w:lang w:val="en-US" w:eastAsia="zh-CN"/>
        </w:rPr>
      </w:pPr>
      <w:bookmarkStart w:id="14" w:name="_Toc28181"/>
      <w:bookmarkStart w:id="15" w:name="_Toc17641"/>
      <w:bookmarkStart w:id="16" w:name="_Toc4317"/>
      <w:r>
        <w:rPr>
          <w:rFonts w:hint="eastAsia" w:asciiTheme="majorEastAsia" w:hAnsiTheme="majorEastAsia" w:eastAsiaTheme="majorEastAsia"/>
          <w:b/>
          <w:bCs/>
          <w:color w:val="auto"/>
          <w:sz w:val="24"/>
          <w:szCs w:val="18"/>
          <w:highlight w:val="none"/>
          <w:lang w:val="en-US" w:eastAsia="zh-CN"/>
        </w:rPr>
        <w:t>六、联系方式</w:t>
      </w:r>
      <w:bookmarkEnd w:id="14"/>
      <w:bookmarkEnd w:id="15"/>
      <w:bookmarkEnd w:id="16"/>
    </w:p>
    <w:p w14:paraId="611BE06F">
      <w:pPr>
        <w:keepNext w:val="0"/>
        <w:keepLines w:val="0"/>
        <w:pageBreakBefore w:val="0"/>
        <w:widowControl w:val="0"/>
        <w:kinsoku/>
        <w:wordWrap/>
        <w:overflowPunct/>
        <w:topLinePunct w:val="0"/>
        <w:autoSpaceDE/>
        <w:autoSpaceDN/>
        <w:bidi w:val="0"/>
        <w:adjustRightInd/>
        <w:snapToGrid/>
        <w:spacing w:line="500" w:lineRule="exact"/>
        <w:ind w:left="0" w:leftChars="0" w:firstLine="638" w:firstLineChars="266"/>
        <w:jc w:val="left"/>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eastAsia="zh-CN"/>
        </w:rPr>
        <w:t>1.采购人</w:t>
      </w:r>
      <w:r>
        <w:rPr>
          <w:rFonts w:hint="eastAsia" w:ascii="宋体" w:hAnsi="宋体" w:eastAsia="宋体"/>
          <w:b w:val="0"/>
          <w:bCs w:val="0"/>
          <w:color w:val="auto"/>
          <w:sz w:val="24"/>
          <w:szCs w:val="18"/>
          <w:highlight w:val="none"/>
          <w:lang w:val="en-US" w:eastAsia="zh-CN"/>
        </w:rPr>
        <w:t>信息</w:t>
      </w:r>
    </w:p>
    <w:p w14:paraId="79A80002">
      <w:pPr>
        <w:keepNext w:val="0"/>
        <w:keepLines w:val="0"/>
        <w:pageBreakBefore w:val="0"/>
        <w:widowControl w:val="0"/>
        <w:kinsoku/>
        <w:wordWrap/>
        <w:overflowPunct/>
        <w:topLinePunct w:val="0"/>
        <w:autoSpaceDE/>
        <w:autoSpaceDN/>
        <w:bidi w:val="0"/>
        <w:adjustRightInd/>
        <w:snapToGrid/>
        <w:spacing w:line="500" w:lineRule="exact"/>
        <w:ind w:left="0" w:leftChars="0" w:firstLine="638" w:firstLineChars="266"/>
        <w:jc w:val="left"/>
        <w:textAlignment w:val="auto"/>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名 称：</w:t>
      </w:r>
      <w:r>
        <w:rPr>
          <w:rFonts w:hint="eastAsia" w:ascii="宋体" w:hAnsi="宋体" w:eastAsia="宋体"/>
          <w:b w:val="0"/>
          <w:bCs w:val="0"/>
          <w:color w:val="auto"/>
          <w:sz w:val="24"/>
          <w:szCs w:val="18"/>
          <w:highlight w:val="none"/>
          <w:lang w:val="en-US" w:eastAsia="zh-CN"/>
        </w:rPr>
        <w:t>滁州学院</w:t>
      </w:r>
    </w:p>
    <w:p w14:paraId="483E7B46">
      <w:pPr>
        <w:keepNext w:val="0"/>
        <w:keepLines w:val="0"/>
        <w:pageBreakBefore w:val="0"/>
        <w:widowControl w:val="0"/>
        <w:kinsoku/>
        <w:wordWrap/>
        <w:overflowPunct/>
        <w:topLinePunct w:val="0"/>
        <w:autoSpaceDE/>
        <w:autoSpaceDN/>
        <w:bidi w:val="0"/>
        <w:adjustRightInd/>
        <w:snapToGrid/>
        <w:spacing w:line="500" w:lineRule="exact"/>
        <w:ind w:left="0" w:leftChars="0" w:firstLine="638" w:firstLineChars="266"/>
        <w:jc w:val="left"/>
        <w:textAlignment w:val="auto"/>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地址：</w:t>
      </w:r>
      <w:r>
        <w:rPr>
          <w:rFonts w:hint="eastAsia" w:ascii="宋体" w:hAnsi="宋体" w:eastAsia="宋体"/>
          <w:b w:val="0"/>
          <w:bCs w:val="0"/>
          <w:color w:val="auto"/>
          <w:sz w:val="24"/>
          <w:szCs w:val="18"/>
          <w:highlight w:val="none"/>
          <w:lang w:val="en-US" w:eastAsia="zh-CN"/>
        </w:rPr>
        <w:t xml:space="preserve">安徽省滁州市会峰西路1号 </w:t>
      </w:r>
    </w:p>
    <w:p w14:paraId="6D78789D">
      <w:pPr>
        <w:keepNext w:val="0"/>
        <w:keepLines w:val="0"/>
        <w:pageBreakBefore w:val="0"/>
        <w:widowControl w:val="0"/>
        <w:kinsoku/>
        <w:wordWrap/>
        <w:overflowPunct/>
        <w:topLinePunct w:val="0"/>
        <w:autoSpaceDE/>
        <w:autoSpaceDN/>
        <w:bidi w:val="0"/>
        <w:adjustRightInd/>
        <w:snapToGrid/>
        <w:spacing w:line="500" w:lineRule="exact"/>
        <w:ind w:left="0" w:leftChars="0" w:firstLine="638" w:firstLineChars="266"/>
        <w:jc w:val="left"/>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联系人：陈老师</w:t>
      </w:r>
      <w:r>
        <w:rPr>
          <w:rFonts w:hint="eastAsia" w:ascii="宋体" w:hAnsi="宋体" w:eastAsia="宋体"/>
          <w:b w:val="0"/>
          <w:bCs w:val="0"/>
          <w:color w:val="auto"/>
          <w:sz w:val="24"/>
          <w:szCs w:val="18"/>
          <w:highlight w:val="none"/>
          <w:lang w:eastAsia="zh-CN"/>
        </w:rPr>
        <w:t xml:space="preserve"> </w:t>
      </w:r>
    </w:p>
    <w:p w14:paraId="264A2D60">
      <w:pPr>
        <w:keepNext w:val="0"/>
        <w:keepLines w:val="0"/>
        <w:pageBreakBefore w:val="0"/>
        <w:widowControl w:val="0"/>
        <w:kinsoku/>
        <w:wordWrap/>
        <w:overflowPunct/>
        <w:topLinePunct w:val="0"/>
        <w:autoSpaceDE/>
        <w:autoSpaceDN/>
        <w:bidi w:val="0"/>
        <w:adjustRightInd/>
        <w:snapToGrid/>
        <w:spacing w:line="500" w:lineRule="exact"/>
        <w:ind w:left="0" w:leftChars="0" w:firstLine="638" w:firstLineChars="266"/>
        <w:jc w:val="left"/>
        <w:textAlignment w:val="auto"/>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联系</w:t>
      </w:r>
      <w:r>
        <w:rPr>
          <w:rFonts w:hint="eastAsia" w:ascii="宋体" w:hAnsi="宋体" w:eastAsia="宋体"/>
          <w:b w:val="0"/>
          <w:bCs w:val="0"/>
          <w:color w:val="auto"/>
          <w:sz w:val="24"/>
          <w:szCs w:val="18"/>
          <w:highlight w:val="none"/>
          <w:lang w:val="en-US" w:eastAsia="zh-CN"/>
        </w:rPr>
        <w:t>方式</w:t>
      </w:r>
      <w:r>
        <w:rPr>
          <w:rFonts w:hint="eastAsia" w:ascii="宋体" w:hAnsi="宋体" w:eastAsia="宋体"/>
          <w:b w:val="0"/>
          <w:bCs w:val="0"/>
          <w:color w:val="auto"/>
          <w:sz w:val="24"/>
          <w:szCs w:val="18"/>
          <w:highlight w:val="none"/>
          <w:lang w:eastAsia="zh-CN"/>
        </w:rPr>
        <w:t>：</w:t>
      </w:r>
      <w:r>
        <w:rPr>
          <w:rFonts w:hint="eastAsia" w:ascii="宋体" w:hAnsi="宋体" w:eastAsia="宋体"/>
          <w:b w:val="0"/>
          <w:bCs w:val="0"/>
          <w:color w:val="auto"/>
          <w:sz w:val="24"/>
          <w:szCs w:val="18"/>
          <w:highlight w:val="none"/>
          <w:lang w:val="en-US" w:eastAsia="zh-CN"/>
        </w:rPr>
        <w:t>0550-3512003</w:t>
      </w:r>
    </w:p>
    <w:p w14:paraId="512E4D14">
      <w:pPr>
        <w:keepNext w:val="0"/>
        <w:keepLines w:val="0"/>
        <w:pageBreakBefore w:val="0"/>
        <w:widowControl w:val="0"/>
        <w:kinsoku/>
        <w:wordWrap/>
        <w:overflowPunct/>
        <w:topLinePunct w:val="0"/>
        <w:autoSpaceDE/>
        <w:autoSpaceDN/>
        <w:bidi w:val="0"/>
        <w:adjustRightInd/>
        <w:snapToGrid/>
        <w:spacing w:line="500" w:lineRule="exact"/>
        <w:ind w:left="0" w:leftChars="0" w:firstLine="638" w:firstLineChars="266"/>
        <w:jc w:val="left"/>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eastAsia="zh-CN"/>
        </w:rPr>
        <w:t>2.采购代理机构</w:t>
      </w:r>
      <w:r>
        <w:rPr>
          <w:rFonts w:hint="eastAsia" w:ascii="宋体" w:hAnsi="宋体" w:eastAsia="宋体"/>
          <w:b w:val="0"/>
          <w:bCs w:val="0"/>
          <w:color w:val="auto"/>
          <w:sz w:val="24"/>
          <w:szCs w:val="18"/>
          <w:highlight w:val="none"/>
          <w:lang w:val="en-US" w:eastAsia="zh-CN"/>
        </w:rPr>
        <w:t>信息</w:t>
      </w:r>
    </w:p>
    <w:p w14:paraId="26C74C25">
      <w:pPr>
        <w:keepNext w:val="0"/>
        <w:keepLines w:val="0"/>
        <w:pageBreakBefore w:val="0"/>
        <w:widowControl w:val="0"/>
        <w:kinsoku/>
        <w:wordWrap/>
        <w:overflowPunct/>
        <w:topLinePunct w:val="0"/>
        <w:autoSpaceDE/>
        <w:autoSpaceDN/>
        <w:bidi w:val="0"/>
        <w:adjustRightInd/>
        <w:snapToGrid/>
        <w:spacing w:line="500" w:lineRule="exact"/>
        <w:ind w:left="0" w:leftChars="0" w:firstLine="638" w:firstLineChars="266"/>
        <w:jc w:val="left"/>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名称：滁州市城投工程咨询管理有限公司　　</w:t>
      </w:r>
    </w:p>
    <w:p w14:paraId="1D04B5FA">
      <w:pPr>
        <w:keepNext w:val="0"/>
        <w:keepLines w:val="0"/>
        <w:pageBreakBefore w:val="0"/>
        <w:widowControl w:val="0"/>
        <w:kinsoku/>
        <w:wordWrap/>
        <w:overflowPunct/>
        <w:topLinePunct w:val="0"/>
        <w:autoSpaceDE/>
        <w:autoSpaceDN/>
        <w:bidi w:val="0"/>
        <w:adjustRightInd/>
        <w:snapToGrid/>
        <w:spacing w:line="500" w:lineRule="exact"/>
        <w:ind w:left="0" w:leftChars="0" w:firstLine="638" w:firstLineChars="266"/>
        <w:jc w:val="left"/>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地址：滁州市龙蟠大道109号房产大厦6楼</w:t>
      </w:r>
    </w:p>
    <w:p w14:paraId="213E3B3A">
      <w:pPr>
        <w:keepNext w:val="0"/>
        <w:keepLines w:val="0"/>
        <w:pageBreakBefore w:val="0"/>
        <w:widowControl w:val="0"/>
        <w:kinsoku/>
        <w:wordWrap/>
        <w:overflowPunct/>
        <w:topLinePunct w:val="0"/>
        <w:autoSpaceDE/>
        <w:autoSpaceDN/>
        <w:bidi w:val="0"/>
        <w:adjustRightInd/>
        <w:snapToGrid/>
        <w:spacing w:line="500" w:lineRule="exact"/>
        <w:ind w:left="0" w:leftChars="0" w:firstLine="638" w:firstLineChars="266"/>
        <w:jc w:val="left"/>
        <w:textAlignment w:val="auto"/>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val="en-US" w:eastAsia="zh-CN"/>
        </w:rPr>
        <w:t>联系人：杨韦</w:t>
      </w:r>
      <w:r>
        <w:rPr>
          <w:rFonts w:hint="eastAsia" w:ascii="宋体" w:hAnsi="宋体" w:eastAsia="宋体"/>
          <w:b w:val="0"/>
          <w:bCs w:val="0"/>
          <w:color w:val="auto"/>
          <w:sz w:val="24"/>
          <w:szCs w:val="18"/>
          <w:highlight w:val="none"/>
          <w:lang w:eastAsia="zh-CN"/>
        </w:rPr>
        <w:t xml:space="preserve"> </w:t>
      </w:r>
    </w:p>
    <w:p w14:paraId="00C628D9">
      <w:pPr>
        <w:keepNext w:val="0"/>
        <w:keepLines w:val="0"/>
        <w:pageBreakBefore w:val="0"/>
        <w:widowControl w:val="0"/>
        <w:kinsoku/>
        <w:wordWrap/>
        <w:overflowPunct/>
        <w:topLinePunct w:val="0"/>
        <w:autoSpaceDE/>
        <w:autoSpaceDN/>
        <w:bidi w:val="0"/>
        <w:adjustRightInd/>
        <w:snapToGrid/>
        <w:spacing w:line="500" w:lineRule="exact"/>
        <w:ind w:left="0" w:leftChars="0" w:firstLine="638" w:firstLineChars="266"/>
        <w:jc w:val="left"/>
        <w:textAlignment w:val="auto"/>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联系</w:t>
      </w:r>
      <w:r>
        <w:rPr>
          <w:rFonts w:hint="eastAsia" w:ascii="宋体" w:hAnsi="宋体" w:eastAsia="宋体"/>
          <w:b w:val="0"/>
          <w:bCs w:val="0"/>
          <w:color w:val="auto"/>
          <w:sz w:val="24"/>
          <w:szCs w:val="18"/>
          <w:highlight w:val="none"/>
          <w:lang w:val="en-US" w:eastAsia="zh-CN"/>
        </w:rPr>
        <w:t>方式</w:t>
      </w:r>
      <w:r>
        <w:rPr>
          <w:rFonts w:hint="eastAsia" w:ascii="宋体" w:hAnsi="宋体" w:eastAsia="宋体"/>
          <w:b w:val="0"/>
          <w:bCs w:val="0"/>
          <w:color w:val="auto"/>
          <w:sz w:val="24"/>
          <w:szCs w:val="18"/>
          <w:highlight w:val="none"/>
          <w:lang w:eastAsia="zh-CN"/>
        </w:rPr>
        <w:t>：0550-35195</w:t>
      </w:r>
      <w:r>
        <w:rPr>
          <w:rFonts w:hint="eastAsia" w:ascii="宋体" w:hAnsi="宋体" w:eastAsia="宋体"/>
          <w:b w:val="0"/>
          <w:bCs w:val="0"/>
          <w:color w:val="auto"/>
          <w:sz w:val="24"/>
          <w:szCs w:val="18"/>
          <w:highlight w:val="none"/>
          <w:lang w:val="en-US" w:eastAsia="zh-CN"/>
        </w:rPr>
        <w:t>90</w:t>
      </w:r>
      <w:r>
        <w:rPr>
          <w:rFonts w:hint="eastAsia" w:ascii="宋体" w:hAnsi="宋体" w:eastAsia="宋体"/>
          <w:b w:val="0"/>
          <w:bCs w:val="0"/>
          <w:color w:val="auto"/>
          <w:sz w:val="24"/>
          <w:szCs w:val="18"/>
          <w:highlight w:val="none"/>
          <w:lang w:eastAsia="zh-CN"/>
        </w:rPr>
        <w:t>、</w:t>
      </w:r>
      <w:r>
        <w:rPr>
          <w:rFonts w:hint="eastAsia" w:ascii="宋体" w:hAnsi="宋体" w:eastAsia="宋体"/>
          <w:b w:val="0"/>
          <w:bCs w:val="0"/>
          <w:color w:val="auto"/>
          <w:sz w:val="24"/>
          <w:szCs w:val="18"/>
          <w:highlight w:val="none"/>
          <w:lang w:val="en-US" w:eastAsia="zh-CN"/>
        </w:rPr>
        <w:t>18005501210</w:t>
      </w:r>
    </w:p>
    <w:p w14:paraId="53F00446">
      <w:pPr>
        <w:keepNext w:val="0"/>
        <w:keepLines w:val="0"/>
        <w:pageBreakBefore w:val="0"/>
        <w:widowControl w:val="0"/>
        <w:kinsoku/>
        <w:wordWrap/>
        <w:overflowPunct/>
        <w:topLinePunct w:val="0"/>
        <w:autoSpaceDE/>
        <w:autoSpaceDN/>
        <w:bidi w:val="0"/>
        <w:adjustRightInd/>
        <w:snapToGrid/>
        <w:spacing w:line="500" w:lineRule="exact"/>
        <w:ind w:left="0" w:leftChars="0" w:firstLine="638" w:firstLineChars="266"/>
        <w:jc w:val="left"/>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lang w:eastAsia="zh-CN"/>
        </w:rPr>
        <w:t>.政府采购监督管理部门</w:t>
      </w:r>
      <w:r>
        <w:rPr>
          <w:rFonts w:hint="eastAsia" w:ascii="宋体" w:hAnsi="宋体" w:eastAsia="宋体"/>
          <w:b w:val="0"/>
          <w:bCs w:val="0"/>
          <w:color w:val="auto"/>
          <w:sz w:val="24"/>
          <w:szCs w:val="18"/>
          <w:highlight w:val="none"/>
          <w:lang w:val="en-US" w:eastAsia="zh-CN"/>
        </w:rPr>
        <w:t>信息</w:t>
      </w:r>
    </w:p>
    <w:p w14:paraId="3B1A45AD">
      <w:pPr>
        <w:keepNext w:val="0"/>
        <w:keepLines w:val="0"/>
        <w:pageBreakBefore w:val="0"/>
        <w:widowControl w:val="0"/>
        <w:kinsoku/>
        <w:wordWrap/>
        <w:overflowPunct/>
        <w:topLinePunct w:val="0"/>
        <w:autoSpaceDE/>
        <w:autoSpaceDN/>
        <w:bidi w:val="0"/>
        <w:adjustRightInd/>
        <w:snapToGrid/>
        <w:spacing w:line="500" w:lineRule="exact"/>
        <w:ind w:left="0" w:leftChars="0" w:firstLine="638" w:firstLineChars="266"/>
        <w:jc w:val="left"/>
        <w:textAlignment w:val="auto"/>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名称：</w:t>
      </w:r>
      <w:r>
        <w:rPr>
          <w:rFonts w:hint="eastAsia" w:ascii="宋体" w:hAnsi="宋体" w:eastAsia="宋体"/>
          <w:b w:val="0"/>
          <w:bCs w:val="0"/>
          <w:color w:val="auto"/>
          <w:sz w:val="24"/>
          <w:szCs w:val="18"/>
          <w:highlight w:val="none"/>
          <w:lang w:val="en-US" w:eastAsia="zh-CN"/>
        </w:rPr>
        <w:t>安徽省财政厅</w:t>
      </w:r>
    </w:p>
    <w:p w14:paraId="0E1533BA">
      <w:pPr>
        <w:keepNext w:val="0"/>
        <w:keepLines w:val="0"/>
        <w:pageBreakBefore w:val="0"/>
        <w:widowControl w:val="0"/>
        <w:kinsoku/>
        <w:wordWrap/>
        <w:overflowPunct/>
        <w:topLinePunct w:val="0"/>
        <w:autoSpaceDE/>
        <w:autoSpaceDN/>
        <w:bidi w:val="0"/>
        <w:adjustRightInd/>
        <w:snapToGrid/>
        <w:spacing w:line="500" w:lineRule="exact"/>
        <w:ind w:left="0" w:leftChars="0" w:firstLine="638" w:firstLineChars="266"/>
        <w:jc w:val="left"/>
        <w:textAlignment w:val="auto"/>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地址：</w:t>
      </w:r>
      <w:r>
        <w:rPr>
          <w:rFonts w:hint="eastAsia" w:ascii="宋体" w:hAnsi="宋体" w:eastAsia="宋体"/>
          <w:b w:val="0"/>
          <w:bCs w:val="0"/>
          <w:color w:val="auto"/>
          <w:sz w:val="24"/>
          <w:szCs w:val="18"/>
          <w:highlight w:val="none"/>
          <w:lang w:val="en-US" w:eastAsia="zh-CN"/>
        </w:rPr>
        <w:t>合肥市阜南西路238号</w:t>
      </w:r>
    </w:p>
    <w:p w14:paraId="1BDF6A01">
      <w:pPr>
        <w:keepNext w:val="0"/>
        <w:keepLines w:val="0"/>
        <w:pageBreakBefore w:val="0"/>
        <w:widowControl w:val="0"/>
        <w:kinsoku/>
        <w:wordWrap/>
        <w:overflowPunct/>
        <w:topLinePunct w:val="0"/>
        <w:autoSpaceDE/>
        <w:autoSpaceDN/>
        <w:bidi w:val="0"/>
        <w:adjustRightInd/>
        <w:snapToGrid/>
        <w:spacing w:line="500" w:lineRule="exact"/>
        <w:ind w:left="0" w:leftChars="0" w:firstLine="638" w:firstLineChars="266"/>
        <w:jc w:val="left"/>
        <w:textAlignment w:val="auto"/>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联系方式：</w:t>
      </w:r>
      <w:r>
        <w:rPr>
          <w:rFonts w:hint="eastAsia" w:ascii="宋体" w:hAnsi="宋体" w:eastAsia="宋体"/>
          <w:b w:val="0"/>
          <w:bCs w:val="0"/>
          <w:color w:val="auto"/>
          <w:sz w:val="24"/>
          <w:szCs w:val="18"/>
          <w:highlight w:val="none"/>
          <w:lang w:val="en-US" w:eastAsia="zh-CN"/>
        </w:rPr>
        <w:t>0551-68150413</w:t>
      </w:r>
    </w:p>
    <w:p w14:paraId="77791E17">
      <w:pPr>
        <w:spacing w:line="360" w:lineRule="auto"/>
        <w:ind w:firstLine="435"/>
        <w:rPr>
          <w:rFonts w:asciiTheme="minorEastAsia" w:hAnsiTheme="minorEastAsia" w:eastAsiaTheme="minorEastAsia"/>
          <w:color w:val="auto"/>
          <w:sz w:val="24"/>
          <w:szCs w:val="18"/>
          <w:highlight w:val="none"/>
        </w:rPr>
      </w:pPr>
      <w:r>
        <w:rPr>
          <w:rFonts w:asciiTheme="minorEastAsia" w:hAnsiTheme="minorEastAsia" w:eastAsiaTheme="minorEastAsia"/>
          <w:color w:val="auto"/>
          <w:sz w:val="24"/>
          <w:szCs w:val="18"/>
          <w:highlight w:val="none"/>
        </w:rPr>
        <w:br w:type="page"/>
      </w:r>
    </w:p>
    <w:p w14:paraId="7FDBBC67">
      <w:pPr>
        <w:spacing w:line="360" w:lineRule="auto"/>
        <w:jc w:val="center"/>
        <w:outlineLvl w:val="0"/>
        <w:rPr>
          <w:rFonts w:asciiTheme="minorEastAsia" w:hAnsiTheme="minorEastAsia" w:eastAsiaTheme="minorEastAsia"/>
          <w:b/>
          <w:color w:val="auto"/>
          <w:sz w:val="28"/>
          <w:highlight w:val="none"/>
        </w:rPr>
      </w:pPr>
      <w:bookmarkStart w:id="17" w:name="_Toc2385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17"/>
    </w:p>
    <w:p w14:paraId="37CCDBE1">
      <w:pPr>
        <w:spacing w:line="360" w:lineRule="auto"/>
        <w:jc w:val="center"/>
        <w:outlineLvl w:val="1"/>
        <w:rPr>
          <w:rFonts w:asciiTheme="minorEastAsia" w:hAnsiTheme="minorEastAsia" w:eastAsiaTheme="minorEastAsia"/>
          <w:b/>
          <w:color w:val="auto"/>
          <w:sz w:val="24"/>
          <w:highlight w:val="none"/>
        </w:rPr>
      </w:pPr>
      <w:bookmarkStart w:id="18" w:name="_Toc18850"/>
      <w:bookmarkStart w:id="19" w:name="_Toc26462"/>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18"/>
      <w:bookmarkEnd w:id="19"/>
    </w:p>
    <w:p w14:paraId="187BA0AE">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b/>
          <w:bCs/>
          <w:color w:val="auto"/>
          <w:sz w:val="24"/>
          <w:szCs w:val="18"/>
          <w:highlight w:val="none"/>
        </w:rPr>
        <w:t>注：</w:t>
      </w:r>
      <w:r>
        <w:rPr>
          <w:rFonts w:hint="eastAsia" w:asciiTheme="minorEastAsia" w:hAnsiTheme="minorEastAsia" w:eastAsiaTheme="minorEastAsia"/>
          <w:color w:val="auto"/>
          <w:sz w:val="24"/>
          <w:szCs w:val="18"/>
          <w:highlight w:val="none"/>
        </w:rPr>
        <w:t>本表是本项目的具体要求，是对供应商须知的具体补充和修改，如有不一致，以本表为准。</w:t>
      </w:r>
    </w:p>
    <w:tbl>
      <w:tblPr>
        <w:tblStyle w:val="2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032"/>
        <w:gridCol w:w="5722"/>
      </w:tblGrid>
      <w:tr w14:paraId="1A89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B83F04C">
            <w:pPr>
              <w:pStyle w:val="43"/>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条款号</w:t>
            </w:r>
          </w:p>
        </w:tc>
        <w:tc>
          <w:tcPr>
            <w:tcW w:w="1160" w:type="pct"/>
            <w:vAlign w:val="center"/>
          </w:tcPr>
          <w:p w14:paraId="3E56C352">
            <w:pPr>
              <w:pStyle w:val="43"/>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条款名称</w:t>
            </w:r>
          </w:p>
        </w:tc>
        <w:tc>
          <w:tcPr>
            <w:tcW w:w="3267" w:type="pct"/>
            <w:vAlign w:val="center"/>
          </w:tcPr>
          <w:p w14:paraId="17DF02E2">
            <w:pPr>
              <w:pStyle w:val="43"/>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内容、说明与要求</w:t>
            </w:r>
          </w:p>
        </w:tc>
      </w:tr>
      <w:tr w14:paraId="1D00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6636AB5">
            <w:pPr>
              <w:pStyle w:val="43"/>
              <w:widowControl w:val="0"/>
              <w:spacing w:before="0" w:beforeAutospacing="0" w:after="0" w:afterAutospacing="0"/>
              <w:rPr>
                <w:rFonts w:asciiTheme="minorEastAsia" w:hAnsiTheme="minorEastAsia" w:eastAsiaTheme="minorEastAsia"/>
                <w:bCs/>
                <w:color w:val="auto"/>
                <w:kern w:val="2"/>
                <w:highlight w:val="none"/>
              </w:rPr>
            </w:pPr>
            <w:r>
              <w:rPr>
                <w:rFonts w:hint="eastAsia" w:cs="@仿宋_GB2312" w:asciiTheme="majorEastAsia" w:hAnsiTheme="majorEastAsia" w:eastAsiaTheme="majorEastAsia"/>
                <w:b w:val="0"/>
                <w:bCs/>
                <w:color w:val="auto"/>
                <w:kern w:val="2"/>
                <w:sz w:val="24"/>
                <w:szCs w:val="20"/>
                <w:highlight w:val="none"/>
                <w:lang w:val="en-US" w:eastAsia="zh-CN" w:bidi="ar-SA"/>
              </w:rPr>
              <w:t>10.1</w:t>
            </w:r>
          </w:p>
        </w:tc>
        <w:tc>
          <w:tcPr>
            <w:tcW w:w="1160" w:type="pct"/>
            <w:vAlign w:val="center"/>
          </w:tcPr>
          <w:p w14:paraId="22850C93">
            <w:pPr>
              <w:pStyle w:val="43"/>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lang w:val="en-US" w:eastAsia="zh-CN"/>
              </w:rPr>
              <w:t>响应文件</w:t>
            </w:r>
            <w:r>
              <w:rPr>
                <w:rFonts w:hint="eastAsia" w:asciiTheme="minorEastAsia" w:hAnsiTheme="minorEastAsia" w:eastAsiaTheme="minorEastAsia"/>
                <w:b w:val="0"/>
                <w:color w:val="auto"/>
                <w:sz w:val="24"/>
                <w:highlight w:val="none"/>
              </w:rPr>
              <w:t>有效期</w:t>
            </w:r>
          </w:p>
        </w:tc>
        <w:tc>
          <w:tcPr>
            <w:tcW w:w="3267" w:type="pct"/>
            <w:vAlign w:val="center"/>
          </w:tcPr>
          <w:p w14:paraId="02231C8A">
            <w:pPr>
              <w:pStyle w:val="43"/>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 xml:space="preserve">60 </w:t>
            </w:r>
            <w:r>
              <w:rPr>
                <w:rFonts w:hint="eastAsia" w:asciiTheme="minorEastAsia" w:hAnsiTheme="minorEastAsia" w:eastAsiaTheme="minorEastAsia"/>
                <w:b w:val="0"/>
                <w:color w:val="auto"/>
                <w:sz w:val="24"/>
                <w:highlight w:val="none"/>
              </w:rPr>
              <w:t>日历日</w:t>
            </w:r>
          </w:p>
        </w:tc>
      </w:tr>
      <w:tr w14:paraId="54EF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5E14E716">
            <w:pPr>
              <w:pStyle w:val="44"/>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ajorEastAsia" w:hAnsiTheme="majorEastAsia" w:eastAsiaTheme="majorEastAsia"/>
                <w:bCs/>
                <w:color w:val="auto"/>
                <w:kern w:val="2"/>
                <w:highlight w:val="none"/>
                <w:lang w:val="en-US" w:eastAsia="zh-CN"/>
              </w:rPr>
              <w:t>19</w:t>
            </w:r>
            <w:r>
              <w:rPr>
                <w:rFonts w:asciiTheme="majorEastAsia" w:hAnsiTheme="majorEastAsia" w:eastAsiaTheme="majorEastAsia"/>
                <w:bCs/>
                <w:color w:val="auto"/>
                <w:kern w:val="2"/>
                <w:highlight w:val="none"/>
              </w:rPr>
              <w:t>.1</w:t>
            </w:r>
          </w:p>
        </w:tc>
        <w:tc>
          <w:tcPr>
            <w:tcW w:w="1160" w:type="pct"/>
            <w:vAlign w:val="center"/>
          </w:tcPr>
          <w:p w14:paraId="56E501EF">
            <w:pPr>
              <w:pStyle w:val="43"/>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ajorEastAsia" w:hAnsiTheme="majorEastAsia" w:eastAsiaTheme="majorEastAsia"/>
                <w:b w:val="0"/>
                <w:color w:val="auto"/>
                <w:sz w:val="24"/>
                <w:highlight w:val="none"/>
              </w:rPr>
              <w:t>成交通知书发出的形式</w:t>
            </w:r>
          </w:p>
        </w:tc>
        <w:tc>
          <w:tcPr>
            <w:tcW w:w="3267" w:type="pct"/>
            <w:vAlign w:val="center"/>
          </w:tcPr>
          <w:p w14:paraId="251D7779">
            <w:pPr>
              <w:pStyle w:val="43"/>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ajorEastAsia" w:hAnsiTheme="majorEastAsia" w:eastAsiaTheme="majorEastAsia"/>
                <w:b w:val="0"/>
                <w:color w:val="auto"/>
                <w:sz w:val="24"/>
                <w:highlight w:val="none"/>
              </w:rPr>
              <w:sym w:font="Wingdings" w:char="00A8"/>
            </w:r>
            <w:r>
              <w:rPr>
                <w:rFonts w:hint="eastAsia" w:asciiTheme="majorEastAsia" w:hAnsiTheme="majorEastAsia" w:eastAsiaTheme="majorEastAsia"/>
                <w:b w:val="0"/>
                <w:color w:val="auto"/>
                <w:sz w:val="24"/>
                <w:highlight w:val="none"/>
              </w:rPr>
              <w:t xml:space="preserve">书面 </w:t>
            </w:r>
            <w:r>
              <w:rPr>
                <w:rFonts w:asciiTheme="majorEastAsia" w:hAnsiTheme="majorEastAsia" w:eastAsiaTheme="majorEastAsia"/>
                <w:b w:val="0"/>
                <w:color w:val="auto"/>
                <w:sz w:val="24"/>
                <w:highlight w:val="none"/>
              </w:rPr>
              <w:t xml:space="preserve">    </w:t>
            </w:r>
            <w:r>
              <w:rPr>
                <w:rFonts w:hint="eastAsia" w:asciiTheme="majorEastAsia" w:hAnsiTheme="majorEastAsia" w:eastAsiaTheme="majorEastAsia"/>
                <w:b w:val="0"/>
                <w:color w:val="auto"/>
                <w:sz w:val="24"/>
                <w:highlight w:val="none"/>
                <w:lang w:eastAsia="zh-CN"/>
              </w:rPr>
              <w:t>☑</w:t>
            </w:r>
            <w:r>
              <w:rPr>
                <w:rFonts w:hint="eastAsia" w:asciiTheme="majorEastAsia" w:hAnsiTheme="majorEastAsia" w:eastAsiaTheme="majorEastAsia"/>
                <w:b w:val="0"/>
                <w:color w:val="auto"/>
                <w:sz w:val="24"/>
                <w:highlight w:val="none"/>
              </w:rPr>
              <w:t>数据电文</w:t>
            </w:r>
          </w:p>
        </w:tc>
      </w:tr>
      <w:tr w14:paraId="147B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5F5D570D">
            <w:pPr>
              <w:pStyle w:val="44"/>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ajorEastAsia" w:hAnsiTheme="majorEastAsia" w:eastAsiaTheme="majorEastAsia"/>
                <w:bCs/>
                <w:color w:val="auto"/>
                <w:kern w:val="2"/>
                <w:highlight w:val="none"/>
              </w:rPr>
              <w:t>2</w:t>
            </w:r>
            <w:r>
              <w:rPr>
                <w:rFonts w:hint="eastAsia" w:asciiTheme="majorEastAsia" w:hAnsiTheme="majorEastAsia" w:eastAsiaTheme="majorEastAsia"/>
                <w:bCs/>
                <w:color w:val="auto"/>
                <w:kern w:val="2"/>
                <w:highlight w:val="none"/>
                <w:lang w:val="en-US" w:eastAsia="zh-CN"/>
              </w:rPr>
              <w:t>0</w:t>
            </w:r>
            <w:r>
              <w:rPr>
                <w:rFonts w:asciiTheme="majorEastAsia" w:hAnsiTheme="majorEastAsia" w:eastAsiaTheme="majorEastAsia"/>
                <w:bCs/>
                <w:color w:val="auto"/>
                <w:kern w:val="2"/>
                <w:highlight w:val="none"/>
              </w:rPr>
              <w:t>.1</w:t>
            </w:r>
          </w:p>
        </w:tc>
        <w:tc>
          <w:tcPr>
            <w:tcW w:w="1160" w:type="pct"/>
            <w:vAlign w:val="center"/>
          </w:tcPr>
          <w:p w14:paraId="0AF1C933">
            <w:pPr>
              <w:pStyle w:val="43"/>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ajorEastAsia" w:hAnsiTheme="majorEastAsia" w:eastAsiaTheme="majorEastAsia"/>
                <w:b w:val="0"/>
                <w:color w:val="auto"/>
                <w:sz w:val="24"/>
                <w:highlight w:val="none"/>
              </w:rPr>
              <w:t>履约保证金</w:t>
            </w:r>
          </w:p>
        </w:tc>
        <w:tc>
          <w:tcPr>
            <w:tcW w:w="3267" w:type="pct"/>
            <w:vAlign w:val="top"/>
          </w:tcPr>
          <w:p w14:paraId="0F72CC99">
            <w:pPr>
              <w:pStyle w:val="43"/>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lang w:eastAsia="zh-CN"/>
              </w:rPr>
            </w:pPr>
            <w:r>
              <w:rPr>
                <w:rFonts w:hint="eastAsia" w:ascii="宋体" w:hAnsi="宋体" w:eastAsia="宋体"/>
                <w:bCs/>
                <w:color w:val="auto"/>
                <w:kern w:val="0"/>
                <w:sz w:val="24"/>
                <w:szCs w:val="28"/>
                <w:highlight w:val="none"/>
                <w:lang w:val="en-US" w:eastAsia="zh-CN"/>
              </w:rPr>
              <w:t>免收</w:t>
            </w:r>
          </w:p>
        </w:tc>
      </w:tr>
      <w:tr w14:paraId="22E9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2650E66E">
            <w:pPr>
              <w:pStyle w:val="44"/>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21.1</w:t>
            </w:r>
          </w:p>
        </w:tc>
        <w:tc>
          <w:tcPr>
            <w:tcW w:w="1160" w:type="pct"/>
            <w:vAlign w:val="center"/>
          </w:tcPr>
          <w:p w14:paraId="50E0123D">
            <w:pPr>
              <w:pStyle w:val="43"/>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267" w:type="pct"/>
            <w:vAlign w:val="center"/>
          </w:tcPr>
          <w:p w14:paraId="6482E6A6">
            <w:pPr>
              <w:pStyle w:val="43"/>
              <w:widowControl w:val="0"/>
              <w:spacing w:before="0" w:beforeAutospacing="0" w:after="0" w:afterAutospacing="0" w:line="360" w:lineRule="auto"/>
              <w:jc w:val="both"/>
              <w:rPr>
                <w:rFonts w:hint="eastAsia" w:ascii="宋体" w:hAnsi="宋体" w:eastAsia="宋体"/>
                <w:b w:val="0"/>
                <w:bCs/>
                <w:color w:val="auto"/>
                <w:sz w:val="24"/>
                <w:highlight w:val="none"/>
                <w:lang w:val="en-US" w:eastAsia="zh-CN"/>
              </w:rPr>
            </w:pPr>
            <w:r>
              <w:rPr>
                <w:rFonts w:hint="eastAsia"/>
                <w:b w:val="0"/>
                <w:bCs/>
                <w:color w:val="auto"/>
                <w:sz w:val="24"/>
                <w:highlight w:val="none"/>
                <w:lang w:val="en-US" w:eastAsia="zh-CN"/>
              </w:rPr>
              <w:t>（1）</w:t>
            </w:r>
            <w:r>
              <w:rPr>
                <w:rFonts w:hint="eastAsia" w:ascii="宋体" w:hAnsi="宋体" w:eastAsia="宋体"/>
                <w:b w:val="0"/>
                <w:bCs/>
                <w:color w:val="auto"/>
                <w:sz w:val="24"/>
                <w:highlight w:val="none"/>
                <w:lang w:val="en-US" w:eastAsia="zh-CN"/>
              </w:rPr>
              <w:t>采购人与成交供应商应当自发出成交通知书之日起7个工作日内签订合同，采购合同签订之日起2个工作日内完成政府采购合同公开。</w:t>
            </w:r>
          </w:p>
          <w:p w14:paraId="7CBFB1A4">
            <w:pPr>
              <w:pStyle w:val="43"/>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ascii="宋体" w:hAnsi="宋体" w:eastAsia="宋体" w:cs="宋体"/>
                <w:b w:val="0"/>
                <w:bCs/>
                <w:sz w:val="24"/>
                <w:szCs w:val="24"/>
              </w:rPr>
              <w:t>（2）采购人与</w:t>
            </w:r>
            <w:r>
              <w:rPr>
                <w:rFonts w:hint="eastAsia" w:ascii="宋体" w:hAnsi="宋体" w:eastAsia="宋体"/>
                <w:b w:val="0"/>
                <w:bCs/>
                <w:color w:val="auto"/>
                <w:sz w:val="24"/>
                <w:highlight w:val="none"/>
                <w:lang w:val="en-US" w:eastAsia="zh-CN"/>
              </w:rPr>
              <w:t>成交供应商</w:t>
            </w:r>
            <w:r>
              <w:rPr>
                <w:rFonts w:ascii="宋体" w:hAnsi="宋体" w:eastAsia="宋体" w:cs="宋体"/>
                <w:b w:val="0"/>
                <w:bCs/>
                <w:sz w:val="24"/>
                <w:szCs w:val="24"/>
              </w:rPr>
              <w:t>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7905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14719308">
            <w:pPr>
              <w:pStyle w:val="44"/>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ajorEastAsia" w:hAnsiTheme="majorEastAsia" w:eastAsiaTheme="majorEastAsia"/>
                <w:bCs/>
                <w:color w:val="auto"/>
                <w:kern w:val="2"/>
                <w:highlight w:val="none"/>
              </w:rPr>
              <w:t>2</w:t>
            </w:r>
            <w:r>
              <w:rPr>
                <w:rFonts w:hint="eastAsia" w:asciiTheme="majorEastAsia" w:hAnsiTheme="majorEastAsia" w:eastAsiaTheme="majorEastAsia"/>
                <w:bCs/>
                <w:color w:val="auto"/>
                <w:kern w:val="2"/>
                <w:highlight w:val="none"/>
                <w:lang w:val="en-US" w:eastAsia="zh-CN"/>
              </w:rPr>
              <w:t>2</w:t>
            </w:r>
            <w:r>
              <w:rPr>
                <w:rFonts w:asciiTheme="majorEastAsia" w:hAnsiTheme="majorEastAsia" w:eastAsiaTheme="majorEastAsia"/>
                <w:bCs/>
                <w:color w:val="auto"/>
                <w:kern w:val="2"/>
                <w:highlight w:val="none"/>
              </w:rPr>
              <w:t>.1</w:t>
            </w:r>
          </w:p>
        </w:tc>
        <w:tc>
          <w:tcPr>
            <w:tcW w:w="1160" w:type="pct"/>
            <w:vAlign w:val="center"/>
          </w:tcPr>
          <w:p w14:paraId="059910C3">
            <w:pPr>
              <w:pStyle w:val="43"/>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lang w:val="en-US" w:eastAsia="zh-CN"/>
              </w:rPr>
              <w:t>代理费用</w:t>
            </w:r>
          </w:p>
        </w:tc>
        <w:tc>
          <w:tcPr>
            <w:tcW w:w="3267" w:type="pct"/>
            <w:vAlign w:val="center"/>
          </w:tcPr>
          <w:p w14:paraId="51D13FDE">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rPr>
              <w:t>中标人</w:t>
            </w:r>
          </w:p>
          <w:p w14:paraId="2DC2CE37">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hint="eastAsia" w:ascii="宋体" w:hAnsi="宋体" w:eastAsia="宋体" w:cs="宋体"/>
                <w:color w:val="auto"/>
                <w:sz w:val="24"/>
                <w:szCs w:val="24"/>
                <w:highlight w:val="none"/>
                <w:u w:val="single"/>
              </w:rPr>
              <w:t>银行转账</w:t>
            </w:r>
          </w:p>
          <w:p w14:paraId="7CA57844">
            <w:pPr>
              <w:pStyle w:val="43"/>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bCs/>
                <w:color w:val="auto"/>
                <w:kern w:val="0"/>
                <w:sz w:val="24"/>
                <w:szCs w:val="24"/>
                <w:highlight w:val="none"/>
                <w:u w:val="single" w:color="auto"/>
                <w:lang w:val="en-US" w:eastAsia="zh-CN" w:bidi="ar-SA"/>
              </w:rPr>
              <w:t>参照计价格[2002]1980号文件规定的80%计算（16700元，每包按项目预算金额占比计算）</w:t>
            </w:r>
          </w:p>
        </w:tc>
      </w:tr>
      <w:tr w14:paraId="1E7B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AB156DD">
            <w:pPr>
              <w:pStyle w:val="44"/>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ajorEastAsia" w:hAnsiTheme="majorEastAsia" w:eastAsiaTheme="majorEastAsia"/>
                <w:bCs/>
                <w:color w:val="auto"/>
                <w:kern w:val="2"/>
                <w:highlight w:val="none"/>
              </w:rPr>
              <w:t>2</w:t>
            </w:r>
            <w:r>
              <w:rPr>
                <w:rFonts w:hint="eastAsia" w:asciiTheme="majorEastAsia" w:hAnsiTheme="majorEastAsia" w:eastAsiaTheme="majorEastAsia"/>
                <w:bCs/>
                <w:color w:val="auto"/>
                <w:kern w:val="2"/>
                <w:highlight w:val="none"/>
                <w:lang w:val="en-US" w:eastAsia="zh-CN"/>
              </w:rPr>
              <w:t>3</w:t>
            </w:r>
          </w:p>
        </w:tc>
        <w:tc>
          <w:tcPr>
            <w:tcW w:w="1160" w:type="pct"/>
            <w:vAlign w:val="center"/>
          </w:tcPr>
          <w:p w14:paraId="4D3702E2">
            <w:pPr>
              <w:pStyle w:val="43"/>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ajorEastAsia" w:hAnsiTheme="majorEastAsia" w:eastAsiaTheme="majorEastAsia"/>
                <w:b w:val="0"/>
                <w:color w:val="auto"/>
                <w:sz w:val="24"/>
                <w:highlight w:val="none"/>
              </w:rPr>
              <w:t>其他内容</w:t>
            </w:r>
          </w:p>
        </w:tc>
        <w:tc>
          <w:tcPr>
            <w:tcW w:w="3267" w:type="pct"/>
            <w:vAlign w:val="center"/>
          </w:tcPr>
          <w:p w14:paraId="535275BE">
            <w:pPr>
              <w:pStyle w:val="43"/>
              <w:widowControl w:val="0"/>
              <w:numPr>
                <w:ilvl w:val="0"/>
                <w:numId w:val="0"/>
              </w:numPr>
              <w:spacing w:before="0" w:beforeAutospacing="0" w:after="0" w:afterAutospacing="0" w:line="360" w:lineRule="auto"/>
              <w:jc w:val="both"/>
              <w:rPr>
                <w:rFonts w:asciiTheme="majorEastAsia" w:hAnsiTheme="majorEastAsia" w:eastAsiaTheme="majorEastAsia"/>
                <w:b w:val="0"/>
                <w:color w:val="auto"/>
                <w:sz w:val="24"/>
                <w:highlight w:val="none"/>
              </w:rPr>
            </w:pPr>
            <w:r>
              <w:rPr>
                <w:rFonts w:hint="eastAsia" w:ascii="宋体" w:hAnsi="宋体" w:eastAsia="宋体"/>
                <w:b w:val="0"/>
                <w:color w:val="auto"/>
                <w:sz w:val="24"/>
                <w:highlight w:val="none"/>
                <w:lang w:val="en-US" w:eastAsia="zh-CN"/>
              </w:rPr>
              <w:t>1、解释权：</w:t>
            </w:r>
          </w:p>
          <w:p w14:paraId="745A89A5">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单一来源采购文件</w:t>
            </w:r>
            <w:r>
              <w:rPr>
                <w:rFonts w:asciiTheme="minorEastAsia" w:hAnsiTheme="minorEastAsia" w:eastAsiaTheme="minorEastAsia"/>
                <w:bCs/>
                <w:color w:val="auto"/>
                <w:sz w:val="24"/>
                <w:szCs w:val="24"/>
                <w:highlight w:val="none"/>
              </w:rPr>
              <w:t>的各个组成文件应互为解释，互为说明；</w:t>
            </w:r>
          </w:p>
          <w:p w14:paraId="408FC873">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5CF78ADE">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0BDA4ED6">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单一来源采购文件</w:t>
            </w:r>
            <w:r>
              <w:rPr>
                <w:rFonts w:asciiTheme="minorEastAsia" w:hAnsiTheme="minorEastAsia" w:eastAsiaTheme="minorEastAsia"/>
                <w:bCs/>
                <w:color w:val="auto"/>
                <w:sz w:val="24"/>
                <w:szCs w:val="24"/>
                <w:highlight w:val="none"/>
              </w:rPr>
              <w:t>中有特别规定外，仅适用于</w:t>
            </w:r>
            <w:r>
              <w:rPr>
                <w:rFonts w:hint="eastAsia" w:asciiTheme="minorEastAsia" w:hAnsiTheme="minorEastAsia" w:eastAsiaTheme="minorEastAsia"/>
                <w:bCs/>
                <w:color w:val="auto"/>
                <w:sz w:val="24"/>
                <w:szCs w:val="24"/>
                <w:highlight w:val="none"/>
              </w:rPr>
              <w:t>协商和响应文件提交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单一来源采购邀请</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供应商</w:t>
            </w:r>
            <w:r>
              <w:rPr>
                <w:rFonts w:asciiTheme="minorEastAsia" w:hAnsiTheme="minorEastAsia" w:eastAsiaTheme="minorEastAsia"/>
                <w:bCs/>
                <w:color w:val="auto"/>
                <w:sz w:val="24"/>
                <w:szCs w:val="24"/>
                <w:highlight w:val="none"/>
              </w:rPr>
              <w:t>须知、</w:t>
            </w:r>
            <w:r>
              <w:rPr>
                <w:rFonts w:hint="eastAsia" w:asciiTheme="minorEastAsia" w:hAnsiTheme="minorEastAsia" w:eastAsiaTheme="minorEastAsia"/>
                <w:bCs/>
                <w:color w:val="auto"/>
                <w:sz w:val="24"/>
                <w:szCs w:val="24"/>
                <w:highlight w:val="none"/>
              </w:rPr>
              <w:t>协商程序和评审标准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3E1B104">
            <w:pPr>
              <w:pStyle w:val="43"/>
              <w:widowControl w:val="0"/>
              <w:spacing w:before="0" w:beforeAutospacing="0" w:after="0" w:afterAutospacing="0" w:line="360" w:lineRule="auto"/>
              <w:jc w:val="both"/>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（5）</w:t>
            </w:r>
            <w:r>
              <w:rPr>
                <w:rFonts w:asciiTheme="minorEastAsia" w:hAnsiTheme="minorEastAsia" w:eastAsiaTheme="minorEastAsia"/>
                <w:b w:val="0"/>
                <w:bCs w:val="0"/>
                <w:color w:val="auto"/>
                <w:sz w:val="24"/>
                <w:szCs w:val="24"/>
                <w:highlight w:val="none"/>
              </w:rPr>
              <w:t>按本款前述规定仍不能形成结论的，由</w:t>
            </w:r>
            <w:r>
              <w:rPr>
                <w:rFonts w:hint="eastAsia" w:asciiTheme="minorEastAsia" w:hAnsiTheme="minorEastAsia" w:eastAsiaTheme="minorEastAsia"/>
                <w:b w:val="0"/>
                <w:bCs w:val="0"/>
                <w:color w:val="auto"/>
                <w:sz w:val="24"/>
                <w:szCs w:val="24"/>
                <w:highlight w:val="none"/>
              </w:rPr>
              <w:t>采购</w:t>
            </w:r>
            <w:r>
              <w:rPr>
                <w:rFonts w:asciiTheme="minorEastAsia" w:hAnsiTheme="minorEastAsia" w:eastAsiaTheme="minorEastAsia"/>
                <w:b w:val="0"/>
                <w:bCs w:val="0"/>
                <w:color w:val="auto"/>
                <w:sz w:val="24"/>
                <w:szCs w:val="24"/>
                <w:highlight w:val="none"/>
              </w:rPr>
              <w:t>人负责解释。</w:t>
            </w:r>
          </w:p>
          <w:p w14:paraId="4A7645D9">
            <w:pPr>
              <w:pStyle w:val="43"/>
              <w:widowControl w:val="0"/>
              <w:spacing w:before="0" w:beforeAutospacing="0" w:after="0" w:afterAutospacing="0" w:line="360" w:lineRule="auto"/>
              <w:jc w:val="both"/>
              <w:rPr>
                <w:rFonts w:hint="eastAsia" w:asciiTheme="majorEastAsia" w:hAnsiTheme="majorEastAsia" w:eastAsiaTheme="majorEastAsia"/>
                <w:b w:val="0"/>
                <w:color w:val="auto"/>
                <w:sz w:val="24"/>
                <w:highlight w:val="none"/>
              </w:rPr>
            </w:pPr>
            <w:r>
              <w:rPr>
                <w:rFonts w:hint="eastAsia" w:asciiTheme="majorEastAsia" w:hAnsiTheme="majorEastAsia" w:eastAsiaTheme="majorEastAsia"/>
                <w:b w:val="0"/>
                <w:color w:val="auto"/>
                <w:sz w:val="24"/>
                <w:highlight w:val="none"/>
                <w:lang w:val="en-US" w:eastAsia="zh-CN"/>
              </w:rPr>
              <w:t>2、</w:t>
            </w:r>
            <w:r>
              <w:rPr>
                <w:rFonts w:hint="eastAsia" w:asciiTheme="majorEastAsia" w:hAnsiTheme="majorEastAsia" w:eastAsiaTheme="majorEastAsia"/>
                <w:b w:val="0"/>
                <w:color w:val="auto"/>
                <w:sz w:val="24"/>
                <w:highlight w:val="none"/>
                <w:lang w:eastAsia="zh-CN"/>
              </w:rPr>
              <w:t>“</w:t>
            </w:r>
            <w:r>
              <w:rPr>
                <w:rFonts w:hint="eastAsia" w:asciiTheme="majorEastAsia" w:hAnsiTheme="majorEastAsia" w:eastAsiaTheme="majorEastAsia"/>
                <w:b w:val="0"/>
                <w:color w:val="auto"/>
                <w:sz w:val="24"/>
                <w:highlight w:val="none"/>
                <w:lang w:val="en-US" w:eastAsia="zh-CN"/>
              </w:rPr>
              <w:t>政采贷</w:t>
            </w:r>
            <w:r>
              <w:rPr>
                <w:rFonts w:hint="eastAsia" w:asciiTheme="majorEastAsia" w:hAnsiTheme="majorEastAsia" w:eastAsiaTheme="majorEastAsia"/>
                <w:b w:val="0"/>
                <w:color w:val="auto"/>
                <w:sz w:val="24"/>
                <w:highlight w:val="none"/>
                <w:lang w:eastAsia="zh-CN"/>
              </w:rPr>
              <w:t>”</w:t>
            </w:r>
            <w:r>
              <w:rPr>
                <w:rFonts w:hint="eastAsia" w:asciiTheme="majorEastAsia" w:hAnsiTheme="majorEastAsia" w:eastAsiaTheme="majorEastAsia"/>
                <w:b w:val="0"/>
                <w:color w:val="auto"/>
                <w:sz w:val="24"/>
                <w:highlight w:val="none"/>
                <w:lang w:val="en-US" w:eastAsia="zh-CN"/>
              </w:rPr>
              <w:t>融资指引：</w:t>
            </w:r>
            <w:r>
              <w:rPr>
                <w:rFonts w:hint="eastAsia" w:asciiTheme="majorEastAsia" w:hAnsiTheme="majorEastAsia" w:eastAsiaTheme="majorEastAsia"/>
                <w:b w:val="0"/>
                <w:color w:val="auto"/>
                <w:sz w:val="24"/>
                <w:highlight w:val="none"/>
              </w:rPr>
              <w:t>有融资需求的供应商在取得政府采购中标或成交通知书后，可访问安徽省政府采购网“政</w:t>
            </w:r>
            <w:r>
              <w:rPr>
                <w:rFonts w:hint="eastAsia" w:ascii="宋体" w:hAnsi="宋体" w:eastAsia="宋体"/>
                <w:b w:val="0"/>
                <w:color w:val="auto"/>
                <w:sz w:val="24"/>
                <w:highlight w:val="none"/>
                <w:lang w:val="en-US" w:eastAsia="zh-CN"/>
              </w:rPr>
              <w:t>采</w:t>
            </w:r>
            <w:r>
              <w:rPr>
                <w:rFonts w:hint="eastAsia" w:asciiTheme="majorEastAsia" w:hAnsiTheme="majorEastAsia" w:eastAsiaTheme="majorEastAsia"/>
                <w:b w:val="0"/>
                <w:color w:val="auto"/>
                <w:sz w:val="24"/>
                <w:highlight w:val="none"/>
              </w:rPr>
              <w:t>贷”栏目，查看和联系第三方平台或者金融机构，商洽融资事项，确定融资意向。供应商签署政府采购中标（成交）合同后，登录“徽采云”金融服务模块，选择意向产品进行申请，并填写相关信息，“徽采云”金融服务模块将供应商融资申请信息推送第三方平台、意向金融机构。</w:t>
            </w:r>
          </w:p>
          <w:p w14:paraId="353F6C59">
            <w:pPr>
              <w:pStyle w:val="43"/>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asciiTheme="majorEastAsia" w:hAnsiTheme="majorEastAsia" w:eastAsiaTheme="majorEastAsia"/>
                <w:b w:val="0"/>
                <w:color w:val="auto"/>
                <w:sz w:val="24"/>
                <w:highlight w:val="none"/>
                <w:lang w:val="en-US" w:eastAsia="zh-CN"/>
              </w:rPr>
              <w:t>3、</w:t>
            </w:r>
            <w:r>
              <w:rPr>
                <w:rFonts w:hint="eastAsia" w:cs="@仿宋_GB2312" w:asciiTheme="minorEastAsia" w:hAnsiTheme="minorEastAsia" w:eastAsiaTheme="minorEastAsia"/>
                <w:b w:val="0"/>
                <w:bCs/>
                <w:color w:val="auto"/>
                <w:kern w:val="2"/>
                <w:sz w:val="24"/>
                <w:szCs w:val="24"/>
                <w:highlight w:val="none"/>
                <w:lang w:val="en-US" w:eastAsia="zh-CN" w:bidi="ar-SA"/>
              </w:rPr>
              <w:t>电子保函指引：成交供应商可访问安徽省政府采购网“融资/保函”栏目，申请办理电子保函（包括：履约保函、预付款保函）。</w:t>
            </w:r>
          </w:p>
          <w:p w14:paraId="1AE70136">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SA"/>
              </w:rPr>
              <w:t>4.</w:t>
            </w:r>
            <w:r>
              <w:rPr>
                <w:rFonts w:hint="eastAsia" w:ascii="宋体" w:hAnsi="宋体" w:eastAsia="宋体" w:cs="宋体"/>
                <w:b w:val="0"/>
                <w:bCs/>
                <w:color w:val="auto"/>
                <w:kern w:val="2"/>
                <w:sz w:val="24"/>
                <w:szCs w:val="24"/>
                <w:highlight w:val="none"/>
                <w:lang w:val="en-US" w:eastAsia="zh-CN" w:bidi="ar"/>
              </w:rPr>
              <w:t>部分可提供线下政采贷的金融机构：</w:t>
            </w:r>
          </w:p>
          <w:p w14:paraId="00C8D286">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市本级</w:t>
            </w:r>
          </w:p>
          <w:p w14:paraId="137A0B93">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金融机构名称：兴业银行滁州分行</w:t>
            </w:r>
          </w:p>
          <w:p w14:paraId="27DE7582">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安徽省滁州市琅琊区丰乐大道1090号</w:t>
            </w:r>
          </w:p>
          <w:p w14:paraId="207962A3">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伏庚：17755080811</w:t>
            </w:r>
          </w:p>
          <w:p w14:paraId="459587DF">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5.特别提示：</w:t>
            </w:r>
          </w:p>
          <w:p w14:paraId="010301DD">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（1）供应商应填写投标信息并下载招标文件，否则无法上传投标文件。</w:t>
            </w:r>
          </w:p>
          <w:p w14:paraId="4C053E9F">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注：供应商如为联合体的，牵头人必须完善供应商信息，并在上传投标文件环节添加联合体投标信息。</w:t>
            </w:r>
          </w:p>
          <w:p w14:paraId="3FAF0B32">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2）本项目采用电子招标投标，请供应商在滁州市公共资源交易中心网&gt;服务指南&gt;软件下载栏目点击下载投标文件制作工具。供应商需采用最新版投标文件制作工具。软件运行需在国际互联网络通畅状态，供应商需注意更新，以免造成投标文件制作错误，如因此导致评标委员会否决其投标，责任自负。如有技术问题请联系0550-3801701，0512-58188516。</w:t>
            </w:r>
          </w:p>
          <w:p w14:paraId="6119D0E3">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（3）如果过程中出现招标文件更改，应以最后发布的招标答疑澄清文件中的模板制作本项目最新投标文件。</w:t>
            </w:r>
          </w:p>
          <w:p w14:paraId="3EAE1547">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 xml:space="preserve">（4）供应商应当用本单位CA数字证书制作投标文件，制作成功后进行投标文件上传。 </w:t>
            </w:r>
          </w:p>
          <w:p w14:paraId="28CCEF6F">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5）供应商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22FB8DAC">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（6）请供应商注意加密投标文件CA数字证书的有效期，不在有效期的CA数字证书无法解密投标文件。</w:t>
            </w:r>
          </w:p>
          <w:p w14:paraId="64E19A33">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（7）供应商投标MAC地址或供应商联系人或联系电话相同的，由评审委员会否决其投标，并报告监管部门作不良行为处理和进一步调查。</w:t>
            </w:r>
          </w:p>
          <w:p w14:paraId="6292984B">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（8）供应商单方面出现其他供应商材料的，由评审委员会否决其投标。</w:t>
            </w:r>
          </w:p>
          <w:p w14:paraId="350DA12E">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9）评审时查询投标文件制作机器码、文件创建标识码及造价软件加密锁号。若存在投标文件制作机器码或创建标识码或造价软件加密锁号信息与其他供应商雷同的，由评审委员会否决其投标，依法依规予以处理。</w:t>
            </w:r>
          </w:p>
          <w:p w14:paraId="08B4CA32">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10）电子加密投标文件上传到系统后，需要供应商和代理公司到协商截止时间后共同解锁，不存在商务报价等投标信息通过系统泄密的风险；协商截止时间前，已上传的响应文件也可以撤回修改。集中到协商截止时间前上传电子加密投标文件，可能出现由于投标企业制作电子投标文件不熟练、网络拥堵等不可预知的情况而且无法及时解决，丧失协商机会，请各供应商提前制作、上传电子加密响应文件，否则由于无法及时上传电子加密响应文件而废标或无效协商的情况，责任自负！</w:t>
            </w:r>
          </w:p>
          <w:p w14:paraId="644C13AE">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6.评审过程中的澄清、说明或补正：</w:t>
            </w:r>
          </w:p>
          <w:p w14:paraId="3A916F78">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（1）评审委员会通过网上招投标系统将需要澄清、说明或补正的内容以询标函的形式发送给供应商，供应商应安排专人登录网上招投标系统并保持在线状态，以便及时接收评审委员会可能发出的询标函。</w:t>
            </w:r>
          </w:p>
          <w:p w14:paraId="5DEF2B30">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2）因供应商未登录网上招投标系统导致无法及时接收询标函（远程网上询标）或未在规定时间内按评审委员会要求进行澄清、说明或补正内容的视同供应商放弃澄清、说明或补正内容的权利，评审委员会可按对供应商不利的解释进行判定。</w:t>
            </w:r>
          </w:p>
          <w:p w14:paraId="7301CAD9">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7.同义词语：响应文件第六章  投标文件格式、附件1“关于联合惩戒失信行为 加强信用查询管理的通知”等章节中 “招标人”、“供应商”，等同于“采购人”、“投标人”。</w:t>
            </w:r>
          </w:p>
          <w:p w14:paraId="7E7A11ED">
            <w:pPr>
              <w:pStyle w:val="43"/>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cs="宋体"/>
                <w:b w:val="0"/>
                <w:bCs/>
                <w:color w:val="auto"/>
                <w:kern w:val="2"/>
                <w:sz w:val="24"/>
                <w:szCs w:val="24"/>
                <w:highlight w:val="none"/>
                <w:lang w:val="en-US" w:eastAsia="zh-CN" w:bidi="ar"/>
              </w:rPr>
              <w:t>8.落实政府采购支持节能产品、环境标志产品政策。</w:t>
            </w:r>
          </w:p>
        </w:tc>
      </w:tr>
    </w:tbl>
    <w:p w14:paraId="6D7B81C9">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0" w:name="_Toc27298"/>
      <w:bookmarkStart w:id="21" w:name="_Toc11128"/>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0"/>
      <w:bookmarkEnd w:id="21"/>
    </w:p>
    <w:p w14:paraId="7AEC221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3D60452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.1采购人：是指依法开展政府采购活动的国家机关、事业单位、团体组织。</w:t>
      </w:r>
    </w:p>
    <w:p w14:paraId="74684E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.2采购代理机构：是指集中采购机构或从事采购代理业务的社会中介机构。</w:t>
      </w:r>
    </w:p>
    <w:p w14:paraId="22CEA8B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.3政府采购监督管理部门：</w:t>
      </w:r>
      <w:r>
        <w:rPr>
          <w:rFonts w:hint="eastAsia" w:asciiTheme="minorEastAsia" w:hAnsiTheme="minorEastAsia" w:eastAsiaTheme="minorEastAsia"/>
          <w:color w:val="auto"/>
          <w:sz w:val="24"/>
          <w:highlight w:val="none"/>
        </w:rPr>
        <w:t>各级人民政府指定的有关部门依法履行与政府采购活动有关的监督管理职责。</w:t>
      </w:r>
    </w:p>
    <w:p w14:paraId="10FB8D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：是指向采购人提供货物、工程或者服务的法人、</w:t>
      </w:r>
      <w:r>
        <w:rPr>
          <w:rFonts w:hint="eastAsia" w:asciiTheme="minorEastAsia" w:hAnsiTheme="minorEastAsia" w:eastAsiaTheme="minorEastAsia"/>
          <w:color w:val="auto"/>
          <w:sz w:val="24"/>
          <w:highlight w:val="none"/>
          <w:lang w:val="en-US" w:eastAsia="zh-CN"/>
        </w:rPr>
        <w:t>其他</w:t>
      </w:r>
      <w:r>
        <w:rPr>
          <w:rFonts w:asciiTheme="minorEastAsia" w:hAnsiTheme="minorEastAsia" w:eastAsiaTheme="minorEastAsia"/>
          <w:color w:val="auto"/>
          <w:sz w:val="24"/>
          <w:highlight w:val="none"/>
        </w:rPr>
        <w:t>组织或者自然人。</w:t>
      </w:r>
    </w:p>
    <w:p w14:paraId="7E07C11F">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5B236F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本项目的采购人已获得足以支付本次单一来源采购后所签订的合同项下的资金。</w:t>
      </w:r>
    </w:p>
    <w:p w14:paraId="568A0D8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费用</w:t>
      </w:r>
    </w:p>
    <w:p w14:paraId="007D446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不论单一来源采购的结果如何，供应商应承担所有与准备和参加单一来源采购有关的费用。</w:t>
      </w:r>
    </w:p>
    <w:p w14:paraId="1C4BF27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30F082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采购人、采购代理机构、供应商、采购人员的相关行为均受《中华人民共和国政府采购法》、《中华人民共和国政府采购法实施条例》及本项目本级和上级财政部门、政府采购监督管理部门的政府采购有关规定的约束，其权利受到上述法律法规的保护。</w:t>
      </w:r>
    </w:p>
    <w:p w14:paraId="333EAEA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采购文件构成</w:t>
      </w:r>
    </w:p>
    <w:p w14:paraId="7DE7B2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.1采购文件包括下列内容：</w:t>
      </w:r>
    </w:p>
    <w:p w14:paraId="7E6EBF8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单一来源采购</w:t>
      </w:r>
      <w:r>
        <w:rPr>
          <w:rFonts w:asciiTheme="minorEastAsia" w:hAnsiTheme="minorEastAsia" w:eastAsiaTheme="minorEastAsia"/>
          <w:color w:val="auto"/>
          <w:sz w:val="24"/>
          <w:highlight w:val="none"/>
        </w:rPr>
        <w:t>邀请</w:t>
      </w:r>
    </w:p>
    <w:p w14:paraId="7D24BE2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29C1D89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11E7815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协商程序</w:t>
      </w:r>
      <w:r>
        <w:rPr>
          <w:rFonts w:asciiTheme="minorEastAsia" w:hAnsiTheme="minorEastAsia" w:eastAsiaTheme="minorEastAsia"/>
          <w:color w:val="auto"/>
          <w:sz w:val="24"/>
          <w:highlight w:val="none"/>
        </w:rPr>
        <w:t>和</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标准</w:t>
      </w:r>
    </w:p>
    <w:p w14:paraId="25169707">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2C8B37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759CB87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采购文件的澄清与修改</w:t>
      </w:r>
    </w:p>
    <w:p w14:paraId="45E974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hint="eastAsia" w:asciiTheme="majorEastAsia" w:hAnsiTheme="majorEastAsia" w:eastAsiaTheme="majorEastAsia"/>
          <w:color w:val="auto"/>
          <w:sz w:val="24"/>
          <w:highlight w:val="none"/>
        </w:rPr>
        <w:t>供应商</w:t>
      </w:r>
      <w:r>
        <w:rPr>
          <w:rFonts w:asciiTheme="majorEastAsia" w:hAnsiTheme="majorEastAsia" w:eastAsiaTheme="majorEastAsia"/>
          <w:color w:val="auto"/>
          <w:sz w:val="24"/>
          <w:highlight w:val="none"/>
        </w:rPr>
        <w:t>如对</w:t>
      </w:r>
      <w:r>
        <w:rPr>
          <w:rFonts w:hint="eastAsia" w:asciiTheme="majorEastAsia" w:hAnsiTheme="majorEastAsia" w:eastAsiaTheme="majorEastAsia"/>
          <w:color w:val="auto"/>
          <w:sz w:val="24"/>
          <w:highlight w:val="none"/>
        </w:rPr>
        <w:t>采购</w:t>
      </w:r>
      <w:r>
        <w:rPr>
          <w:rFonts w:asciiTheme="majorEastAsia" w:hAnsiTheme="majorEastAsia" w:eastAsiaTheme="majorEastAsia"/>
          <w:color w:val="auto"/>
          <w:sz w:val="24"/>
          <w:highlight w:val="none"/>
        </w:rPr>
        <w:t>文件内容有疑问，以</w:t>
      </w:r>
      <w:r>
        <w:rPr>
          <w:rFonts w:hint="eastAsia" w:asciiTheme="majorEastAsia" w:hAnsiTheme="majorEastAsia" w:eastAsiaTheme="majorEastAsia"/>
          <w:color w:val="auto"/>
          <w:sz w:val="24"/>
          <w:highlight w:val="none"/>
        </w:rPr>
        <w:t>书面形式</w:t>
      </w:r>
      <w:r>
        <w:rPr>
          <w:rFonts w:asciiTheme="majorEastAsia" w:hAnsiTheme="majorEastAsia" w:eastAsiaTheme="majorEastAsia"/>
          <w:color w:val="auto"/>
          <w:sz w:val="24"/>
          <w:highlight w:val="none"/>
        </w:rPr>
        <w:t>提交给采购代理机构。</w:t>
      </w:r>
    </w:p>
    <w:p w14:paraId="6C0655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文件进行澄清与修改</w:t>
      </w:r>
      <w:r>
        <w:rPr>
          <w:rFonts w:hint="eastAsia" w:asciiTheme="majorEastAsia" w:hAnsiTheme="majorEastAsia" w:eastAsiaTheme="majorEastAsia"/>
          <w:color w:val="auto"/>
          <w:sz w:val="24"/>
          <w:highlight w:val="none"/>
        </w:rPr>
        <w:t>。</w:t>
      </w:r>
      <w:r>
        <w:rPr>
          <w:rFonts w:hint="eastAsia" w:asciiTheme="minorEastAsia" w:hAnsiTheme="minorEastAsia" w:eastAsiaTheme="minorEastAsia"/>
          <w:color w:val="auto"/>
          <w:sz w:val="24"/>
          <w:highlight w:val="none"/>
        </w:rPr>
        <w:t>采购代理机构对已发出的采购文件进行必要澄清或者修改的，将以书面形式通知供应商。澄清或者修改文件作为单一来源采购文件的组成部分。</w:t>
      </w:r>
    </w:p>
    <w:p w14:paraId="1ACCE6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.3任何人或任何组织向供应商提供的任何书面或口头资料，未经采购代理机构书面通知，均作无效处理，不得作为采购文件的组成部分。采购代理机构对供应商由此而做出的推论、理解和结论概不负责。</w:t>
      </w:r>
    </w:p>
    <w:p w14:paraId="711F5519">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对于没有提出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的供应商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本采购</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澄清或修改的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45C21C2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采购范围及响应文件中标准和计量单位的使用</w:t>
      </w:r>
    </w:p>
    <w:p w14:paraId="2D0037C5">
      <w:pPr>
        <w:spacing w:line="360" w:lineRule="auto"/>
        <w:ind w:firstLine="435"/>
        <w:rPr>
          <w:rFonts w:asciiTheme="minorEastAsia" w:hAnsiTheme="minorEastAsia" w:eastAsiaTheme="minorEastAsia"/>
          <w:color w:val="auto"/>
          <w:sz w:val="24"/>
          <w:highlight w:val="none"/>
        </w:rPr>
      </w:pPr>
      <w:bookmarkStart w:id="22"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.1供应商应当对所</w:t>
      </w:r>
      <w:r>
        <w:rPr>
          <w:rFonts w:hint="eastAsia" w:asciiTheme="minorEastAsia" w:hAnsiTheme="minorEastAsia" w:eastAsiaTheme="minorEastAsia"/>
          <w:color w:val="auto"/>
          <w:sz w:val="24"/>
          <w:highlight w:val="none"/>
        </w:rPr>
        <w:t>参与的</w:t>
      </w:r>
      <w:r>
        <w:rPr>
          <w:rFonts w:asciiTheme="minorEastAsia" w:hAnsiTheme="minorEastAsia" w:eastAsiaTheme="minorEastAsia"/>
          <w:color w:val="auto"/>
          <w:sz w:val="24"/>
          <w:highlight w:val="none"/>
        </w:rPr>
        <w:t>分包</w:t>
      </w:r>
      <w:r>
        <w:rPr>
          <w:rFonts w:hint="eastAsia" w:asciiTheme="minorEastAsia" w:hAnsiTheme="minorEastAsia" w:eastAsiaTheme="minorEastAsia"/>
          <w:color w:val="auto"/>
          <w:sz w:val="24"/>
          <w:highlight w:val="none"/>
        </w:rPr>
        <w:t>采购文件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所参与包别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所参与包别的响应文件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04BFA9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.2无论</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文件中是否要求，</w:t>
      </w:r>
      <w:r>
        <w:rPr>
          <w:rFonts w:hint="eastAsia" w:asciiTheme="minorEastAsia" w:hAnsiTheme="minorEastAsia" w:eastAsiaTheme="minorEastAsia"/>
          <w:color w:val="auto"/>
          <w:sz w:val="24"/>
          <w:highlight w:val="none"/>
        </w:rPr>
        <w:t>供应商所提供的服务及伴随的货物和工程均应符合国家强制性标准。</w:t>
      </w:r>
    </w:p>
    <w:bookmarkEnd w:id="22"/>
    <w:p w14:paraId="470CBA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w:t>
      </w:r>
      <w:r>
        <w:rPr>
          <w:rFonts w:hint="eastAsia" w:asciiTheme="minorEastAsia" w:hAnsiTheme="minorEastAsia" w:eastAsiaTheme="minorEastAsia"/>
          <w:color w:val="auto"/>
          <w:sz w:val="24"/>
          <w:highlight w:val="none"/>
        </w:rPr>
        <w:t>单一来源采购</w:t>
      </w:r>
      <w:r>
        <w:rPr>
          <w:rFonts w:asciiTheme="minorEastAsia" w:hAnsiTheme="minorEastAsia" w:eastAsiaTheme="minorEastAsia"/>
          <w:color w:val="auto"/>
          <w:sz w:val="24"/>
          <w:highlight w:val="none"/>
        </w:rPr>
        <w:t>有关的所有往来通知、函件和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文件均用中文表述。</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随</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文件提供的证明文件和资料可以为其它语言，但必须附中文译文。翻译的中文资料与外文资料出现差异时，以中文为准。</w:t>
      </w:r>
    </w:p>
    <w:p w14:paraId="0D4C9B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.4除</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文件中有特殊要求外，</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文件中所使用的计量单位，应采用中华人民共和国法定计量单位。</w:t>
      </w:r>
    </w:p>
    <w:p w14:paraId="66BD1C9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57516F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具体内容详见本项目第六章响应文件格式的相关内容。</w:t>
      </w:r>
    </w:p>
    <w:p w14:paraId="054747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应提交证明文件，证明其</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文件规定。该证明文件是响应文件的一部分。证明文件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p>
    <w:p w14:paraId="31D6D4B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4E0BA8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.1供应商的报价应当包括满足本次</w:t>
      </w:r>
      <w:r>
        <w:rPr>
          <w:rFonts w:hint="eastAsia" w:asciiTheme="minorEastAsia" w:hAnsiTheme="minorEastAsia" w:eastAsiaTheme="minorEastAsia"/>
          <w:color w:val="auto"/>
          <w:sz w:val="24"/>
          <w:highlight w:val="none"/>
        </w:rPr>
        <w:t>采购文件的</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asciiTheme="majorEastAsia" w:hAnsiTheme="majorEastAsia" w:eastAsiaTheme="majorEastAsia"/>
          <w:color w:val="auto"/>
          <w:sz w:val="24"/>
          <w:highlight w:val="none"/>
        </w:rPr>
        <w:t>除</w:t>
      </w:r>
      <w:r>
        <w:rPr>
          <w:rFonts w:hint="eastAsia" w:asciiTheme="majorEastAsia" w:hAnsiTheme="majorEastAsia" w:eastAsiaTheme="majorEastAsia"/>
          <w:color w:val="auto"/>
          <w:sz w:val="24"/>
          <w:highlight w:val="none"/>
        </w:rPr>
        <w:t>单一来源采购文件</w:t>
      </w:r>
      <w:r>
        <w:rPr>
          <w:rFonts w:asciiTheme="majorEastAsia" w:hAnsiTheme="majorEastAsia" w:eastAsiaTheme="majorEastAsia"/>
          <w:color w:val="auto"/>
          <w:sz w:val="24"/>
          <w:highlight w:val="none"/>
        </w:rPr>
        <w:t>中</w:t>
      </w:r>
      <w:r>
        <w:rPr>
          <w:rFonts w:hint="eastAsia" w:asciiTheme="minorEastAsia" w:hAnsiTheme="minorEastAsia" w:eastAsiaTheme="minorEastAsia"/>
          <w:color w:val="auto"/>
          <w:sz w:val="24"/>
          <w:highlight w:val="none"/>
          <w:lang w:eastAsia="zh-CN"/>
        </w:rPr>
        <w:t>另有规定</w:t>
      </w:r>
      <w:r>
        <w:rPr>
          <w:rFonts w:asciiTheme="minorEastAsia" w:hAnsiTheme="minorEastAsia" w:eastAsiaTheme="minorEastAsia"/>
          <w:color w:val="auto"/>
          <w:sz w:val="24"/>
          <w:highlight w:val="none"/>
        </w:rPr>
        <w:t>外，</w:t>
      </w:r>
      <w:r>
        <w:rPr>
          <w:rFonts w:hint="eastAsia" w:asciiTheme="minorEastAsia" w:hAnsiTheme="minorEastAsia" w:eastAsiaTheme="minorEastAsia"/>
          <w:color w:val="auto"/>
          <w:sz w:val="24"/>
          <w:highlight w:val="none"/>
        </w:rPr>
        <w:t>供应商的报价均应以人民币报价，应遵守《中华人民共和国价格法》。</w:t>
      </w:r>
    </w:p>
    <w:p w14:paraId="13D198A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供应商最终报价超过采购文件规定的预算金额的</w:t>
      </w:r>
      <w:r>
        <w:rPr>
          <w:rFonts w:hint="eastAsia" w:asciiTheme="minorEastAsia" w:hAnsiTheme="minorEastAsia" w:eastAsiaTheme="minorEastAsia"/>
          <w:b/>
          <w:bCs/>
          <w:color w:val="auto"/>
          <w:sz w:val="24"/>
          <w:highlight w:val="none"/>
        </w:rPr>
        <w:t>响应</w:t>
      </w:r>
      <w:r>
        <w:rPr>
          <w:rFonts w:hint="eastAsia" w:asciiTheme="minorEastAsia" w:hAnsiTheme="minorEastAsia" w:eastAsiaTheme="minorEastAsia"/>
          <w:b/>
          <w:color w:val="auto"/>
          <w:sz w:val="24"/>
          <w:highlight w:val="none"/>
        </w:rPr>
        <w:t>无效</w:t>
      </w:r>
      <w:r>
        <w:rPr>
          <w:rFonts w:hint="eastAsia" w:asciiTheme="minorEastAsia" w:hAnsiTheme="minorEastAsia" w:eastAsiaTheme="minorEastAsia"/>
          <w:color w:val="auto"/>
          <w:sz w:val="24"/>
          <w:highlight w:val="none"/>
        </w:rPr>
        <w:t>。</w:t>
      </w:r>
    </w:p>
    <w:p w14:paraId="752569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16879F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0A2CD9F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10.</w:t>
      </w:r>
      <w:r>
        <w:rPr>
          <w:rFonts w:hint="eastAsia" w:asciiTheme="minorEastAsia" w:hAnsiTheme="minorEastAsia" w:eastAsiaTheme="minorEastAsia"/>
          <w:b/>
          <w:color w:val="auto"/>
          <w:sz w:val="24"/>
          <w:highlight w:val="none"/>
        </w:rPr>
        <w:t>响应文件有效期</w:t>
      </w:r>
    </w:p>
    <w:p w14:paraId="730325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10.</w:t>
      </w:r>
      <w:r>
        <w:rPr>
          <w:rFonts w:hint="eastAsia" w:asciiTheme="minorEastAsia" w:hAnsiTheme="minorEastAsia" w:eastAsiaTheme="minorEastAsia"/>
          <w:color w:val="auto"/>
          <w:sz w:val="24"/>
          <w:highlight w:val="none"/>
        </w:rPr>
        <w:t>1响应文件有效期为从响应文件提交截止之日算起的日历天数，响应文件有效期详见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4F968B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10.</w:t>
      </w:r>
      <w:r>
        <w:rPr>
          <w:rFonts w:hint="eastAsia" w:asciiTheme="minorEastAsia" w:hAnsiTheme="minorEastAsia" w:eastAsiaTheme="minorEastAsia"/>
          <w:color w:val="auto"/>
          <w:sz w:val="24"/>
          <w:highlight w:val="none"/>
        </w:rPr>
        <w:t>2在响应文件有效期内，供应商的响应文件保持有效，供应商不得要求撤销或修改其响应文件。响应文件有效期不满足要求的</w:t>
      </w:r>
      <w:r>
        <w:rPr>
          <w:rFonts w:hint="eastAsia" w:asciiTheme="minorEastAsia" w:hAnsiTheme="minorEastAsia" w:eastAsiaTheme="minorEastAsia"/>
          <w:b/>
          <w:bCs/>
          <w:color w:val="auto"/>
          <w:sz w:val="24"/>
          <w:highlight w:val="none"/>
        </w:rPr>
        <w:t>响应无效</w:t>
      </w:r>
      <w:r>
        <w:rPr>
          <w:rFonts w:hint="eastAsia" w:asciiTheme="minorEastAsia" w:hAnsiTheme="minorEastAsia" w:eastAsiaTheme="minorEastAsia"/>
          <w:color w:val="auto"/>
          <w:sz w:val="24"/>
          <w:highlight w:val="none"/>
        </w:rPr>
        <w:t>。</w:t>
      </w:r>
    </w:p>
    <w:p w14:paraId="7EFC83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10.</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响应文件有效期截止之前，要求供应商延长响应文件的有效期。接受该要求的供应商将不会被要求和允许修正其响应文件。供应商也可以拒绝延长响应文件有效期的要求，且不承担任何责任。上述要求和答复都应以书面形式提交。</w:t>
      </w:r>
    </w:p>
    <w:p w14:paraId="4FB479C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96FEE65">
      <w:pPr>
        <w:spacing w:line="360" w:lineRule="auto"/>
        <w:ind w:firstLine="435"/>
        <w:rPr>
          <w:rFonts w:hint="eastAsia" w:asciiTheme="majorEastAsia" w:hAnsiTheme="majorEastAsia" w:eastAsiaTheme="majorEastAsia"/>
          <w:color w:val="auto"/>
          <w:sz w:val="24"/>
          <w:highlight w:val="none"/>
          <w:lang w:eastAsia="zh-CN"/>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1</w:t>
      </w:r>
      <w:r>
        <w:rPr>
          <w:rFonts w:asciiTheme="majorEastAsia" w:hAnsiTheme="majorEastAsia" w:eastAsiaTheme="majorEastAsia"/>
          <w:color w:val="auto"/>
          <w:sz w:val="24"/>
          <w:highlight w:val="none"/>
        </w:rPr>
        <w:t>.1供应商应</w:t>
      </w:r>
      <w:r>
        <w:rPr>
          <w:rFonts w:hint="eastAsia" w:asciiTheme="majorEastAsia" w:hAnsiTheme="majorEastAsia" w:eastAsiaTheme="majorEastAsia"/>
          <w:color w:val="auto"/>
          <w:sz w:val="24"/>
          <w:highlight w:val="none"/>
        </w:rPr>
        <w:t>在</w:t>
      </w:r>
      <w:r>
        <w:rPr>
          <w:rFonts w:hint="eastAsia" w:asciiTheme="majorEastAsia" w:hAnsiTheme="majorEastAsia" w:eastAsiaTheme="majorEastAsia"/>
          <w:color w:val="auto"/>
          <w:sz w:val="24"/>
          <w:highlight w:val="none"/>
          <w:lang w:eastAsia="zh-CN"/>
        </w:rPr>
        <w:t>第一章“单一来源采购邀请”</w:t>
      </w:r>
      <w:r>
        <w:rPr>
          <w:rFonts w:hint="eastAsia" w:asciiTheme="majorEastAsia" w:hAnsiTheme="majorEastAsia" w:eastAsiaTheme="majorEastAsia"/>
          <w:color w:val="auto"/>
          <w:sz w:val="24"/>
          <w:highlight w:val="none"/>
        </w:rPr>
        <w:t>规定</w:t>
      </w:r>
      <w:r>
        <w:rPr>
          <w:rFonts w:asciiTheme="majorEastAsia" w:hAnsiTheme="majorEastAsia" w:eastAsiaTheme="majorEastAsia"/>
          <w:color w:val="auto"/>
          <w:sz w:val="24"/>
          <w:highlight w:val="none"/>
        </w:rPr>
        <w:t>的</w:t>
      </w:r>
      <w:r>
        <w:rPr>
          <w:rFonts w:hint="eastAsia" w:asciiTheme="majorEastAsia" w:hAnsiTheme="majorEastAsia" w:eastAsiaTheme="majorEastAsia"/>
          <w:color w:val="auto"/>
          <w:sz w:val="24"/>
          <w:highlight w:val="none"/>
        </w:rPr>
        <w:t>响应文件提交</w:t>
      </w:r>
      <w:r>
        <w:rPr>
          <w:rFonts w:asciiTheme="majorEastAsia" w:hAnsiTheme="majorEastAsia" w:eastAsiaTheme="majorEastAsia"/>
          <w:color w:val="auto"/>
          <w:sz w:val="24"/>
          <w:highlight w:val="none"/>
        </w:rPr>
        <w:t>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2559DAD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.2采购人和采购代理机构有权按本</w:t>
      </w:r>
      <w:r>
        <w:rPr>
          <w:rFonts w:hint="eastAsia" w:asciiTheme="minorEastAsia" w:hAnsiTheme="minorEastAsia" w:eastAsiaTheme="minorEastAsia"/>
          <w:color w:val="auto"/>
          <w:sz w:val="24"/>
          <w:highlight w:val="none"/>
        </w:rPr>
        <w:t>采购文件</w:t>
      </w:r>
      <w:r>
        <w:rPr>
          <w:rFonts w:asciiTheme="minorEastAsia" w:hAnsiTheme="minorEastAsia" w:eastAsiaTheme="minorEastAsia"/>
          <w:color w:val="auto"/>
          <w:sz w:val="24"/>
          <w:highlight w:val="none"/>
        </w:rPr>
        <w:t>的规定，延迟</w:t>
      </w:r>
      <w:r>
        <w:rPr>
          <w:rFonts w:hint="eastAsia" w:asciiTheme="minorEastAsia" w:hAnsiTheme="minorEastAsia" w:eastAsiaTheme="minorEastAsia"/>
          <w:color w:val="auto"/>
          <w:sz w:val="24"/>
          <w:highlight w:val="none"/>
        </w:rPr>
        <w:t>响应文件提交</w:t>
      </w:r>
      <w:r>
        <w:rPr>
          <w:rFonts w:asciiTheme="minorEastAsia" w:hAnsiTheme="minorEastAsia" w:eastAsiaTheme="minorEastAsia"/>
          <w:color w:val="auto"/>
          <w:sz w:val="24"/>
          <w:highlight w:val="none"/>
        </w:rPr>
        <w:t>截止时间。在此情况下，采购人、采购代理机构和供应商受</w:t>
      </w:r>
      <w:r>
        <w:rPr>
          <w:rFonts w:hint="eastAsia" w:asciiTheme="minorEastAsia" w:hAnsiTheme="minorEastAsia" w:eastAsiaTheme="minorEastAsia"/>
          <w:color w:val="auto"/>
          <w:sz w:val="24"/>
          <w:highlight w:val="none"/>
        </w:rPr>
        <w:t>响应文件提交</w:t>
      </w:r>
      <w:r>
        <w:rPr>
          <w:rFonts w:asciiTheme="minorEastAsia" w:hAnsiTheme="minorEastAsia" w:eastAsiaTheme="minorEastAsia"/>
          <w:color w:val="auto"/>
          <w:sz w:val="24"/>
          <w:highlight w:val="none"/>
        </w:rPr>
        <w:t>截止时间制约的所有权利和义务均应延长至新的</w:t>
      </w:r>
      <w:r>
        <w:rPr>
          <w:rFonts w:hint="eastAsia" w:asciiTheme="minorEastAsia" w:hAnsiTheme="minorEastAsia" w:eastAsiaTheme="minorEastAsia"/>
          <w:color w:val="auto"/>
          <w:sz w:val="24"/>
          <w:highlight w:val="none"/>
        </w:rPr>
        <w:t>响应文件提交截止</w:t>
      </w:r>
      <w:r>
        <w:rPr>
          <w:rFonts w:asciiTheme="minorEastAsia" w:hAnsiTheme="minorEastAsia" w:eastAsiaTheme="minorEastAsia"/>
          <w:color w:val="auto"/>
          <w:sz w:val="24"/>
          <w:highlight w:val="none"/>
        </w:rPr>
        <w:t>时间。</w:t>
      </w:r>
    </w:p>
    <w:p w14:paraId="64BC1D5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.3在</w:t>
      </w:r>
      <w:r>
        <w:rPr>
          <w:rFonts w:hint="eastAsia" w:asciiTheme="minorEastAsia" w:hAnsiTheme="minorEastAsia" w:eastAsiaTheme="minorEastAsia"/>
          <w:color w:val="auto"/>
          <w:sz w:val="24"/>
          <w:highlight w:val="none"/>
        </w:rPr>
        <w:t>响应文件提交</w:t>
      </w:r>
      <w:r>
        <w:rPr>
          <w:rFonts w:asciiTheme="minorEastAsia" w:hAnsiTheme="minorEastAsia" w:eastAsiaTheme="minorEastAsia"/>
          <w:color w:val="auto"/>
          <w:sz w:val="24"/>
          <w:highlight w:val="none"/>
        </w:rPr>
        <w:t>截止时间前，供应商可以修改或撤回已提交的响应文件。</w:t>
      </w:r>
    </w:p>
    <w:p w14:paraId="0A321D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采购小组</w:t>
      </w:r>
    </w:p>
    <w:p w14:paraId="62E36ED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rPr>
        <w:t>按照《</w:t>
      </w:r>
      <w:r>
        <w:rPr>
          <w:rFonts w:asciiTheme="minorEastAsia" w:hAnsiTheme="minorEastAsia" w:eastAsiaTheme="minorEastAsia"/>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政府采购非招标采购方式管理办法</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、政府采购监督管理部门的有关规定依法组建采购小组，负责对响应文件进行审查，与供应商商定合理的成交价格并保证采购项目质量。</w:t>
      </w:r>
    </w:p>
    <w:p w14:paraId="32A5EE53">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响应文件评审与澄清</w:t>
      </w:r>
    </w:p>
    <w:p w14:paraId="2F5B3685">
      <w:pPr>
        <w:spacing w:line="360" w:lineRule="auto"/>
        <w:ind w:firstLine="435"/>
        <w:rPr>
          <w:rFonts w:hint="eastAsia" w:ascii="宋体" w:hAnsi="宋体" w:eastAsia="宋体" w:cs="宋体"/>
          <w:color w:val="auto"/>
          <w:sz w:val="24"/>
          <w:szCs w:val="24"/>
          <w:highlight w:val="none"/>
        </w:rPr>
      </w:pPr>
      <w:bookmarkStart w:id="23" w:name="_Hlk24663244"/>
      <w:r>
        <w:rPr>
          <w:rFonts w:hint="eastAsia" w:ascii="宋体" w:hAnsi="宋体" w:eastAsia="宋体" w:cs="宋体"/>
          <w:color w:val="auto"/>
          <w:sz w:val="24"/>
          <w:szCs w:val="24"/>
          <w:highlight w:val="none"/>
          <w:lang w:val="en-US" w:eastAsia="zh-CN"/>
        </w:rPr>
        <w:t>13.1</w:t>
      </w: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26EED7D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单一来源</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单一来源</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09D9E8C9">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单一来源采购文件</w:t>
      </w:r>
      <w:r>
        <w:rPr>
          <w:rFonts w:hint="eastAsia" w:ascii="宋体" w:hAnsi="宋体" w:eastAsia="宋体" w:cs="宋体"/>
          <w:color w:val="auto"/>
          <w:sz w:val="24"/>
          <w:szCs w:val="24"/>
          <w:highlight w:val="none"/>
        </w:rPr>
        <w:t>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bookmarkEnd w:id="23"/>
    <w:p w14:paraId="04F6B03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.2采购小组依据采购文件的规定，从响应文件的有效性和完整性对采购文件的响应程度进行</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，以确定是否对采购文件的实质性要求做出响应。响应文件有下列情况之一的将导致</w:t>
      </w:r>
      <w:r>
        <w:rPr>
          <w:rFonts w:asciiTheme="minorEastAsia" w:hAnsiTheme="minorEastAsia" w:eastAsiaTheme="minorEastAsia"/>
          <w:b/>
          <w:bCs/>
          <w:color w:val="auto"/>
          <w:sz w:val="24"/>
          <w:highlight w:val="none"/>
        </w:rPr>
        <w:t>响应无效</w:t>
      </w:r>
      <w:r>
        <w:rPr>
          <w:rFonts w:asciiTheme="minorEastAsia" w:hAnsiTheme="minorEastAsia" w:eastAsiaTheme="minorEastAsia"/>
          <w:color w:val="auto"/>
          <w:sz w:val="24"/>
          <w:highlight w:val="none"/>
        </w:rPr>
        <w:t>，供应商应进行补充或修改，使之符合单一来源采购文件要求：</w:t>
      </w:r>
    </w:p>
    <w:p w14:paraId="23FDE0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1）未按照单一来源采购文件规定要求签署、盖章的</w:t>
      </w:r>
    </w:p>
    <w:p w14:paraId="653119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响应文件有效期不足的；</w:t>
      </w:r>
    </w:p>
    <w:p w14:paraId="6DC087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（3）不符合法律、法规、规范性文件和单一来源采购文件规定的。</w:t>
      </w:r>
    </w:p>
    <w:p w14:paraId="4E64061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响应文件的澄清</w:t>
      </w:r>
    </w:p>
    <w:p w14:paraId="7A15325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.3.1为有助于响应文件的审查、评价和比较，在</w:t>
      </w:r>
      <w:r>
        <w:rPr>
          <w:rFonts w:hint="eastAsia" w:asciiTheme="minorEastAsia" w:hAnsiTheme="minorEastAsia" w:eastAsiaTheme="minorEastAsia"/>
          <w:color w:val="auto"/>
          <w:sz w:val="24"/>
          <w:highlight w:val="none"/>
        </w:rPr>
        <w:t>评审过程中</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采购小组</w:t>
      </w:r>
      <w:r>
        <w:rPr>
          <w:rFonts w:asciiTheme="minorEastAsia" w:hAnsiTheme="minorEastAsia" w:eastAsiaTheme="minorEastAsia"/>
          <w:color w:val="auto"/>
          <w:sz w:val="24"/>
          <w:highlight w:val="none"/>
        </w:rPr>
        <w:t>将以书面</w:t>
      </w:r>
      <w:r>
        <w:rPr>
          <w:rFonts w:hint="eastAsia" w:asciiTheme="minorEastAsia" w:hAnsiTheme="minorEastAsia" w:eastAsiaTheme="minorEastAsia"/>
          <w:color w:val="auto"/>
          <w:sz w:val="24"/>
          <w:highlight w:val="none"/>
        </w:rPr>
        <w:t>方式（询标）</w:t>
      </w:r>
      <w:r>
        <w:rPr>
          <w:rFonts w:asciiTheme="minorEastAsia" w:hAnsiTheme="minorEastAsia" w:eastAsiaTheme="minorEastAsia"/>
          <w:color w:val="auto"/>
          <w:sz w:val="24"/>
          <w:highlight w:val="none"/>
        </w:rPr>
        <w:t>要求供应商对其响应文件中含义不明确、对同类问题表述不一致或者有明显文字和计算错误的内容作必要的澄清、说明或补正。供应商的澄清、说明或补正应在</w:t>
      </w:r>
      <w:r>
        <w:rPr>
          <w:rFonts w:hint="eastAsia" w:asciiTheme="minorEastAsia" w:hAnsiTheme="minorEastAsia" w:eastAsiaTheme="minorEastAsia"/>
          <w:color w:val="auto"/>
          <w:sz w:val="24"/>
          <w:highlight w:val="none"/>
        </w:rPr>
        <w:t>采购小组</w:t>
      </w:r>
      <w:r>
        <w:rPr>
          <w:rFonts w:asciiTheme="minorEastAsia" w:hAnsiTheme="minorEastAsia" w:eastAsiaTheme="minorEastAsia"/>
          <w:color w:val="auto"/>
          <w:sz w:val="24"/>
          <w:highlight w:val="none"/>
        </w:rPr>
        <w:t>规定的时间内以书面</w:t>
      </w:r>
      <w:r>
        <w:rPr>
          <w:rFonts w:hint="eastAsia" w:asciiTheme="minorEastAsia" w:hAnsiTheme="minorEastAsia" w:eastAsiaTheme="minorEastAsia"/>
          <w:color w:val="auto"/>
          <w:sz w:val="24"/>
          <w:highlight w:val="none"/>
        </w:rPr>
        <w:t>方式</w:t>
      </w:r>
      <w:r>
        <w:rPr>
          <w:rFonts w:asciiTheme="minorEastAsia" w:hAnsiTheme="minorEastAsia" w:eastAsiaTheme="minorEastAsia"/>
          <w:color w:val="auto"/>
          <w:sz w:val="24"/>
          <w:highlight w:val="none"/>
        </w:rPr>
        <w:t>进行。</w:t>
      </w:r>
    </w:p>
    <w:p w14:paraId="456F60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如有询标，供应商授权代表（或法定代表人）应携带本人有效身份证明原件参加询标。因供应商授权代表联系不上、未到现场等情形而无法接受询标的，供应商自行承担相关风险。</w:t>
      </w:r>
    </w:p>
    <w:p w14:paraId="197E593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供应商的澄清、说明或补正将作为响应文件的一部分。</w:t>
      </w:r>
    </w:p>
    <w:p w14:paraId="689FA4C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采购小组</w:t>
      </w:r>
      <w:r>
        <w:rPr>
          <w:rFonts w:asciiTheme="minorEastAsia" w:hAnsiTheme="minorEastAsia" w:eastAsiaTheme="minorEastAsia"/>
          <w:color w:val="auto"/>
          <w:sz w:val="24"/>
          <w:highlight w:val="none"/>
        </w:rPr>
        <w:t>对供应商提交的澄清、说明或补正有疑问的，可以要求供应商进一步澄清、说明或补正，直至满足</w:t>
      </w:r>
      <w:r>
        <w:rPr>
          <w:rFonts w:hint="eastAsia" w:asciiTheme="minorEastAsia" w:hAnsiTheme="minorEastAsia" w:eastAsiaTheme="minorEastAsia"/>
          <w:color w:val="auto"/>
          <w:sz w:val="24"/>
          <w:highlight w:val="none"/>
        </w:rPr>
        <w:t>采购小组</w:t>
      </w:r>
      <w:r>
        <w:rPr>
          <w:rFonts w:asciiTheme="minorEastAsia" w:hAnsiTheme="minorEastAsia" w:eastAsiaTheme="minorEastAsia"/>
          <w:color w:val="auto"/>
          <w:sz w:val="24"/>
          <w:highlight w:val="none"/>
        </w:rPr>
        <w:t>的要求。</w:t>
      </w:r>
    </w:p>
    <w:p w14:paraId="5A55F144">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协商与确定成交供应商</w:t>
      </w:r>
    </w:p>
    <w:p w14:paraId="280DEEE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在协商过程中，采购文件若有实质性变动，采购小组将以书面形式通知参加协商的供应商。</w:t>
      </w:r>
    </w:p>
    <w:p w14:paraId="0B8EDC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在协商过程中，供应商可以进行多轮报价，供应商的最终报价不得超过采购预算。</w:t>
      </w:r>
    </w:p>
    <w:p w14:paraId="07511C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采购小组应与供应商商定合理的成交价格并保证采购项目质量，并确定成交供应商。</w:t>
      </w:r>
    </w:p>
    <w:p w14:paraId="3EDDB289">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采购终止</w:t>
      </w:r>
    </w:p>
    <w:p w14:paraId="69615F7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出现下列情形之一的，</w:t>
      </w:r>
      <w:r>
        <w:rPr>
          <w:rFonts w:asciiTheme="minorEastAsia" w:hAnsiTheme="minorEastAsia" w:eastAsiaTheme="minorEastAsia"/>
          <w:color w:val="auto"/>
          <w:sz w:val="24"/>
          <w:highlight w:val="none"/>
        </w:rPr>
        <w:t>采购人或者采购代理机构应当终止采购活动，发布</w:t>
      </w:r>
      <w:r>
        <w:rPr>
          <w:rFonts w:hint="eastAsia" w:asciiTheme="minorEastAsia" w:hAnsiTheme="minorEastAsia" w:eastAsiaTheme="minorEastAsia"/>
          <w:color w:val="auto"/>
          <w:sz w:val="24"/>
          <w:highlight w:val="none"/>
        </w:rPr>
        <w:t>项目终止公告并说明原因，</w:t>
      </w:r>
      <w:r>
        <w:rPr>
          <w:rFonts w:asciiTheme="minorEastAsia" w:hAnsiTheme="minorEastAsia" w:eastAsiaTheme="minorEastAsia"/>
          <w:color w:val="auto"/>
          <w:sz w:val="24"/>
          <w:highlight w:val="none"/>
        </w:rPr>
        <w:t>重新开展采购活动：</w:t>
      </w:r>
    </w:p>
    <w:p w14:paraId="2080D0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因情况变化，不再符合规定的单一来源采购方式适用情形的；</w:t>
      </w:r>
    </w:p>
    <w:p w14:paraId="77D786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出现影响采购公正的违法、违规行为的；</w:t>
      </w:r>
    </w:p>
    <w:p w14:paraId="77A05D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报价超过采购预算的。</w:t>
      </w:r>
    </w:p>
    <w:p w14:paraId="55ED4C1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65BF4C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hint="eastAsia" w:asciiTheme="minorEastAsia" w:hAnsiTheme="minorEastAsia" w:eastAsiaTheme="minorEastAsia"/>
          <w:color w:val="auto"/>
          <w:sz w:val="24"/>
          <w:highlight w:val="none"/>
        </w:rPr>
        <w:t>.1协商过程将在严格保密的情况下进行。</w:t>
      </w:r>
    </w:p>
    <w:p w14:paraId="2A347C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hint="eastAsia" w:asciiTheme="minorEastAsia" w:hAnsiTheme="minorEastAsia" w:eastAsiaTheme="minorEastAsia"/>
          <w:color w:val="auto"/>
          <w:sz w:val="24"/>
          <w:highlight w:val="none"/>
        </w:rPr>
        <w:t>.2采购小组成员以及与协商工作有关的人员对协商情况以及协商过程中获悉的国家秘密、商业秘密应当保密。</w:t>
      </w:r>
    </w:p>
    <w:p w14:paraId="192C1F2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编写协商情况记录</w:t>
      </w:r>
    </w:p>
    <w:p w14:paraId="2D74938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协商情况记录</w:t>
      </w:r>
      <w:r>
        <w:rPr>
          <w:rFonts w:hint="eastAsia" w:asciiTheme="minorEastAsia" w:hAnsiTheme="minorEastAsia" w:eastAsiaTheme="minorEastAsia"/>
          <w:color w:val="auto"/>
          <w:sz w:val="24"/>
          <w:highlight w:val="none"/>
        </w:rPr>
        <w:t>是根据单一来源采购活动的协商记录和协商结果编写的报告，</w:t>
      </w:r>
      <w:r>
        <w:rPr>
          <w:rFonts w:asciiTheme="minorEastAsia" w:hAnsiTheme="minorEastAsia" w:eastAsiaTheme="minorEastAsia"/>
          <w:color w:val="auto"/>
          <w:sz w:val="24"/>
          <w:highlight w:val="none"/>
        </w:rPr>
        <w:t>应当由采购全体人员签字认可。对记录有异议的采购人员，应当签署不同意见并说明理由。采购人员拒绝在记录上签字又不书面说明其不同意见和理由的，视为同意。</w:t>
      </w:r>
    </w:p>
    <w:p w14:paraId="238AC28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18.</w:t>
      </w:r>
      <w:r>
        <w:rPr>
          <w:rFonts w:hint="eastAsia" w:asciiTheme="minorEastAsia" w:hAnsiTheme="minorEastAsia" w:eastAsiaTheme="minorEastAsia"/>
          <w:b/>
          <w:color w:val="auto"/>
          <w:sz w:val="24"/>
          <w:highlight w:val="none"/>
        </w:rPr>
        <w:t>成交结果公告</w:t>
      </w:r>
    </w:p>
    <w:p w14:paraId="57801D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18.</w:t>
      </w:r>
      <w:r>
        <w:rPr>
          <w:rFonts w:asciiTheme="minorEastAsia" w:hAnsiTheme="minorEastAsia" w:eastAsiaTheme="minorEastAsia"/>
          <w:color w:val="auto"/>
          <w:sz w:val="24"/>
          <w:highlight w:val="none"/>
        </w:rPr>
        <w:t>1自</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确定之日起2个工作日内，采购代理机构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在</w:t>
      </w:r>
      <w:r>
        <w:rPr>
          <w:rFonts w:hint="eastAsia" w:ascii="宋体" w:hAnsi="宋体" w:eastAsia="宋体"/>
          <w:color w:val="auto"/>
          <w:sz w:val="24"/>
          <w:szCs w:val="18"/>
          <w:highlight w:val="none"/>
          <w:lang w:val="en-US" w:eastAsia="zh-CN"/>
        </w:rPr>
        <w:t>安徽省政府采购网（www.ccgp-anhui.gov.cn）</w:t>
      </w:r>
      <w:r>
        <w:rPr>
          <w:rFonts w:hint="eastAsia" w:ascii="宋体" w:hAnsi="宋体" w:eastAsia="宋体"/>
          <w:color w:val="auto"/>
          <w:sz w:val="24"/>
          <w:szCs w:val="18"/>
          <w:highlight w:val="none"/>
          <w:u w:val="none"/>
          <w:lang w:val="en-US" w:eastAsia="zh-CN"/>
        </w:rPr>
        <w:t>上</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成交结果</w:t>
      </w:r>
      <w:r>
        <w:rPr>
          <w:rFonts w:asciiTheme="minorEastAsia" w:hAnsiTheme="minorEastAsia" w:eastAsiaTheme="minorEastAsia"/>
          <w:color w:val="auto"/>
          <w:sz w:val="24"/>
          <w:highlight w:val="none"/>
        </w:rPr>
        <w:t>公告。</w:t>
      </w:r>
    </w:p>
    <w:p w14:paraId="34075E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18.</w:t>
      </w:r>
      <w:r>
        <w:rPr>
          <w:rFonts w:asciiTheme="minorEastAsia" w:hAnsiTheme="minorEastAsia" w:eastAsiaTheme="minorEastAsia"/>
          <w:color w:val="auto"/>
          <w:sz w:val="24"/>
          <w:highlight w:val="none"/>
        </w:rPr>
        <w:t>2成交结果公告应当包括以下内容：</w:t>
      </w:r>
    </w:p>
    <w:p w14:paraId="571C218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）采购人和采购代理机构的名称、地址和联系方式；</w:t>
      </w:r>
    </w:p>
    <w:p w14:paraId="7EAAD61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）项目名称和项目编号；</w:t>
      </w:r>
    </w:p>
    <w:p w14:paraId="282F823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）成交供应商名称、地址和成交金额；</w:t>
      </w:r>
    </w:p>
    <w:p w14:paraId="34B1B6C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）单一来源采购人员名单</w:t>
      </w:r>
      <w:r>
        <w:rPr>
          <w:rFonts w:hint="eastAsia" w:asciiTheme="minorEastAsia" w:hAnsiTheme="minorEastAsia" w:eastAsiaTheme="minorEastAsia"/>
          <w:color w:val="auto"/>
          <w:sz w:val="24"/>
          <w:highlight w:val="none"/>
        </w:rPr>
        <w:t>；</w:t>
      </w:r>
    </w:p>
    <w:p w14:paraId="3D44E5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w:t>
      </w:r>
      <w:r>
        <w:rPr>
          <w:rFonts w:hint="eastAsia" w:asciiTheme="minorEastAsia" w:hAnsiTheme="minorEastAsia" w:eastAsiaTheme="minorEastAsia"/>
          <w:color w:val="auto"/>
          <w:sz w:val="24"/>
          <w:highlight w:val="none"/>
        </w:rPr>
        <w:t>其他</w:t>
      </w:r>
      <w:r>
        <w:rPr>
          <w:rFonts w:asciiTheme="minorEastAsia" w:hAnsiTheme="minorEastAsia" w:eastAsiaTheme="minorEastAsia"/>
          <w:color w:val="auto"/>
          <w:sz w:val="24"/>
          <w:highlight w:val="none"/>
        </w:rPr>
        <w:t>内容。</w:t>
      </w:r>
    </w:p>
    <w:p w14:paraId="0EDB628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成交通知书</w:t>
      </w:r>
    </w:p>
    <w:p w14:paraId="3CCD186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.1采购代理机构发布</w:t>
      </w:r>
      <w:r>
        <w:rPr>
          <w:rFonts w:hint="eastAsia" w:asciiTheme="minorEastAsia" w:hAnsiTheme="minorEastAsia" w:eastAsiaTheme="minorEastAsia"/>
          <w:color w:val="auto"/>
          <w:sz w:val="24"/>
          <w:highlight w:val="none"/>
        </w:rPr>
        <w:t>成交结果</w:t>
      </w:r>
      <w:r>
        <w:rPr>
          <w:rFonts w:asciiTheme="minorEastAsia" w:hAnsiTheme="minorEastAsia" w:eastAsiaTheme="minorEastAsia"/>
          <w:color w:val="auto"/>
          <w:sz w:val="24"/>
          <w:highlight w:val="none"/>
        </w:rPr>
        <w:t>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形式向成交供应商发出成交通知书。</w:t>
      </w:r>
    </w:p>
    <w:p w14:paraId="5EB243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.2成交通知书对采购人和成交供应商具有同等法律效力。成交通知书发出以后，采购人改变</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结果或者成交供应商放弃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，应当承担相应的法律责任。</w:t>
      </w:r>
    </w:p>
    <w:p w14:paraId="1F7535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.3成交通知书是合同的组成部分。</w:t>
      </w:r>
    </w:p>
    <w:p w14:paraId="64BB2BFB">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11F572B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.1成交供应商应按照</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规定缴纳履约保证金。</w:t>
      </w:r>
    </w:p>
    <w:p w14:paraId="14F6CC0C">
      <w:pPr>
        <w:spacing w:line="360" w:lineRule="auto"/>
        <w:ind w:firstLine="435"/>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如果成交供应商没有按照上述履约保证金的规定执行，将视为放弃成交资格。</w:t>
      </w:r>
    </w:p>
    <w:p w14:paraId="68E0F86D">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2C86175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4597E1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.2采购文件、成交供应商的响应文件及其澄清文件等，均为签订合同的依据。</w:t>
      </w:r>
    </w:p>
    <w:p w14:paraId="35436E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采购人不得向成交供应商提出超出采购文件以外的任何要求作为签订合同的条件，</w:t>
      </w:r>
      <w:r>
        <w:rPr>
          <w:rFonts w:asciiTheme="minorEastAsia" w:hAnsiTheme="minorEastAsia" w:eastAsiaTheme="minorEastAsia"/>
          <w:color w:val="auto"/>
          <w:sz w:val="24"/>
          <w:highlight w:val="none"/>
        </w:rPr>
        <w:t>不得</w:t>
      </w:r>
      <w:r>
        <w:rPr>
          <w:rFonts w:hint="eastAsia" w:asciiTheme="minorEastAsia" w:hAnsiTheme="minorEastAsia" w:eastAsiaTheme="minorEastAsia"/>
          <w:color w:val="auto"/>
          <w:sz w:val="24"/>
          <w:highlight w:val="none"/>
        </w:rPr>
        <w:t>与成交供应商订立背离采购文件确定的合同文本以及采购标的、</w:t>
      </w:r>
      <w:r>
        <w:rPr>
          <w:rFonts w:asciiTheme="minorEastAsia" w:hAnsiTheme="minorEastAsia" w:eastAsiaTheme="minorEastAsia"/>
          <w:color w:val="auto"/>
          <w:sz w:val="24"/>
          <w:highlight w:val="none"/>
        </w:rPr>
        <w:t>规格型号、采购金额、采购</w:t>
      </w:r>
      <w:r>
        <w:rPr>
          <w:rFonts w:hint="eastAsia" w:asciiTheme="minorEastAsia" w:hAnsiTheme="minorEastAsia" w:eastAsiaTheme="minorEastAsia"/>
          <w:color w:val="auto"/>
          <w:sz w:val="24"/>
          <w:highlight w:val="none"/>
        </w:rPr>
        <w:t>数量、</w:t>
      </w:r>
      <w:r>
        <w:rPr>
          <w:rFonts w:asciiTheme="minorEastAsia" w:hAnsiTheme="minorEastAsia" w:eastAsiaTheme="minorEastAsia"/>
          <w:color w:val="auto"/>
          <w:sz w:val="24"/>
          <w:highlight w:val="none"/>
        </w:rPr>
        <w:t>技术和服务要求等实质性内容的协议。</w:t>
      </w:r>
    </w:p>
    <w:p w14:paraId="06FF179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除不可抗力等因素外，</w:t>
      </w:r>
      <w:r>
        <w:rPr>
          <w:rFonts w:asciiTheme="minorEastAsia" w:hAnsiTheme="minorEastAsia" w:eastAsiaTheme="minorEastAsia"/>
          <w:color w:val="auto"/>
          <w:sz w:val="24"/>
          <w:highlight w:val="none"/>
        </w:rPr>
        <w:t>成交通知书发出后，采购人改变成交结果，或者成</w:t>
      </w:r>
      <w:r>
        <w:rPr>
          <w:rFonts w:hint="eastAsia" w:asciiTheme="minorEastAsia" w:hAnsiTheme="minorEastAsia" w:eastAsiaTheme="minorEastAsia"/>
          <w:color w:val="auto"/>
          <w:sz w:val="24"/>
          <w:highlight w:val="none"/>
        </w:rPr>
        <w:t>交供应商拒绝签订政府采购合同的，</w:t>
      </w:r>
      <w:r>
        <w:rPr>
          <w:rFonts w:asciiTheme="minorEastAsia" w:hAnsiTheme="minorEastAsia" w:eastAsiaTheme="minorEastAsia"/>
          <w:color w:val="auto"/>
          <w:sz w:val="24"/>
          <w:highlight w:val="none"/>
        </w:rPr>
        <w:t>应当承担相应的法律责任。</w:t>
      </w:r>
    </w:p>
    <w:p w14:paraId="3AF5665D">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成交服务费</w:t>
      </w:r>
    </w:p>
    <w:p w14:paraId="58D87DE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本项目成交服务费的收取按</w:t>
      </w:r>
      <w:r>
        <w:rPr>
          <w:rFonts w:hint="eastAsia" w:asciiTheme="minorEastAsia" w:hAnsiTheme="minorEastAsia" w:eastAsiaTheme="minorEastAsia"/>
          <w:color w:val="auto"/>
          <w:sz w:val="24"/>
          <w:highlight w:val="none"/>
          <w:u w:val="single"/>
        </w:rPr>
        <w:t>供应商须知前附表的</w:t>
      </w:r>
      <w:r>
        <w:rPr>
          <w:rFonts w:hint="eastAsia" w:asciiTheme="minorEastAsia" w:hAnsiTheme="minorEastAsia" w:eastAsiaTheme="minorEastAsia"/>
          <w:color w:val="auto"/>
          <w:sz w:val="24"/>
          <w:highlight w:val="none"/>
        </w:rPr>
        <w:t>规定执行。</w:t>
      </w:r>
    </w:p>
    <w:p w14:paraId="4040FE83">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042BAC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7C19DFE6">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A2D6FDB">
      <w:pPr>
        <w:spacing w:line="360" w:lineRule="auto"/>
        <w:jc w:val="center"/>
        <w:outlineLvl w:val="0"/>
        <w:rPr>
          <w:rFonts w:asciiTheme="minorEastAsia" w:hAnsiTheme="minorEastAsia" w:eastAsiaTheme="minorEastAsia"/>
          <w:b/>
          <w:color w:val="auto"/>
          <w:sz w:val="28"/>
          <w:highlight w:val="none"/>
        </w:rPr>
      </w:pPr>
      <w:bookmarkStart w:id="24" w:name="_Toc25641"/>
      <w:r>
        <w:rPr>
          <w:rFonts w:hint="eastAsia" w:asciiTheme="minorEastAsia" w:hAnsiTheme="minorEastAsia" w:eastAsiaTheme="minorEastAsia"/>
          <w:b/>
          <w:color w:val="auto"/>
          <w:sz w:val="28"/>
          <w:highlight w:val="none"/>
        </w:rPr>
        <w:t>第三章  采购需求</w:t>
      </w:r>
      <w:bookmarkEnd w:id="24"/>
    </w:p>
    <w:p w14:paraId="5C136247">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77693CA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本采购需求中提出的服务方案仅为参考，如无明确限制，</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可以进行优化，提供满足采购人实际需要的更优（或者性能实质上不低于的）服务方案，且此方案须经</w:t>
      </w:r>
      <w:r>
        <w:rPr>
          <w:rFonts w:hint="eastAsia" w:asciiTheme="minorEastAsia" w:hAnsiTheme="minorEastAsia" w:eastAsiaTheme="minorEastAsia"/>
          <w:color w:val="auto"/>
          <w:sz w:val="24"/>
          <w:highlight w:val="none"/>
        </w:rPr>
        <w:t>采购小组</w:t>
      </w:r>
      <w:r>
        <w:rPr>
          <w:rFonts w:asciiTheme="minorEastAsia" w:hAnsiTheme="minorEastAsia" w:eastAsiaTheme="minorEastAsia"/>
          <w:color w:val="auto"/>
          <w:sz w:val="24"/>
          <w:highlight w:val="none"/>
        </w:rPr>
        <w:t>评审认可</w:t>
      </w:r>
      <w:r>
        <w:rPr>
          <w:rFonts w:hint="eastAsia" w:asciiTheme="minorEastAsia" w:hAnsiTheme="minorEastAsia" w:eastAsiaTheme="minorEastAsia"/>
          <w:color w:val="auto"/>
          <w:sz w:val="24"/>
          <w:highlight w:val="none"/>
        </w:rPr>
        <w:t>。</w:t>
      </w:r>
    </w:p>
    <w:p w14:paraId="001462D2">
      <w:pPr>
        <w:spacing w:line="360" w:lineRule="auto"/>
        <w:ind w:firstLine="435"/>
        <w:rPr>
          <w:rFonts w:hint="eastAsia" w:ascii="宋体" w:hAnsi="宋体" w:eastAsia="宋体"/>
          <w:color w:val="auto"/>
          <w:sz w:val="24"/>
          <w:szCs w:val="18"/>
        </w:rPr>
      </w:pPr>
      <w:r>
        <w:rPr>
          <w:rFonts w:hint="eastAsia" w:ascii="宋体" w:hAnsi="宋体" w:eastAsia="宋体"/>
          <w:color w:val="auto"/>
          <w:sz w:val="24"/>
          <w:szCs w:val="18"/>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rPr>
        <w:t>：</w:t>
      </w:r>
    </w:p>
    <w:p w14:paraId="7A539DB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7C45103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E3580AA">
      <w:pPr>
        <w:spacing w:line="360" w:lineRule="auto"/>
        <w:ind w:firstLine="435"/>
        <w:rPr>
          <w:rFonts w:hint="eastAsia" w:ascii="宋体" w:hAnsi="宋体" w:eastAsia="宋体"/>
          <w:color w:val="auto"/>
          <w:sz w:val="24"/>
          <w:szCs w:val="18"/>
        </w:rPr>
      </w:pPr>
      <w:r>
        <w:rPr>
          <w:rFonts w:hint="eastAsia" w:ascii="宋体" w:hAnsi="宋体" w:eastAsia="宋体"/>
          <w:color w:val="auto"/>
          <w:sz w:val="24"/>
          <w:szCs w:val="18"/>
          <w:lang w:val="en-US" w:eastAsia="zh-CN"/>
        </w:rPr>
        <w:t>3.</w:t>
      </w:r>
      <w:r>
        <w:rPr>
          <w:rFonts w:hint="eastAsia" w:ascii="宋体" w:hAnsi="宋体" w:eastAsia="宋体"/>
          <w:color w:val="auto"/>
          <w:sz w:val="24"/>
          <w:szCs w:val="18"/>
        </w:rPr>
        <w:t>如采购人允许采用分包方式履行合同的，应当明确可以分包履行的相关内容。</w:t>
      </w:r>
    </w:p>
    <w:p w14:paraId="13BD1E14">
      <w:pPr>
        <w:spacing w:line="360" w:lineRule="auto"/>
        <w:ind w:firstLine="435"/>
        <w:rPr>
          <w:rFonts w:hint="default" w:asciiTheme="minorEastAsia" w:hAnsiTheme="minorEastAsia" w:eastAsiaTheme="minorEastAsia"/>
          <w:color w:val="auto"/>
          <w:sz w:val="24"/>
          <w:szCs w:val="18"/>
          <w:highlight w:val="none"/>
          <w:lang w:val="en-US" w:eastAsia="zh-CN"/>
        </w:rPr>
      </w:pPr>
    </w:p>
    <w:p w14:paraId="41D2B70F">
      <w:pPr>
        <w:spacing w:line="360" w:lineRule="auto"/>
        <w:ind w:firstLine="435"/>
        <w:outlineLvl w:val="1"/>
        <w:rPr>
          <w:rFonts w:asciiTheme="minorEastAsia" w:hAnsiTheme="minorEastAsia" w:eastAsiaTheme="minorEastAsia"/>
          <w:b/>
          <w:color w:val="auto"/>
          <w:sz w:val="24"/>
          <w:szCs w:val="18"/>
          <w:highlight w:val="none"/>
        </w:rPr>
      </w:pPr>
      <w:bookmarkStart w:id="25" w:name="_Toc8608"/>
      <w:bookmarkStart w:id="26" w:name="_Toc25679"/>
      <w:r>
        <w:rPr>
          <w:rFonts w:hint="eastAsia" w:asciiTheme="minorEastAsia" w:hAnsiTheme="minorEastAsia" w:eastAsiaTheme="minorEastAsia"/>
          <w:b/>
          <w:color w:val="auto"/>
          <w:sz w:val="24"/>
          <w:szCs w:val="18"/>
          <w:highlight w:val="none"/>
        </w:rPr>
        <w:t>一、采购需求前附表</w:t>
      </w:r>
      <w:bookmarkEnd w:id="25"/>
      <w:bookmarkEnd w:id="26"/>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53D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7E2BF5D">
            <w:pPr>
              <w:spacing w:line="360" w:lineRule="auto"/>
              <w:jc w:val="center"/>
              <w:rPr>
                <w:rFonts w:asciiTheme="minorEastAsia" w:hAnsiTheme="minorEastAsia" w:eastAsiaTheme="minorEastAsia"/>
                <w:b/>
                <w:color w:val="auto"/>
                <w:sz w:val="24"/>
                <w:szCs w:val="18"/>
                <w:highlight w:val="none"/>
              </w:rPr>
            </w:pPr>
            <w:r>
              <w:rPr>
                <w:rFonts w:hint="eastAsia" w:asciiTheme="minorEastAsia" w:hAnsiTheme="minorEastAsia" w:eastAsiaTheme="minorEastAsia"/>
                <w:b/>
                <w:color w:val="auto"/>
                <w:sz w:val="24"/>
                <w:szCs w:val="18"/>
                <w:highlight w:val="none"/>
              </w:rPr>
              <w:t>序号</w:t>
            </w:r>
          </w:p>
        </w:tc>
        <w:tc>
          <w:tcPr>
            <w:tcW w:w="1192" w:type="pct"/>
            <w:vAlign w:val="center"/>
          </w:tcPr>
          <w:p w14:paraId="5291BF7A">
            <w:pPr>
              <w:spacing w:line="360" w:lineRule="auto"/>
              <w:jc w:val="center"/>
              <w:rPr>
                <w:rFonts w:asciiTheme="minorEastAsia" w:hAnsiTheme="minorEastAsia" w:eastAsiaTheme="minorEastAsia"/>
                <w:b/>
                <w:color w:val="auto"/>
                <w:sz w:val="24"/>
                <w:szCs w:val="18"/>
                <w:highlight w:val="none"/>
              </w:rPr>
            </w:pPr>
            <w:r>
              <w:rPr>
                <w:rFonts w:hint="eastAsia" w:asciiTheme="minorEastAsia" w:hAnsiTheme="minorEastAsia" w:eastAsiaTheme="minorEastAsia"/>
                <w:b/>
                <w:color w:val="auto"/>
                <w:sz w:val="24"/>
                <w:szCs w:val="18"/>
                <w:highlight w:val="none"/>
              </w:rPr>
              <w:t>条款名称</w:t>
            </w:r>
          </w:p>
        </w:tc>
        <w:tc>
          <w:tcPr>
            <w:tcW w:w="3216" w:type="pct"/>
            <w:vAlign w:val="center"/>
          </w:tcPr>
          <w:p w14:paraId="0C658FFE">
            <w:pPr>
              <w:spacing w:line="360" w:lineRule="auto"/>
              <w:jc w:val="center"/>
              <w:rPr>
                <w:rFonts w:asciiTheme="minorEastAsia" w:hAnsiTheme="minorEastAsia" w:eastAsiaTheme="minorEastAsia"/>
                <w:b/>
                <w:color w:val="auto"/>
                <w:sz w:val="24"/>
                <w:szCs w:val="18"/>
                <w:highlight w:val="none"/>
              </w:rPr>
            </w:pPr>
            <w:r>
              <w:rPr>
                <w:rFonts w:hint="eastAsia" w:asciiTheme="minorEastAsia" w:hAnsiTheme="minorEastAsia" w:eastAsiaTheme="minorEastAsia"/>
                <w:b/>
                <w:color w:val="auto"/>
                <w:sz w:val="24"/>
                <w:szCs w:val="18"/>
                <w:highlight w:val="none"/>
              </w:rPr>
              <w:t>内容、说明与要求</w:t>
            </w:r>
          </w:p>
        </w:tc>
      </w:tr>
      <w:tr w14:paraId="47F1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8624534">
            <w:pPr>
              <w:spacing w:line="360" w:lineRule="auto"/>
              <w:jc w:val="center"/>
              <w:rPr>
                <w:rFonts w:asciiTheme="minorEastAsia" w:hAnsiTheme="minorEastAsia" w:eastAsiaTheme="minorEastAsia"/>
                <w:bCs/>
                <w:color w:val="auto"/>
                <w:sz w:val="24"/>
                <w:szCs w:val="18"/>
                <w:highlight w:val="none"/>
              </w:rPr>
            </w:pPr>
            <w:r>
              <w:rPr>
                <w:rFonts w:hint="eastAsia" w:asciiTheme="minorEastAsia" w:hAnsiTheme="minorEastAsia" w:eastAsiaTheme="minorEastAsia"/>
                <w:bCs/>
                <w:color w:val="auto"/>
                <w:sz w:val="24"/>
                <w:szCs w:val="18"/>
                <w:highlight w:val="none"/>
              </w:rPr>
              <w:t>1</w:t>
            </w:r>
          </w:p>
        </w:tc>
        <w:tc>
          <w:tcPr>
            <w:tcW w:w="1192" w:type="pct"/>
            <w:vAlign w:val="center"/>
          </w:tcPr>
          <w:p w14:paraId="7657091C">
            <w:pPr>
              <w:spacing w:line="360" w:lineRule="auto"/>
              <w:jc w:val="center"/>
              <w:rPr>
                <w:rFonts w:asciiTheme="minorEastAsia" w:hAnsiTheme="minorEastAsia" w:eastAsiaTheme="minorEastAsia"/>
                <w:bCs/>
                <w:color w:val="auto"/>
                <w:sz w:val="24"/>
                <w:szCs w:val="18"/>
                <w:highlight w:val="none"/>
              </w:rPr>
            </w:pPr>
            <w:r>
              <w:rPr>
                <w:rFonts w:hint="eastAsia" w:asciiTheme="minorEastAsia" w:hAnsiTheme="minorEastAsia" w:eastAsiaTheme="minorEastAsia"/>
                <w:bCs/>
                <w:color w:val="auto"/>
                <w:sz w:val="24"/>
                <w:szCs w:val="18"/>
                <w:highlight w:val="none"/>
              </w:rPr>
              <w:t>付款方式</w:t>
            </w:r>
          </w:p>
        </w:tc>
        <w:tc>
          <w:tcPr>
            <w:tcW w:w="3216" w:type="pct"/>
            <w:vAlign w:val="center"/>
          </w:tcPr>
          <w:p w14:paraId="2E810E38">
            <w:pPr>
              <w:spacing w:line="360" w:lineRule="auto"/>
              <w:rPr>
                <w:rFonts w:hint="eastAsia" w:asciiTheme="minorEastAsia" w:hAnsiTheme="minorEastAsia" w:eastAsiaTheme="minorEastAsia"/>
                <w:bCs/>
                <w:color w:val="auto"/>
                <w:sz w:val="24"/>
                <w:szCs w:val="18"/>
                <w:highlight w:val="none"/>
                <w:u w:val="none"/>
              </w:rPr>
            </w:pPr>
            <w:r>
              <w:rPr>
                <w:rFonts w:hint="eastAsia" w:asciiTheme="minorEastAsia" w:hAnsiTheme="minorEastAsia" w:eastAsiaTheme="minorEastAsia"/>
                <w:bCs/>
                <w:color w:val="auto"/>
                <w:sz w:val="24"/>
                <w:szCs w:val="18"/>
                <w:highlight w:val="none"/>
                <w:u w:val="none"/>
              </w:rPr>
              <w:t>1-13包、15-16包付款方式：合同签订生效并具备实施条件后5个工作日内可支付每包合同价的40%预付款(预付款支付前，中标人须提供同等金额的见索即付预付款保函)，合同签订生效并具备实施条件后90个工作日内支付合同全款，并按照甲乙双方规定的时间内开通远程访问权限。待服务完成，经验收合格，一次性退还履约保证金。</w:t>
            </w:r>
          </w:p>
          <w:p w14:paraId="7557B39B">
            <w:pPr>
              <w:spacing w:line="360" w:lineRule="auto"/>
              <w:rPr>
                <w:rFonts w:asciiTheme="minorEastAsia" w:hAnsiTheme="minorEastAsia" w:eastAsiaTheme="minorEastAsia"/>
                <w:bCs/>
                <w:color w:val="auto"/>
                <w:sz w:val="24"/>
                <w:szCs w:val="18"/>
                <w:highlight w:val="none"/>
                <w:u w:val="single"/>
              </w:rPr>
            </w:pPr>
            <w:r>
              <w:rPr>
                <w:rFonts w:hint="eastAsia" w:asciiTheme="minorEastAsia" w:hAnsiTheme="minorEastAsia" w:eastAsiaTheme="minorEastAsia"/>
                <w:bCs/>
                <w:color w:val="auto"/>
                <w:sz w:val="24"/>
                <w:szCs w:val="18"/>
                <w:highlight w:val="none"/>
                <w:u w:val="none"/>
              </w:rPr>
              <w:t>第14包付款方式为：合同签订生效并具备实施条件后5个工作日内可支付合同价的40%预付款(预付款支付前，中标人须提供同等金额的见索即付预付款保函)，供货安装完成，经验收合格后一次性付清合同款。）</w:t>
            </w:r>
          </w:p>
        </w:tc>
      </w:tr>
      <w:tr w14:paraId="26C0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7C5B67C">
            <w:pPr>
              <w:spacing w:line="360" w:lineRule="auto"/>
              <w:jc w:val="center"/>
              <w:rPr>
                <w:rFonts w:asciiTheme="minorEastAsia" w:hAnsiTheme="minorEastAsia" w:eastAsiaTheme="minorEastAsia"/>
                <w:bCs/>
                <w:color w:val="auto"/>
                <w:sz w:val="24"/>
                <w:szCs w:val="18"/>
                <w:highlight w:val="none"/>
              </w:rPr>
            </w:pPr>
            <w:r>
              <w:rPr>
                <w:rFonts w:hint="eastAsia" w:asciiTheme="minorEastAsia" w:hAnsiTheme="minorEastAsia" w:eastAsiaTheme="minorEastAsia"/>
                <w:bCs/>
                <w:color w:val="auto"/>
                <w:sz w:val="24"/>
                <w:szCs w:val="18"/>
                <w:highlight w:val="none"/>
              </w:rPr>
              <w:t>2</w:t>
            </w:r>
          </w:p>
        </w:tc>
        <w:tc>
          <w:tcPr>
            <w:tcW w:w="1192" w:type="pct"/>
            <w:vAlign w:val="center"/>
          </w:tcPr>
          <w:p w14:paraId="2B02DB4A">
            <w:pPr>
              <w:spacing w:line="360" w:lineRule="auto"/>
              <w:jc w:val="center"/>
              <w:rPr>
                <w:rFonts w:asciiTheme="minorEastAsia" w:hAnsiTheme="minorEastAsia" w:eastAsiaTheme="minorEastAsia"/>
                <w:bCs/>
                <w:color w:val="auto"/>
                <w:sz w:val="24"/>
                <w:szCs w:val="18"/>
                <w:highlight w:val="none"/>
              </w:rPr>
            </w:pPr>
            <w:r>
              <w:rPr>
                <w:rFonts w:hint="eastAsia" w:asciiTheme="minorEastAsia" w:hAnsiTheme="minorEastAsia" w:eastAsiaTheme="minorEastAsia"/>
                <w:bCs/>
                <w:color w:val="auto"/>
                <w:sz w:val="24"/>
                <w:szCs w:val="18"/>
                <w:highlight w:val="none"/>
              </w:rPr>
              <w:t>服务地点</w:t>
            </w:r>
          </w:p>
        </w:tc>
        <w:tc>
          <w:tcPr>
            <w:tcW w:w="3216" w:type="pct"/>
            <w:vAlign w:val="center"/>
          </w:tcPr>
          <w:p w14:paraId="7A1DA995">
            <w:pPr>
              <w:spacing w:line="360" w:lineRule="auto"/>
              <w:rPr>
                <w:rFonts w:asciiTheme="minorEastAsia" w:hAnsiTheme="minorEastAsia" w:eastAsiaTheme="minorEastAsia"/>
                <w:bCs/>
                <w:color w:val="auto"/>
                <w:sz w:val="24"/>
                <w:szCs w:val="18"/>
                <w:highlight w:val="none"/>
                <w:u w:val="single"/>
              </w:rPr>
            </w:pPr>
            <w:r>
              <w:rPr>
                <w:rFonts w:hint="eastAsia" w:ascii="宋体" w:hAnsi="宋体" w:eastAsia="宋体" w:cs="宋体"/>
                <w:bCs/>
                <w:color w:val="auto"/>
                <w:sz w:val="24"/>
                <w:szCs w:val="24"/>
                <w:highlight w:val="none"/>
                <w:u w:val="none"/>
              </w:rPr>
              <w:t>滁州学院会峰校区内，采购人指定地点</w:t>
            </w:r>
            <w:r>
              <w:rPr>
                <w:rFonts w:hint="eastAsia" w:ascii="宋体" w:hAnsi="宋体" w:eastAsia="宋体" w:cs="宋体"/>
                <w:bCs/>
                <w:color w:val="auto"/>
                <w:sz w:val="24"/>
                <w:szCs w:val="24"/>
                <w:highlight w:val="none"/>
                <w:u w:val="none"/>
                <w:lang w:eastAsia="zh-CN"/>
              </w:rPr>
              <w:t>。</w:t>
            </w:r>
          </w:p>
        </w:tc>
      </w:tr>
      <w:tr w14:paraId="41FF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3A402E8">
            <w:pPr>
              <w:spacing w:line="360" w:lineRule="auto"/>
              <w:jc w:val="center"/>
              <w:rPr>
                <w:rFonts w:asciiTheme="minorEastAsia" w:hAnsiTheme="minorEastAsia" w:eastAsiaTheme="minorEastAsia"/>
                <w:bCs/>
                <w:color w:val="auto"/>
                <w:sz w:val="24"/>
                <w:szCs w:val="18"/>
                <w:highlight w:val="none"/>
              </w:rPr>
            </w:pPr>
            <w:r>
              <w:rPr>
                <w:rFonts w:hint="eastAsia" w:asciiTheme="minorEastAsia" w:hAnsiTheme="minorEastAsia" w:eastAsiaTheme="minorEastAsia"/>
                <w:bCs/>
                <w:color w:val="auto"/>
                <w:sz w:val="24"/>
                <w:szCs w:val="18"/>
                <w:highlight w:val="none"/>
              </w:rPr>
              <w:t>3</w:t>
            </w:r>
          </w:p>
        </w:tc>
        <w:tc>
          <w:tcPr>
            <w:tcW w:w="1192" w:type="pct"/>
            <w:vAlign w:val="center"/>
          </w:tcPr>
          <w:p w14:paraId="536C2099">
            <w:pPr>
              <w:spacing w:line="360" w:lineRule="auto"/>
              <w:jc w:val="center"/>
              <w:rPr>
                <w:rFonts w:asciiTheme="minorEastAsia" w:hAnsiTheme="minorEastAsia" w:eastAsiaTheme="minorEastAsia"/>
                <w:bCs/>
                <w:color w:val="auto"/>
                <w:sz w:val="24"/>
                <w:szCs w:val="18"/>
                <w:highlight w:val="none"/>
              </w:rPr>
            </w:pPr>
            <w:r>
              <w:rPr>
                <w:rFonts w:hint="eastAsia" w:asciiTheme="minorEastAsia" w:hAnsiTheme="minorEastAsia" w:eastAsiaTheme="minorEastAsia"/>
                <w:bCs/>
                <w:color w:val="auto"/>
                <w:sz w:val="24"/>
                <w:szCs w:val="18"/>
                <w:highlight w:val="none"/>
              </w:rPr>
              <w:t>服务期限</w:t>
            </w:r>
          </w:p>
        </w:tc>
        <w:tc>
          <w:tcPr>
            <w:tcW w:w="3216" w:type="pct"/>
            <w:vAlign w:val="center"/>
          </w:tcPr>
          <w:p w14:paraId="45F8C7A1">
            <w:pPr>
              <w:spacing w:line="360" w:lineRule="auto"/>
              <w:rPr>
                <w:rFonts w:asciiTheme="minorEastAsia" w:hAnsiTheme="minorEastAsia" w:eastAsiaTheme="minorEastAsia"/>
                <w:bCs/>
                <w:color w:val="auto"/>
                <w:sz w:val="24"/>
                <w:szCs w:val="18"/>
                <w:highlight w:val="none"/>
                <w:u w:val="single"/>
              </w:rPr>
            </w:pPr>
            <w:r>
              <w:rPr>
                <w:rFonts w:hint="eastAsia" w:asciiTheme="minorEastAsia" w:hAnsiTheme="minorEastAsia" w:eastAsiaTheme="minorEastAsia"/>
                <w:bCs/>
                <w:color w:val="auto"/>
                <w:sz w:val="24"/>
                <w:szCs w:val="18"/>
                <w:highlight w:val="none"/>
                <w:u w:val="none"/>
              </w:rPr>
              <w:t>合同签订后5日内。供应商应保证在要求时间内完成全部货物（服务）的安装、调试工作。</w:t>
            </w:r>
          </w:p>
        </w:tc>
      </w:tr>
      <w:tr w14:paraId="051E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78AEE5">
            <w:pPr>
              <w:spacing w:line="360" w:lineRule="auto"/>
              <w:jc w:val="center"/>
              <w:rPr>
                <w:rFonts w:hint="eastAsia" w:asciiTheme="minorEastAsia" w:hAnsiTheme="minorEastAsia" w:eastAsiaTheme="minorEastAsia"/>
                <w:bCs/>
                <w:color w:val="auto"/>
                <w:sz w:val="24"/>
                <w:szCs w:val="18"/>
                <w:highlight w:val="none"/>
                <w:lang w:val="en-US" w:eastAsia="zh-CN"/>
              </w:rPr>
            </w:pPr>
            <w:bookmarkStart w:id="27" w:name="_Toc20204"/>
            <w:bookmarkStart w:id="28" w:name="_Toc31523"/>
            <w:bookmarkStart w:id="29" w:name="_Hlk16461016"/>
            <w:r>
              <w:rPr>
                <w:rFonts w:hint="eastAsia" w:asciiTheme="minorEastAsia" w:hAnsiTheme="minorEastAsia" w:eastAsiaTheme="minorEastAsia"/>
                <w:bCs/>
                <w:color w:val="auto"/>
                <w:sz w:val="24"/>
                <w:szCs w:val="18"/>
                <w:highlight w:val="none"/>
                <w:lang w:val="en-US" w:eastAsia="zh-CN"/>
              </w:rPr>
              <w:t>4</w:t>
            </w:r>
          </w:p>
        </w:tc>
        <w:tc>
          <w:tcPr>
            <w:tcW w:w="1192" w:type="pct"/>
            <w:vAlign w:val="center"/>
          </w:tcPr>
          <w:p w14:paraId="0862463E">
            <w:pPr>
              <w:spacing w:line="360" w:lineRule="auto"/>
              <w:jc w:val="center"/>
              <w:rPr>
                <w:rFonts w:hint="default"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免费质保期</w:t>
            </w:r>
          </w:p>
        </w:tc>
        <w:tc>
          <w:tcPr>
            <w:tcW w:w="3216" w:type="pct"/>
            <w:vAlign w:val="center"/>
          </w:tcPr>
          <w:p w14:paraId="5B6F8EBD">
            <w:pPr>
              <w:spacing w:line="360" w:lineRule="auto"/>
              <w:rPr>
                <w:rFonts w:hint="eastAsia" w:asciiTheme="minorEastAsia" w:hAnsiTheme="minorEastAsia" w:eastAsiaTheme="minorEastAsia"/>
                <w:bCs/>
                <w:color w:val="auto"/>
                <w:sz w:val="24"/>
                <w:szCs w:val="18"/>
                <w:highlight w:val="none"/>
                <w:u w:val="none"/>
              </w:rPr>
            </w:pPr>
            <w:r>
              <w:rPr>
                <w:rFonts w:hint="eastAsia" w:asciiTheme="minorEastAsia" w:hAnsiTheme="minorEastAsia" w:eastAsiaTheme="minorEastAsia"/>
                <w:bCs/>
                <w:color w:val="auto"/>
                <w:sz w:val="24"/>
                <w:szCs w:val="18"/>
                <w:highlight w:val="none"/>
                <w:u w:val="none"/>
              </w:rPr>
              <w:t>具备实施条件之日起1年</w:t>
            </w:r>
          </w:p>
        </w:tc>
      </w:tr>
    </w:tbl>
    <w:p w14:paraId="69E8A3C2">
      <w:pPr>
        <w:spacing w:line="360" w:lineRule="auto"/>
        <w:ind w:firstLine="435"/>
        <w:outlineLvl w:val="1"/>
        <w:rPr>
          <w:rFonts w:asciiTheme="minorEastAsia" w:hAnsiTheme="minorEastAsia" w:eastAsiaTheme="minorEastAsia"/>
          <w:b/>
          <w:color w:val="auto"/>
          <w:sz w:val="24"/>
          <w:szCs w:val="18"/>
          <w:highlight w:val="none"/>
        </w:rPr>
      </w:pPr>
      <w:r>
        <w:rPr>
          <w:rFonts w:hint="eastAsia" w:asciiTheme="minorEastAsia" w:hAnsiTheme="minorEastAsia" w:eastAsiaTheme="minorEastAsia"/>
          <w:b/>
          <w:color w:val="auto"/>
          <w:sz w:val="24"/>
          <w:szCs w:val="18"/>
          <w:highlight w:val="none"/>
          <w:lang w:val="en-US" w:eastAsia="zh-CN"/>
        </w:rPr>
        <w:t>二</w:t>
      </w:r>
      <w:r>
        <w:rPr>
          <w:rFonts w:hint="eastAsia" w:asciiTheme="minorEastAsia" w:hAnsiTheme="minorEastAsia" w:eastAsiaTheme="minorEastAsia"/>
          <w:b/>
          <w:color w:val="auto"/>
          <w:sz w:val="24"/>
          <w:szCs w:val="18"/>
          <w:highlight w:val="none"/>
        </w:rPr>
        <w:t>、服务需求</w:t>
      </w:r>
      <w:bookmarkEnd w:id="27"/>
      <w:bookmarkEnd w:id="28"/>
    </w:p>
    <w:tbl>
      <w:tblPr>
        <w:tblStyle w:val="2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077"/>
        <w:gridCol w:w="5586"/>
        <w:gridCol w:w="735"/>
        <w:gridCol w:w="660"/>
        <w:gridCol w:w="1141"/>
      </w:tblGrid>
      <w:tr w14:paraId="750B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9" w:type="dxa"/>
            <w:noWrap w:val="0"/>
            <w:vAlign w:val="center"/>
          </w:tcPr>
          <w:p w14:paraId="24E7FECC">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包别</w:t>
            </w:r>
          </w:p>
        </w:tc>
        <w:tc>
          <w:tcPr>
            <w:tcW w:w="1077" w:type="dxa"/>
            <w:noWrap w:val="0"/>
            <w:vAlign w:val="center"/>
          </w:tcPr>
          <w:p w14:paraId="020153C6">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名称</w:t>
            </w:r>
          </w:p>
        </w:tc>
        <w:tc>
          <w:tcPr>
            <w:tcW w:w="5586" w:type="dxa"/>
            <w:noWrap w:val="0"/>
            <w:vAlign w:val="center"/>
          </w:tcPr>
          <w:p w14:paraId="53D934C9">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主要技术参数</w:t>
            </w:r>
          </w:p>
        </w:tc>
        <w:tc>
          <w:tcPr>
            <w:tcW w:w="735" w:type="dxa"/>
            <w:noWrap w:val="0"/>
            <w:vAlign w:val="center"/>
          </w:tcPr>
          <w:p w14:paraId="5ED73E7F">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数量</w:t>
            </w:r>
          </w:p>
        </w:tc>
        <w:tc>
          <w:tcPr>
            <w:tcW w:w="660" w:type="dxa"/>
            <w:noWrap w:val="0"/>
            <w:vAlign w:val="center"/>
          </w:tcPr>
          <w:p w14:paraId="57A21CAE">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单位</w:t>
            </w:r>
          </w:p>
        </w:tc>
        <w:tc>
          <w:tcPr>
            <w:tcW w:w="1141" w:type="dxa"/>
            <w:noWrap w:val="0"/>
            <w:vAlign w:val="center"/>
          </w:tcPr>
          <w:p w14:paraId="10DB0DE9">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最高限价</w:t>
            </w:r>
            <w:r>
              <w:rPr>
                <w:rFonts w:hint="eastAsia" w:ascii="宋体" w:hAnsi="宋体" w:eastAsia="宋体" w:cs="宋体"/>
                <w:b/>
                <w:sz w:val="21"/>
                <w:szCs w:val="21"/>
              </w:rPr>
              <w:t>（</w:t>
            </w:r>
            <w:r>
              <w:rPr>
                <w:rFonts w:hint="eastAsia" w:ascii="宋体" w:hAnsi="宋体" w:eastAsia="宋体" w:cs="宋体"/>
                <w:b/>
                <w:sz w:val="21"/>
                <w:szCs w:val="21"/>
                <w:lang w:val="en-US" w:eastAsia="zh-CN"/>
              </w:rPr>
              <w:t>万</w:t>
            </w:r>
            <w:r>
              <w:rPr>
                <w:rFonts w:hint="eastAsia" w:ascii="宋体" w:hAnsi="宋体" w:eastAsia="宋体" w:cs="宋体"/>
                <w:b/>
                <w:sz w:val="21"/>
                <w:szCs w:val="21"/>
              </w:rPr>
              <w:t>元）</w:t>
            </w:r>
          </w:p>
        </w:tc>
      </w:tr>
      <w:tr w14:paraId="20A0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jc w:val="center"/>
        </w:trPr>
        <w:tc>
          <w:tcPr>
            <w:tcW w:w="719" w:type="dxa"/>
            <w:noWrap w:val="0"/>
            <w:vAlign w:val="center"/>
          </w:tcPr>
          <w:p w14:paraId="09DDB594">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包</w:t>
            </w:r>
          </w:p>
        </w:tc>
        <w:tc>
          <w:tcPr>
            <w:tcW w:w="1077" w:type="dxa"/>
            <w:noWrap w:val="0"/>
            <w:vAlign w:val="center"/>
          </w:tcPr>
          <w:p w14:paraId="28CBDD8A">
            <w:pPr>
              <w:keepNext w:val="0"/>
              <w:keepLines w:val="0"/>
              <w:pageBreakBefore w:val="0"/>
              <w:widowControl/>
              <w:kinsoku/>
              <w:wordWrap/>
              <w:overflowPunct/>
              <w:topLinePunct w:val="0"/>
              <w:bidi w:val="0"/>
              <w:snapToGrid/>
              <w:spacing w:line="500" w:lineRule="exact"/>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rPr>
              <w:t>CNKI（中国知网）数据库</w:t>
            </w:r>
          </w:p>
        </w:tc>
        <w:tc>
          <w:tcPr>
            <w:tcW w:w="5586" w:type="dxa"/>
            <w:noWrap w:val="0"/>
            <w:vAlign w:val="top"/>
          </w:tcPr>
          <w:p w14:paraId="5A3D016F">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资源内容：中国学术期刊网络出版总库、中国博士学位论文全文数据库、中国优秀硕士学位论文全文数据库、中国重要会议论文全文数据库、国际会议论文全文数据库、中国重要报纸全文数据库、中国学术辑刊全文数据库、中国引文库（含推荐经典文献）、特色期刊（精品科普，精品文化，精品文艺，党建期刊，政报公报，基础教育）、CNKI AI、知网研学、科研人事查重。</w:t>
            </w:r>
          </w:p>
          <w:p w14:paraId="079CAC1B">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2、访问方式：云托管（远程+本地镜像）。</w:t>
            </w:r>
          </w:p>
          <w:p w14:paraId="559B1593">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3、服务期限：2027年全年。</w:t>
            </w:r>
          </w:p>
        </w:tc>
        <w:tc>
          <w:tcPr>
            <w:tcW w:w="735" w:type="dxa"/>
            <w:noWrap w:val="0"/>
            <w:vAlign w:val="center"/>
          </w:tcPr>
          <w:p w14:paraId="328FA847">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660" w:type="dxa"/>
            <w:noWrap w:val="0"/>
            <w:vAlign w:val="center"/>
          </w:tcPr>
          <w:p w14:paraId="4FBCC5D2">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库</w:t>
            </w:r>
          </w:p>
        </w:tc>
        <w:tc>
          <w:tcPr>
            <w:tcW w:w="1141" w:type="dxa"/>
            <w:noWrap w:val="0"/>
            <w:vAlign w:val="center"/>
          </w:tcPr>
          <w:p w14:paraId="256DE974">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50.71</w:t>
            </w:r>
          </w:p>
        </w:tc>
      </w:tr>
      <w:tr w14:paraId="4CD0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9" w:type="dxa"/>
            <w:noWrap w:val="0"/>
            <w:vAlign w:val="center"/>
          </w:tcPr>
          <w:p w14:paraId="3E2F3CF2">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w:t>
            </w:r>
            <w:r>
              <w:rPr>
                <w:rFonts w:hint="eastAsia" w:ascii="宋体" w:hAnsi="宋体" w:eastAsia="宋体" w:cs="宋体"/>
                <w:color w:val="000000"/>
                <w:kern w:val="0"/>
                <w:sz w:val="21"/>
                <w:szCs w:val="21"/>
                <w:lang w:val="en-US" w:eastAsia="zh-CN" w:bidi="ar"/>
              </w:rPr>
              <w:t>包</w:t>
            </w:r>
          </w:p>
        </w:tc>
        <w:tc>
          <w:tcPr>
            <w:tcW w:w="1077" w:type="dxa"/>
            <w:noWrap w:val="0"/>
            <w:vAlign w:val="center"/>
          </w:tcPr>
          <w:p w14:paraId="17083E7D">
            <w:pPr>
              <w:keepNext w:val="0"/>
              <w:keepLines w:val="0"/>
              <w:pageBreakBefore w:val="0"/>
              <w:widowControl/>
              <w:kinsoku/>
              <w:wordWrap/>
              <w:overflowPunct/>
              <w:topLinePunct w:val="0"/>
              <w:bidi w:val="0"/>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万方数据知识服务平台</w:t>
            </w:r>
          </w:p>
        </w:tc>
        <w:tc>
          <w:tcPr>
            <w:tcW w:w="5586" w:type="dxa"/>
            <w:noWrap w:val="0"/>
            <w:vAlign w:val="top"/>
          </w:tcPr>
          <w:p w14:paraId="7789EC25">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一、资源要求：</w:t>
            </w:r>
          </w:p>
          <w:p w14:paraId="23907F94">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1、收录海量全文资源并辅以文摘库；</w:t>
            </w:r>
          </w:p>
          <w:p w14:paraId="5E017A2A">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2、收录我国800多家学位授予单位的学位论文，全程辅以专业标引、分类、及相关引文分析；</w:t>
            </w:r>
          </w:p>
          <w:p w14:paraId="3260D4C8">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3、收录省、市、县三级地方志资源，覆盖率达90%以上，收录国内已编纂出版的新方志资源，覆盖率80%以上；</w:t>
            </w:r>
          </w:p>
          <w:p w14:paraId="52862372">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4、提供引用通知、专题服务、中国学位统计分析报告、投稿服务等多元化增值服务。</w:t>
            </w:r>
          </w:p>
          <w:p w14:paraId="2BFE31B0">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二、使用权限和安装：</w:t>
            </w:r>
          </w:p>
          <w:p w14:paraId="31315397">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1、能在采购方IP范围内使用约定的数据库，无并发数限制；</w:t>
            </w:r>
          </w:p>
          <w:p w14:paraId="4B344F67">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2、服务期限：2027年全年。</w:t>
            </w:r>
          </w:p>
        </w:tc>
        <w:tc>
          <w:tcPr>
            <w:tcW w:w="735" w:type="dxa"/>
            <w:noWrap w:val="0"/>
            <w:vAlign w:val="center"/>
          </w:tcPr>
          <w:p w14:paraId="4EA04BE4">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660" w:type="dxa"/>
            <w:noWrap w:val="0"/>
            <w:vAlign w:val="center"/>
          </w:tcPr>
          <w:p w14:paraId="1FE129B2">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库</w:t>
            </w:r>
          </w:p>
        </w:tc>
        <w:tc>
          <w:tcPr>
            <w:tcW w:w="1141" w:type="dxa"/>
            <w:noWrap w:val="0"/>
            <w:vAlign w:val="center"/>
          </w:tcPr>
          <w:p w14:paraId="29207178">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7.92</w:t>
            </w:r>
          </w:p>
        </w:tc>
      </w:tr>
      <w:tr w14:paraId="50B2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9" w:type="dxa"/>
            <w:noWrap w:val="0"/>
            <w:vAlign w:val="center"/>
          </w:tcPr>
          <w:p w14:paraId="626D60E7">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w:t>
            </w:r>
            <w:r>
              <w:rPr>
                <w:rFonts w:hint="eastAsia" w:ascii="宋体" w:hAnsi="宋体" w:eastAsia="宋体" w:cs="宋体"/>
                <w:color w:val="000000"/>
                <w:kern w:val="0"/>
                <w:sz w:val="21"/>
                <w:szCs w:val="21"/>
                <w:lang w:val="en-US" w:eastAsia="zh-CN" w:bidi="ar"/>
              </w:rPr>
              <w:t>包</w:t>
            </w:r>
          </w:p>
        </w:tc>
        <w:tc>
          <w:tcPr>
            <w:tcW w:w="1077" w:type="dxa"/>
            <w:noWrap w:val="0"/>
            <w:vAlign w:val="center"/>
          </w:tcPr>
          <w:p w14:paraId="75A8F27D">
            <w:pPr>
              <w:keepNext w:val="0"/>
              <w:keepLines w:val="0"/>
              <w:pageBreakBefore w:val="0"/>
              <w:widowControl/>
              <w:kinsoku/>
              <w:wordWrap/>
              <w:overflowPunct/>
              <w:topLinePunct w:val="0"/>
              <w:bidi w:val="0"/>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超星数字资源</w:t>
            </w:r>
          </w:p>
        </w:tc>
        <w:tc>
          <w:tcPr>
            <w:tcW w:w="5586" w:type="dxa"/>
            <w:noWrap w:val="0"/>
            <w:vAlign w:val="top"/>
          </w:tcPr>
          <w:p w14:paraId="48C5AC8E">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、订购移动图书馆2.0、读秀知识库、超星学术视频、移动流媒体期刊阅读平台2027年全年远程访问权。</w:t>
            </w:r>
          </w:p>
          <w:p w14:paraId="0C5DB2B1">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2、订购超星AI馆员服务2026年使用权，内容包括构建图书馆专有智能，提供多种AI应用和一体化服务以及超星特色文献资源平台的升级维护。</w:t>
            </w:r>
          </w:p>
          <w:p w14:paraId="0D6E3FD0">
            <w:pPr>
              <w:keepNext w:val="0"/>
              <w:keepLines w:val="0"/>
              <w:pageBreakBefore w:val="0"/>
              <w:kinsoku/>
              <w:wordWrap/>
              <w:overflowPunct/>
              <w:topLinePunct w:val="0"/>
              <w:bidi w:val="0"/>
              <w:snapToGrid/>
              <w:spacing w:line="500" w:lineRule="exact"/>
              <w:textAlignment w:val="auto"/>
              <w:rPr>
                <w:rFonts w:hint="eastAsia" w:ascii="宋体" w:hAnsi="宋体" w:eastAsia="宋体" w:cs="宋体"/>
                <w:strike/>
                <w:color w:val="FF0000"/>
                <w:kern w:val="0"/>
                <w:sz w:val="21"/>
                <w:szCs w:val="21"/>
                <w:lang w:bidi="ar"/>
              </w:rPr>
            </w:pPr>
            <w:r>
              <w:rPr>
                <w:rFonts w:hint="eastAsia" w:ascii="宋体" w:hAnsi="宋体" w:eastAsia="宋体" w:cs="宋体"/>
                <w:color w:val="000000"/>
                <w:kern w:val="0"/>
                <w:sz w:val="21"/>
                <w:szCs w:val="21"/>
                <w:lang w:bidi="ar"/>
              </w:rPr>
              <w:t>3、订购本馆超星歌德电子书借阅系统2026年数据更新及设备维护服务，每月更新独家授权的电子图书，具备阅读、下载、个性化展示等功能。</w:t>
            </w:r>
          </w:p>
        </w:tc>
        <w:tc>
          <w:tcPr>
            <w:tcW w:w="735" w:type="dxa"/>
            <w:noWrap w:val="0"/>
            <w:vAlign w:val="center"/>
          </w:tcPr>
          <w:p w14:paraId="66314584">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批</w:t>
            </w:r>
          </w:p>
        </w:tc>
        <w:tc>
          <w:tcPr>
            <w:tcW w:w="660" w:type="dxa"/>
            <w:noWrap w:val="0"/>
            <w:vAlign w:val="center"/>
          </w:tcPr>
          <w:p w14:paraId="5ECBAA69">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库</w:t>
            </w:r>
          </w:p>
        </w:tc>
        <w:tc>
          <w:tcPr>
            <w:tcW w:w="1141" w:type="dxa"/>
            <w:noWrap w:val="0"/>
            <w:vAlign w:val="center"/>
          </w:tcPr>
          <w:p w14:paraId="361FCDFC">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38</w:t>
            </w:r>
          </w:p>
        </w:tc>
      </w:tr>
      <w:tr w14:paraId="4B3A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9" w:type="dxa"/>
            <w:noWrap w:val="0"/>
            <w:vAlign w:val="center"/>
          </w:tcPr>
          <w:p w14:paraId="1D812492">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w:t>
            </w:r>
            <w:r>
              <w:rPr>
                <w:rFonts w:hint="eastAsia" w:ascii="宋体" w:hAnsi="宋体" w:eastAsia="宋体" w:cs="宋体"/>
                <w:color w:val="000000"/>
                <w:kern w:val="0"/>
                <w:sz w:val="21"/>
                <w:szCs w:val="21"/>
                <w:lang w:val="en-US" w:eastAsia="zh-CN" w:bidi="ar"/>
              </w:rPr>
              <w:t>包</w:t>
            </w:r>
          </w:p>
        </w:tc>
        <w:tc>
          <w:tcPr>
            <w:tcW w:w="1077" w:type="dxa"/>
            <w:noWrap w:val="0"/>
            <w:vAlign w:val="center"/>
          </w:tcPr>
          <w:p w14:paraId="072ECF71">
            <w:pPr>
              <w:keepNext w:val="0"/>
              <w:keepLines w:val="0"/>
              <w:pageBreakBefore w:val="0"/>
              <w:widowControl/>
              <w:kinsoku/>
              <w:wordWrap/>
              <w:overflowPunct/>
              <w:topLinePunct w:val="0"/>
              <w:bidi w:val="0"/>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国研网</w:t>
            </w:r>
          </w:p>
        </w:tc>
        <w:tc>
          <w:tcPr>
            <w:tcW w:w="5586" w:type="dxa"/>
            <w:noWrap w:val="0"/>
            <w:vAlign w:val="top"/>
          </w:tcPr>
          <w:p w14:paraId="7E444052">
            <w:pPr>
              <w:keepNext w:val="0"/>
              <w:keepLines w:val="0"/>
              <w:pageBreakBefore w:val="0"/>
              <w:kinsoku/>
              <w:wordWrap/>
              <w:overflowPunct/>
              <w:topLinePunct w:val="0"/>
              <w:bidi w:val="0"/>
              <w:snapToGrid/>
              <w:spacing w:line="500" w:lineRule="exact"/>
              <w:textAlignment w:val="auto"/>
              <w:rPr>
                <w:rFonts w:hint="eastAsia" w:ascii="宋体" w:hAnsi="宋体" w:eastAsia="宋体" w:cs="宋体"/>
                <w:sz w:val="21"/>
                <w:szCs w:val="21"/>
              </w:rPr>
            </w:pPr>
            <w:r>
              <w:rPr>
                <w:rFonts w:hint="eastAsia" w:ascii="宋体" w:hAnsi="宋体" w:eastAsia="宋体" w:cs="宋体"/>
                <w:sz w:val="21"/>
                <w:szCs w:val="21"/>
              </w:rPr>
              <w:t>一、资源内容：</w:t>
            </w:r>
          </w:p>
          <w:p w14:paraId="4A605116">
            <w:pPr>
              <w:keepNext w:val="0"/>
              <w:keepLines w:val="0"/>
              <w:pageBreakBefore w:val="0"/>
              <w:kinsoku/>
              <w:wordWrap/>
              <w:overflowPunct/>
              <w:topLinePunct w:val="0"/>
              <w:bidi w:val="0"/>
              <w:snapToGrid/>
              <w:spacing w:line="500" w:lineRule="exact"/>
              <w:textAlignment w:val="auto"/>
              <w:rPr>
                <w:rFonts w:hint="eastAsia" w:ascii="宋体" w:hAnsi="宋体" w:eastAsia="宋体" w:cs="宋体"/>
                <w:sz w:val="21"/>
                <w:szCs w:val="21"/>
              </w:rPr>
            </w:pPr>
            <w:r>
              <w:rPr>
                <w:rFonts w:hint="eastAsia" w:ascii="宋体" w:hAnsi="宋体" w:eastAsia="宋体" w:cs="宋体"/>
                <w:sz w:val="21"/>
                <w:szCs w:val="21"/>
              </w:rPr>
              <w:t>1、专题文献库：国研视点、宏观经济、金融中国、行业经济、区域经济、企业胜经、世经评论、教育参考；</w:t>
            </w:r>
          </w:p>
          <w:p w14:paraId="5FD218CA">
            <w:pPr>
              <w:keepNext w:val="0"/>
              <w:keepLines w:val="0"/>
              <w:pageBreakBefore w:val="0"/>
              <w:kinsoku/>
              <w:wordWrap/>
              <w:overflowPunct/>
              <w:topLinePunct w:val="0"/>
              <w:bidi w:val="0"/>
              <w:snapToGrid/>
              <w:spacing w:line="500" w:lineRule="exact"/>
              <w:textAlignment w:val="auto"/>
              <w:rPr>
                <w:rFonts w:hint="eastAsia" w:ascii="宋体" w:hAnsi="宋体" w:eastAsia="宋体" w:cs="宋体"/>
                <w:sz w:val="21"/>
                <w:szCs w:val="21"/>
              </w:rPr>
            </w:pPr>
            <w:r>
              <w:rPr>
                <w:rFonts w:hint="eastAsia" w:ascii="宋体" w:hAnsi="宋体" w:eastAsia="宋体" w:cs="宋体"/>
                <w:sz w:val="21"/>
                <w:szCs w:val="21"/>
              </w:rPr>
              <w:t>2、统计数据库：区域经济数据库、宏观专题数据库（宏观经济数据库、资源环境数据库、人口就业数据库、居民生活数据库、教育统计数据库）。</w:t>
            </w:r>
          </w:p>
          <w:p w14:paraId="3C0CDF2F">
            <w:pPr>
              <w:keepNext w:val="0"/>
              <w:keepLines w:val="0"/>
              <w:pageBreakBefore w:val="0"/>
              <w:kinsoku/>
              <w:wordWrap/>
              <w:overflowPunct/>
              <w:topLinePunct w:val="0"/>
              <w:bidi w:val="0"/>
              <w:snapToGrid/>
              <w:spacing w:line="500" w:lineRule="exact"/>
              <w:textAlignment w:val="auto"/>
              <w:rPr>
                <w:rFonts w:hint="eastAsia" w:ascii="宋体" w:hAnsi="宋体" w:eastAsia="宋体" w:cs="宋体"/>
                <w:sz w:val="21"/>
                <w:szCs w:val="21"/>
              </w:rPr>
            </w:pPr>
            <w:r>
              <w:rPr>
                <w:rFonts w:hint="eastAsia" w:ascii="宋体" w:hAnsi="宋体" w:eastAsia="宋体" w:cs="宋体"/>
                <w:sz w:val="21"/>
                <w:szCs w:val="21"/>
              </w:rPr>
              <w:t>二、服务方式和时间：</w:t>
            </w:r>
          </w:p>
          <w:p w14:paraId="6B2A44E3">
            <w:pPr>
              <w:keepNext w:val="0"/>
              <w:keepLines w:val="0"/>
              <w:pageBreakBefore w:val="0"/>
              <w:kinsoku/>
              <w:wordWrap/>
              <w:overflowPunct/>
              <w:topLinePunct w:val="0"/>
              <w:bidi w:val="0"/>
              <w:snapToGrid/>
              <w:spacing w:line="500" w:lineRule="exact"/>
              <w:textAlignment w:val="auto"/>
              <w:rPr>
                <w:rFonts w:hint="eastAsia" w:ascii="宋体" w:hAnsi="宋体" w:eastAsia="宋体" w:cs="宋体"/>
                <w:sz w:val="21"/>
                <w:szCs w:val="21"/>
              </w:rPr>
            </w:pPr>
            <w:r>
              <w:rPr>
                <w:rFonts w:hint="eastAsia" w:ascii="宋体" w:hAnsi="宋体" w:eastAsia="宋体" w:cs="宋体"/>
                <w:sz w:val="21"/>
                <w:szCs w:val="21"/>
              </w:rPr>
              <w:t>1、服务方式：远程包库；</w:t>
            </w:r>
          </w:p>
          <w:p w14:paraId="0ECDFD75">
            <w:pPr>
              <w:keepNext w:val="0"/>
              <w:keepLines w:val="0"/>
              <w:pageBreakBefore w:val="0"/>
              <w:kinsoku/>
              <w:wordWrap/>
              <w:overflowPunct/>
              <w:topLinePunct w:val="0"/>
              <w:bidi w:val="0"/>
              <w:snapToGrid/>
              <w:spacing w:line="500" w:lineRule="exact"/>
              <w:textAlignment w:val="auto"/>
              <w:rPr>
                <w:rFonts w:hint="eastAsia" w:ascii="宋体" w:hAnsi="宋体" w:eastAsia="宋体" w:cs="宋体"/>
                <w:sz w:val="21"/>
                <w:szCs w:val="21"/>
              </w:rPr>
            </w:pPr>
            <w:r>
              <w:rPr>
                <w:rFonts w:hint="eastAsia" w:ascii="宋体" w:hAnsi="宋体" w:eastAsia="宋体" w:cs="宋体"/>
                <w:sz w:val="21"/>
                <w:szCs w:val="21"/>
              </w:rPr>
              <w:t>2、服务时间：2026.9.1-2027.8.31</w:t>
            </w:r>
          </w:p>
        </w:tc>
        <w:tc>
          <w:tcPr>
            <w:tcW w:w="735" w:type="dxa"/>
            <w:noWrap w:val="0"/>
            <w:vAlign w:val="center"/>
          </w:tcPr>
          <w:p w14:paraId="26FC7F60">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660" w:type="dxa"/>
            <w:noWrap w:val="0"/>
            <w:vAlign w:val="center"/>
          </w:tcPr>
          <w:p w14:paraId="551CB834">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库</w:t>
            </w:r>
          </w:p>
        </w:tc>
        <w:tc>
          <w:tcPr>
            <w:tcW w:w="1141" w:type="dxa"/>
            <w:noWrap w:val="0"/>
            <w:vAlign w:val="center"/>
          </w:tcPr>
          <w:p w14:paraId="7EEA3F37">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w:t>
            </w:r>
          </w:p>
        </w:tc>
      </w:tr>
      <w:tr w14:paraId="23F1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9" w:type="dxa"/>
            <w:noWrap w:val="0"/>
            <w:vAlign w:val="center"/>
          </w:tcPr>
          <w:p w14:paraId="59198A6E">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w:t>
            </w:r>
            <w:r>
              <w:rPr>
                <w:rFonts w:hint="eastAsia" w:ascii="宋体" w:hAnsi="宋体" w:eastAsia="宋体" w:cs="宋体"/>
                <w:color w:val="000000"/>
                <w:kern w:val="0"/>
                <w:sz w:val="21"/>
                <w:szCs w:val="21"/>
                <w:lang w:val="en-US" w:eastAsia="zh-CN" w:bidi="ar"/>
              </w:rPr>
              <w:t>包</w:t>
            </w:r>
          </w:p>
        </w:tc>
        <w:tc>
          <w:tcPr>
            <w:tcW w:w="1077" w:type="dxa"/>
            <w:noWrap w:val="0"/>
            <w:vAlign w:val="center"/>
          </w:tcPr>
          <w:p w14:paraId="3847C640">
            <w:pPr>
              <w:keepNext w:val="0"/>
              <w:keepLines w:val="0"/>
              <w:pageBreakBefore w:val="0"/>
              <w:widowControl/>
              <w:kinsoku/>
              <w:wordWrap/>
              <w:overflowPunct/>
              <w:topLinePunct w:val="0"/>
              <w:bidi w:val="0"/>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中国共产党思想理论资源数据库</w:t>
            </w:r>
          </w:p>
        </w:tc>
        <w:tc>
          <w:tcPr>
            <w:tcW w:w="5586" w:type="dxa"/>
            <w:noWrap w:val="0"/>
            <w:vAlign w:val="top"/>
          </w:tcPr>
          <w:p w14:paraId="7CBB6189">
            <w:pPr>
              <w:pStyle w:val="24"/>
              <w:keepNext w:val="0"/>
              <w:keepLines w:val="0"/>
              <w:pageBreakBefore w:val="0"/>
              <w:kinsoku/>
              <w:wordWrap/>
              <w:overflowPunct/>
              <w:topLinePunct w:val="0"/>
              <w:bidi w:val="0"/>
              <w:snapToGrid/>
              <w:spacing w:after="0" w:line="50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中国共产党思想理论资源数据库，是国家重大马克思主义数字传播工程，由人民出版社在中宣部、财政部和国家新闻出版广电总局的直接指导下开发建成。数据库系统、完整地收入了建党以来出版的所有马克思列宁主义中文版经典著作和党的文件、文献。并配以功能强大的数据库使用工具，形成了一个内容权威、功能实用的专业精品数据库。被党政干部和专家学者称为“用科学技术传播中国化马克思主义的重大创新工程”。网络包库，续订该数据库的2027年远程访问权。</w:t>
            </w:r>
          </w:p>
        </w:tc>
        <w:tc>
          <w:tcPr>
            <w:tcW w:w="735" w:type="dxa"/>
            <w:noWrap w:val="0"/>
            <w:vAlign w:val="center"/>
          </w:tcPr>
          <w:p w14:paraId="4AECF3F4">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660" w:type="dxa"/>
            <w:noWrap w:val="0"/>
            <w:vAlign w:val="center"/>
          </w:tcPr>
          <w:p w14:paraId="4D00CC1E">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库</w:t>
            </w:r>
          </w:p>
        </w:tc>
        <w:tc>
          <w:tcPr>
            <w:tcW w:w="1141" w:type="dxa"/>
            <w:noWrap w:val="0"/>
            <w:vAlign w:val="center"/>
          </w:tcPr>
          <w:p w14:paraId="7150BC3F">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r>
      <w:tr w14:paraId="4AB1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9" w:type="dxa"/>
            <w:noWrap w:val="0"/>
            <w:vAlign w:val="center"/>
          </w:tcPr>
          <w:p w14:paraId="4F32C18E">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w:t>
            </w:r>
            <w:r>
              <w:rPr>
                <w:rFonts w:hint="eastAsia" w:ascii="宋体" w:hAnsi="宋体" w:eastAsia="宋体" w:cs="宋体"/>
                <w:color w:val="000000"/>
                <w:kern w:val="0"/>
                <w:sz w:val="21"/>
                <w:szCs w:val="21"/>
                <w:lang w:val="en-US" w:eastAsia="zh-CN" w:bidi="ar"/>
              </w:rPr>
              <w:t>包</w:t>
            </w:r>
          </w:p>
        </w:tc>
        <w:tc>
          <w:tcPr>
            <w:tcW w:w="1077" w:type="dxa"/>
            <w:noWrap w:val="0"/>
            <w:vAlign w:val="center"/>
          </w:tcPr>
          <w:p w14:paraId="7B1F7355">
            <w:pPr>
              <w:keepNext w:val="0"/>
              <w:keepLines w:val="0"/>
              <w:pageBreakBefore w:val="0"/>
              <w:widowControl/>
              <w:kinsoku/>
              <w:wordWrap/>
              <w:overflowPunct/>
              <w:topLinePunct w:val="0"/>
              <w:bidi w:val="0"/>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银符考试题库</w:t>
            </w:r>
          </w:p>
        </w:tc>
        <w:tc>
          <w:tcPr>
            <w:tcW w:w="5586" w:type="dxa"/>
            <w:noWrap w:val="0"/>
            <w:vAlign w:val="top"/>
          </w:tcPr>
          <w:p w14:paraId="0D8FDAB7">
            <w:pPr>
              <w:keepNext w:val="0"/>
              <w:keepLines w:val="0"/>
              <w:pageBreakBefore w:val="0"/>
              <w:kinsoku/>
              <w:wordWrap/>
              <w:overflowPunct/>
              <w:topLinePunct w:val="0"/>
              <w:bidi w:val="0"/>
              <w:snapToGrid/>
              <w:spacing w:line="500" w:lineRule="exact"/>
              <w:textAlignment w:val="auto"/>
              <w:rPr>
                <w:rFonts w:hint="eastAsia" w:ascii="宋体" w:hAnsi="宋体" w:eastAsia="宋体" w:cs="宋体"/>
                <w:sz w:val="21"/>
                <w:szCs w:val="21"/>
              </w:rPr>
            </w:pPr>
            <w:r>
              <w:rPr>
                <w:rFonts w:hint="eastAsia" w:ascii="宋体" w:hAnsi="宋体" w:eastAsia="宋体" w:cs="宋体"/>
                <w:sz w:val="21"/>
                <w:szCs w:val="21"/>
              </w:rPr>
              <w:t>银符考试题库以丰富的考试资源为主题，以强大的功能为支持，以优质的服务为保障，为用户搭建一个集资源、学习、考试练习与教学交流为一体的综合性在线考试和学习平台。续订该数据库2027年远程访问权、本地镜像数据更新，入馆教育考试系统2026年维护服务。</w:t>
            </w:r>
          </w:p>
        </w:tc>
        <w:tc>
          <w:tcPr>
            <w:tcW w:w="735" w:type="dxa"/>
            <w:noWrap w:val="0"/>
            <w:vAlign w:val="center"/>
          </w:tcPr>
          <w:p w14:paraId="004258BC">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660" w:type="dxa"/>
            <w:noWrap w:val="0"/>
            <w:vAlign w:val="center"/>
          </w:tcPr>
          <w:p w14:paraId="3D4BC185">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库</w:t>
            </w:r>
          </w:p>
        </w:tc>
        <w:tc>
          <w:tcPr>
            <w:tcW w:w="1141" w:type="dxa"/>
            <w:noWrap w:val="0"/>
            <w:vAlign w:val="center"/>
          </w:tcPr>
          <w:p w14:paraId="2E2B237D">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r>
      <w:tr w14:paraId="3EBE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9" w:type="dxa"/>
            <w:noWrap w:val="0"/>
            <w:vAlign w:val="center"/>
          </w:tcPr>
          <w:p w14:paraId="0DA38DEF">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w:t>
            </w:r>
            <w:r>
              <w:rPr>
                <w:rFonts w:hint="eastAsia" w:ascii="宋体" w:hAnsi="宋体" w:eastAsia="宋体" w:cs="宋体"/>
                <w:color w:val="000000"/>
                <w:kern w:val="0"/>
                <w:sz w:val="21"/>
                <w:szCs w:val="21"/>
                <w:lang w:val="en-US" w:eastAsia="zh-CN" w:bidi="ar"/>
              </w:rPr>
              <w:t>包</w:t>
            </w:r>
          </w:p>
        </w:tc>
        <w:tc>
          <w:tcPr>
            <w:tcW w:w="1077" w:type="dxa"/>
            <w:noWrap w:val="0"/>
            <w:vAlign w:val="center"/>
          </w:tcPr>
          <w:p w14:paraId="01BBB0F7">
            <w:pPr>
              <w:keepNext w:val="0"/>
              <w:keepLines w:val="0"/>
              <w:pageBreakBefore w:val="0"/>
              <w:widowControl/>
              <w:kinsoku/>
              <w:wordWrap/>
              <w:overflowPunct/>
              <w:topLinePunct w:val="0"/>
              <w:bidi w:val="0"/>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新东方多媒体学习库</w:t>
            </w:r>
          </w:p>
        </w:tc>
        <w:tc>
          <w:tcPr>
            <w:tcW w:w="5586" w:type="dxa"/>
            <w:noWrap w:val="0"/>
            <w:vAlign w:val="top"/>
          </w:tcPr>
          <w:p w14:paraId="63F83C31">
            <w:pPr>
              <w:keepNext w:val="0"/>
              <w:keepLines w:val="0"/>
              <w:pageBreakBefore w:val="0"/>
              <w:kinsoku/>
              <w:wordWrap/>
              <w:overflowPunct/>
              <w:topLinePunct w:val="0"/>
              <w:bidi w:val="0"/>
              <w:snapToGrid/>
              <w:spacing w:line="500" w:lineRule="exact"/>
              <w:textAlignment w:val="auto"/>
              <w:rPr>
                <w:rFonts w:hint="eastAsia" w:ascii="宋体" w:hAnsi="宋体" w:eastAsia="宋体" w:cs="宋体"/>
                <w:sz w:val="21"/>
                <w:szCs w:val="21"/>
              </w:rPr>
            </w:pPr>
            <w:r>
              <w:rPr>
                <w:rFonts w:hint="eastAsia" w:ascii="宋体" w:hAnsi="宋体" w:eastAsia="宋体" w:cs="宋体"/>
                <w:sz w:val="21"/>
                <w:szCs w:val="21"/>
              </w:rPr>
              <w:t>一、提供以下课程的使用和更新：</w:t>
            </w:r>
          </w:p>
          <w:p w14:paraId="5274C9D2">
            <w:pPr>
              <w:keepNext w:val="0"/>
              <w:keepLines w:val="0"/>
              <w:pageBreakBefore w:val="0"/>
              <w:kinsoku/>
              <w:wordWrap/>
              <w:overflowPunct/>
              <w:topLinePunct w:val="0"/>
              <w:bidi w:val="0"/>
              <w:snapToGrid/>
              <w:spacing w:line="5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1、大学四级课程，包含：大学英语四级大纲解析、大学英语四级备考指导、大学英语四级基础词汇精讲、大学英语四级应试技巧之写作、大学英语四级应试技巧-翻译、大学英语四级应试技巧-听力、大学英语四级应试技巧-阅读、大学英语四级五年真题解析等课程。</w:t>
            </w:r>
          </w:p>
          <w:p w14:paraId="442CD178">
            <w:pPr>
              <w:keepNext w:val="0"/>
              <w:keepLines w:val="0"/>
              <w:pageBreakBefore w:val="0"/>
              <w:kinsoku/>
              <w:wordWrap/>
              <w:overflowPunct/>
              <w:topLinePunct w:val="0"/>
              <w:bidi w:val="0"/>
              <w:snapToGrid/>
              <w:spacing w:line="500" w:lineRule="exact"/>
              <w:textAlignment w:val="auto"/>
              <w:rPr>
                <w:rFonts w:hint="eastAsia" w:ascii="宋体" w:hAnsi="宋体" w:eastAsia="宋体" w:cs="宋体"/>
                <w:sz w:val="21"/>
                <w:szCs w:val="21"/>
              </w:rPr>
            </w:pPr>
            <w:r>
              <w:rPr>
                <w:rFonts w:hint="eastAsia" w:ascii="宋体" w:hAnsi="宋体" w:eastAsia="宋体" w:cs="宋体"/>
                <w:sz w:val="21"/>
                <w:szCs w:val="21"/>
              </w:rPr>
              <w:t>2、大学英语六级课程，包含：大学英语六级大纲解析、大学英语六级备考指导、大学英语六级高频词汇精讲、六级阅读强化、六级翻译强化、六级写作强化、大学英语六级应试技巧-写作、大学英语六级应试技巧-翻译、大学英语六级应试技巧-听力、大学英语六级应试技巧-阅读、大学英语六级五年真题解析等课程。</w:t>
            </w:r>
          </w:p>
          <w:p w14:paraId="470B964D">
            <w:pPr>
              <w:keepNext w:val="0"/>
              <w:keepLines w:val="0"/>
              <w:pageBreakBefore w:val="0"/>
              <w:kinsoku/>
              <w:wordWrap/>
              <w:overflowPunct/>
              <w:topLinePunct w:val="0"/>
              <w:bidi w:val="0"/>
              <w:snapToGrid/>
              <w:spacing w:line="500" w:lineRule="exact"/>
              <w:textAlignment w:val="auto"/>
              <w:rPr>
                <w:rFonts w:hint="eastAsia" w:ascii="宋体" w:hAnsi="宋体" w:eastAsia="宋体" w:cs="宋体"/>
                <w:sz w:val="21"/>
                <w:szCs w:val="21"/>
              </w:rPr>
            </w:pPr>
            <w:r>
              <w:rPr>
                <w:rFonts w:hint="eastAsia" w:ascii="宋体" w:hAnsi="宋体" w:eastAsia="宋体" w:cs="宋体"/>
                <w:sz w:val="21"/>
                <w:szCs w:val="21"/>
              </w:rPr>
              <w:t>3、考研英语课程，包含：考研英语备考指导、考研英语核心词汇精讲、考研英语应试技巧之阅读、考研英语应试技巧之写作、考研英语翻译单项精讲、考研英语应试技巧之选择搭配、考研英语应试技巧之完型填空、考研英语五年真题解析等课程。</w:t>
            </w:r>
          </w:p>
          <w:p w14:paraId="1B96B8C5">
            <w:pPr>
              <w:keepNext w:val="0"/>
              <w:keepLines w:val="0"/>
              <w:pageBreakBefore w:val="0"/>
              <w:kinsoku/>
              <w:wordWrap/>
              <w:overflowPunct/>
              <w:topLinePunct w:val="0"/>
              <w:bidi w:val="0"/>
              <w:snapToGrid/>
              <w:spacing w:line="500" w:lineRule="exact"/>
              <w:textAlignment w:val="auto"/>
              <w:rPr>
                <w:rFonts w:hint="eastAsia" w:ascii="宋体" w:hAnsi="宋体" w:eastAsia="宋体" w:cs="宋体"/>
                <w:sz w:val="21"/>
                <w:szCs w:val="21"/>
              </w:rPr>
            </w:pPr>
            <w:r>
              <w:rPr>
                <w:rFonts w:hint="eastAsia" w:ascii="宋体" w:hAnsi="宋体" w:eastAsia="宋体" w:cs="宋体"/>
                <w:sz w:val="21"/>
                <w:szCs w:val="21"/>
              </w:rPr>
              <w:t>二、提供考试频道、资讯频道、直播频道三个学习板块，提供在线考试、最新资讯资料和直播备考指导。</w:t>
            </w:r>
          </w:p>
          <w:p w14:paraId="2D79007C">
            <w:pPr>
              <w:keepNext w:val="0"/>
              <w:keepLines w:val="0"/>
              <w:pageBreakBefore w:val="0"/>
              <w:kinsoku/>
              <w:wordWrap/>
              <w:overflowPunct/>
              <w:topLinePunct w:val="0"/>
              <w:bidi w:val="0"/>
              <w:snapToGrid/>
              <w:spacing w:line="500" w:lineRule="exact"/>
              <w:textAlignment w:val="auto"/>
              <w:rPr>
                <w:rFonts w:hint="eastAsia" w:ascii="宋体" w:hAnsi="宋体" w:eastAsia="宋体" w:cs="宋体"/>
                <w:sz w:val="21"/>
                <w:szCs w:val="21"/>
              </w:rPr>
            </w:pPr>
            <w:r>
              <w:rPr>
                <w:rFonts w:hint="eastAsia" w:ascii="宋体" w:hAnsi="宋体" w:eastAsia="宋体" w:cs="宋体"/>
                <w:sz w:val="21"/>
                <w:szCs w:val="21"/>
              </w:rPr>
              <w:t>三、续订该数据库2027年的远程访问权。</w:t>
            </w:r>
          </w:p>
        </w:tc>
        <w:tc>
          <w:tcPr>
            <w:tcW w:w="735" w:type="dxa"/>
            <w:noWrap w:val="0"/>
            <w:vAlign w:val="center"/>
          </w:tcPr>
          <w:p w14:paraId="3E4A0CA6">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660" w:type="dxa"/>
            <w:noWrap w:val="0"/>
            <w:vAlign w:val="center"/>
          </w:tcPr>
          <w:p w14:paraId="1683B6AC">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库</w:t>
            </w:r>
          </w:p>
        </w:tc>
        <w:tc>
          <w:tcPr>
            <w:tcW w:w="1141" w:type="dxa"/>
            <w:noWrap w:val="0"/>
            <w:vAlign w:val="center"/>
          </w:tcPr>
          <w:p w14:paraId="223C6A76">
            <w:pPr>
              <w:keepNext w:val="0"/>
              <w:keepLines w:val="0"/>
              <w:pageBreakBefore w:val="0"/>
              <w:kinsoku/>
              <w:wordWrap/>
              <w:overflowPunct/>
              <w:topLinePunct w:val="0"/>
              <w:bidi w:val="0"/>
              <w:snapToGrid/>
              <w:spacing w:line="500" w:lineRule="exact"/>
              <w:jc w:val="center"/>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6.23</w:t>
            </w:r>
          </w:p>
        </w:tc>
      </w:tr>
      <w:tr w14:paraId="0750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9" w:type="dxa"/>
            <w:noWrap w:val="0"/>
            <w:vAlign w:val="center"/>
          </w:tcPr>
          <w:p w14:paraId="4FB0397A">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w:t>
            </w:r>
            <w:r>
              <w:rPr>
                <w:rFonts w:hint="eastAsia" w:ascii="宋体" w:hAnsi="宋体" w:eastAsia="宋体" w:cs="宋体"/>
                <w:color w:val="000000"/>
                <w:kern w:val="0"/>
                <w:sz w:val="21"/>
                <w:szCs w:val="21"/>
                <w:lang w:val="en-US" w:eastAsia="zh-CN" w:bidi="ar"/>
              </w:rPr>
              <w:t>包</w:t>
            </w:r>
          </w:p>
        </w:tc>
        <w:tc>
          <w:tcPr>
            <w:tcW w:w="1077" w:type="dxa"/>
            <w:noWrap w:val="0"/>
            <w:vAlign w:val="center"/>
          </w:tcPr>
          <w:p w14:paraId="626B0B79">
            <w:pPr>
              <w:keepNext w:val="0"/>
              <w:keepLines w:val="0"/>
              <w:pageBreakBefore w:val="0"/>
              <w:widowControl/>
              <w:kinsoku/>
              <w:wordWrap/>
              <w:overflowPunct/>
              <w:topLinePunct w:val="0"/>
              <w:bidi w:val="0"/>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起点考研网</w:t>
            </w:r>
          </w:p>
        </w:tc>
        <w:tc>
          <w:tcPr>
            <w:tcW w:w="5586" w:type="dxa"/>
            <w:noWrap w:val="0"/>
            <w:vAlign w:val="top"/>
          </w:tcPr>
          <w:p w14:paraId="6FB33FF2">
            <w:pPr>
              <w:keepNext w:val="0"/>
              <w:keepLines w:val="0"/>
              <w:pageBreakBefore w:val="0"/>
              <w:kinsoku/>
              <w:wordWrap/>
              <w:overflowPunct/>
              <w:topLinePunct w:val="0"/>
              <w:bidi w:val="0"/>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起点考研网》视频资料来源于国内知名考研培训机构-跨考教育，由国内知名讲师结合考试大纲针对历年命题规律，对考点、难点、复习方法及考试注意事项进行系统的讲解；同时精选了北京理工大学出版社、人民大学出版社的优秀课程辅导丛书，包括试题解读、章节练习、模拟试卷等；根据内容难易程度，按照基础班、强化班、冲刺班划分，适合于各阶段的考生学习。本次采购考研研视频辅导课程公共课课程包括：考研政治、考研数学、考研英语、管理类综合、经济类综合，统考专业课课程包括：计算机、教育学、法律硕士。专业硕士课程包括：金融硕士、管理学、经济学。服务方式：远程访问，不受访问地点限制。续订该数据库的2027年远程访问权。</w:t>
            </w:r>
          </w:p>
        </w:tc>
        <w:tc>
          <w:tcPr>
            <w:tcW w:w="735" w:type="dxa"/>
            <w:noWrap w:val="0"/>
            <w:vAlign w:val="center"/>
          </w:tcPr>
          <w:p w14:paraId="5184246C">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660" w:type="dxa"/>
            <w:noWrap w:val="0"/>
            <w:vAlign w:val="center"/>
          </w:tcPr>
          <w:p w14:paraId="4E596434">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库</w:t>
            </w:r>
          </w:p>
        </w:tc>
        <w:tc>
          <w:tcPr>
            <w:tcW w:w="1141" w:type="dxa"/>
            <w:noWrap w:val="0"/>
            <w:vAlign w:val="center"/>
          </w:tcPr>
          <w:p w14:paraId="47AD4C82">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r>
      <w:tr w14:paraId="43EF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9" w:type="dxa"/>
            <w:noWrap w:val="0"/>
            <w:vAlign w:val="center"/>
          </w:tcPr>
          <w:p w14:paraId="51B9E140">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w:t>
            </w:r>
            <w:r>
              <w:rPr>
                <w:rFonts w:hint="eastAsia" w:ascii="宋体" w:hAnsi="宋体" w:eastAsia="宋体" w:cs="宋体"/>
                <w:color w:val="000000"/>
                <w:kern w:val="0"/>
                <w:sz w:val="21"/>
                <w:szCs w:val="21"/>
                <w:lang w:val="en-US" w:eastAsia="zh-CN" w:bidi="ar"/>
              </w:rPr>
              <w:t>包</w:t>
            </w:r>
          </w:p>
        </w:tc>
        <w:tc>
          <w:tcPr>
            <w:tcW w:w="1077" w:type="dxa"/>
            <w:noWrap w:val="0"/>
            <w:vAlign w:val="center"/>
          </w:tcPr>
          <w:p w14:paraId="7BFBA271">
            <w:pPr>
              <w:keepNext w:val="0"/>
              <w:keepLines w:val="0"/>
              <w:pageBreakBefore w:val="0"/>
              <w:widowControl/>
              <w:kinsoku/>
              <w:wordWrap/>
              <w:overflowPunct/>
              <w:topLinePunct w:val="0"/>
              <w:bidi w:val="0"/>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库客数字音乐图书馆</w:t>
            </w:r>
          </w:p>
        </w:tc>
        <w:tc>
          <w:tcPr>
            <w:tcW w:w="5586" w:type="dxa"/>
            <w:noWrap w:val="0"/>
            <w:vAlign w:val="top"/>
          </w:tcPr>
          <w:p w14:paraId="62276F82">
            <w:pPr>
              <w:keepNext w:val="0"/>
              <w:keepLines w:val="0"/>
              <w:pageBreakBefore w:val="0"/>
              <w:kinsoku/>
              <w:wordWrap/>
              <w:overflowPunct/>
              <w:topLinePunct w:val="0"/>
              <w:bidi w:val="0"/>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库客数字音乐图书馆是国内唯一一家专注于非流行音乐发展的数字音乐图书馆。目前已收藏了世界上98%以上的古典音乐，以及世界各国独具特色的民族风情音乐、爵士音乐、电影音乐、新世纪音乐等多种音乐类型，并配备有丰富的文字资料介绍，共汇聚了中世纪到近现代9000多位艺术家、100多种乐器的音乐作品，56万首曲目。续订该数据库的2027年使用权。</w:t>
            </w:r>
          </w:p>
        </w:tc>
        <w:tc>
          <w:tcPr>
            <w:tcW w:w="735" w:type="dxa"/>
            <w:noWrap w:val="0"/>
            <w:vAlign w:val="center"/>
          </w:tcPr>
          <w:p w14:paraId="2F1CB9AF">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660" w:type="dxa"/>
            <w:noWrap w:val="0"/>
            <w:vAlign w:val="center"/>
          </w:tcPr>
          <w:p w14:paraId="49631DC3">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库</w:t>
            </w:r>
          </w:p>
        </w:tc>
        <w:tc>
          <w:tcPr>
            <w:tcW w:w="1141" w:type="dxa"/>
            <w:noWrap w:val="0"/>
            <w:vAlign w:val="center"/>
          </w:tcPr>
          <w:p w14:paraId="1660672F">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r>
      <w:tr w14:paraId="2B1E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9" w:type="dxa"/>
            <w:noWrap w:val="0"/>
            <w:vAlign w:val="center"/>
          </w:tcPr>
          <w:p w14:paraId="50B4E873">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w:t>
            </w:r>
            <w:r>
              <w:rPr>
                <w:rFonts w:hint="eastAsia" w:ascii="宋体" w:hAnsi="宋体" w:eastAsia="宋体" w:cs="宋体"/>
                <w:color w:val="000000"/>
                <w:kern w:val="0"/>
                <w:sz w:val="21"/>
                <w:szCs w:val="21"/>
                <w:lang w:val="en-US" w:eastAsia="zh-CN" w:bidi="ar"/>
              </w:rPr>
              <w:t>包</w:t>
            </w:r>
          </w:p>
        </w:tc>
        <w:tc>
          <w:tcPr>
            <w:tcW w:w="1077" w:type="dxa"/>
            <w:noWrap w:val="0"/>
            <w:vAlign w:val="center"/>
          </w:tcPr>
          <w:p w14:paraId="0B7B0BE4">
            <w:pPr>
              <w:keepNext w:val="0"/>
              <w:keepLines w:val="0"/>
              <w:pageBreakBefore w:val="0"/>
              <w:widowControl/>
              <w:kinsoku/>
              <w:wordWrap/>
              <w:overflowPunct/>
              <w:topLinePunct w:val="0"/>
              <w:bidi w:val="0"/>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EBSCO ASC+BSC数据库</w:t>
            </w:r>
          </w:p>
        </w:tc>
        <w:tc>
          <w:tcPr>
            <w:tcW w:w="5586" w:type="dxa"/>
            <w:noWrap w:val="0"/>
            <w:vAlign w:val="top"/>
          </w:tcPr>
          <w:p w14:paraId="0A7EC0AD">
            <w:pPr>
              <w:keepNext w:val="0"/>
              <w:keepLines w:val="0"/>
              <w:pageBreakBefore w:val="0"/>
              <w:kinsoku/>
              <w:wordWrap/>
              <w:overflowPunct/>
              <w:topLinePunct w:val="0"/>
              <w:bidi w:val="0"/>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Academic Search Complete 综合学术参考类全文数据库，提供8900多种全文期刊；Business Source Complete商管财经类全文数据库，提供3700多种期刊的全文，包括商业案例，哈佛商业评论等内容。除ASC和BSC，另外国内高校还可使用7个免费资源，如 ERIC、 MEDLINE、Newspaper Source等。 DRAA组团采购EBSCO ASC+BSC全文数据库，并以各省为单位成立地区团，作为DRAA中国集团的一部分。我校参加了安徽高校图书馆的集团采购，续订Ebsco期刊数据库2026.7.1-2027.6.30访问权。</w:t>
            </w:r>
          </w:p>
        </w:tc>
        <w:tc>
          <w:tcPr>
            <w:tcW w:w="735" w:type="dxa"/>
            <w:noWrap w:val="0"/>
            <w:vAlign w:val="center"/>
          </w:tcPr>
          <w:p w14:paraId="3463F00B">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660" w:type="dxa"/>
            <w:noWrap w:val="0"/>
            <w:vAlign w:val="center"/>
          </w:tcPr>
          <w:p w14:paraId="7E250A05">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库</w:t>
            </w:r>
          </w:p>
        </w:tc>
        <w:tc>
          <w:tcPr>
            <w:tcW w:w="1141" w:type="dxa"/>
            <w:noWrap w:val="0"/>
            <w:vAlign w:val="center"/>
          </w:tcPr>
          <w:p w14:paraId="38387093">
            <w:pPr>
              <w:keepNext w:val="0"/>
              <w:keepLines w:val="0"/>
              <w:pageBreakBefore w:val="0"/>
              <w:kinsoku/>
              <w:wordWrap/>
              <w:overflowPunct/>
              <w:topLinePunct w:val="0"/>
              <w:bidi w:val="0"/>
              <w:snapToGrid/>
              <w:spacing w:line="500" w:lineRule="exact"/>
              <w:jc w:val="center"/>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2.32</w:t>
            </w:r>
          </w:p>
        </w:tc>
      </w:tr>
      <w:tr w14:paraId="4AF6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9" w:type="dxa"/>
            <w:noWrap w:val="0"/>
            <w:vAlign w:val="center"/>
          </w:tcPr>
          <w:p w14:paraId="1063FA16">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w:t>
            </w:r>
            <w:r>
              <w:rPr>
                <w:rFonts w:hint="eastAsia" w:ascii="宋体" w:hAnsi="宋体" w:eastAsia="宋体" w:cs="宋体"/>
                <w:color w:val="000000"/>
                <w:kern w:val="0"/>
                <w:sz w:val="21"/>
                <w:szCs w:val="21"/>
                <w:lang w:val="en-US" w:eastAsia="zh-CN" w:bidi="ar"/>
              </w:rPr>
              <w:t>包</w:t>
            </w:r>
          </w:p>
        </w:tc>
        <w:tc>
          <w:tcPr>
            <w:tcW w:w="1077" w:type="dxa"/>
            <w:noWrap w:val="0"/>
            <w:vAlign w:val="center"/>
          </w:tcPr>
          <w:p w14:paraId="7F07EFBF">
            <w:pPr>
              <w:keepNext w:val="0"/>
              <w:keepLines w:val="0"/>
              <w:pageBreakBefore w:val="0"/>
              <w:widowControl/>
              <w:kinsoku/>
              <w:wordWrap/>
              <w:overflowPunct/>
              <w:topLinePunct w:val="0"/>
              <w:bidi w:val="0"/>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EBSCO优选专题数据库群</w:t>
            </w:r>
          </w:p>
        </w:tc>
        <w:tc>
          <w:tcPr>
            <w:tcW w:w="5586" w:type="dxa"/>
            <w:noWrap w:val="0"/>
            <w:vAlign w:val="top"/>
          </w:tcPr>
          <w:p w14:paraId="75993291">
            <w:pPr>
              <w:keepNext w:val="0"/>
              <w:keepLines w:val="0"/>
              <w:pageBreakBefore w:val="0"/>
              <w:kinsoku/>
              <w:wordWrap/>
              <w:overflowPunct/>
              <w:topLinePunct w:val="0"/>
              <w:bidi w:val="0"/>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提供以下15个专题数据库服务：STM Source 理工科全文数据库、Art &amp; Architecture Source艺术与建筑全文数据库、IT Source信息科学数据库、Applied Science &amp; Technology Source应用科学与技术专题库、Food Science Source食品科学全文数据库、Engineering Source工程学全集数据库、Environment Complete环境科学全文数据库、Energy &amp; Power Source国际能源与动力全文库、Library, Information Science &amp; Technology Abstract with Full Text图书馆信息学全文数据库、SPORT Discus with Full Text运动科学与康复医学全文库、Book Review Digest 威尔逊图书评论摘要数据库、ALtHealthWatch辅助及整合医学数据库、Medline FT生物医学全文库、Dentistry &amp; Oral Sciences Source牙医与口腔卫生全文库、Nursing and Allied Health Reference Source健康专业研究资源库。总计提供的期刊、电子书、市场分析报告不少于10000种。要求文献收录能较好的覆盖我校理工学科的外文文献应用需求。续订以上15个专题数据库2027年访问权。</w:t>
            </w:r>
          </w:p>
        </w:tc>
        <w:tc>
          <w:tcPr>
            <w:tcW w:w="735" w:type="dxa"/>
            <w:noWrap w:val="0"/>
            <w:vAlign w:val="center"/>
          </w:tcPr>
          <w:p w14:paraId="3ECE7D06">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660" w:type="dxa"/>
            <w:noWrap w:val="0"/>
            <w:vAlign w:val="center"/>
          </w:tcPr>
          <w:p w14:paraId="22C4CD6A">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库</w:t>
            </w:r>
          </w:p>
        </w:tc>
        <w:tc>
          <w:tcPr>
            <w:tcW w:w="1141" w:type="dxa"/>
            <w:noWrap w:val="0"/>
            <w:vAlign w:val="center"/>
          </w:tcPr>
          <w:p w14:paraId="3BF09B28">
            <w:pPr>
              <w:keepNext w:val="0"/>
              <w:keepLines w:val="0"/>
              <w:pageBreakBefore w:val="0"/>
              <w:kinsoku/>
              <w:wordWrap/>
              <w:overflowPunct/>
              <w:topLinePunct w:val="0"/>
              <w:bidi w:val="0"/>
              <w:snapToGrid/>
              <w:spacing w:line="500" w:lineRule="exact"/>
              <w:jc w:val="center"/>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7.35</w:t>
            </w:r>
          </w:p>
        </w:tc>
      </w:tr>
      <w:tr w14:paraId="0DD3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9" w:type="dxa"/>
            <w:noWrap w:val="0"/>
            <w:vAlign w:val="center"/>
          </w:tcPr>
          <w:p w14:paraId="757A5D93">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12</w:t>
            </w:r>
            <w:r>
              <w:rPr>
                <w:rFonts w:hint="eastAsia" w:ascii="宋体" w:hAnsi="宋体" w:eastAsia="宋体" w:cs="宋体"/>
                <w:color w:val="000000"/>
                <w:kern w:val="0"/>
                <w:sz w:val="21"/>
                <w:szCs w:val="21"/>
                <w:lang w:val="en-US" w:eastAsia="zh-CN" w:bidi="ar"/>
              </w:rPr>
              <w:t>包</w:t>
            </w:r>
          </w:p>
        </w:tc>
        <w:tc>
          <w:tcPr>
            <w:tcW w:w="1077" w:type="dxa"/>
            <w:noWrap w:val="0"/>
            <w:vAlign w:val="center"/>
          </w:tcPr>
          <w:p w14:paraId="18CFDAF4">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51CTO学堂</w:t>
            </w:r>
          </w:p>
          <w:p w14:paraId="4A180726">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sz w:val="21"/>
                <w:szCs w:val="21"/>
              </w:rPr>
            </w:pPr>
          </w:p>
        </w:tc>
        <w:tc>
          <w:tcPr>
            <w:tcW w:w="5586" w:type="dxa"/>
            <w:noWrap w:val="0"/>
            <w:vAlign w:val="center"/>
          </w:tcPr>
          <w:p w14:paraId="1047A9CA">
            <w:pPr>
              <w:keepNext w:val="0"/>
              <w:keepLines w:val="0"/>
              <w:pageBreakBefore w:val="0"/>
              <w:widowControl/>
              <w:kinsoku/>
              <w:wordWrap/>
              <w:overflowPunct/>
              <w:topLinePunct w:val="0"/>
              <w:bidi w:val="0"/>
              <w:snapToGrid/>
              <w:spacing w:line="500" w:lineRule="exact"/>
              <w:textAlignment w:val="auto"/>
              <w:rPr>
                <w:rFonts w:hint="eastAsia" w:ascii="宋体" w:hAnsi="宋体" w:eastAsia="宋体" w:cs="宋体"/>
                <w:sz w:val="21"/>
                <w:szCs w:val="21"/>
              </w:rPr>
            </w:pPr>
            <w:r>
              <w:rPr>
                <w:rFonts w:hint="eastAsia" w:ascii="宋体" w:hAnsi="宋体" w:eastAsia="宋体" w:cs="宋体"/>
                <w:sz w:val="21"/>
                <w:szCs w:val="21"/>
              </w:rPr>
              <w:t>《51CTO学堂》涵盖20多个大的技术类别，课程范围覆盖办公软件、考试认证、产品运营、设计制作、金融/财会、职业发展、企业实践院、后端开发、前端开发、安全、测试、HarmonyOS、大数据、区块链、人工智能、云计算、数据库、运维、云原生、网络技术、物联网、研发管理、移动开发、游戏开发等，可满足所有专业学生的计算机科学与技术学习需求。续订2027年远程访问权。</w:t>
            </w:r>
          </w:p>
        </w:tc>
        <w:tc>
          <w:tcPr>
            <w:tcW w:w="735" w:type="dxa"/>
            <w:noWrap w:val="0"/>
            <w:vAlign w:val="center"/>
          </w:tcPr>
          <w:p w14:paraId="429CE32E">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660" w:type="dxa"/>
            <w:noWrap w:val="0"/>
            <w:vAlign w:val="center"/>
          </w:tcPr>
          <w:p w14:paraId="5F65A8CF">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库</w:t>
            </w:r>
          </w:p>
        </w:tc>
        <w:tc>
          <w:tcPr>
            <w:tcW w:w="1141" w:type="dxa"/>
            <w:noWrap w:val="0"/>
            <w:vAlign w:val="center"/>
          </w:tcPr>
          <w:p w14:paraId="15E61872">
            <w:pPr>
              <w:keepNext w:val="0"/>
              <w:keepLines w:val="0"/>
              <w:pageBreakBefore w:val="0"/>
              <w:kinsoku/>
              <w:wordWrap/>
              <w:overflowPunct/>
              <w:topLinePunct w:val="0"/>
              <w:bidi w:val="0"/>
              <w:snapToGrid/>
              <w:spacing w:line="500" w:lineRule="exact"/>
              <w:jc w:val="center"/>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7.8</w:t>
            </w:r>
          </w:p>
        </w:tc>
      </w:tr>
      <w:tr w14:paraId="13D7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9" w:type="dxa"/>
            <w:noWrap w:val="0"/>
            <w:vAlign w:val="center"/>
          </w:tcPr>
          <w:p w14:paraId="3F1DA0AF">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13</w:t>
            </w:r>
            <w:r>
              <w:rPr>
                <w:rFonts w:hint="eastAsia" w:ascii="宋体" w:hAnsi="宋体" w:eastAsia="宋体" w:cs="宋体"/>
                <w:color w:val="000000"/>
                <w:kern w:val="0"/>
                <w:sz w:val="21"/>
                <w:szCs w:val="21"/>
                <w:lang w:val="en-US" w:eastAsia="zh-CN" w:bidi="ar"/>
              </w:rPr>
              <w:t>包</w:t>
            </w:r>
          </w:p>
        </w:tc>
        <w:tc>
          <w:tcPr>
            <w:tcW w:w="1077" w:type="dxa"/>
            <w:noWrap w:val="0"/>
            <w:vAlign w:val="center"/>
          </w:tcPr>
          <w:p w14:paraId="1F8165A5">
            <w:pPr>
              <w:keepNext w:val="0"/>
              <w:keepLines w:val="0"/>
              <w:pageBreakBefore w:val="0"/>
              <w:widowControl/>
              <w:kinsoku/>
              <w:wordWrap/>
              <w:overflowPunct/>
              <w:topLinePunct w:val="0"/>
              <w:bidi w:val="0"/>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博看网服务</w:t>
            </w:r>
          </w:p>
        </w:tc>
        <w:tc>
          <w:tcPr>
            <w:tcW w:w="5586" w:type="dxa"/>
            <w:noWrap w:val="0"/>
            <w:vAlign w:val="top"/>
          </w:tcPr>
          <w:p w14:paraId="417B1560">
            <w:pPr>
              <w:keepNext w:val="0"/>
              <w:keepLines w:val="0"/>
              <w:pageBreakBefore w:val="0"/>
              <w:widowControl/>
              <w:numPr>
                <w:ilvl w:val="0"/>
                <w:numId w:val="1"/>
              </w:numPr>
              <w:kinsoku/>
              <w:wordWrap/>
              <w:overflowPunct/>
              <w:topLinePunct w:val="0"/>
              <w:bidi w:val="0"/>
              <w:snapToGrid/>
              <w:spacing w:line="500" w:lineRule="exact"/>
              <w:textAlignment w:val="auto"/>
              <w:rPr>
                <w:rFonts w:hint="eastAsia" w:ascii="宋体" w:hAnsi="宋体" w:eastAsia="宋体" w:cs="宋体"/>
                <w:sz w:val="21"/>
                <w:szCs w:val="21"/>
              </w:rPr>
            </w:pPr>
            <w:r>
              <w:rPr>
                <w:rFonts w:hint="eastAsia" w:ascii="宋体" w:hAnsi="宋体" w:eastAsia="宋体" w:cs="宋体"/>
                <w:sz w:val="21"/>
                <w:szCs w:val="21"/>
              </w:rPr>
              <w:t>本馆博看数字人屏维护：（1）提供正版直接授权大众4K高清期刊4000种，支持在线翻看和扫码下载阅读。（2）提供至少1000册图书，图书实现月更新。（3）支持在线翻看和扫码下载阅读。（4）能确保资源的实时更新，确保功能及设备的正常使用。</w:t>
            </w:r>
          </w:p>
          <w:p w14:paraId="5A826EBD">
            <w:pPr>
              <w:keepNext w:val="0"/>
              <w:keepLines w:val="0"/>
              <w:pageBreakBefore w:val="0"/>
              <w:widowControl/>
              <w:numPr>
                <w:ilvl w:val="0"/>
                <w:numId w:val="1"/>
              </w:numPr>
              <w:kinsoku/>
              <w:wordWrap/>
              <w:overflowPunct/>
              <w:topLinePunct w:val="0"/>
              <w:bidi w:val="0"/>
              <w:snapToGrid/>
              <w:spacing w:line="50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博看网PC端门户服务（期刊、图书等）。</w:t>
            </w:r>
          </w:p>
          <w:p w14:paraId="73A3BE53">
            <w:pPr>
              <w:keepNext w:val="0"/>
              <w:keepLines w:val="0"/>
              <w:pageBreakBefore w:val="0"/>
              <w:widowControl/>
              <w:numPr>
                <w:ilvl w:val="0"/>
                <w:numId w:val="1"/>
              </w:numPr>
              <w:kinsoku/>
              <w:wordWrap/>
              <w:overflowPunct/>
              <w:topLinePunct w:val="0"/>
              <w:bidi w:val="0"/>
              <w:snapToGrid/>
              <w:spacing w:line="50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微信端博看AI书苑服务（AI阅读、期刊、图书等）。</w:t>
            </w:r>
          </w:p>
          <w:p w14:paraId="47A1B294">
            <w:pPr>
              <w:keepNext w:val="0"/>
              <w:keepLines w:val="0"/>
              <w:pageBreakBefore w:val="0"/>
              <w:widowControl/>
              <w:numPr>
                <w:ilvl w:val="0"/>
                <w:numId w:val="1"/>
              </w:numPr>
              <w:kinsoku/>
              <w:wordWrap/>
              <w:overflowPunct/>
              <w:topLinePunct w:val="0"/>
              <w:bidi w:val="0"/>
              <w:snapToGrid/>
              <w:spacing w:line="50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AI职业素养智能体服务（AI模拟面试、AI口语练习、AI职业规划、AI舒压助手）。</w:t>
            </w:r>
          </w:p>
          <w:p w14:paraId="72A24FA1">
            <w:pPr>
              <w:keepNext w:val="0"/>
              <w:keepLines w:val="0"/>
              <w:pageBreakBefore w:val="0"/>
              <w:widowControl/>
              <w:numPr>
                <w:ilvl w:val="0"/>
                <w:numId w:val="0"/>
              </w:numPr>
              <w:kinsoku/>
              <w:wordWrap/>
              <w:overflowPunct/>
              <w:topLinePunct w:val="0"/>
              <w:bidi w:val="0"/>
              <w:snapToGrid/>
              <w:spacing w:line="500" w:lineRule="exact"/>
              <w:ind w:leftChars="0"/>
              <w:textAlignment w:val="auto"/>
              <w:rPr>
                <w:rFonts w:hint="eastAsia" w:ascii="宋体" w:hAnsi="宋体" w:eastAsia="宋体" w:cs="宋体"/>
                <w:sz w:val="21"/>
                <w:szCs w:val="21"/>
              </w:rPr>
            </w:pPr>
            <w:r>
              <w:rPr>
                <w:rFonts w:hint="eastAsia" w:ascii="宋体" w:hAnsi="宋体" w:eastAsia="宋体" w:cs="宋体"/>
                <w:sz w:val="21"/>
                <w:szCs w:val="21"/>
              </w:rPr>
              <w:t>5、服务期限：2026年全年。</w:t>
            </w:r>
          </w:p>
        </w:tc>
        <w:tc>
          <w:tcPr>
            <w:tcW w:w="735" w:type="dxa"/>
            <w:noWrap w:val="0"/>
            <w:vAlign w:val="center"/>
          </w:tcPr>
          <w:p w14:paraId="3E253C07">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660" w:type="dxa"/>
            <w:noWrap w:val="0"/>
            <w:vAlign w:val="center"/>
          </w:tcPr>
          <w:p w14:paraId="7C89F9BE">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库</w:t>
            </w:r>
          </w:p>
        </w:tc>
        <w:tc>
          <w:tcPr>
            <w:tcW w:w="1141" w:type="dxa"/>
            <w:noWrap w:val="0"/>
            <w:vAlign w:val="center"/>
          </w:tcPr>
          <w:p w14:paraId="695E0B6C">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r>
      <w:tr w14:paraId="3385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19" w:type="dxa"/>
            <w:noWrap w:val="0"/>
            <w:vAlign w:val="center"/>
          </w:tcPr>
          <w:p w14:paraId="434396DC">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14</w:t>
            </w:r>
            <w:r>
              <w:rPr>
                <w:rFonts w:hint="eastAsia" w:ascii="宋体" w:hAnsi="宋体" w:eastAsia="宋体" w:cs="宋体"/>
                <w:color w:val="000000"/>
                <w:kern w:val="0"/>
                <w:sz w:val="21"/>
                <w:szCs w:val="21"/>
                <w:lang w:val="en-US" w:eastAsia="zh-CN" w:bidi="ar"/>
              </w:rPr>
              <w:t>包</w:t>
            </w:r>
          </w:p>
        </w:tc>
        <w:tc>
          <w:tcPr>
            <w:tcW w:w="1077" w:type="dxa"/>
            <w:noWrap w:val="0"/>
            <w:vAlign w:val="center"/>
          </w:tcPr>
          <w:p w14:paraId="36DDC525">
            <w:pPr>
              <w:keepNext w:val="0"/>
              <w:keepLines w:val="0"/>
              <w:pageBreakBefore w:val="0"/>
              <w:widowControl/>
              <w:kinsoku/>
              <w:wordWrap/>
              <w:overflowPunct/>
              <w:topLinePunct w:val="0"/>
              <w:bidi w:val="0"/>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金图外文电子图书</w:t>
            </w:r>
          </w:p>
        </w:tc>
        <w:tc>
          <w:tcPr>
            <w:tcW w:w="5586" w:type="dxa"/>
            <w:noWrap w:val="0"/>
            <w:vAlign w:val="center"/>
          </w:tcPr>
          <w:p w14:paraId="14DBBB77">
            <w:pPr>
              <w:keepNext w:val="0"/>
              <w:keepLines w:val="0"/>
              <w:pageBreakBefore w:val="0"/>
              <w:kinsoku/>
              <w:wordWrap/>
              <w:overflowPunct/>
              <w:topLinePunct w:val="0"/>
              <w:bidi w:val="0"/>
              <w:snapToGrid/>
              <w:spacing w:line="500" w:lineRule="exact"/>
              <w:textAlignment w:val="auto"/>
              <w:rPr>
                <w:rFonts w:hint="eastAsia" w:ascii="宋体" w:hAnsi="宋体" w:eastAsia="宋体" w:cs="宋体"/>
                <w:sz w:val="21"/>
                <w:szCs w:val="21"/>
              </w:rPr>
            </w:pPr>
            <w:r>
              <w:rPr>
                <w:rFonts w:hint="eastAsia" w:ascii="宋体" w:hAnsi="宋体" w:eastAsia="宋体" w:cs="宋体"/>
                <w:sz w:val="21"/>
                <w:szCs w:val="21"/>
              </w:rPr>
              <w:t>2026年采购、安装近三年原版原貌金图外文电子图书2万册到本地镜像</w:t>
            </w:r>
          </w:p>
        </w:tc>
        <w:tc>
          <w:tcPr>
            <w:tcW w:w="735" w:type="dxa"/>
            <w:noWrap w:val="0"/>
            <w:vAlign w:val="center"/>
          </w:tcPr>
          <w:p w14:paraId="2848475C">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批</w:t>
            </w:r>
          </w:p>
        </w:tc>
        <w:tc>
          <w:tcPr>
            <w:tcW w:w="660" w:type="dxa"/>
            <w:noWrap w:val="0"/>
            <w:vAlign w:val="center"/>
          </w:tcPr>
          <w:p w14:paraId="259028E5">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库</w:t>
            </w:r>
          </w:p>
        </w:tc>
        <w:tc>
          <w:tcPr>
            <w:tcW w:w="1141" w:type="dxa"/>
            <w:noWrap w:val="0"/>
            <w:vAlign w:val="center"/>
          </w:tcPr>
          <w:p w14:paraId="119AE057">
            <w:pPr>
              <w:keepNext w:val="0"/>
              <w:keepLines w:val="0"/>
              <w:pageBreakBefore w:val="0"/>
              <w:kinsoku/>
              <w:wordWrap/>
              <w:overflowPunct/>
              <w:topLinePunct w:val="0"/>
              <w:bidi w:val="0"/>
              <w:snapToGrid/>
              <w:spacing w:line="500" w:lineRule="exact"/>
              <w:jc w:val="center"/>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w:t>
            </w:r>
          </w:p>
        </w:tc>
      </w:tr>
      <w:tr w14:paraId="23D5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9" w:type="dxa"/>
            <w:noWrap w:val="0"/>
            <w:vAlign w:val="center"/>
          </w:tcPr>
          <w:p w14:paraId="37728C5B">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15包</w:t>
            </w:r>
          </w:p>
        </w:tc>
        <w:tc>
          <w:tcPr>
            <w:tcW w:w="1077" w:type="dxa"/>
            <w:noWrap w:val="0"/>
            <w:vAlign w:val="center"/>
          </w:tcPr>
          <w:p w14:paraId="66E0FB51">
            <w:pPr>
              <w:keepNext w:val="0"/>
              <w:keepLines w:val="0"/>
              <w:pageBreakBefore w:val="0"/>
              <w:widowControl/>
              <w:kinsoku/>
              <w:wordWrap/>
              <w:overflowPunct/>
              <w:topLinePunct w:val="0"/>
              <w:bidi w:val="0"/>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rPr>
              <w:t>高等院校课件资源总库</w:t>
            </w:r>
          </w:p>
        </w:tc>
        <w:tc>
          <w:tcPr>
            <w:tcW w:w="5586" w:type="dxa"/>
            <w:noWrap w:val="0"/>
            <w:vAlign w:val="top"/>
          </w:tcPr>
          <w:p w14:paraId="72A2A51B">
            <w:pPr>
              <w:keepNext w:val="0"/>
              <w:keepLines w:val="0"/>
              <w:pageBreakBefore w:val="0"/>
              <w:kinsoku/>
              <w:wordWrap/>
              <w:overflowPunct/>
              <w:topLinePunct w:val="0"/>
              <w:bidi w:val="0"/>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该素材资源库的收录标准是院校优秀课程及多个国家级大赛获奖多媒体课件作品。分别按照学科体系以及本科教育体系进行分类梳理，汇集了动画、仿真、视频、图片、音频、文本、习题试卷、课件、案例及课程包等多种类型的资源。续订工程科技、化工能源与服务、基础学科、建筑学、经济管理、信息技术、人文社会科学七个模块2026.8.4-2027.8.3访问权。</w:t>
            </w:r>
          </w:p>
        </w:tc>
        <w:tc>
          <w:tcPr>
            <w:tcW w:w="735" w:type="dxa"/>
            <w:noWrap w:val="0"/>
            <w:vAlign w:val="center"/>
          </w:tcPr>
          <w:p w14:paraId="5B06810F">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批</w:t>
            </w:r>
          </w:p>
        </w:tc>
        <w:tc>
          <w:tcPr>
            <w:tcW w:w="660" w:type="dxa"/>
            <w:noWrap w:val="0"/>
            <w:vAlign w:val="center"/>
          </w:tcPr>
          <w:p w14:paraId="1B749883">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库</w:t>
            </w:r>
          </w:p>
        </w:tc>
        <w:tc>
          <w:tcPr>
            <w:tcW w:w="1141" w:type="dxa"/>
            <w:noWrap w:val="0"/>
            <w:vAlign w:val="center"/>
          </w:tcPr>
          <w:p w14:paraId="457F60F9">
            <w:pPr>
              <w:keepNext w:val="0"/>
              <w:keepLines w:val="0"/>
              <w:pageBreakBefore w:val="0"/>
              <w:kinsoku/>
              <w:wordWrap/>
              <w:overflowPunct/>
              <w:topLinePunct w:val="0"/>
              <w:bidi w:val="0"/>
              <w:snapToGrid/>
              <w:spacing w:line="500" w:lineRule="exact"/>
              <w:jc w:val="center"/>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7.2</w:t>
            </w:r>
          </w:p>
        </w:tc>
      </w:tr>
      <w:tr w14:paraId="380E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9" w:type="dxa"/>
            <w:noWrap w:val="0"/>
            <w:vAlign w:val="center"/>
          </w:tcPr>
          <w:p w14:paraId="6E2706F9">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16包</w:t>
            </w:r>
          </w:p>
        </w:tc>
        <w:tc>
          <w:tcPr>
            <w:tcW w:w="1077" w:type="dxa"/>
            <w:noWrap w:val="0"/>
            <w:vAlign w:val="center"/>
          </w:tcPr>
          <w:p w14:paraId="47CF41CB">
            <w:pPr>
              <w:keepNext w:val="0"/>
              <w:keepLines w:val="0"/>
              <w:pageBreakBefore w:val="0"/>
              <w:widowControl/>
              <w:kinsoku/>
              <w:wordWrap/>
              <w:overflowPunct/>
              <w:topLinePunct w:val="0"/>
              <w:bidi w:val="0"/>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rPr>
              <w:t>未来学堂·</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教育资源库及案例系统</w:t>
            </w:r>
          </w:p>
        </w:tc>
        <w:tc>
          <w:tcPr>
            <w:tcW w:w="5586" w:type="dxa"/>
            <w:noWrap w:val="0"/>
            <w:vAlign w:val="top"/>
          </w:tcPr>
          <w:p w14:paraId="140D7BA3">
            <w:pPr>
              <w:keepNext w:val="0"/>
              <w:keepLines w:val="0"/>
              <w:pageBreakBefore w:val="0"/>
              <w:kinsoku/>
              <w:wordWrap/>
              <w:overflowPunct/>
              <w:topLinePunct w:val="0"/>
              <w:bidi w:val="0"/>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未来学堂-教育资源库及案例系统是一个以促进师范专业师生熟悉课程教学标准，提升师范生教学、教研能力为目标，集教学资源和教学案例于一体的教学培训应用服务平台。该系统是培养教育专业应用型、全科人才的必要资源，是师范生“见习、实习、顶岗支教”教学实践活动的得力助手。订购语文、数学、英语、体育与健康四个初中学科包认证版2026.7.1-2027.6.30远程访问权。</w:t>
            </w:r>
          </w:p>
        </w:tc>
        <w:tc>
          <w:tcPr>
            <w:tcW w:w="735" w:type="dxa"/>
            <w:noWrap w:val="0"/>
            <w:vAlign w:val="center"/>
          </w:tcPr>
          <w:p w14:paraId="58F72AAA">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批</w:t>
            </w:r>
          </w:p>
        </w:tc>
        <w:tc>
          <w:tcPr>
            <w:tcW w:w="660" w:type="dxa"/>
            <w:noWrap w:val="0"/>
            <w:vAlign w:val="center"/>
          </w:tcPr>
          <w:p w14:paraId="70C1FAAC">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库</w:t>
            </w:r>
          </w:p>
        </w:tc>
        <w:tc>
          <w:tcPr>
            <w:tcW w:w="1141" w:type="dxa"/>
            <w:noWrap w:val="0"/>
            <w:vAlign w:val="center"/>
          </w:tcPr>
          <w:p w14:paraId="58A574F2">
            <w:pPr>
              <w:keepNext w:val="0"/>
              <w:keepLines w:val="0"/>
              <w:pageBreakBefore w:val="0"/>
              <w:kinsoku/>
              <w:wordWrap/>
              <w:overflowPunct/>
              <w:topLinePunct w:val="0"/>
              <w:bidi w:val="0"/>
              <w:snapToGrid/>
              <w:spacing w:line="500" w:lineRule="exact"/>
              <w:jc w:val="center"/>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10.5</w:t>
            </w:r>
          </w:p>
        </w:tc>
      </w:tr>
    </w:tbl>
    <w:p w14:paraId="4ECF7EF6">
      <w:pPr>
        <w:spacing w:line="360" w:lineRule="auto"/>
        <w:ind w:firstLine="435"/>
        <w:outlineLvl w:val="1"/>
        <w:rPr>
          <w:rFonts w:asciiTheme="minorEastAsia" w:hAnsiTheme="minorEastAsia" w:eastAsiaTheme="minorEastAsia"/>
          <w:b/>
          <w:color w:val="auto"/>
          <w:sz w:val="24"/>
          <w:szCs w:val="18"/>
          <w:highlight w:val="none"/>
        </w:rPr>
      </w:pPr>
      <w:bookmarkStart w:id="30" w:name="_Toc3162"/>
      <w:bookmarkStart w:id="31" w:name="_Toc27190"/>
      <w:r>
        <w:rPr>
          <w:rFonts w:hint="eastAsia" w:asciiTheme="minorEastAsia" w:hAnsiTheme="minorEastAsia" w:eastAsiaTheme="minorEastAsia"/>
          <w:b/>
          <w:color w:val="auto"/>
          <w:sz w:val="24"/>
          <w:szCs w:val="18"/>
          <w:highlight w:val="none"/>
          <w:lang w:val="en-US" w:eastAsia="zh-CN"/>
        </w:rPr>
        <w:t>三</w:t>
      </w:r>
      <w:r>
        <w:rPr>
          <w:rFonts w:hint="eastAsia" w:asciiTheme="minorEastAsia" w:hAnsiTheme="minorEastAsia" w:eastAsiaTheme="minorEastAsia"/>
          <w:b/>
          <w:color w:val="auto"/>
          <w:sz w:val="24"/>
          <w:szCs w:val="18"/>
          <w:highlight w:val="none"/>
        </w:rPr>
        <w:t>、报价要求</w:t>
      </w:r>
      <w:bookmarkEnd w:id="30"/>
      <w:bookmarkEnd w:id="31"/>
    </w:p>
    <w:p w14:paraId="24A7C839">
      <w:pPr>
        <w:spacing w:line="360" w:lineRule="auto"/>
        <w:ind w:firstLine="437"/>
        <w:rPr>
          <w:rFonts w:asciiTheme="minorEastAsia" w:hAnsiTheme="minorEastAsia" w:eastAsiaTheme="minorEastAsia"/>
          <w:b/>
          <w:color w:val="auto"/>
          <w:sz w:val="24"/>
          <w:szCs w:val="18"/>
          <w:highlight w:val="none"/>
        </w:rPr>
      </w:pPr>
      <w:r>
        <w:rPr>
          <w:rFonts w:hint="eastAsia" w:asciiTheme="majorEastAsia" w:hAnsiTheme="majorEastAsia" w:eastAsiaTheme="majorEastAsia"/>
          <w:bCs/>
          <w:color w:val="auto"/>
          <w:sz w:val="24"/>
          <w:szCs w:val="18"/>
          <w:highlight w:val="none"/>
          <w:lang w:val="en-US" w:eastAsia="zh-CN"/>
        </w:rPr>
        <w:t>报价</w:t>
      </w:r>
      <w:r>
        <w:rPr>
          <w:rFonts w:hint="eastAsia" w:asciiTheme="majorEastAsia" w:hAnsiTheme="majorEastAsia" w:eastAsiaTheme="majorEastAsia"/>
          <w:bCs/>
          <w:color w:val="auto"/>
          <w:sz w:val="24"/>
          <w:szCs w:val="18"/>
          <w:highlight w:val="none"/>
        </w:rPr>
        <w:t>对应本项目需求的全部</w:t>
      </w:r>
      <w:r>
        <w:rPr>
          <w:rFonts w:hint="eastAsia" w:asciiTheme="majorEastAsia" w:hAnsiTheme="majorEastAsia" w:eastAsiaTheme="majorEastAsia"/>
          <w:bCs/>
          <w:color w:val="auto"/>
          <w:sz w:val="24"/>
          <w:szCs w:val="18"/>
          <w:highlight w:val="none"/>
          <w:lang w:val="en-US" w:eastAsia="zh-CN"/>
        </w:rPr>
        <w:t>服务</w:t>
      </w:r>
      <w:r>
        <w:rPr>
          <w:rFonts w:hint="eastAsia" w:asciiTheme="majorEastAsia" w:hAnsiTheme="majorEastAsia" w:eastAsiaTheme="majorEastAsia"/>
          <w:bCs/>
          <w:color w:val="auto"/>
          <w:sz w:val="24"/>
          <w:szCs w:val="18"/>
          <w:highlight w:val="none"/>
        </w:rPr>
        <w:t>及所需附件购置费、包装费、运输费、人工费、保险费、安装调试费、各种税费、资料费、售后服务费及完成项目应有的全部费用。如有漏项或缺项，供应商承担全部责任。</w:t>
      </w:r>
    </w:p>
    <w:bookmarkEnd w:id="29"/>
    <w:p w14:paraId="6D62CB87">
      <w:pPr>
        <w:spacing w:line="360" w:lineRule="auto"/>
        <w:ind w:firstLine="435"/>
        <w:rPr>
          <w:rFonts w:asciiTheme="minorEastAsia" w:hAnsiTheme="minorEastAsia" w:eastAsiaTheme="minorEastAsia"/>
          <w:color w:val="auto"/>
          <w:sz w:val="24"/>
          <w:szCs w:val="18"/>
          <w:highlight w:val="none"/>
        </w:rPr>
      </w:pPr>
    </w:p>
    <w:p w14:paraId="0BF7E3B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551C138">
      <w:pPr>
        <w:spacing w:line="360" w:lineRule="auto"/>
        <w:jc w:val="center"/>
        <w:outlineLvl w:val="0"/>
        <w:rPr>
          <w:rFonts w:asciiTheme="minorEastAsia" w:hAnsiTheme="minorEastAsia" w:eastAsiaTheme="minorEastAsia"/>
          <w:b/>
          <w:color w:val="auto"/>
          <w:sz w:val="28"/>
          <w:highlight w:val="none"/>
        </w:rPr>
      </w:pPr>
      <w:bookmarkStart w:id="32" w:name="_Toc18944"/>
      <w:r>
        <w:rPr>
          <w:rFonts w:hint="eastAsia" w:asciiTheme="minorEastAsia" w:hAnsiTheme="minorEastAsia" w:eastAsiaTheme="minorEastAsia"/>
          <w:b/>
          <w:color w:val="auto"/>
          <w:sz w:val="28"/>
          <w:highlight w:val="none"/>
        </w:rPr>
        <w:t>第四章  协商程序和评审标准</w:t>
      </w:r>
      <w:bookmarkEnd w:id="32"/>
    </w:p>
    <w:p w14:paraId="256027CF">
      <w:pPr>
        <w:spacing w:line="360" w:lineRule="auto"/>
        <w:ind w:firstLine="437"/>
        <w:outlineLvl w:val="1"/>
        <w:rPr>
          <w:rFonts w:asciiTheme="minorEastAsia" w:hAnsiTheme="minorEastAsia" w:eastAsiaTheme="minorEastAsia"/>
          <w:b/>
          <w:color w:val="auto"/>
          <w:sz w:val="24"/>
          <w:highlight w:val="none"/>
        </w:rPr>
      </w:pPr>
      <w:bookmarkStart w:id="33" w:name="_Toc25359"/>
      <w:bookmarkStart w:id="34" w:name="_Toc5362"/>
      <w:r>
        <w:rPr>
          <w:rFonts w:hint="eastAsia" w:asciiTheme="minorEastAsia" w:hAnsiTheme="minorEastAsia" w:eastAsiaTheme="minorEastAsia"/>
          <w:b/>
          <w:color w:val="auto"/>
          <w:sz w:val="24"/>
          <w:highlight w:val="none"/>
        </w:rPr>
        <w:t>一、总则</w:t>
      </w:r>
      <w:bookmarkEnd w:id="33"/>
      <w:bookmarkEnd w:id="34"/>
    </w:p>
    <w:p w14:paraId="589316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本项目将按照采购文件第二章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302AC49A">
      <w:pPr>
        <w:spacing w:line="360" w:lineRule="auto"/>
        <w:ind w:firstLine="437"/>
        <w:outlineLvl w:val="1"/>
        <w:rPr>
          <w:rFonts w:asciiTheme="minorEastAsia" w:hAnsiTheme="minorEastAsia" w:eastAsiaTheme="minorEastAsia"/>
          <w:b/>
          <w:color w:val="auto"/>
          <w:sz w:val="24"/>
          <w:highlight w:val="none"/>
        </w:rPr>
      </w:pPr>
      <w:bookmarkStart w:id="35" w:name="_Toc2322"/>
      <w:bookmarkStart w:id="36" w:name="_Toc6172"/>
      <w:r>
        <w:rPr>
          <w:rFonts w:hint="eastAsia" w:asciiTheme="minorEastAsia" w:hAnsiTheme="minorEastAsia" w:eastAsiaTheme="minorEastAsia"/>
          <w:b/>
          <w:color w:val="auto"/>
          <w:sz w:val="24"/>
          <w:highlight w:val="none"/>
        </w:rPr>
        <w:t>二、协商程序</w:t>
      </w:r>
      <w:bookmarkEnd w:id="35"/>
      <w:bookmarkEnd w:id="36"/>
    </w:p>
    <w:p w14:paraId="7447646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采购小组对通过供应商的响应文件进行评审，以确定其是否满足采购文件的实质性要求。评审表如下：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553"/>
        <w:gridCol w:w="4413"/>
        <w:gridCol w:w="1858"/>
      </w:tblGrid>
      <w:tr w14:paraId="11B1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42F01265">
            <w:pPr>
              <w:adjustRightInd w:val="0"/>
              <w:snapToGrid w:val="0"/>
              <w:spacing w:line="360" w:lineRule="auto"/>
              <w:ind w:right="-10"/>
              <w:jc w:val="center"/>
              <w:rPr>
                <w:rFonts w:ascii="宋体" w:hAnsi="宋体" w:eastAsia="宋体"/>
                <w:color w:val="auto"/>
                <w:sz w:val="24"/>
                <w:highlight w:val="none"/>
              </w:rPr>
            </w:pPr>
            <w:bookmarkStart w:id="37" w:name="_Hlk60612144"/>
            <w:r>
              <w:rPr>
                <w:rFonts w:hint="eastAsia" w:asciiTheme="majorEastAsia" w:hAnsiTheme="majorEastAsia" w:eastAsiaTheme="majorEastAsia"/>
                <w:b/>
                <w:color w:val="auto"/>
                <w:sz w:val="24"/>
                <w:highlight w:val="none"/>
              </w:rPr>
              <w:t>评审表</w:t>
            </w:r>
          </w:p>
        </w:tc>
      </w:tr>
      <w:tr w14:paraId="3EA9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56D0D3B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11" w:type="pct"/>
            <w:tcBorders>
              <w:bottom w:val="single" w:color="auto" w:sz="4" w:space="0"/>
            </w:tcBorders>
            <w:vAlign w:val="center"/>
          </w:tcPr>
          <w:p w14:paraId="6C80BD29">
            <w:pPr>
              <w:pStyle w:val="44"/>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lang w:val="en-US" w:eastAsia="zh-CN"/>
              </w:rPr>
              <w:t>审查</w:t>
            </w:r>
            <w:r>
              <w:rPr>
                <w:rFonts w:hint="eastAsia" w:ascii="宋体" w:hAnsi="宋体" w:eastAsia="宋体"/>
                <w:color w:val="auto"/>
                <w:kern w:val="2"/>
                <w:szCs w:val="24"/>
                <w:highlight w:val="none"/>
              </w:rPr>
              <w:t>指标</w:t>
            </w:r>
          </w:p>
        </w:tc>
        <w:tc>
          <w:tcPr>
            <w:tcW w:w="2589" w:type="pct"/>
            <w:tcBorders>
              <w:bottom w:val="single" w:color="auto" w:sz="4" w:space="0"/>
            </w:tcBorders>
            <w:vAlign w:val="center"/>
          </w:tcPr>
          <w:p w14:paraId="744C7D4D">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审查</w:t>
            </w:r>
            <w:r>
              <w:rPr>
                <w:rFonts w:hint="eastAsia" w:ascii="宋体" w:hAnsi="宋体" w:eastAsia="宋体"/>
                <w:color w:val="auto"/>
                <w:sz w:val="24"/>
                <w:highlight w:val="none"/>
              </w:rPr>
              <w:t>标准</w:t>
            </w:r>
          </w:p>
        </w:tc>
        <w:tc>
          <w:tcPr>
            <w:tcW w:w="1088" w:type="pct"/>
            <w:tcBorders>
              <w:bottom w:val="single" w:color="auto" w:sz="4" w:space="0"/>
            </w:tcBorders>
            <w:vAlign w:val="center"/>
          </w:tcPr>
          <w:p w14:paraId="0DA39CA2">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1DF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10" w:type="pct"/>
            <w:tcBorders>
              <w:bottom w:val="single" w:color="auto" w:sz="4" w:space="0"/>
            </w:tcBorders>
            <w:vAlign w:val="center"/>
          </w:tcPr>
          <w:p w14:paraId="23E3E31C">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11" w:type="pct"/>
            <w:tcBorders>
              <w:bottom w:val="single" w:color="auto" w:sz="4" w:space="0"/>
            </w:tcBorders>
            <w:vAlign w:val="center"/>
          </w:tcPr>
          <w:p w14:paraId="3430BE0A">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589" w:type="pct"/>
            <w:tcBorders>
              <w:bottom w:val="single" w:color="auto" w:sz="4" w:space="0"/>
            </w:tcBorders>
            <w:vAlign w:val="center"/>
          </w:tcPr>
          <w:p w14:paraId="1E2D4227">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7A68494C">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39B076A5">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6018A008">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5CD05B3D">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r>
              <w:rPr>
                <w:rFonts w:hint="eastAsia" w:ascii="宋体" w:hAnsi="宋体" w:eastAsia="宋体" w:cs="宋体"/>
                <w:sz w:val="24"/>
                <w:szCs w:val="24"/>
                <w:lang w:eastAsia="zh-CN"/>
              </w:rPr>
              <w:t>；</w:t>
            </w:r>
          </w:p>
        </w:tc>
        <w:tc>
          <w:tcPr>
            <w:tcW w:w="1088" w:type="pct"/>
            <w:vAlign w:val="center"/>
          </w:tcPr>
          <w:p w14:paraId="37CB5FFD">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olor w:val="auto"/>
                <w:sz w:val="24"/>
                <w:highlight w:val="none"/>
              </w:rPr>
              <w:t>参加</w:t>
            </w:r>
            <w:r>
              <w:rPr>
                <w:rFonts w:hint="eastAsia" w:ascii="宋体" w:hAnsi="宋体" w:eastAsia="宋体"/>
                <w:color w:val="auto"/>
                <w:sz w:val="24"/>
                <w:highlight w:val="none"/>
                <w:lang w:eastAsia="zh-CN"/>
              </w:rPr>
              <w:t>单一来源采购</w:t>
            </w:r>
            <w:r>
              <w:rPr>
                <w:rFonts w:hint="eastAsia" w:ascii="宋体" w:hAnsi="宋体" w:eastAsia="宋体"/>
                <w:color w:val="auto"/>
                <w:sz w:val="24"/>
                <w:highlight w:val="none"/>
                <w:lang w:val="en-US" w:eastAsia="zh-CN"/>
              </w:rPr>
              <w:t>的</w:t>
            </w:r>
            <w:r>
              <w:rPr>
                <w:rFonts w:hint="eastAsia" w:ascii="宋体" w:hAnsi="宋体" w:eastAsia="宋体" w:cs="宋体"/>
                <w:b w:val="0"/>
                <w:bCs w:val="0"/>
                <w:color w:val="auto"/>
                <w:sz w:val="24"/>
                <w:szCs w:val="24"/>
                <w:highlight w:val="none"/>
              </w:rPr>
              <w:t>联合体各方均须提供。</w:t>
            </w:r>
          </w:p>
        </w:tc>
      </w:tr>
      <w:tr w14:paraId="2D3D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3072D3FF">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11" w:type="pct"/>
            <w:tcBorders>
              <w:bottom w:val="single" w:color="auto" w:sz="4" w:space="0"/>
            </w:tcBorders>
            <w:vAlign w:val="center"/>
          </w:tcPr>
          <w:p w14:paraId="18917C14">
            <w:pPr>
              <w:spacing w:after="50" w:line="360" w:lineRule="auto"/>
              <w:ind w:right="-10" w:rightChars="0"/>
              <w:jc w:val="center"/>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olor w:val="auto"/>
                <w:sz w:val="24"/>
                <w:szCs w:val="18"/>
                <w:highlight w:val="none"/>
                <w:lang w:val="en-US" w:eastAsia="zh-CN"/>
              </w:rPr>
              <w:t>供应商资格声明书</w:t>
            </w:r>
          </w:p>
        </w:tc>
        <w:tc>
          <w:tcPr>
            <w:tcW w:w="2589" w:type="pct"/>
            <w:tcBorders>
              <w:bottom w:val="single" w:color="auto" w:sz="4" w:space="0"/>
            </w:tcBorders>
            <w:vAlign w:val="center"/>
          </w:tcPr>
          <w:p w14:paraId="222AE330">
            <w:pPr>
              <w:spacing w:after="50" w:line="360" w:lineRule="auto"/>
              <w:ind w:right="-10" w:rightChars="0"/>
              <w:jc w:val="left"/>
              <w:rPr>
                <w:rFonts w:hint="eastAsia"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val="en-US" w:eastAsia="zh-CN"/>
              </w:rPr>
              <w:t>提</w:t>
            </w:r>
            <w:r>
              <w:rPr>
                <w:rFonts w:ascii="宋体" w:hAnsi="宋体" w:eastAsia="宋体" w:cs="宋体"/>
                <w:sz w:val="24"/>
                <w:szCs w:val="24"/>
              </w:rPr>
              <w:t>供符合</w:t>
            </w:r>
            <w:r>
              <w:rPr>
                <w:rFonts w:hint="eastAsia" w:ascii="宋体" w:hAnsi="宋体" w:eastAsia="宋体" w:cs="宋体"/>
                <w:sz w:val="24"/>
                <w:szCs w:val="24"/>
                <w:lang w:val="en-US" w:eastAsia="zh-CN"/>
              </w:rPr>
              <w:t>单一来源采购文件</w:t>
            </w:r>
            <w:r>
              <w:rPr>
                <w:rFonts w:ascii="宋体" w:hAnsi="宋体" w:eastAsia="宋体" w:cs="宋体"/>
                <w:sz w:val="24"/>
                <w:szCs w:val="24"/>
              </w:rPr>
              <w:t>要求的《</w:t>
            </w:r>
            <w:r>
              <w:rPr>
                <w:rFonts w:hint="eastAsia" w:ascii="宋体" w:hAnsi="宋体" w:eastAsia="宋体" w:cs="宋体"/>
                <w:sz w:val="24"/>
                <w:szCs w:val="24"/>
                <w:lang w:val="en-US" w:eastAsia="zh-CN"/>
              </w:rPr>
              <w:t>供应商</w:t>
            </w:r>
            <w:r>
              <w:rPr>
                <w:rFonts w:ascii="宋体" w:hAnsi="宋体" w:eastAsia="宋体" w:cs="宋体"/>
                <w:sz w:val="24"/>
                <w:szCs w:val="24"/>
              </w:rPr>
              <w:t>资格声明书》</w:t>
            </w:r>
            <w:r>
              <w:rPr>
                <w:rFonts w:hint="eastAsia" w:ascii="宋体" w:hAnsi="宋体" w:eastAsia="宋体" w:cs="宋体"/>
                <w:sz w:val="24"/>
                <w:szCs w:val="24"/>
                <w:lang w:eastAsia="zh-CN"/>
              </w:rPr>
              <w:t>。</w:t>
            </w:r>
          </w:p>
        </w:tc>
        <w:tc>
          <w:tcPr>
            <w:tcW w:w="1088" w:type="pct"/>
            <w:tcBorders>
              <w:bottom w:val="single" w:color="auto" w:sz="4" w:space="0"/>
            </w:tcBorders>
            <w:vAlign w:val="center"/>
          </w:tcPr>
          <w:p w14:paraId="33299FC2">
            <w:pPr>
              <w:spacing w:line="360" w:lineRule="auto"/>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CFB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2FD0A553">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3</w:t>
            </w:r>
          </w:p>
        </w:tc>
        <w:tc>
          <w:tcPr>
            <w:tcW w:w="911" w:type="pct"/>
            <w:tcBorders>
              <w:bottom w:val="single" w:color="auto" w:sz="4" w:space="0"/>
            </w:tcBorders>
            <w:vAlign w:val="center"/>
          </w:tcPr>
          <w:p w14:paraId="42A0403F">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589" w:type="pct"/>
            <w:tcBorders>
              <w:bottom w:val="single" w:color="auto" w:sz="4" w:space="0"/>
            </w:tcBorders>
            <w:vAlign w:val="center"/>
          </w:tcPr>
          <w:p w14:paraId="39ABD1A1">
            <w:pPr>
              <w:spacing w:after="50" w:line="360" w:lineRule="auto"/>
              <w:ind w:right="-10" w:rightChars="0"/>
              <w:jc w:val="left"/>
              <w:rPr>
                <w:rFonts w:ascii="@仿宋_GB2312" w:hAnsi="@仿宋_GB2312" w:eastAsia="@仿宋_GB2312" w:cs="@仿宋_GB2312"/>
                <w:kern w:val="2"/>
                <w:sz w:val="21"/>
                <w:lang w:val="en-US" w:eastAsia="zh-CN" w:bidi="ar-SA"/>
              </w:rPr>
            </w:pP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不得存在</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须知正文第</w:t>
            </w:r>
            <w:r>
              <w:rPr>
                <w:rFonts w:hint="eastAsia" w:ascii="宋体" w:hAnsi="宋体" w:eastAsia="宋体" w:cs="宋体"/>
                <w:sz w:val="24"/>
                <w:szCs w:val="24"/>
                <w:lang w:val="en-US" w:eastAsia="zh-CN"/>
              </w:rPr>
              <w:t>13.1条中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8" w:type="pct"/>
            <w:tcBorders>
              <w:bottom w:val="single" w:color="auto" w:sz="4" w:space="0"/>
            </w:tcBorders>
            <w:vAlign w:val="center"/>
          </w:tcPr>
          <w:p w14:paraId="59D7D481">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rPr>
              <w:t>无须</w:t>
            </w:r>
            <w:r>
              <w:rPr>
                <w:rFonts w:hint="eastAsia" w:ascii="宋体" w:hAnsi="宋体" w:eastAsia="宋体" w:cs="宋体"/>
                <w:sz w:val="24"/>
                <w:szCs w:val="24"/>
                <w:lang w:val="en-US" w:eastAsia="zh-CN"/>
              </w:rPr>
              <w:t>供应商提</w:t>
            </w:r>
            <w:r>
              <w:rPr>
                <w:rFonts w:hint="eastAsia" w:ascii="宋体" w:hAnsi="宋体" w:eastAsia="宋体" w:cs="宋体"/>
                <w:sz w:val="24"/>
                <w:szCs w:val="24"/>
              </w:rPr>
              <w:t>供，由采购人或采购代理机构查询。</w:t>
            </w:r>
          </w:p>
        </w:tc>
      </w:tr>
      <w:tr w14:paraId="5980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417B3BDD">
            <w:pPr>
              <w:adjustRightInd w:val="0"/>
              <w:snapToGrid w:val="0"/>
              <w:spacing w:line="360" w:lineRule="auto"/>
              <w:ind w:right="-10" w:rightChars="0"/>
              <w:jc w:val="center"/>
              <w:rPr>
                <w:rFonts w:hint="eastAsia" w:cs="@仿宋_GB2312" w:asciiTheme="majorEastAsia" w:hAnsiTheme="majorEastAsia" w:eastAsiaTheme="majorEastAsia"/>
                <w:color w:val="auto"/>
                <w:kern w:val="2"/>
                <w:sz w:val="24"/>
                <w:highlight w:val="none"/>
                <w:lang w:val="en-US" w:eastAsia="zh-CN" w:bidi="ar-SA"/>
              </w:rPr>
            </w:pPr>
            <w:r>
              <w:rPr>
                <w:rFonts w:hint="eastAsia" w:asciiTheme="majorEastAsia" w:hAnsiTheme="majorEastAsia" w:eastAsiaTheme="majorEastAsia"/>
                <w:color w:val="auto"/>
                <w:sz w:val="24"/>
                <w:highlight w:val="none"/>
                <w:lang w:val="en-US" w:eastAsia="zh-CN"/>
              </w:rPr>
              <w:t>4</w:t>
            </w:r>
          </w:p>
        </w:tc>
        <w:tc>
          <w:tcPr>
            <w:tcW w:w="911" w:type="pct"/>
            <w:vAlign w:val="center"/>
          </w:tcPr>
          <w:p w14:paraId="442187EE">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lang w:val="en-US" w:eastAsia="zh-CN"/>
              </w:rPr>
              <w:t>响应</w:t>
            </w:r>
            <w:r>
              <w:rPr>
                <w:rFonts w:hint="eastAsia" w:asciiTheme="minorEastAsia" w:hAnsiTheme="minorEastAsia" w:eastAsiaTheme="minorEastAsia"/>
                <w:color w:val="auto"/>
                <w:sz w:val="24"/>
                <w:szCs w:val="28"/>
                <w:highlight w:val="none"/>
              </w:rPr>
              <w:t>函</w:t>
            </w:r>
          </w:p>
        </w:tc>
        <w:tc>
          <w:tcPr>
            <w:tcW w:w="2589" w:type="pct"/>
            <w:vAlign w:val="center"/>
          </w:tcPr>
          <w:p w14:paraId="488ADEA0">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单一来源采购文件</w:t>
            </w:r>
            <w:r>
              <w:rPr>
                <w:rFonts w:hint="eastAsia" w:asciiTheme="minorEastAsia" w:hAnsiTheme="minorEastAsia" w:eastAsiaTheme="minorEastAsia"/>
                <w:color w:val="auto"/>
                <w:sz w:val="24"/>
                <w:szCs w:val="28"/>
                <w:highlight w:val="none"/>
              </w:rPr>
              <w:t>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88" w:type="pct"/>
            <w:vAlign w:val="center"/>
          </w:tcPr>
          <w:p w14:paraId="29213DDE">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3E63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4EEDF7F2">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11" w:type="pct"/>
            <w:vAlign w:val="center"/>
          </w:tcPr>
          <w:p w14:paraId="104C78F1">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授权书</w:t>
            </w:r>
          </w:p>
        </w:tc>
        <w:tc>
          <w:tcPr>
            <w:tcW w:w="2589" w:type="pct"/>
            <w:vAlign w:val="center"/>
          </w:tcPr>
          <w:p w14:paraId="39697F92">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单一来源采购文件</w:t>
            </w:r>
            <w:r>
              <w:rPr>
                <w:rFonts w:hint="eastAsia" w:asciiTheme="minorEastAsia" w:hAnsiTheme="minorEastAsia" w:eastAsiaTheme="minorEastAsia"/>
                <w:color w:val="auto"/>
                <w:sz w:val="24"/>
                <w:szCs w:val="28"/>
                <w:highlight w:val="none"/>
              </w:rPr>
              <w:t>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88" w:type="pct"/>
            <w:vAlign w:val="center"/>
          </w:tcPr>
          <w:p w14:paraId="3F2D167E">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单一来源采购</w:t>
            </w:r>
            <w:r>
              <w:rPr>
                <w:rFonts w:hint="eastAsia" w:asciiTheme="minorEastAsia" w:hAnsiTheme="minorEastAsia" w:eastAsiaTheme="minorEastAsia"/>
                <w:color w:val="auto"/>
                <w:sz w:val="24"/>
                <w:highlight w:val="none"/>
              </w:rPr>
              <w:t>的无需此件，提供身份证明即可。</w:t>
            </w: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886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4B89A2E3">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6</w:t>
            </w:r>
          </w:p>
        </w:tc>
        <w:tc>
          <w:tcPr>
            <w:tcW w:w="911" w:type="pct"/>
            <w:vAlign w:val="center"/>
          </w:tcPr>
          <w:p w14:paraId="47B243F6">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报价</w:t>
            </w:r>
          </w:p>
        </w:tc>
        <w:tc>
          <w:tcPr>
            <w:tcW w:w="2589" w:type="pct"/>
            <w:vAlign w:val="center"/>
          </w:tcPr>
          <w:p w14:paraId="5243CA54">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单一来源采购文件供应商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088" w:type="pct"/>
            <w:vAlign w:val="center"/>
          </w:tcPr>
          <w:p w14:paraId="43492F73">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2D36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14:paraId="06F15E3E">
            <w:pPr>
              <w:keepNext w:val="0"/>
              <w:keepLines w:val="0"/>
              <w:pageBreakBefore w:val="0"/>
              <w:widowControl w:val="0"/>
              <w:kinsoku/>
              <w:wordWrap/>
              <w:overflowPunct/>
              <w:topLinePunct w:val="0"/>
              <w:autoSpaceDE/>
              <w:autoSpaceDN/>
              <w:bidi w:val="0"/>
              <w:adjustRightInd w:val="0"/>
              <w:snapToGrid w:val="0"/>
              <w:spacing w:line="500" w:lineRule="exact"/>
              <w:ind w:right="-10" w:rightChars="0"/>
              <w:jc w:val="center"/>
              <w:textAlignment w:val="auto"/>
              <w:rPr>
                <w:rFonts w:hint="eastAsia" w:ascii="宋体" w:hAnsi="宋体" w:eastAsia="宋体"/>
                <w:color w:val="auto"/>
                <w:sz w:val="24"/>
                <w:highlight w:val="none"/>
                <w:lang w:val="en-US" w:eastAsia="zh-CN"/>
              </w:rPr>
            </w:pPr>
            <w:r>
              <w:rPr>
                <w:rFonts w:hint="eastAsia" w:ascii="宋体" w:hAnsi="宋体" w:eastAsia="宋体" w:cs="宋体"/>
                <w:color w:val="auto"/>
                <w:sz w:val="24"/>
                <w:szCs w:val="24"/>
                <w:highlight w:val="none"/>
                <w:lang w:val="en-US" w:eastAsia="zh-CN"/>
              </w:rPr>
              <w:t>7</w:t>
            </w:r>
          </w:p>
        </w:tc>
        <w:tc>
          <w:tcPr>
            <w:tcW w:w="1553" w:type="dxa"/>
            <w:vAlign w:val="center"/>
          </w:tcPr>
          <w:p w14:paraId="76E41A25">
            <w:pPr>
              <w:keepNext w:val="0"/>
              <w:keepLines w:val="0"/>
              <w:pageBreakBefore w:val="0"/>
              <w:widowControl w:val="0"/>
              <w:kinsoku/>
              <w:wordWrap/>
              <w:overflowPunct/>
              <w:topLinePunct w:val="0"/>
              <w:autoSpaceDE/>
              <w:autoSpaceDN/>
              <w:bidi w:val="0"/>
              <w:spacing w:line="500" w:lineRule="exact"/>
              <w:ind w:right="-10" w:rightChars="0"/>
              <w:jc w:val="center"/>
              <w:textAlignment w:val="auto"/>
              <w:rPr>
                <w:rFonts w:hint="eastAsia"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响应表</w:t>
            </w:r>
          </w:p>
        </w:tc>
        <w:tc>
          <w:tcPr>
            <w:tcW w:w="4413" w:type="dxa"/>
            <w:vAlign w:val="center"/>
          </w:tcPr>
          <w:p w14:paraId="49654BDC">
            <w:pPr>
              <w:keepNext w:val="0"/>
              <w:keepLines w:val="0"/>
              <w:pageBreakBefore w:val="0"/>
              <w:widowControl w:val="0"/>
              <w:kinsoku/>
              <w:wordWrap/>
              <w:overflowPunct/>
              <w:topLinePunct w:val="0"/>
              <w:autoSpaceDE/>
              <w:autoSpaceDN/>
              <w:bidi w:val="0"/>
              <w:spacing w:line="500" w:lineRule="exact"/>
              <w:ind w:right="-10" w:rightChars="0"/>
              <w:jc w:val="left"/>
              <w:textAlignment w:val="auto"/>
              <w:rPr>
                <w:rFonts w:hint="eastAsia"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格式、填写要求符合</w:t>
            </w:r>
            <w:r>
              <w:rPr>
                <w:rFonts w:hint="eastAsia" w:ascii="宋体" w:hAnsi="宋体" w:eastAsia="宋体" w:cs="宋体"/>
                <w:color w:val="auto"/>
                <w:sz w:val="24"/>
                <w:szCs w:val="24"/>
                <w:highlight w:val="none"/>
                <w:lang w:val="en-US" w:eastAsia="zh-CN"/>
              </w:rPr>
              <w:t>单一来源采购文件</w:t>
            </w:r>
            <w:r>
              <w:rPr>
                <w:rFonts w:hint="eastAsia" w:ascii="宋体" w:hAnsi="宋体" w:eastAsia="宋体" w:cs="宋体"/>
                <w:color w:val="auto"/>
                <w:sz w:val="24"/>
                <w:szCs w:val="24"/>
                <w:highlight w:val="none"/>
              </w:rPr>
              <w:t>规定并加盖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电子签章</w:t>
            </w:r>
          </w:p>
        </w:tc>
        <w:tc>
          <w:tcPr>
            <w:tcW w:w="1858" w:type="dxa"/>
            <w:vAlign w:val="center"/>
          </w:tcPr>
          <w:p w14:paraId="7E56EB91">
            <w:pPr>
              <w:keepNext w:val="0"/>
              <w:keepLines w:val="0"/>
              <w:pageBreakBefore w:val="0"/>
              <w:widowControl w:val="0"/>
              <w:kinsoku/>
              <w:wordWrap/>
              <w:overflowPunct/>
              <w:topLinePunct w:val="0"/>
              <w:autoSpaceDE/>
              <w:autoSpaceDN/>
              <w:bidi w:val="0"/>
              <w:adjustRightInd w:val="0"/>
              <w:snapToGrid w:val="0"/>
              <w:spacing w:line="500" w:lineRule="exact"/>
              <w:ind w:right="-10" w:rightChars="0"/>
              <w:jc w:val="left"/>
              <w:textAlignment w:val="auto"/>
              <w:rPr>
                <w:rFonts w:hint="eastAsia" w:ascii="宋体" w:hAnsi="宋体" w:eastAsia="宋体"/>
                <w:color w:val="auto"/>
                <w:sz w:val="24"/>
                <w:highlight w:val="none"/>
              </w:rPr>
            </w:pPr>
            <w:r>
              <w:rPr>
                <w:rFonts w:hint="eastAsia" w:ascii="宋体" w:hAnsi="宋体" w:eastAsia="宋体" w:cs="宋体"/>
                <w:color w:val="auto"/>
                <w:sz w:val="24"/>
                <w:szCs w:val="24"/>
                <w:highlight w:val="none"/>
              </w:rPr>
              <w:t>详见第六章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lang w:eastAsia="zh-CN"/>
              </w:rPr>
              <w:t>。</w:t>
            </w:r>
          </w:p>
        </w:tc>
      </w:tr>
      <w:tr w14:paraId="28B0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14:paraId="3A8EBC88">
            <w:pPr>
              <w:keepNext w:val="0"/>
              <w:keepLines w:val="0"/>
              <w:pageBreakBefore w:val="0"/>
              <w:widowControl w:val="0"/>
              <w:kinsoku/>
              <w:wordWrap/>
              <w:overflowPunct/>
              <w:topLinePunct w:val="0"/>
              <w:autoSpaceDE/>
              <w:autoSpaceDN/>
              <w:bidi w:val="0"/>
              <w:adjustRightInd w:val="0"/>
              <w:snapToGrid w:val="0"/>
              <w:spacing w:line="500" w:lineRule="exact"/>
              <w:ind w:right="-10" w:rightChars="0"/>
              <w:jc w:val="center"/>
              <w:textAlignment w:val="auto"/>
              <w:rPr>
                <w:rFonts w:hint="eastAsia" w:ascii="宋体" w:hAnsi="宋体" w:eastAsia="宋体"/>
                <w:color w:val="auto"/>
                <w:sz w:val="24"/>
                <w:highlight w:val="none"/>
                <w:lang w:val="en-US" w:eastAsia="zh-CN"/>
              </w:rPr>
            </w:pPr>
            <w:r>
              <w:rPr>
                <w:rFonts w:hint="eastAsia" w:ascii="宋体" w:hAnsi="宋体" w:eastAsia="宋体" w:cs="宋体"/>
                <w:color w:val="auto"/>
                <w:sz w:val="24"/>
                <w:szCs w:val="24"/>
                <w:highlight w:val="none"/>
                <w:lang w:val="en-US" w:eastAsia="zh-CN"/>
              </w:rPr>
              <w:t>8</w:t>
            </w:r>
          </w:p>
        </w:tc>
        <w:tc>
          <w:tcPr>
            <w:tcW w:w="1553" w:type="dxa"/>
            <w:vAlign w:val="center"/>
          </w:tcPr>
          <w:p w14:paraId="646EADCB">
            <w:pPr>
              <w:keepNext w:val="0"/>
              <w:keepLines w:val="0"/>
              <w:pageBreakBefore w:val="0"/>
              <w:widowControl w:val="0"/>
              <w:kinsoku/>
              <w:wordWrap/>
              <w:overflowPunct/>
              <w:topLinePunct w:val="0"/>
              <w:autoSpaceDE/>
              <w:autoSpaceDN/>
              <w:bidi w:val="0"/>
              <w:spacing w:line="500" w:lineRule="exact"/>
              <w:ind w:right="-10" w:rightChars="0"/>
              <w:jc w:val="center"/>
              <w:textAlignment w:val="auto"/>
              <w:rPr>
                <w:rFonts w:hint="eastAsia"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诚信履约承诺函</w:t>
            </w:r>
          </w:p>
        </w:tc>
        <w:tc>
          <w:tcPr>
            <w:tcW w:w="4413" w:type="dxa"/>
            <w:vAlign w:val="center"/>
          </w:tcPr>
          <w:p w14:paraId="1A322456">
            <w:pPr>
              <w:keepNext w:val="0"/>
              <w:keepLines w:val="0"/>
              <w:pageBreakBefore w:val="0"/>
              <w:widowControl w:val="0"/>
              <w:kinsoku/>
              <w:wordWrap/>
              <w:overflowPunct/>
              <w:topLinePunct w:val="0"/>
              <w:autoSpaceDE/>
              <w:autoSpaceDN/>
              <w:bidi w:val="0"/>
              <w:spacing w:line="500" w:lineRule="exact"/>
              <w:ind w:right="-10" w:rightChars="0"/>
              <w:jc w:val="left"/>
              <w:textAlignment w:val="auto"/>
              <w:rPr>
                <w:rFonts w:hint="eastAsia"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格式、填写要求符合</w:t>
            </w:r>
            <w:r>
              <w:rPr>
                <w:rFonts w:hint="eastAsia" w:ascii="宋体" w:hAnsi="宋体" w:eastAsia="宋体" w:cs="宋体"/>
                <w:color w:val="auto"/>
                <w:sz w:val="24"/>
                <w:szCs w:val="24"/>
                <w:highlight w:val="none"/>
                <w:lang w:val="en-US" w:eastAsia="zh-CN"/>
              </w:rPr>
              <w:t>单一来源采购文件</w:t>
            </w:r>
            <w:r>
              <w:rPr>
                <w:rFonts w:hint="eastAsia" w:ascii="宋体" w:hAnsi="宋体" w:eastAsia="宋体" w:cs="宋体"/>
                <w:color w:val="auto"/>
                <w:sz w:val="24"/>
                <w:szCs w:val="24"/>
                <w:highlight w:val="none"/>
              </w:rPr>
              <w:t>规定并加盖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电子签章</w:t>
            </w:r>
          </w:p>
        </w:tc>
        <w:tc>
          <w:tcPr>
            <w:tcW w:w="1858" w:type="dxa"/>
            <w:vAlign w:val="center"/>
          </w:tcPr>
          <w:p w14:paraId="2B831B09">
            <w:pPr>
              <w:keepNext w:val="0"/>
              <w:keepLines w:val="0"/>
              <w:pageBreakBefore w:val="0"/>
              <w:widowControl w:val="0"/>
              <w:kinsoku/>
              <w:wordWrap/>
              <w:overflowPunct/>
              <w:topLinePunct w:val="0"/>
              <w:autoSpaceDE/>
              <w:autoSpaceDN/>
              <w:bidi w:val="0"/>
              <w:adjustRightInd w:val="0"/>
              <w:snapToGrid w:val="0"/>
              <w:spacing w:line="500" w:lineRule="exact"/>
              <w:ind w:right="-10" w:rightChars="0"/>
              <w:jc w:val="left"/>
              <w:textAlignment w:val="auto"/>
              <w:rPr>
                <w:rFonts w:hint="eastAsia" w:ascii="宋体" w:hAnsi="宋体" w:eastAsia="宋体"/>
                <w:color w:val="auto"/>
                <w:sz w:val="24"/>
                <w:highlight w:val="none"/>
              </w:rPr>
            </w:pPr>
            <w:r>
              <w:rPr>
                <w:rFonts w:hint="eastAsia" w:ascii="宋体" w:hAnsi="宋体" w:eastAsia="宋体" w:cs="宋体"/>
                <w:color w:val="auto"/>
                <w:sz w:val="24"/>
                <w:szCs w:val="24"/>
                <w:highlight w:val="none"/>
              </w:rPr>
              <w:t>详见第六章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lang w:eastAsia="zh-CN"/>
              </w:rPr>
              <w:t>。</w:t>
            </w:r>
          </w:p>
        </w:tc>
      </w:tr>
      <w:tr w14:paraId="7F81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14:paraId="60FD7CBB">
            <w:pPr>
              <w:keepNext w:val="0"/>
              <w:keepLines w:val="0"/>
              <w:pageBreakBefore w:val="0"/>
              <w:widowControl w:val="0"/>
              <w:kinsoku/>
              <w:wordWrap/>
              <w:overflowPunct/>
              <w:topLinePunct w:val="0"/>
              <w:autoSpaceDE/>
              <w:autoSpaceDN/>
              <w:bidi w:val="0"/>
              <w:adjustRightInd w:val="0"/>
              <w:snapToGrid w:val="0"/>
              <w:spacing w:line="500" w:lineRule="exact"/>
              <w:ind w:right="-10" w:rightChars="0"/>
              <w:jc w:val="center"/>
              <w:textAlignment w:val="auto"/>
              <w:rPr>
                <w:rFonts w:hint="eastAsia" w:ascii="宋体" w:hAnsi="宋体" w:eastAsia="宋体" w:cs="@仿宋_GB2312"/>
                <w:color w:val="auto"/>
                <w:kern w:val="2"/>
                <w:sz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1553" w:type="dxa"/>
            <w:vAlign w:val="center"/>
          </w:tcPr>
          <w:p w14:paraId="2B884D34">
            <w:pPr>
              <w:keepNext w:val="0"/>
              <w:keepLines w:val="0"/>
              <w:pageBreakBefore w:val="0"/>
              <w:widowControl w:val="0"/>
              <w:kinsoku/>
              <w:wordWrap/>
              <w:overflowPunct/>
              <w:topLinePunct w:val="0"/>
              <w:autoSpaceDE/>
              <w:autoSpaceDN/>
              <w:bidi w:val="0"/>
              <w:spacing w:line="500" w:lineRule="exact"/>
              <w:ind w:right="-10" w:rightChars="0"/>
              <w:jc w:val="center"/>
              <w:textAlignment w:val="auto"/>
              <w:rPr>
                <w:rFonts w:cs="@仿宋_GB2312" w:asciiTheme="minorEastAsia" w:hAnsiTheme="minorEastAsia" w:eastAsiaTheme="minorEastAsia"/>
                <w:color w:val="auto"/>
                <w:kern w:val="2"/>
                <w:sz w:val="24"/>
                <w:szCs w:val="28"/>
                <w:highlight w:val="none"/>
                <w:lang w:val="en-US" w:eastAsia="zh-CN" w:bidi="ar-SA"/>
              </w:rPr>
            </w:pPr>
            <w:r>
              <w:rPr>
                <w:rFonts w:hint="eastAsia" w:ascii="宋体" w:hAnsi="宋体" w:eastAsia="宋体" w:cs="宋体"/>
                <w:color w:val="auto"/>
                <w:sz w:val="24"/>
                <w:szCs w:val="24"/>
                <w:highlight w:val="none"/>
              </w:rPr>
              <w:t>诚信响应承诺书</w:t>
            </w:r>
          </w:p>
        </w:tc>
        <w:tc>
          <w:tcPr>
            <w:tcW w:w="4413" w:type="dxa"/>
            <w:vAlign w:val="center"/>
          </w:tcPr>
          <w:p w14:paraId="4D84579B">
            <w:pPr>
              <w:keepNext w:val="0"/>
              <w:keepLines w:val="0"/>
              <w:pageBreakBefore w:val="0"/>
              <w:widowControl w:val="0"/>
              <w:kinsoku/>
              <w:wordWrap/>
              <w:overflowPunct/>
              <w:topLinePunct w:val="0"/>
              <w:autoSpaceDE/>
              <w:autoSpaceDN/>
              <w:bidi w:val="0"/>
              <w:spacing w:line="500" w:lineRule="exact"/>
              <w:ind w:right="-10" w:rightChars="0"/>
              <w:jc w:val="left"/>
              <w:textAlignment w:val="auto"/>
              <w:rPr>
                <w:rFonts w:cs="@仿宋_GB2312" w:asciiTheme="minorEastAsia" w:hAnsiTheme="minorEastAsia" w:eastAsiaTheme="minorEastAsia"/>
                <w:color w:val="auto"/>
                <w:kern w:val="2"/>
                <w:sz w:val="24"/>
                <w:szCs w:val="28"/>
                <w:highlight w:val="none"/>
                <w:lang w:val="en-US" w:eastAsia="zh-CN" w:bidi="ar-SA"/>
              </w:rPr>
            </w:pPr>
            <w:r>
              <w:rPr>
                <w:rFonts w:hint="eastAsia" w:ascii="宋体" w:hAnsi="宋体" w:eastAsia="宋体" w:cs="宋体"/>
                <w:color w:val="auto"/>
                <w:sz w:val="24"/>
                <w:szCs w:val="24"/>
                <w:highlight w:val="none"/>
              </w:rPr>
              <w:t>格式、填写要求符合</w:t>
            </w:r>
            <w:r>
              <w:rPr>
                <w:rFonts w:hint="eastAsia" w:ascii="宋体" w:hAnsi="宋体" w:eastAsia="宋体" w:cs="宋体"/>
                <w:color w:val="auto"/>
                <w:sz w:val="24"/>
                <w:szCs w:val="24"/>
                <w:highlight w:val="none"/>
                <w:lang w:val="en-US" w:eastAsia="zh-CN"/>
              </w:rPr>
              <w:t>单一来源采购文件</w:t>
            </w:r>
            <w:r>
              <w:rPr>
                <w:rFonts w:hint="eastAsia" w:ascii="宋体" w:hAnsi="宋体" w:eastAsia="宋体" w:cs="宋体"/>
                <w:color w:val="auto"/>
                <w:sz w:val="24"/>
                <w:szCs w:val="24"/>
                <w:highlight w:val="none"/>
              </w:rPr>
              <w:t>规定并加盖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电子签章</w:t>
            </w:r>
          </w:p>
        </w:tc>
        <w:tc>
          <w:tcPr>
            <w:tcW w:w="1858" w:type="dxa"/>
            <w:vAlign w:val="center"/>
          </w:tcPr>
          <w:p w14:paraId="331976DE">
            <w:pPr>
              <w:keepNext w:val="0"/>
              <w:keepLines w:val="0"/>
              <w:pageBreakBefore w:val="0"/>
              <w:widowControl w:val="0"/>
              <w:kinsoku/>
              <w:wordWrap/>
              <w:overflowPunct/>
              <w:topLinePunct w:val="0"/>
              <w:autoSpaceDE/>
              <w:autoSpaceDN/>
              <w:bidi w:val="0"/>
              <w:adjustRightInd w:val="0"/>
              <w:snapToGrid w:val="0"/>
              <w:spacing w:line="500" w:lineRule="exact"/>
              <w:ind w:right="-10" w:rightChars="0"/>
              <w:jc w:val="left"/>
              <w:textAlignment w:val="auto"/>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s="宋体"/>
                <w:color w:val="auto"/>
                <w:sz w:val="24"/>
                <w:szCs w:val="24"/>
                <w:highlight w:val="none"/>
              </w:rPr>
              <w:t>详见第六章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lang w:eastAsia="zh-CN"/>
              </w:rPr>
              <w:t>。</w:t>
            </w:r>
          </w:p>
        </w:tc>
      </w:tr>
      <w:bookmarkEnd w:id="37"/>
    </w:tbl>
    <w:p w14:paraId="18D32DB6">
      <w:pPr>
        <w:keepNext w:val="0"/>
        <w:keepLines w:val="0"/>
        <w:pageBreakBefore w:val="0"/>
        <w:kinsoku/>
        <w:wordWrap/>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评审指标通过标准：</w:t>
      </w:r>
      <w:r>
        <w:rPr>
          <w:rFonts w:hint="eastAsia" w:asciiTheme="minorEastAsia" w:hAnsiTheme="minorEastAsia" w:eastAsiaTheme="minorEastAsia"/>
          <w:color w:val="auto"/>
          <w:sz w:val="24"/>
          <w:highlight w:val="none"/>
        </w:rPr>
        <w:t>供应商必须通过评审表中的全部评审指标。</w:t>
      </w:r>
    </w:p>
    <w:p w14:paraId="65D780E8">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b/>
          <w:bCs w:val="0"/>
          <w:color w:val="auto"/>
          <w:sz w:val="24"/>
          <w:highlight w:val="none"/>
          <w:lang w:val="en-US" w:eastAsia="zh-CN"/>
        </w:rPr>
      </w:pPr>
      <w:r>
        <w:rPr>
          <w:rFonts w:hint="eastAsia" w:asciiTheme="minorEastAsia" w:hAnsiTheme="minorEastAsia" w:eastAsiaTheme="minorEastAsia"/>
          <w:b/>
          <w:bCs w:val="0"/>
          <w:color w:val="auto"/>
          <w:sz w:val="24"/>
          <w:highlight w:val="none"/>
          <w:lang w:val="en-US" w:eastAsia="zh-CN"/>
        </w:rPr>
        <w:t>注：项目供应商提供服务等均须符合采购要求。成交供应商的成交价格：采用两次报价形式，以有效报价的最低价，确定成交价格。提交的响应文件中价格作为第一次报价，第二次报价在响应文件通过评审后，由采购小组通过评标系统以询标方式，向供应商进行询标，供应商应在评标系统询标规定的时间内，通过“评标澄清回复”进行二次报价。供应商应及时查看系统质询问题并及时进行二次报价，第二次报价即为最后报价。二次报价（最后报价）不得高于其一次报价，否则取消其响应资格。望供应商务必全程在线，及时进行回复，否则，因此给其造成相关后果，自行承担。</w:t>
      </w:r>
    </w:p>
    <w:p w14:paraId="3047FF05">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三、无效</w:t>
      </w:r>
      <w:r>
        <w:rPr>
          <w:rFonts w:hint="eastAsia" w:asciiTheme="minorEastAsia" w:hAnsiTheme="minorEastAsia" w:eastAsiaTheme="minorEastAsia"/>
          <w:b/>
          <w:bCs/>
          <w:color w:val="auto"/>
          <w:sz w:val="24"/>
          <w:szCs w:val="24"/>
          <w:highlight w:val="none"/>
          <w:lang w:val="en-US" w:eastAsia="zh-CN"/>
        </w:rPr>
        <w:t>响应</w:t>
      </w:r>
      <w:r>
        <w:rPr>
          <w:rFonts w:hint="eastAsia" w:asciiTheme="minorEastAsia" w:hAnsiTheme="minorEastAsia" w:eastAsiaTheme="minorEastAsia"/>
          <w:b/>
          <w:bCs/>
          <w:color w:val="auto"/>
          <w:sz w:val="24"/>
          <w:szCs w:val="24"/>
          <w:highlight w:val="none"/>
        </w:rPr>
        <w:t>条款</w:t>
      </w:r>
    </w:p>
    <w:p w14:paraId="78E0FA9D">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3.1</w:t>
      </w:r>
      <w:r>
        <w:rPr>
          <w:rFonts w:hint="eastAsia" w:asciiTheme="minorEastAsia" w:hAnsiTheme="minorEastAsia" w:eastAsiaTheme="minorEastAsia"/>
          <w:color w:val="auto"/>
          <w:sz w:val="24"/>
          <w:szCs w:val="24"/>
          <w:highlight w:val="none"/>
          <w:lang w:val="en-US" w:eastAsia="zh-CN"/>
        </w:rPr>
        <w:t>响应</w:t>
      </w:r>
      <w:r>
        <w:rPr>
          <w:rFonts w:hint="eastAsia" w:asciiTheme="minorEastAsia" w:hAnsiTheme="minorEastAsia" w:eastAsiaTheme="minorEastAsia"/>
          <w:color w:val="auto"/>
          <w:sz w:val="24"/>
          <w:szCs w:val="24"/>
          <w:highlight w:val="none"/>
        </w:rPr>
        <w:t>文件有下列情形之一的,其</w:t>
      </w:r>
      <w:r>
        <w:rPr>
          <w:rFonts w:hint="eastAsia" w:asciiTheme="minorEastAsia" w:hAnsiTheme="minorEastAsia" w:eastAsiaTheme="minorEastAsia"/>
          <w:color w:val="auto"/>
          <w:sz w:val="24"/>
          <w:szCs w:val="24"/>
          <w:highlight w:val="none"/>
          <w:lang w:val="en-US" w:eastAsia="zh-CN"/>
        </w:rPr>
        <w:t>响应</w:t>
      </w:r>
      <w:r>
        <w:rPr>
          <w:rFonts w:hint="eastAsia" w:asciiTheme="minorEastAsia" w:hAnsiTheme="minorEastAsia" w:eastAsiaTheme="minorEastAsia"/>
          <w:color w:val="auto"/>
          <w:sz w:val="24"/>
          <w:szCs w:val="24"/>
          <w:highlight w:val="none"/>
        </w:rPr>
        <w:t>文件拒收:</w:t>
      </w:r>
    </w:p>
    <w:p w14:paraId="45DF304B">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 未在</w:t>
      </w:r>
      <w:r>
        <w:rPr>
          <w:rFonts w:hint="eastAsia" w:asciiTheme="minorEastAsia" w:hAnsiTheme="minorEastAsia" w:eastAsiaTheme="minorEastAsia"/>
          <w:color w:val="auto"/>
          <w:sz w:val="24"/>
          <w:szCs w:val="24"/>
          <w:highlight w:val="none"/>
          <w:lang w:val="en-US" w:eastAsia="zh-CN"/>
        </w:rPr>
        <w:t>协商</w:t>
      </w:r>
      <w:r>
        <w:rPr>
          <w:rFonts w:hint="eastAsia" w:asciiTheme="minorEastAsia" w:hAnsiTheme="minorEastAsia" w:eastAsiaTheme="minorEastAsia"/>
          <w:color w:val="auto"/>
          <w:sz w:val="24"/>
          <w:szCs w:val="24"/>
          <w:highlight w:val="none"/>
        </w:rPr>
        <w:t>截止时间前通过网上招标投标系统递交有效电子</w:t>
      </w:r>
      <w:r>
        <w:rPr>
          <w:rFonts w:hint="eastAsia" w:asciiTheme="minorEastAsia" w:hAnsiTheme="minorEastAsia" w:eastAsiaTheme="minorEastAsia"/>
          <w:color w:val="auto"/>
          <w:sz w:val="24"/>
          <w:szCs w:val="24"/>
          <w:highlight w:val="none"/>
          <w:lang w:val="en-US" w:eastAsia="zh-CN"/>
        </w:rPr>
        <w:t>响应</w:t>
      </w:r>
      <w:r>
        <w:rPr>
          <w:rFonts w:hint="eastAsia" w:asciiTheme="minorEastAsia" w:hAnsiTheme="minorEastAsia" w:eastAsiaTheme="minorEastAsia"/>
          <w:color w:val="auto"/>
          <w:sz w:val="24"/>
          <w:szCs w:val="24"/>
          <w:highlight w:val="none"/>
        </w:rPr>
        <w:t>文件的，开标系统不予接收，</w:t>
      </w:r>
      <w:r>
        <w:rPr>
          <w:rFonts w:hint="eastAsia" w:asciiTheme="minorEastAsia" w:hAnsiTheme="minorEastAsia" w:eastAsiaTheme="minorEastAsia"/>
          <w:color w:val="auto"/>
          <w:sz w:val="24"/>
          <w:szCs w:val="24"/>
          <w:highlight w:val="none"/>
          <w:lang w:val="en-US" w:eastAsia="zh-CN"/>
        </w:rPr>
        <w:t>响应</w:t>
      </w:r>
      <w:r>
        <w:rPr>
          <w:rFonts w:hint="eastAsia" w:asciiTheme="minorEastAsia" w:hAnsiTheme="minorEastAsia" w:eastAsiaTheme="minorEastAsia"/>
          <w:color w:val="auto"/>
          <w:sz w:val="24"/>
          <w:szCs w:val="24"/>
          <w:highlight w:val="none"/>
        </w:rPr>
        <w:t>将被拒绝。</w:t>
      </w:r>
    </w:p>
    <w:p w14:paraId="39F2F3B4">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lang w:val="en-US" w:eastAsia="zh-CN"/>
        </w:rPr>
        <w:t>供应商</w:t>
      </w:r>
      <w:r>
        <w:rPr>
          <w:rFonts w:hint="eastAsia" w:asciiTheme="minorEastAsia" w:hAnsiTheme="minorEastAsia" w:eastAsiaTheme="minorEastAsia"/>
          <w:color w:val="auto"/>
          <w:sz w:val="24"/>
          <w:szCs w:val="24"/>
          <w:highlight w:val="none"/>
        </w:rPr>
        <w:t>接到远程解密指令后，须在规定时间内解密。因</w:t>
      </w:r>
      <w:r>
        <w:rPr>
          <w:rFonts w:hint="eastAsia" w:asciiTheme="minorEastAsia" w:hAnsiTheme="minorEastAsia" w:eastAsiaTheme="minorEastAsia"/>
          <w:color w:val="auto"/>
          <w:sz w:val="24"/>
          <w:szCs w:val="24"/>
          <w:highlight w:val="none"/>
          <w:lang w:eastAsia="zh-CN"/>
        </w:rPr>
        <w:t>供应商</w:t>
      </w:r>
      <w:r>
        <w:rPr>
          <w:rFonts w:hint="eastAsia" w:asciiTheme="minorEastAsia" w:hAnsiTheme="minorEastAsia" w:eastAsiaTheme="minorEastAsia"/>
          <w:color w:val="auto"/>
          <w:sz w:val="24"/>
          <w:szCs w:val="24"/>
          <w:highlight w:val="none"/>
        </w:rPr>
        <w:t>自身原因导致</w:t>
      </w:r>
      <w:r>
        <w:rPr>
          <w:rFonts w:hint="eastAsia" w:asciiTheme="minorEastAsia" w:hAnsiTheme="minorEastAsia" w:eastAsiaTheme="minorEastAsia"/>
          <w:color w:val="auto"/>
          <w:sz w:val="24"/>
          <w:szCs w:val="24"/>
          <w:highlight w:val="none"/>
          <w:lang w:val="en-US" w:eastAsia="zh-CN"/>
        </w:rPr>
        <w:t>响应</w:t>
      </w:r>
      <w:r>
        <w:rPr>
          <w:rFonts w:hint="eastAsia" w:asciiTheme="minorEastAsia" w:hAnsiTheme="minorEastAsia" w:eastAsiaTheme="minorEastAsia"/>
          <w:color w:val="auto"/>
          <w:sz w:val="24"/>
          <w:szCs w:val="24"/>
          <w:highlight w:val="none"/>
        </w:rPr>
        <w:t>文件在规定时间内未能解密、解密失败或解密超时，</w:t>
      </w:r>
      <w:r>
        <w:rPr>
          <w:rFonts w:hint="eastAsia" w:asciiTheme="minorEastAsia" w:hAnsiTheme="minorEastAsia" w:eastAsiaTheme="minorEastAsia"/>
          <w:color w:val="auto"/>
          <w:sz w:val="24"/>
          <w:szCs w:val="24"/>
          <w:highlight w:val="none"/>
          <w:lang w:val="en-US" w:eastAsia="zh-CN"/>
        </w:rPr>
        <w:t>响应</w:t>
      </w:r>
      <w:r>
        <w:rPr>
          <w:rFonts w:hint="eastAsia" w:asciiTheme="minorEastAsia" w:hAnsiTheme="minorEastAsia" w:eastAsiaTheme="minorEastAsia"/>
          <w:color w:val="auto"/>
          <w:sz w:val="24"/>
          <w:szCs w:val="24"/>
          <w:highlight w:val="none"/>
        </w:rPr>
        <w:t>文件无效；解密时间：从本项目解密程序开始时计时，至完成</w:t>
      </w:r>
      <w:r>
        <w:rPr>
          <w:rFonts w:hint="eastAsia" w:asciiTheme="minorEastAsia" w:hAnsiTheme="minorEastAsia" w:eastAsiaTheme="minorEastAsia"/>
          <w:color w:val="auto"/>
          <w:sz w:val="24"/>
          <w:szCs w:val="24"/>
          <w:highlight w:val="none"/>
          <w:lang w:val="en-US" w:eastAsia="zh-CN"/>
        </w:rPr>
        <w:t>响应</w:t>
      </w:r>
      <w:r>
        <w:rPr>
          <w:rFonts w:hint="eastAsia" w:asciiTheme="minorEastAsia" w:hAnsiTheme="minorEastAsia" w:eastAsiaTheme="minorEastAsia"/>
          <w:color w:val="auto"/>
          <w:sz w:val="24"/>
          <w:szCs w:val="24"/>
          <w:highlight w:val="none"/>
        </w:rPr>
        <w:t>文件解密时间，不得超过60分钟，否则</w:t>
      </w:r>
      <w:r>
        <w:rPr>
          <w:rFonts w:hint="eastAsia" w:asciiTheme="minorEastAsia" w:hAnsiTheme="minorEastAsia" w:eastAsiaTheme="minorEastAsia"/>
          <w:color w:val="auto"/>
          <w:sz w:val="24"/>
          <w:szCs w:val="24"/>
          <w:highlight w:val="none"/>
          <w:lang w:val="en-US" w:eastAsia="zh-CN"/>
        </w:rPr>
        <w:t>响应</w:t>
      </w:r>
      <w:r>
        <w:rPr>
          <w:rFonts w:hint="eastAsia" w:asciiTheme="minorEastAsia" w:hAnsiTheme="minorEastAsia" w:eastAsiaTheme="minorEastAsia"/>
          <w:color w:val="auto"/>
          <w:sz w:val="24"/>
          <w:szCs w:val="24"/>
          <w:highlight w:val="none"/>
        </w:rPr>
        <w:t>文件将被拒绝。</w:t>
      </w:r>
    </w:p>
    <w:p w14:paraId="1ADEF565">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3.2</w:t>
      </w:r>
      <w:r>
        <w:rPr>
          <w:rFonts w:hint="eastAsia" w:asciiTheme="minorEastAsia" w:hAnsiTheme="minorEastAsia" w:eastAsiaTheme="minorEastAsia"/>
          <w:color w:val="auto"/>
          <w:sz w:val="24"/>
          <w:szCs w:val="24"/>
          <w:highlight w:val="none"/>
          <w:lang w:eastAsia="zh-CN"/>
        </w:rPr>
        <w:t>供应商</w:t>
      </w:r>
      <w:r>
        <w:rPr>
          <w:rFonts w:hint="eastAsia" w:asciiTheme="minorEastAsia" w:hAnsiTheme="minorEastAsia" w:eastAsiaTheme="minorEastAsia"/>
          <w:color w:val="auto"/>
          <w:sz w:val="24"/>
          <w:szCs w:val="24"/>
          <w:highlight w:val="none"/>
        </w:rPr>
        <w:t>有下列情形之一的,资格审查后其</w:t>
      </w:r>
      <w:r>
        <w:rPr>
          <w:rFonts w:hint="eastAsia" w:asciiTheme="minorEastAsia" w:hAnsiTheme="minorEastAsia" w:eastAsiaTheme="minorEastAsia"/>
          <w:color w:val="auto"/>
          <w:sz w:val="24"/>
          <w:szCs w:val="24"/>
          <w:highlight w:val="none"/>
          <w:lang w:val="en-US" w:eastAsia="zh-CN"/>
        </w:rPr>
        <w:t>响应</w:t>
      </w:r>
      <w:r>
        <w:rPr>
          <w:rFonts w:hint="eastAsia" w:asciiTheme="minorEastAsia" w:hAnsiTheme="minorEastAsia" w:eastAsiaTheme="minorEastAsia"/>
          <w:color w:val="auto"/>
          <w:sz w:val="24"/>
          <w:szCs w:val="24"/>
          <w:highlight w:val="none"/>
        </w:rPr>
        <w:t>作无效处理：</w:t>
      </w:r>
    </w:p>
    <w:p w14:paraId="6658E23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（1）供应商为本项目提供采购代理服务的；</w:t>
      </w:r>
    </w:p>
    <w:p w14:paraId="2D398E1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（2）供应商与在本项目代理机构存在相互任职或工作的；</w:t>
      </w:r>
    </w:p>
    <w:p w14:paraId="44B7B48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（3）与采购人存在利害关系可能影响采购公正性的法人、其他组织或者个人；</w:t>
      </w:r>
    </w:p>
    <w:p w14:paraId="31E9369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）要求供应商以联合体形式参加采购活动，供应商非联合体或者联合协议中中小企业合同金额未达到应当达到的比例；</w:t>
      </w:r>
    </w:p>
    <w:p w14:paraId="4EA8683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）要求获得采购合同的供应商向中小企业分包，供应商未提供分包意向协议或者分包意向协议中中小企业合同金额未达到应当达到的比例；</w:t>
      </w:r>
    </w:p>
    <w:p w14:paraId="6830A65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）无法查看并检验电子响应文件中相关资料的；</w:t>
      </w:r>
    </w:p>
    <w:p w14:paraId="7AC4DC00">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）责令停产停业</w:t>
      </w:r>
      <w:r>
        <w:rPr>
          <w:rFonts w:hint="eastAsia" w:asciiTheme="minorEastAsia" w:hAnsiTheme="minorEastAsia" w:eastAsiaTheme="minorEastAsia"/>
          <w:color w:val="auto"/>
          <w:sz w:val="24"/>
          <w:highlight w:val="none"/>
          <w:lang w:val="en-US" w:eastAsia="zh-CN"/>
        </w:rPr>
        <w:t>的；</w:t>
      </w:r>
    </w:p>
    <w:p w14:paraId="0D55DDE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暂停或者取消参与政府采购项目资格的；</w:t>
      </w:r>
    </w:p>
    <w:p w14:paraId="0625FD0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）单位负责人为同一人或者存在</w:t>
      </w:r>
      <w:r>
        <w:rPr>
          <w:rFonts w:hint="eastAsia" w:asciiTheme="minorEastAsia" w:hAnsiTheme="minorEastAsia" w:eastAsiaTheme="minorEastAsia"/>
          <w:color w:val="auto"/>
          <w:sz w:val="24"/>
          <w:highlight w:val="none"/>
          <w:lang w:val="en-US" w:eastAsia="zh-CN"/>
        </w:rPr>
        <w:t>直接</w:t>
      </w:r>
      <w:r>
        <w:rPr>
          <w:rFonts w:hint="eastAsia" w:asciiTheme="minorEastAsia" w:hAnsiTheme="minorEastAsia" w:eastAsiaTheme="minorEastAsia"/>
          <w:color w:val="auto"/>
          <w:sz w:val="24"/>
          <w:highlight w:val="none"/>
        </w:rPr>
        <w:t>控股、管理关系的不同</w:t>
      </w:r>
      <w:r>
        <w:rPr>
          <w:rFonts w:hint="eastAsia" w:asciiTheme="minorEastAsia" w:hAnsiTheme="minorEastAsia" w:eastAsiaTheme="minorEastAsia"/>
          <w:color w:val="auto"/>
          <w:sz w:val="24"/>
          <w:highlight w:val="none"/>
          <w:lang w:val="en-US" w:eastAsia="zh-CN"/>
        </w:rPr>
        <w:t>单位</w:t>
      </w:r>
      <w:r>
        <w:rPr>
          <w:rFonts w:hint="eastAsia" w:asciiTheme="minorEastAsia" w:hAnsiTheme="minorEastAsia" w:eastAsiaTheme="minorEastAsia"/>
          <w:color w:val="auto"/>
          <w:sz w:val="24"/>
          <w:highlight w:val="none"/>
        </w:rPr>
        <w:t>的；</w:t>
      </w:r>
    </w:p>
    <w:p w14:paraId="50CA40F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）供应商基本资格条件和特定资格条件中有一项及以上不符合要求的；</w:t>
      </w:r>
    </w:p>
    <w:p w14:paraId="6D7BF33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评审时查询响应文件制作机器码、文件创建标识码及造价软件加密锁号。若存在响应文件制作机器码或创建标识码或造价软件加密锁号信息与其他供应商雷同的，响应无效、进行信用信息披露，行政监管部门将依据线索依法查处；</w:t>
      </w:r>
    </w:p>
    <w:p w14:paraId="6A5FB0A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）其它情形按无效响应处理，并经公共资源交易监督部门核准的；</w:t>
      </w:r>
    </w:p>
    <w:p w14:paraId="0711921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13</w:t>
      </w:r>
      <w:r>
        <w:rPr>
          <w:rFonts w:hint="eastAsia" w:asciiTheme="minorEastAsia" w:hAnsiTheme="minorEastAsia" w:eastAsiaTheme="minorEastAsia"/>
          <w:color w:val="auto"/>
          <w:sz w:val="24"/>
          <w:highlight w:val="none"/>
        </w:rPr>
        <w:t>）供应商响应MAC地址或供应商联系人或联系电话相同的，由</w:t>
      </w:r>
      <w:r>
        <w:rPr>
          <w:rFonts w:hint="eastAsia" w:asciiTheme="minorEastAsia" w:hAnsiTheme="minorEastAsia" w:eastAsiaTheme="minorEastAsia"/>
          <w:color w:val="auto"/>
          <w:sz w:val="24"/>
          <w:highlight w:val="none"/>
          <w:lang w:val="en-US" w:eastAsia="zh-CN"/>
        </w:rPr>
        <w:t>评审</w:t>
      </w:r>
      <w:r>
        <w:rPr>
          <w:rFonts w:hint="eastAsia" w:asciiTheme="minorEastAsia" w:hAnsiTheme="minorEastAsia" w:eastAsiaTheme="minorEastAsia"/>
          <w:color w:val="auto"/>
          <w:sz w:val="24"/>
          <w:highlight w:val="none"/>
          <w:lang w:eastAsia="zh-CN"/>
        </w:rPr>
        <w:t>小组</w:t>
      </w:r>
      <w:r>
        <w:rPr>
          <w:rFonts w:hint="eastAsia" w:asciiTheme="minorEastAsia" w:hAnsiTheme="minorEastAsia" w:eastAsiaTheme="minorEastAsia"/>
          <w:color w:val="auto"/>
          <w:sz w:val="24"/>
          <w:highlight w:val="none"/>
        </w:rPr>
        <w:t>否决其响应，并报告监管部门作不良行为处理和进一步调查；</w:t>
      </w:r>
    </w:p>
    <w:p w14:paraId="1EAA449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）供应商单方面出现其他供应商材料的</w:t>
      </w:r>
      <w:r>
        <w:rPr>
          <w:rFonts w:hint="eastAsia" w:cs="@仿宋_GB2312" w:asciiTheme="minorEastAsia" w:hAnsiTheme="minorEastAsia" w:eastAsiaTheme="minorEastAsia"/>
          <w:b w:val="0"/>
          <w:bCs/>
          <w:color w:val="auto"/>
          <w:kern w:val="2"/>
          <w:sz w:val="24"/>
          <w:szCs w:val="24"/>
          <w:highlight w:val="none"/>
          <w:u w:val="none"/>
          <w:lang w:val="en-US" w:eastAsia="zh-CN" w:bidi="ar-SA"/>
        </w:rPr>
        <w:t>（组成联合体响应的除外）</w:t>
      </w:r>
      <w:r>
        <w:rPr>
          <w:rFonts w:hint="eastAsia" w:asciiTheme="minorEastAsia" w:hAnsiTheme="minorEastAsia" w:eastAsiaTheme="minorEastAsia"/>
          <w:color w:val="auto"/>
          <w:sz w:val="24"/>
          <w:highlight w:val="none"/>
        </w:rPr>
        <w:t>；</w:t>
      </w:r>
    </w:p>
    <w:p w14:paraId="39C85EF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规定的其它无效情形。</w:t>
      </w:r>
    </w:p>
    <w:p w14:paraId="61D9F8F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 供应商有下列情形之一的,符合性审查后其按无效响应处理：</w:t>
      </w:r>
    </w:p>
    <w:p w14:paraId="770553C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（1）响应文件签章不全，经</w:t>
      </w:r>
      <w:r>
        <w:rPr>
          <w:rFonts w:hint="eastAsia" w:asciiTheme="minorEastAsia" w:hAnsiTheme="minorEastAsia" w:eastAsiaTheme="minorEastAsia"/>
          <w:color w:val="auto"/>
          <w:sz w:val="24"/>
          <w:highlight w:val="none"/>
          <w:lang w:val="en-US" w:eastAsia="zh-CN"/>
        </w:rPr>
        <w:t>评审</w:t>
      </w:r>
      <w:r>
        <w:rPr>
          <w:rFonts w:hint="eastAsia" w:asciiTheme="minorEastAsia" w:hAnsiTheme="minorEastAsia" w:eastAsiaTheme="minorEastAsia"/>
          <w:color w:val="auto"/>
          <w:sz w:val="24"/>
          <w:highlight w:val="none"/>
          <w:lang w:eastAsia="zh-CN"/>
        </w:rPr>
        <w:t>小组</w:t>
      </w:r>
      <w:r>
        <w:rPr>
          <w:rFonts w:hint="eastAsia" w:asciiTheme="minorEastAsia" w:hAnsiTheme="minorEastAsia" w:eastAsiaTheme="minorEastAsia"/>
          <w:color w:val="auto"/>
          <w:sz w:val="24"/>
          <w:highlight w:val="none"/>
        </w:rPr>
        <w:t>一致认定对响应内容有实质性影响并经公共资源交易监督部门核准的；</w:t>
      </w:r>
    </w:p>
    <w:p w14:paraId="5B4F3F7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（2）未按规定的格式填写导致实质性内容不全以及实质上不响应，或者关键字迹模糊、无法辨认；经公共资源交易监督部门核准的；</w:t>
      </w:r>
    </w:p>
    <w:p w14:paraId="149B6CA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（3）同一供应商提交两个或以上不同的响应文件或者报价，但</w:t>
      </w:r>
      <w:r>
        <w:rPr>
          <w:rFonts w:hint="eastAsia" w:asciiTheme="minorEastAsia" w:hAnsiTheme="minorEastAsia" w:eastAsiaTheme="minorEastAsia"/>
          <w:color w:val="auto"/>
          <w:sz w:val="24"/>
          <w:highlight w:val="none"/>
          <w:lang w:val="en-US" w:eastAsia="zh-CN"/>
        </w:rPr>
        <w:t>单一来源采购</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规定提交备选方案的除外；</w:t>
      </w:r>
    </w:p>
    <w:p w14:paraId="230662B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（4）响应文件没有对</w:t>
      </w:r>
      <w:r>
        <w:rPr>
          <w:rFonts w:hint="eastAsia" w:asciiTheme="minorEastAsia" w:hAnsiTheme="minorEastAsia" w:eastAsiaTheme="minorEastAsia"/>
          <w:color w:val="auto"/>
          <w:sz w:val="24"/>
          <w:highlight w:val="none"/>
          <w:lang w:val="en-US" w:eastAsia="zh-CN"/>
        </w:rPr>
        <w:t>单一来源采购</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的实质性要求和条件作出响应；</w:t>
      </w:r>
    </w:p>
    <w:p w14:paraId="3378071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（5）报价超出规定的最高限价或公布的采购预算的或供应商的报价各项单价高于</w:t>
      </w:r>
      <w:r>
        <w:rPr>
          <w:rFonts w:hint="eastAsia" w:asciiTheme="minorEastAsia" w:hAnsiTheme="minorEastAsia" w:eastAsiaTheme="minorEastAsia"/>
          <w:color w:val="auto"/>
          <w:sz w:val="24"/>
          <w:highlight w:val="none"/>
          <w:lang w:val="en-US" w:eastAsia="zh-CN"/>
        </w:rPr>
        <w:t>单一来源采购</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给定的单价最高限价；</w:t>
      </w:r>
    </w:p>
    <w:p w14:paraId="72E9199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w:t>
      </w:r>
      <w:r>
        <w:rPr>
          <w:rFonts w:hint="eastAsia" w:asciiTheme="minorEastAsia" w:hAnsiTheme="minorEastAsia" w:eastAsiaTheme="minorEastAsia"/>
          <w:color w:val="auto"/>
          <w:sz w:val="24"/>
          <w:highlight w:val="none"/>
          <w:lang w:val="en-US" w:eastAsia="zh-CN"/>
        </w:rPr>
        <w:t>评审</w:t>
      </w:r>
      <w:r>
        <w:rPr>
          <w:rFonts w:hint="eastAsia" w:asciiTheme="minorEastAsia" w:hAnsiTheme="minorEastAsia" w:eastAsiaTheme="minorEastAsia"/>
          <w:color w:val="auto"/>
          <w:sz w:val="24"/>
          <w:highlight w:val="none"/>
          <w:lang w:eastAsia="zh-CN"/>
        </w:rPr>
        <w:t>小组</w:t>
      </w:r>
      <w:r>
        <w:rPr>
          <w:rFonts w:hint="eastAsia" w:asciiTheme="minorEastAsia" w:hAnsiTheme="minorEastAsia" w:eastAsiaTheme="minorEastAsia"/>
          <w:color w:val="auto"/>
          <w:sz w:val="24"/>
          <w:highlight w:val="none"/>
        </w:rPr>
        <w:t>要求澄清、说明或补正的，或者</w:t>
      </w:r>
      <w:r>
        <w:rPr>
          <w:rFonts w:hint="eastAsia" w:asciiTheme="minorEastAsia" w:hAnsiTheme="minorEastAsia" w:eastAsiaTheme="minorEastAsia"/>
          <w:color w:val="auto"/>
          <w:sz w:val="24"/>
          <w:highlight w:val="none"/>
          <w:lang w:val="en-US" w:eastAsia="zh-CN"/>
        </w:rPr>
        <w:t>评审</w:t>
      </w:r>
      <w:r>
        <w:rPr>
          <w:rFonts w:hint="eastAsia" w:asciiTheme="minorEastAsia" w:hAnsiTheme="minorEastAsia" w:eastAsiaTheme="minorEastAsia"/>
          <w:color w:val="auto"/>
          <w:sz w:val="24"/>
          <w:highlight w:val="none"/>
          <w:lang w:eastAsia="zh-CN"/>
        </w:rPr>
        <w:t>小组</w:t>
      </w:r>
      <w:r>
        <w:rPr>
          <w:rFonts w:hint="eastAsia" w:asciiTheme="minorEastAsia" w:hAnsiTheme="minorEastAsia" w:eastAsiaTheme="minorEastAsia"/>
          <w:color w:val="auto"/>
          <w:sz w:val="24"/>
          <w:highlight w:val="none"/>
        </w:rPr>
        <w:t>根据</w:t>
      </w:r>
      <w:r>
        <w:rPr>
          <w:rFonts w:hint="eastAsia" w:asciiTheme="minorEastAsia" w:hAnsiTheme="minorEastAsia" w:eastAsiaTheme="minorEastAsia"/>
          <w:color w:val="auto"/>
          <w:sz w:val="24"/>
          <w:highlight w:val="none"/>
          <w:lang w:val="en-US" w:eastAsia="zh-CN"/>
        </w:rPr>
        <w:t>单一来源采购</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的规定对</w:t>
      </w:r>
      <w:r>
        <w:rPr>
          <w:rFonts w:hint="eastAsia" w:asciiTheme="minorEastAsia" w:hAnsiTheme="minorEastAsia" w:eastAsiaTheme="minorEastAsia"/>
          <w:color w:val="auto"/>
          <w:sz w:val="24"/>
          <w:highlight w:val="none"/>
          <w:lang w:val="en-US" w:eastAsia="zh-CN"/>
        </w:rPr>
        <w:t>单一来源采购</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的计算错误进行修正后，供应商不接受修正的报价的。</w:t>
      </w:r>
    </w:p>
    <w:p w14:paraId="1B01A23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w:t>
      </w:r>
      <w:r>
        <w:rPr>
          <w:rFonts w:hint="eastAsia" w:asciiTheme="minorEastAsia" w:hAnsiTheme="minorEastAsia" w:eastAsiaTheme="minorEastAsia"/>
          <w:color w:val="auto"/>
          <w:sz w:val="24"/>
          <w:highlight w:val="none"/>
          <w:lang w:val="en-US" w:eastAsia="zh-CN"/>
        </w:rPr>
        <w:t>评审</w:t>
      </w:r>
      <w:r>
        <w:rPr>
          <w:rFonts w:hint="eastAsia" w:asciiTheme="minorEastAsia" w:hAnsiTheme="minorEastAsia" w:eastAsiaTheme="minorEastAsia"/>
          <w:color w:val="auto"/>
          <w:sz w:val="24"/>
          <w:highlight w:val="none"/>
          <w:lang w:eastAsia="zh-CN"/>
        </w:rPr>
        <w:t>小组</w:t>
      </w:r>
      <w:r>
        <w:rPr>
          <w:rFonts w:hint="eastAsia" w:asciiTheme="minorEastAsia" w:hAnsiTheme="minorEastAsia" w:eastAsiaTheme="minorEastAsia"/>
          <w:color w:val="auto"/>
          <w:sz w:val="24"/>
          <w:highlight w:val="none"/>
        </w:rPr>
        <w:t>提出按无效响应处理，并经公共资源交易监督部门核准的；</w:t>
      </w:r>
    </w:p>
    <w:p w14:paraId="6404EE3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（8）响应文件含有采购人不能接受的附加条件的；</w:t>
      </w:r>
    </w:p>
    <w:p w14:paraId="60263A2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hint="eastAsia" w:asciiTheme="minorEastAsia" w:hAnsiTheme="minorEastAsia" w:eastAsiaTheme="minorEastAsia"/>
          <w:color w:val="auto"/>
          <w:sz w:val="24"/>
          <w:highlight w:val="none"/>
          <w:lang w:val="en-US" w:eastAsia="zh-CN"/>
        </w:rPr>
        <w:t>单一来源采购</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规定的其它无效响应情形。</w:t>
      </w:r>
    </w:p>
    <w:p w14:paraId="0A9AE5D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.4 供应商有下列情形之一的, 详细评审后其按无效响应处理：</w:t>
      </w:r>
    </w:p>
    <w:p w14:paraId="1C7F461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（1）产品不符合必须强制执行的国家标准的；</w:t>
      </w:r>
    </w:p>
    <w:p w14:paraId="128F60F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（2）供应商有串通、弄虚作假、行贿等违法行为；</w:t>
      </w:r>
    </w:p>
    <w:p w14:paraId="3853FCC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（3）响应文件含有违反国家法律、法规的内容，或附有采购人不能接受的条件的；</w:t>
      </w:r>
    </w:p>
    <w:p w14:paraId="3CA9699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（4）报价明显低于其他供应商，且不能证明报价合理性的响应无效；</w:t>
      </w:r>
    </w:p>
    <w:p w14:paraId="46C0464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w:t>
      </w:r>
      <w:r>
        <w:rPr>
          <w:rFonts w:hint="eastAsia" w:asciiTheme="minorEastAsia" w:hAnsiTheme="minorEastAsia" w:eastAsiaTheme="minorEastAsia"/>
          <w:color w:val="auto"/>
          <w:sz w:val="24"/>
          <w:highlight w:val="none"/>
          <w:lang w:val="en-US" w:eastAsia="zh-CN"/>
        </w:rPr>
        <w:t>评审</w:t>
      </w:r>
      <w:r>
        <w:rPr>
          <w:rFonts w:hint="eastAsia" w:asciiTheme="minorEastAsia" w:hAnsiTheme="minorEastAsia" w:eastAsiaTheme="minorEastAsia"/>
          <w:color w:val="auto"/>
          <w:sz w:val="24"/>
          <w:highlight w:val="none"/>
          <w:lang w:eastAsia="zh-CN"/>
        </w:rPr>
        <w:t>小组</w:t>
      </w:r>
      <w:r>
        <w:rPr>
          <w:rFonts w:hint="eastAsia" w:asciiTheme="minorEastAsia" w:hAnsiTheme="minorEastAsia" w:eastAsiaTheme="minorEastAsia"/>
          <w:color w:val="auto"/>
          <w:sz w:val="24"/>
          <w:highlight w:val="none"/>
        </w:rPr>
        <w:t>评审修正的响应无效；</w:t>
      </w:r>
    </w:p>
    <w:p w14:paraId="25882B1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w:t>
      </w:r>
      <w:r>
        <w:rPr>
          <w:rFonts w:hint="eastAsia" w:asciiTheme="minorEastAsia" w:hAnsiTheme="minorEastAsia" w:eastAsiaTheme="minorEastAsia"/>
          <w:color w:val="auto"/>
          <w:sz w:val="24"/>
          <w:highlight w:val="none"/>
          <w:lang w:val="en-US" w:eastAsia="zh-CN"/>
        </w:rPr>
        <w:t>评审</w:t>
      </w:r>
      <w:r>
        <w:rPr>
          <w:rFonts w:hint="eastAsia" w:asciiTheme="minorEastAsia" w:hAnsiTheme="minorEastAsia" w:eastAsiaTheme="minorEastAsia"/>
          <w:color w:val="auto"/>
          <w:sz w:val="24"/>
          <w:highlight w:val="none"/>
          <w:lang w:eastAsia="zh-CN"/>
        </w:rPr>
        <w:t>小组</w:t>
      </w:r>
      <w:r>
        <w:rPr>
          <w:rFonts w:hint="eastAsia" w:asciiTheme="minorEastAsia" w:hAnsiTheme="minorEastAsia" w:eastAsiaTheme="minorEastAsia"/>
          <w:color w:val="auto"/>
          <w:sz w:val="24"/>
          <w:highlight w:val="none"/>
        </w:rPr>
        <w:t>提出按无效响应处理，并经公共资源交易监督部门核准的；</w:t>
      </w:r>
    </w:p>
    <w:p w14:paraId="6C3FE4F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lang w:val="en-US" w:eastAsia="zh-CN"/>
        </w:rPr>
        <w:t>单一来源采购</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规定的其它无效响应情形。</w:t>
      </w:r>
    </w:p>
    <w:p w14:paraId="078AFE0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bCs/>
          <w:color w:val="auto"/>
          <w:sz w:val="24"/>
          <w:highlight w:val="none"/>
        </w:rPr>
        <w:br w:type="page"/>
      </w:r>
    </w:p>
    <w:p w14:paraId="1DC78BA1">
      <w:pPr>
        <w:spacing w:line="360" w:lineRule="auto"/>
        <w:jc w:val="center"/>
        <w:outlineLvl w:val="0"/>
        <w:rPr>
          <w:rFonts w:hint="eastAsia" w:asciiTheme="minorEastAsia" w:hAnsiTheme="minorEastAsia" w:eastAsiaTheme="minorEastAsia"/>
          <w:b/>
          <w:color w:val="auto"/>
          <w:sz w:val="28"/>
          <w:highlight w:val="none"/>
        </w:rPr>
      </w:pPr>
      <w:bookmarkStart w:id="38" w:name="_Toc2510"/>
      <w:bookmarkStart w:id="39" w:name="_Toc40732784"/>
      <w:r>
        <w:rPr>
          <w:rFonts w:hint="eastAsia" w:asciiTheme="minorEastAsia" w:hAnsiTheme="minorEastAsia" w:eastAsiaTheme="minorEastAsia"/>
          <w:b/>
          <w:color w:val="auto"/>
          <w:sz w:val="28"/>
          <w:highlight w:val="none"/>
        </w:rPr>
        <w:t>第五章  政府采购合同</w:t>
      </w:r>
      <w:bookmarkEnd w:id="38"/>
      <w:bookmarkEnd w:id="39"/>
      <w:bookmarkStart w:id="40" w:name="_Hlk11711914"/>
    </w:p>
    <w:bookmarkEnd w:id="40"/>
    <w:p w14:paraId="3B10B2B7">
      <w:pPr>
        <w:spacing w:line="480" w:lineRule="auto"/>
        <w:jc w:val="center"/>
        <w:rPr>
          <w:rFonts w:asciiTheme="minorEastAsia" w:hAnsiTheme="minorEastAsia" w:eastAsiaTheme="minorEastAsia"/>
          <w:b/>
          <w:color w:val="000000" w:themeColor="text1"/>
          <w:sz w:val="24"/>
          <w14:textFill>
            <w14:solidFill>
              <w14:schemeClr w14:val="tx1"/>
            </w14:solidFill>
          </w14:textFill>
        </w:rPr>
      </w:pPr>
    </w:p>
    <w:p w14:paraId="41EAA567">
      <w:pPr>
        <w:spacing w:line="480" w:lineRule="auto"/>
        <w:jc w:val="center"/>
        <w:rPr>
          <w:rFonts w:asciiTheme="minorEastAsia" w:hAnsiTheme="minorEastAsia" w:eastAsiaTheme="minorEastAsia"/>
          <w:b/>
          <w:color w:val="000000" w:themeColor="text1"/>
          <w:sz w:val="24"/>
          <w14:textFill>
            <w14:solidFill>
              <w14:schemeClr w14:val="tx1"/>
            </w14:solidFill>
          </w14:textFill>
        </w:rPr>
      </w:pPr>
    </w:p>
    <w:p w14:paraId="5BC91595">
      <w:pPr>
        <w:spacing w:line="480" w:lineRule="auto"/>
        <w:jc w:val="center"/>
        <w:rPr>
          <w:rFonts w:asciiTheme="minorEastAsia" w:hAnsiTheme="minorEastAsia" w:eastAsiaTheme="minorEastAsia"/>
          <w:b/>
          <w:color w:val="auto"/>
          <w:sz w:val="32"/>
          <w:szCs w:val="32"/>
          <w:highlight w:val="none"/>
        </w:rPr>
      </w:pPr>
      <w:r>
        <w:rPr>
          <w:rFonts w:asciiTheme="minorEastAsia" w:hAnsiTheme="minorEastAsia" w:eastAsiaTheme="minorEastAsia"/>
          <w:b/>
          <w:color w:val="auto"/>
          <w:sz w:val="32"/>
          <w:szCs w:val="32"/>
          <w:highlight w:val="none"/>
        </w:rPr>
        <w:t>政府采购合同</w:t>
      </w:r>
      <w:r>
        <w:rPr>
          <w:rFonts w:hint="eastAsia" w:asciiTheme="minorEastAsia" w:hAnsiTheme="minorEastAsia" w:eastAsiaTheme="minorEastAsia"/>
          <w:b/>
          <w:color w:val="auto"/>
          <w:sz w:val="32"/>
          <w:szCs w:val="32"/>
          <w:highlight w:val="none"/>
        </w:rPr>
        <w:t>参考范本</w:t>
      </w:r>
    </w:p>
    <w:p w14:paraId="41CF2729">
      <w:pPr>
        <w:spacing w:line="480" w:lineRule="auto"/>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（服务类）</w:t>
      </w:r>
    </w:p>
    <w:p w14:paraId="2426BA59">
      <w:pPr>
        <w:spacing w:line="480" w:lineRule="auto"/>
        <w:jc w:val="center"/>
        <w:rPr>
          <w:rFonts w:asciiTheme="minorEastAsia" w:hAnsiTheme="minorEastAsia" w:eastAsiaTheme="minorEastAsia"/>
          <w:b/>
          <w:color w:val="auto"/>
          <w:sz w:val="24"/>
          <w:highlight w:val="none"/>
        </w:rPr>
      </w:pPr>
    </w:p>
    <w:p w14:paraId="431A73A2">
      <w:pPr>
        <w:spacing w:line="480" w:lineRule="auto"/>
        <w:jc w:val="center"/>
        <w:rPr>
          <w:rFonts w:asciiTheme="minorEastAsia" w:hAnsiTheme="minorEastAsia" w:eastAsiaTheme="minorEastAsia"/>
          <w:b/>
          <w:color w:val="auto"/>
          <w:sz w:val="24"/>
          <w:highlight w:val="none"/>
        </w:rPr>
      </w:pPr>
    </w:p>
    <w:p w14:paraId="0807E30D">
      <w:pPr>
        <w:spacing w:line="480" w:lineRule="auto"/>
        <w:jc w:val="center"/>
        <w:rPr>
          <w:rFonts w:asciiTheme="minorEastAsia" w:hAnsiTheme="minorEastAsia" w:eastAsiaTheme="minorEastAsia"/>
          <w:b/>
          <w:color w:val="auto"/>
          <w:sz w:val="24"/>
          <w:highlight w:val="none"/>
        </w:rPr>
      </w:pPr>
    </w:p>
    <w:p w14:paraId="58E26035">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第一部分 合同书</w:t>
      </w:r>
    </w:p>
    <w:p w14:paraId="09DECF60">
      <w:pPr>
        <w:spacing w:line="480" w:lineRule="auto"/>
        <w:jc w:val="center"/>
        <w:rPr>
          <w:rFonts w:asciiTheme="minorEastAsia" w:hAnsiTheme="minorEastAsia" w:eastAsiaTheme="minorEastAsia"/>
          <w:b/>
          <w:color w:val="auto"/>
          <w:sz w:val="24"/>
          <w:highlight w:val="none"/>
        </w:rPr>
      </w:pPr>
    </w:p>
    <w:p w14:paraId="14153F11">
      <w:pPr>
        <w:spacing w:line="480" w:lineRule="auto"/>
        <w:jc w:val="center"/>
        <w:rPr>
          <w:rFonts w:asciiTheme="minorEastAsia" w:hAnsiTheme="minorEastAsia" w:eastAsiaTheme="minorEastAsia"/>
          <w:b/>
          <w:color w:val="auto"/>
          <w:sz w:val="24"/>
          <w:highlight w:val="none"/>
        </w:rPr>
      </w:pPr>
    </w:p>
    <w:p w14:paraId="0982322A">
      <w:pPr>
        <w:spacing w:line="480" w:lineRule="auto"/>
        <w:jc w:val="center"/>
        <w:rPr>
          <w:rFonts w:asciiTheme="minorEastAsia" w:hAnsiTheme="minorEastAsia" w:eastAsiaTheme="minorEastAsia"/>
          <w:b/>
          <w:color w:val="auto"/>
          <w:sz w:val="24"/>
          <w:highlight w:val="none"/>
        </w:rPr>
      </w:pPr>
    </w:p>
    <w:p w14:paraId="2AF503D8">
      <w:pPr>
        <w:spacing w:line="480" w:lineRule="auto"/>
        <w:jc w:val="center"/>
        <w:rPr>
          <w:rFonts w:asciiTheme="minorEastAsia" w:hAnsiTheme="minorEastAsia" w:eastAsiaTheme="minorEastAsia"/>
          <w:b/>
          <w:color w:val="auto"/>
          <w:sz w:val="24"/>
          <w:highlight w:val="none"/>
        </w:rPr>
      </w:pPr>
    </w:p>
    <w:p w14:paraId="724884FC">
      <w:pPr>
        <w:spacing w:line="480" w:lineRule="auto"/>
        <w:jc w:val="both"/>
        <w:rPr>
          <w:rFonts w:asciiTheme="minorEastAsia" w:hAnsiTheme="minorEastAsia" w:eastAsiaTheme="minorEastAsia"/>
          <w:b/>
          <w:color w:val="auto"/>
          <w:sz w:val="24"/>
          <w:highlight w:val="none"/>
        </w:rPr>
      </w:pPr>
    </w:p>
    <w:p w14:paraId="1799F37C">
      <w:pPr>
        <w:spacing w:line="480" w:lineRule="auto"/>
        <w:jc w:val="center"/>
        <w:rPr>
          <w:rFonts w:asciiTheme="minorEastAsia" w:hAnsiTheme="minorEastAsia" w:eastAsiaTheme="minorEastAsia"/>
          <w:b/>
          <w:color w:val="auto"/>
          <w:sz w:val="24"/>
          <w:highlight w:val="none"/>
        </w:rPr>
      </w:pPr>
    </w:p>
    <w:p w14:paraId="1BABB4D7">
      <w:pPr>
        <w:spacing w:before="120" w:line="480" w:lineRule="auto"/>
        <w:ind w:left="960"/>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rPr>
        <w:t>项目名称：</w:t>
      </w:r>
      <w:r>
        <w:rPr>
          <w:rFonts w:hint="eastAsia" w:cs="Times New Roman" w:asciiTheme="minorEastAsia" w:hAnsiTheme="minorEastAsia" w:eastAsiaTheme="minorEastAsia"/>
          <w:color w:val="auto"/>
          <w:sz w:val="24"/>
          <w:szCs w:val="24"/>
          <w:highlight w:val="none"/>
          <w:u w:val="single"/>
          <w:lang w:val="en-US" w:eastAsia="zh-CN"/>
        </w:rPr>
        <w:t>滁州学院2026年图书馆电子资源采购项目（</w:t>
      </w:r>
      <w:r>
        <w:rPr>
          <w:rFonts w:hint="eastAsia" w:ascii="宋体" w:hAnsi="宋体" w:eastAsia="宋体" w:cs="Times New Roman"/>
          <w:color w:val="auto"/>
          <w:sz w:val="24"/>
          <w:szCs w:val="24"/>
          <w:u w:val="single"/>
          <w:lang w:val="en-US" w:eastAsia="zh-CN"/>
        </w:rPr>
        <w:t>*包）</w:t>
      </w:r>
    </w:p>
    <w:p w14:paraId="6CB3DE4A">
      <w:pPr>
        <w:spacing w:before="120" w:line="480" w:lineRule="auto"/>
        <w:ind w:left="960"/>
        <w:rPr>
          <w:rFonts w:hint="default"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rPr>
        <w:t>项目编号：</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 xml:space="preserve">                                       </w:t>
      </w:r>
    </w:p>
    <w:p w14:paraId="3DE635E2">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甲方（采购人）：</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 xml:space="preserve">滁州学院                 </w:t>
      </w:r>
      <w:r>
        <w:rPr>
          <w:rFonts w:hint="eastAsia" w:cs="Times New Roman" w:asciiTheme="minorEastAsia" w:hAnsiTheme="minorEastAsia" w:eastAsiaTheme="minorEastAsia"/>
          <w:color w:val="auto"/>
          <w:sz w:val="24"/>
          <w:szCs w:val="24"/>
          <w:highlight w:val="none"/>
          <w:u w:val="single"/>
        </w:rPr>
        <w:t xml:space="preserve">   </w:t>
      </w:r>
    </w:p>
    <w:p w14:paraId="1A3CDBF6">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w:t>
      </w:r>
      <w:r>
        <w:rPr>
          <w:rFonts w:hint="eastAsia" w:cs="Times New Roman" w:asciiTheme="minorEastAsia" w:hAnsiTheme="minorEastAsia" w:eastAsiaTheme="minorEastAsia"/>
          <w:color w:val="auto"/>
          <w:sz w:val="24"/>
          <w:szCs w:val="24"/>
          <w:highlight w:val="none"/>
          <w:lang w:val="en-US" w:eastAsia="zh-CN"/>
        </w:rPr>
        <w:t>成交</w:t>
      </w:r>
      <w:r>
        <w:rPr>
          <w:rFonts w:hint="eastAsia" w:cs="Times New Roman" w:asciiTheme="minorEastAsia" w:hAnsiTheme="minorEastAsia" w:eastAsiaTheme="minorEastAsia"/>
          <w:color w:val="auto"/>
          <w:sz w:val="24"/>
          <w:szCs w:val="24"/>
          <w:highlight w:val="none"/>
        </w:rPr>
        <w:t>人）：</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u w:val="single"/>
        </w:rPr>
        <w:t xml:space="preserve">            </w:t>
      </w:r>
    </w:p>
    <w:p w14:paraId="27EDA212">
      <w:pPr>
        <w:spacing w:before="120" w:line="480" w:lineRule="auto"/>
        <w:ind w:firstLine="960" w:firstLineChars="40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签订地：</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滁州学院</w:t>
      </w:r>
      <w:r>
        <w:rPr>
          <w:rFonts w:hint="eastAsia" w:cs="Times New Roman" w:asciiTheme="minorEastAsia" w:hAnsiTheme="minorEastAsia" w:eastAsiaTheme="minorEastAsia"/>
          <w:color w:val="auto"/>
          <w:sz w:val="24"/>
          <w:szCs w:val="24"/>
          <w:highlight w:val="none"/>
          <w:u w:val="single"/>
        </w:rPr>
        <w:t xml:space="preserve">              </w:t>
      </w:r>
    </w:p>
    <w:p w14:paraId="60CBFBEB">
      <w:pPr>
        <w:spacing w:before="120" w:line="480" w:lineRule="auto"/>
        <w:ind w:firstLine="960" w:firstLineChars="400"/>
        <w:rPr>
          <w:rFonts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szCs w:val="24"/>
          <w:highlight w:val="none"/>
        </w:rPr>
        <w:t>签订日期：</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年</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月</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日</w:t>
      </w:r>
    </w:p>
    <w:p w14:paraId="4B6DA068">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滁州学院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以下简称：甲方</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组织的单一来源采购方式采购活动，经采购小组评定，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以下简称：乙方</w:t>
      </w:r>
      <w:r>
        <w:rPr>
          <w:rFonts w:hint="eastAsia" w:ascii="宋体" w:hAnsi="宋体" w:eastAsia="宋体" w:cs="宋体"/>
          <w:color w:val="auto"/>
          <w:sz w:val="24"/>
          <w:szCs w:val="24"/>
          <w:highlight w:val="none"/>
        </w:rPr>
        <w:t>）为本项目成交供应商，现按照采购文件确定的事项签订本合同。</w:t>
      </w:r>
    </w:p>
    <w:p w14:paraId="34FF07CA">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30BA550B">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41" w:name="_Toc2232"/>
      <w:bookmarkStart w:id="42" w:name="_Toc24059"/>
      <w:bookmarkStart w:id="43" w:name="_Toc3029"/>
      <w:r>
        <w:rPr>
          <w:rFonts w:hint="eastAsia" w:ascii="宋体" w:hAnsi="宋体" w:eastAsia="宋体" w:cs="宋体"/>
          <w:b/>
          <w:bCs/>
          <w:color w:val="auto"/>
          <w:sz w:val="24"/>
          <w:szCs w:val="24"/>
          <w:highlight w:val="none"/>
          <w:lang w:val="zh-CN"/>
        </w:rPr>
        <w:t>1.1 合同组成部分</w:t>
      </w:r>
      <w:bookmarkEnd w:id="41"/>
      <w:bookmarkEnd w:id="42"/>
      <w:bookmarkEnd w:id="43"/>
    </w:p>
    <w:p w14:paraId="729A6B31">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7A96BAE4">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1.1.1本合同及其补充合同、变更协议；</w:t>
      </w:r>
    </w:p>
    <w:p w14:paraId="18A31355">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1.1.2成交通知书；</w:t>
      </w:r>
    </w:p>
    <w:p w14:paraId="10D65BBE">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1.1.3响应文件（含澄清或者说明文件）；</w:t>
      </w:r>
    </w:p>
    <w:p w14:paraId="1E27A3C1">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1.1.4单一来源采购文件（含澄清或者修改文件）；</w:t>
      </w:r>
    </w:p>
    <w:p w14:paraId="0A1F3A94">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1.1.5其他相关采购文件。</w:t>
      </w:r>
    </w:p>
    <w:p w14:paraId="4E661DD1">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44" w:name="_Toc2918"/>
      <w:bookmarkStart w:id="45" w:name="_Toc22185"/>
      <w:bookmarkStart w:id="46" w:name="_Toc6311"/>
      <w:bookmarkStart w:id="47" w:name="_Toc18585"/>
      <w:bookmarkStart w:id="48" w:name="_Toc6773"/>
      <w:r>
        <w:rPr>
          <w:rFonts w:hint="eastAsia" w:ascii="宋体" w:hAnsi="宋体" w:eastAsia="宋体" w:cs="宋体"/>
          <w:b/>
          <w:bCs/>
          <w:color w:val="auto"/>
          <w:sz w:val="24"/>
          <w:szCs w:val="24"/>
          <w:highlight w:val="none"/>
          <w:lang w:val="zh-CN"/>
        </w:rPr>
        <w:t xml:space="preserve">1.2 </w:t>
      </w:r>
      <w:bookmarkEnd w:id="44"/>
      <w:bookmarkEnd w:id="45"/>
      <w:bookmarkEnd w:id="46"/>
      <w:bookmarkEnd w:id="47"/>
      <w:bookmarkEnd w:id="48"/>
      <w:r>
        <w:rPr>
          <w:rFonts w:hint="eastAsia" w:ascii="宋体" w:hAnsi="宋体" w:eastAsia="宋体" w:cs="宋体"/>
          <w:b/>
          <w:bCs/>
          <w:color w:val="auto"/>
          <w:sz w:val="24"/>
          <w:szCs w:val="24"/>
          <w:highlight w:val="none"/>
          <w:lang w:val="zh-CN"/>
        </w:rPr>
        <w:t>服务</w:t>
      </w:r>
    </w:p>
    <w:p w14:paraId="24039029">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1.2.1服务名称：</w:t>
      </w:r>
      <w:r>
        <w:rPr>
          <w:rFonts w:hint="eastAsia" w:ascii="宋体" w:hAnsi="宋体" w:eastAsia="宋体" w:cs="宋体"/>
          <w:color w:val="auto"/>
          <w:sz w:val="24"/>
          <w:szCs w:val="24"/>
          <w:highlight w:val="none"/>
          <w:u w:val="single"/>
        </w:rPr>
        <w:t>滁州学院2026年图书馆电子资源采购项目</w:t>
      </w:r>
      <w:r>
        <w:rPr>
          <w:rFonts w:hint="eastAsia" w:ascii="宋体" w:hAnsi="宋体" w:eastAsia="宋体" w:cs="Times New Roman"/>
          <w:color w:val="auto"/>
          <w:sz w:val="24"/>
          <w:szCs w:val="24"/>
          <w:u w:val="single"/>
          <w:lang w:val="en-US" w:eastAsia="zh-CN"/>
        </w:rPr>
        <w:t>（*包）</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00F3EFFF">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1.2.2服务内容：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130549C">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1.2.3服务质量：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DF5D57C">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49" w:name="_Toc21631"/>
      <w:bookmarkStart w:id="50" w:name="_Toc21551"/>
      <w:bookmarkStart w:id="51" w:name="_Toc23292"/>
      <w:r>
        <w:rPr>
          <w:rFonts w:hint="eastAsia" w:ascii="宋体" w:hAnsi="宋体" w:eastAsia="宋体" w:cs="宋体"/>
          <w:b/>
          <w:bCs/>
          <w:color w:val="auto"/>
          <w:sz w:val="24"/>
          <w:szCs w:val="24"/>
          <w:highlight w:val="none"/>
          <w:lang w:val="zh-CN"/>
        </w:rPr>
        <w:t>1.3 价款</w:t>
      </w:r>
      <w:bookmarkEnd w:id="49"/>
      <w:bookmarkEnd w:id="50"/>
      <w:bookmarkEnd w:id="51"/>
    </w:p>
    <w:p w14:paraId="5CFD08A4">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0D573DC4">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4316"/>
        <w:gridCol w:w="12"/>
        <w:gridCol w:w="3225"/>
        <w:gridCol w:w="12"/>
      </w:tblGrid>
      <w:tr w14:paraId="2AD9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2A893E04">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2532" w:type="pct"/>
            <w:vAlign w:val="center"/>
          </w:tcPr>
          <w:p w14:paraId="2E8C51E4">
            <w:pPr>
              <w:pStyle w:val="5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1899" w:type="pct"/>
            <w:gridSpan w:val="2"/>
            <w:vAlign w:val="center"/>
          </w:tcPr>
          <w:p w14:paraId="2DB4BC75">
            <w:pPr>
              <w:pStyle w:val="56"/>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097C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11E9DD11">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2532" w:type="pct"/>
            <w:vAlign w:val="center"/>
          </w:tcPr>
          <w:p w14:paraId="501BCF91">
            <w:pPr>
              <w:pStyle w:val="5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p>
        </w:tc>
        <w:tc>
          <w:tcPr>
            <w:tcW w:w="1899" w:type="pct"/>
            <w:gridSpan w:val="2"/>
            <w:vAlign w:val="center"/>
          </w:tcPr>
          <w:p w14:paraId="028F8A0D">
            <w:pPr>
              <w:pStyle w:val="5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p>
        </w:tc>
      </w:tr>
      <w:tr w14:paraId="0A65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19546F7D">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p>
        </w:tc>
        <w:tc>
          <w:tcPr>
            <w:tcW w:w="2532" w:type="pct"/>
            <w:vAlign w:val="center"/>
          </w:tcPr>
          <w:p w14:paraId="3F110085">
            <w:pPr>
              <w:pStyle w:val="5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p>
        </w:tc>
        <w:tc>
          <w:tcPr>
            <w:tcW w:w="1899" w:type="pct"/>
            <w:gridSpan w:val="2"/>
            <w:vAlign w:val="center"/>
          </w:tcPr>
          <w:p w14:paraId="5990E1DF">
            <w:pPr>
              <w:pStyle w:val="5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p>
        </w:tc>
      </w:tr>
      <w:tr w14:paraId="12EF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35BB3DE">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p>
        </w:tc>
        <w:tc>
          <w:tcPr>
            <w:tcW w:w="2532" w:type="pct"/>
            <w:vAlign w:val="center"/>
          </w:tcPr>
          <w:p w14:paraId="1473D027">
            <w:pPr>
              <w:pStyle w:val="5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p>
        </w:tc>
        <w:tc>
          <w:tcPr>
            <w:tcW w:w="1899" w:type="pct"/>
            <w:gridSpan w:val="2"/>
            <w:vAlign w:val="center"/>
          </w:tcPr>
          <w:p w14:paraId="1750E2FB">
            <w:pPr>
              <w:pStyle w:val="5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p>
        </w:tc>
      </w:tr>
      <w:tr w14:paraId="7C90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4F3E055">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tc>
        <w:tc>
          <w:tcPr>
            <w:tcW w:w="2532" w:type="pct"/>
            <w:vAlign w:val="center"/>
          </w:tcPr>
          <w:p w14:paraId="60E0D965">
            <w:pPr>
              <w:pStyle w:val="5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p>
        </w:tc>
        <w:tc>
          <w:tcPr>
            <w:tcW w:w="1899" w:type="pct"/>
            <w:gridSpan w:val="2"/>
            <w:vAlign w:val="center"/>
          </w:tcPr>
          <w:p w14:paraId="21CD48D9">
            <w:pPr>
              <w:pStyle w:val="5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p>
        </w:tc>
      </w:tr>
      <w:tr w14:paraId="1672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2021E6DB">
            <w:pPr>
              <w:pStyle w:val="5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899" w:type="pct"/>
            <w:gridSpan w:val="2"/>
            <w:vAlign w:val="center"/>
          </w:tcPr>
          <w:p w14:paraId="287DF4BC">
            <w:pPr>
              <w:pStyle w:val="5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p>
        </w:tc>
      </w:tr>
    </w:tbl>
    <w:p w14:paraId="004F25F3">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52" w:name="_Toc1814"/>
      <w:bookmarkStart w:id="53" w:name="_Toc10340"/>
      <w:bookmarkStart w:id="54" w:name="_Toc22618"/>
      <w:r>
        <w:rPr>
          <w:rFonts w:hint="eastAsia" w:ascii="宋体" w:hAnsi="宋体" w:eastAsia="宋体" w:cs="宋体"/>
          <w:b/>
          <w:bCs/>
          <w:color w:val="auto"/>
          <w:sz w:val="24"/>
          <w:szCs w:val="24"/>
          <w:highlight w:val="none"/>
          <w:lang w:val="zh-CN"/>
        </w:rPr>
        <w:t>1.4 付款方式和发票开具方式</w:t>
      </w:r>
      <w:bookmarkEnd w:id="52"/>
      <w:bookmarkEnd w:id="53"/>
      <w:bookmarkEnd w:id="54"/>
    </w:p>
    <w:p w14:paraId="2DA31D04">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1.4.1付款方式：</w:t>
      </w:r>
      <w:r>
        <w:rPr>
          <w:rFonts w:hint="eastAsia" w:ascii="宋体" w:hAnsi="宋体" w:eastAsia="宋体" w:cs="宋体"/>
          <w:color w:val="auto"/>
          <w:sz w:val="24"/>
          <w:szCs w:val="24"/>
          <w:highlight w:val="none"/>
          <w:u w:val="single"/>
        </w:rPr>
        <w:t>1-13包、15-16包付款方式：合同签订生效并具备实施条件后5个工作日内可支付每包合同价的40%预付款(预付款支付前，中标人须提供同等金额的见索即付预付款保函)，合同签订生效并具备实施条件后90个工作日内支付合同全款，并按照甲乙双方规定的时间内开通远程访问权限。待服务完成，经验收合格，一次性退还履约保证金。</w:t>
      </w:r>
    </w:p>
    <w:p w14:paraId="2AF1BE6F">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yellow"/>
          <w:u w:val="single"/>
        </w:rPr>
      </w:pPr>
      <w:r>
        <w:rPr>
          <w:rFonts w:hint="eastAsia" w:ascii="宋体" w:hAnsi="宋体" w:eastAsia="宋体" w:cs="宋体"/>
          <w:color w:val="auto"/>
          <w:sz w:val="24"/>
          <w:szCs w:val="24"/>
          <w:highlight w:val="none"/>
          <w:u w:val="single"/>
        </w:rPr>
        <w:t>第14包付款方式为：合同签订生效并具备实施条件后5个工作日内可支付合同价的40%预付款(预付款支付前，中标人须提供同等金额的见索即付预付款保函)，供货安装完成，经验收合格后一次性付清合同款。）</w:t>
      </w:r>
      <w:r>
        <w:rPr>
          <w:rFonts w:hint="eastAsia" w:asciiTheme="minorEastAsia" w:hAnsiTheme="minorEastAsia" w:eastAsiaTheme="minorEastAsia" w:cstheme="minorEastAsia"/>
          <w:b w:val="0"/>
          <w:color w:val="auto"/>
          <w:sz w:val="24"/>
          <w:szCs w:val="24"/>
          <w:highlight w:val="none"/>
          <w:u w:val="single"/>
        </w:rPr>
        <w:t>。</w:t>
      </w:r>
    </w:p>
    <w:p w14:paraId="4E2B2035">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Times New Roman"/>
          <w:color w:val="auto"/>
          <w:sz w:val="24"/>
          <w:szCs w:val="24"/>
          <w:u w:val="single"/>
        </w:rPr>
        <w:t>增值税普通发票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20ACA10">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55" w:name="_Toc2846"/>
      <w:bookmarkStart w:id="56" w:name="_Toc19304"/>
      <w:bookmarkStart w:id="57" w:name="_Toc32071"/>
      <w:r>
        <w:rPr>
          <w:rFonts w:hint="eastAsia" w:ascii="宋体" w:hAnsi="宋体" w:eastAsia="宋体" w:cs="宋体"/>
          <w:b/>
          <w:bCs/>
          <w:color w:val="auto"/>
          <w:sz w:val="24"/>
          <w:szCs w:val="24"/>
          <w:highlight w:val="none"/>
          <w:lang w:val="zh-CN"/>
        </w:rPr>
        <w:t>1.5 服务期限、地点和方式</w:t>
      </w:r>
      <w:bookmarkEnd w:id="55"/>
      <w:bookmarkEnd w:id="56"/>
      <w:bookmarkEnd w:id="57"/>
    </w:p>
    <w:p w14:paraId="7CACD403">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1.5.1</w:t>
      </w:r>
      <w:r>
        <w:rPr>
          <w:rFonts w:hint="eastAsia" w:ascii="宋体" w:hAnsi="宋体" w:eastAsia="宋体" w:cs="宋体"/>
          <w:color w:val="auto"/>
          <w:sz w:val="24"/>
          <w:szCs w:val="24"/>
          <w:highlight w:val="none"/>
          <w:lang w:val="en-US" w:eastAsia="zh-CN"/>
        </w:rPr>
        <w:t>交付</w:t>
      </w:r>
      <w:r>
        <w:rPr>
          <w:rFonts w:hint="eastAsia" w:ascii="宋体" w:hAnsi="宋体" w:eastAsia="宋体" w:cs="宋体"/>
          <w:color w:val="auto"/>
          <w:sz w:val="24"/>
          <w:szCs w:val="24"/>
          <w:highlight w:val="none"/>
        </w:rPr>
        <w:t>期限：</w:t>
      </w:r>
      <w:r>
        <w:rPr>
          <w:rFonts w:hint="eastAsia" w:ascii="宋体" w:hAnsi="宋体" w:eastAsia="宋体" w:cs="宋体"/>
          <w:color w:val="auto"/>
          <w:sz w:val="24"/>
          <w:szCs w:val="24"/>
          <w:highlight w:val="none"/>
          <w:u w:val="single"/>
        </w:rPr>
        <w:t>合同签订后5日内。供应商应保证在要求时间内完成全部货物（服务）的安装、调试工作。</w:t>
      </w:r>
      <w:r>
        <w:rPr>
          <w:rFonts w:hint="eastAsia" w:asciiTheme="minorEastAsia" w:hAnsiTheme="minorEastAsia" w:eastAsiaTheme="minorEastAsia" w:cstheme="minorEastAsia"/>
          <w:b w:val="0"/>
          <w:color w:val="auto"/>
          <w:sz w:val="24"/>
          <w:szCs w:val="24"/>
          <w:highlight w:val="none"/>
          <w:u w:val="single"/>
        </w:rPr>
        <w:t>采购需求另有规定的，以采购需求为准</w:t>
      </w:r>
      <w:r>
        <w:rPr>
          <w:rFonts w:hint="eastAsia" w:ascii="宋体" w:hAnsi="宋体" w:eastAsia="宋体" w:cs="宋体"/>
          <w:bCs/>
          <w:color w:val="auto"/>
          <w:kern w:val="2"/>
          <w:sz w:val="24"/>
          <w:szCs w:val="24"/>
          <w:highlight w:val="none"/>
          <w:u w:val="single"/>
          <w:lang w:val="en-US" w:eastAsia="zh-CN" w:bidi="ar-SA"/>
        </w:rPr>
        <w:t>。</w:t>
      </w:r>
    </w:p>
    <w:p w14:paraId="6736D185">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1.5.2服务地点：</w:t>
      </w:r>
      <w:r>
        <w:rPr>
          <w:rFonts w:hint="eastAsia" w:ascii="宋体" w:hAnsi="宋体" w:eastAsia="宋体" w:cs="宋体"/>
          <w:color w:val="auto"/>
          <w:sz w:val="24"/>
          <w:szCs w:val="24"/>
          <w:highlight w:val="none"/>
          <w:u w:val="single"/>
        </w:rPr>
        <w:t xml:space="preserve">滁州学院会峰校区内，采购人指定地点               </w:t>
      </w:r>
      <w:r>
        <w:rPr>
          <w:rFonts w:hint="eastAsia" w:ascii="宋体" w:hAnsi="宋体" w:eastAsia="宋体" w:cs="宋体"/>
          <w:color w:val="auto"/>
          <w:sz w:val="24"/>
          <w:szCs w:val="24"/>
          <w:highlight w:val="none"/>
        </w:rPr>
        <w:t>；</w:t>
      </w:r>
    </w:p>
    <w:p w14:paraId="1956ACC7">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1.5.3服务</w:t>
      </w:r>
      <w:r>
        <w:rPr>
          <w:rFonts w:hint="eastAsia" w:ascii="宋体" w:hAnsi="宋体" w:eastAsia="宋体" w:cs="宋体"/>
          <w:color w:val="auto"/>
          <w:sz w:val="24"/>
          <w:szCs w:val="24"/>
          <w:highlight w:val="none"/>
          <w:lang w:val="en-US" w:eastAsia="zh-CN"/>
        </w:rPr>
        <w:t>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DFD01B8">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58" w:name="_Toc21423"/>
      <w:bookmarkStart w:id="59" w:name="_Toc19554"/>
      <w:bookmarkStart w:id="60" w:name="_Toc27250"/>
      <w:r>
        <w:rPr>
          <w:rFonts w:hint="eastAsia" w:ascii="宋体" w:hAnsi="宋体" w:eastAsia="宋体" w:cs="宋体"/>
          <w:b/>
          <w:bCs/>
          <w:color w:val="auto"/>
          <w:sz w:val="24"/>
          <w:szCs w:val="24"/>
          <w:highlight w:val="none"/>
          <w:lang w:val="zh-CN"/>
        </w:rPr>
        <w:t>1.6 违约责任</w:t>
      </w:r>
      <w:bookmarkEnd w:id="58"/>
      <w:bookmarkEnd w:id="59"/>
      <w:bookmarkEnd w:id="60"/>
    </w:p>
    <w:p w14:paraId="3B98FBA8">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0.1</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4058D679">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0.1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14:paraId="30D13993">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0B3ABED">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A71DDBF">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DC6E74C">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0B064D87">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1.6.7因甲方未按合同约定支付价款、未按合同约定受领标的物、擅自解除合同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7B6608A7">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61" w:name="_Toc16021"/>
      <w:bookmarkStart w:id="62" w:name="_Toc28375"/>
      <w:bookmarkStart w:id="63" w:name="_Toc15583"/>
      <w:r>
        <w:rPr>
          <w:rFonts w:hint="eastAsia" w:ascii="宋体" w:hAnsi="宋体" w:eastAsia="宋体" w:cs="宋体"/>
          <w:b/>
          <w:bCs/>
          <w:color w:val="auto"/>
          <w:sz w:val="24"/>
          <w:szCs w:val="24"/>
          <w:highlight w:val="none"/>
          <w:lang w:val="zh-CN"/>
        </w:rPr>
        <w:t>1.7 合同争议的解决</w:t>
      </w:r>
      <w:bookmarkEnd w:id="61"/>
      <w:bookmarkEnd w:id="62"/>
      <w:bookmarkEnd w:id="63"/>
    </w:p>
    <w:p w14:paraId="2970B315">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1.7.2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77663CAB">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滁州</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14:paraId="5FC0924C">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滁州市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14:paraId="3EB9348D">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64" w:name="_Toc11173"/>
      <w:bookmarkStart w:id="65" w:name="_Toc15322"/>
      <w:bookmarkStart w:id="66" w:name="_Toc7245"/>
      <w:r>
        <w:rPr>
          <w:rFonts w:hint="eastAsia" w:ascii="宋体" w:hAnsi="宋体" w:eastAsia="宋体" w:cs="宋体"/>
          <w:b/>
          <w:bCs/>
          <w:color w:val="auto"/>
          <w:sz w:val="24"/>
          <w:szCs w:val="24"/>
          <w:highlight w:val="none"/>
          <w:lang w:val="zh-CN"/>
        </w:rPr>
        <w:t>1.8 合同生效</w:t>
      </w:r>
      <w:bookmarkEnd w:id="64"/>
      <w:bookmarkEnd w:id="65"/>
      <w:bookmarkEnd w:id="66"/>
    </w:p>
    <w:p w14:paraId="4A462E32">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本合同自双方当事人盖章时生效。</w:t>
      </w:r>
    </w:p>
    <w:p w14:paraId="74CB14E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color w:val="auto"/>
          <w:sz w:val="24"/>
          <w:szCs w:val="24"/>
          <w:highlight w:val="none"/>
          <w:lang w:val="zh-CN"/>
        </w:rPr>
      </w:pPr>
    </w:p>
    <w:p w14:paraId="034A846B">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甲    方：</w:t>
      </w:r>
      <w:r>
        <w:rPr>
          <w:rFonts w:hint="eastAsia" w:ascii="宋体" w:hAnsi="宋体" w:eastAsia="宋体" w:cs="宋体"/>
          <w:bCs/>
          <w:color w:val="auto"/>
          <w:sz w:val="24"/>
          <w:szCs w:val="24"/>
          <w:highlight w:val="none"/>
          <w:u w:val="single"/>
          <w:lang w:val="zh-CN"/>
        </w:rPr>
        <w:t xml:space="preserve">    （单位盖章）     </w:t>
      </w:r>
      <w:r>
        <w:rPr>
          <w:rFonts w:hint="eastAsia" w:ascii="宋体" w:hAnsi="宋体" w:eastAsia="宋体" w:cs="宋体"/>
          <w:bCs/>
          <w:color w:val="auto"/>
          <w:sz w:val="24"/>
          <w:szCs w:val="24"/>
          <w:highlight w:val="none"/>
          <w:lang w:val="zh-CN"/>
        </w:rPr>
        <w:t xml:space="preserve">          乙方：</w:t>
      </w:r>
      <w:r>
        <w:rPr>
          <w:rFonts w:hint="eastAsia" w:ascii="宋体" w:hAnsi="宋体" w:eastAsia="宋体" w:cs="宋体"/>
          <w:bCs/>
          <w:color w:val="auto"/>
          <w:sz w:val="24"/>
          <w:szCs w:val="24"/>
          <w:highlight w:val="none"/>
          <w:u w:val="single"/>
          <w:lang w:val="zh-CN"/>
        </w:rPr>
        <w:t xml:space="preserve">    （单位盖章）     </w:t>
      </w:r>
    </w:p>
    <w:p w14:paraId="235EC9CD">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                               法定代表人</w:t>
      </w:r>
    </w:p>
    <w:p w14:paraId="47A925AA">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或授权代表（签字）：                      或授权代表（签字）：</w:t>
      </w:r>
    </w:p>
    <w:p w14:paraId="177FE608">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bookmarkStart w:id="67" w:name="_Toc331685783"/>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1B4DE17E">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乙方账户信息</w:t>
      </w:r>
    </w:p>
    <w:p w14:paraId="60CAC92E">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户名：</w:t>
      </w:r>
      <w:r>
        <w:rPr>
          <w:rFonts w:hint="eastAsia" w:ascii="宋体" w:hAnsi="宋体" w:eastAsia="宋体" w:cs="宋体"/>
          <w:bCs/>
          <w:color w:val="auto"/>
          <w:sz w:val="24"/>
          <w:szCs w:val="24"/>
          <w:highlight w:val="none"/>
          <w:u w:val="single"/>
        </w:rPr>
        <w:t xml:space="preserve">            </w:t>
      </w:r>
    </w:p>
    <w:p w14:paraId="05C9C342">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账号：</w:t>
      </w:r>
      <w:r>
        <w:rPr>
          <w:rFonts w:hint="eastAsia" w:ascii="宋体" w:hAnsi="宋体" w:eastAsia="宋体" w:cs="宋体"/>
          <w:bCs/>
          <w:color w:val="auto"/>
          <w:sz w:val="24"/>
          <w:szCs w:val="24"/>
          <w:highlight w:val="none"/>
          <w:u w:val="single"/>
        </w:rPr>
        <w:t xml:space="preserve">            </w:t>
      </w:r>
    </w:p>
    <w:p w14:paraId="26E9C626">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开户银行：</w:t>
      </w:r>
      <w:r>
        <w:rPr>
          <w:rFonts w:hint="eastAsia" w:ascii="宋体" w:hAnsi="宋体" w:eastAsia="宋体" w:cs="宋体"/>
          <w:bCs/>
          <w:color w:val="auto"/>
          <w:sz w:val="24"/>
          <w:szCs w:val="24"/>
          <w:highlight w:val="none"/>
          <w:u w:val="single"/>
        </w:rPr>
        <w:t xml:space="preserve">        </w:t>
      </w:r>
    </w:p>
    <w:p w14:paraId="7A2A5254">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03E75F06">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bookmarkEnd w:id="67"/>
    </w:p>
    <w:p w14:paraId="37039D7E">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68" w:name="_Ref467378499"/>
      <w:bookmarkStart w:id="69" w:name="_Ref467378404"/>
      <w:bookmarkStart w:id="70" w:name="_Toc19614"/>
      <w:bookmarkStart w:id="71" w:name="_Toc487900349"/>
      <w:bookmarkStart w:id="72" w:name="_Toc28763"/>
      <w:bookmarkStart w:id="73" w:name="_Toc259093669"/>
      <w:bookmarkStart w:id="74" w:name="_Toc16917"/>
      <w:bookmarkStart w:id="75" w:name="_Ref467379109"/>
      <w:bookmarkStart w:id="76" w:name="_Ref467379195"/>
      <w:bookmarkStart w:id="77" w:name="_Ref467379094"/>
      <w:bookmarkStart w:id="78" w:name="_Toc279701240"/>
      <w:bookmarkStart w:id="79" w:name="_Ref467379225"/>
      <w:bookmarkStart w:id="80" w:name="_Ref467379101"/>
      <w:bookmarkStart w:id="81" w:name="_Ref467378463"/>
      <w:bookmarkStart w:id="82" w:name="_Ref467379205"/>
      <w:bookmarkStart w:id="83" w:name="_Ref467379214"/>
      <w:r>
        <w:rPr>
          <w:rFonts w:hint="eastAsia" w:ascii="宋体" w:hAnsi="宋体" w:eastAsia="宋体" w:cs="宋体"/>
          <w:b/>
          <w:bCs/>
          <w:color w:val="auto"/>
          <w:sz w:val="24"/>
          <w:highlight w:val="none"/>
          <w:lang w:val="zh-CN"/>
        </w:rPr>
        <w:t>2.1 定义</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768491C">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1D6C58C3">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2.1.1“合同”系指采购人和成交供应商签订的载明双方当事人所达成的协议，并包括所有的附件、附录和构成合同的其他文件。</w:t>
      </w:r>
    </w:p>
    <w:p w14:paraId="7C78A59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2.1.2“合同价”系指根据合同约定，成交供应商在完全履行合同义务后，采购人应支付给成交供应商的价格。</w:t>
      </w:r>
    </w:p>
    <w:p w14:paraId="76B8B4F5">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2.1.3“服务”系指成交供应商根据合同约定应向采购人履行的除货物和工程以外的其他政府采购对象，包括采购人自身需要的服务和向社会公众提供的公共服务。</w:t>
      </w:r>
    </w:p>
    <w:p w14:paraId="3E50816A">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bookmarkStart w:id="84" w:name="_Ref467378840"/>
      <w:r>
        <w:rPr>
          <w:rFonts w:hint="eastAsia" w:ascii="宋体" w:hAnsi="宋体" w:eastAsia="宋体" w:cs="宋体"/>
          <w:color w:val="auto"/>
          <w:sz w:val="24"/>
          <w:highlight w:val="none"/>
        </w:rPr>
        <w:t>2.1.4“甲方”系指与成交供应商签署合同的采购人</w:t>
      </w:r>
      <w:bookmarkEnd w:id="84"/>
      <w:r>
        <w:rPr>
          <w:rFonts w:hint="eastAsia" w:ascii="宋体" w:hAnsi="宋体" w:eastAsia="宋体" w:cs="宋体"/>
          <w:color w:val="auto"/>
          <w:sz w:val="24"/>
          <w:highlight w:val="none"/>
        </w:rPr>
        <w:t>；采购人委托采购代理机构代表其与乙方签订合同的，采购人的授权委托书作为合同附件。</w:t>
      </w:r>
    </w:p>
    <w:p w14:paraId="11F5A8A4">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bookmarkStart w:id="85" w:name="_Ref467379400"/>
      <w:r>
        <w:rPr>
          <w:rFonts w:hint="eastAsia" w:ascii="宋体" w:hAnsi="宋体" w:eastAsia="宋体" w:cs="宋体"/>
          <w:color w:val="auto"/>
          <w:sz w:val="24"/>
          <w:highlight w:val="none"/>
        </w:rPr>
        <w:t>2.1.5“乙方”系指根据合同约定提供服务的成交供应商</w:t>
      </w:r>
      <w:bookmarkEnd w:id="85"/>
      <w:r>
        <w:rPr>
          <w:rFonts w:hint="eastAsia" w:ascii="宋体" w:hAnsi="宋体" w:eastAsia="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1831835">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bookmarkStart w:id="86" w:name="_Ref467379436"/>
      <w:r>
        <w:rPr>
          <w:rFonts w:hint="eastAsia" w:ascii="宋体" w:hAnsi="宋体" w:eastAsia="宋体" w:cs="宋体"/>
          <w:color w:val="auto"/>
          <w:sz w:val="24"/>
          <w:highlight w:val="none"/>
        </w:rPr>
        <w:t>2.1.6“现场”系指合同约定提供服务的地点。</w:t>
      </w:r>
      <w:bookmarkEnd w:id="86"/>
    </w:p>
    <w:p w14:paraId="46F2E0EE">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87" w:name="_Toc13336"/>
      <w:bookmarkStart w:id="88" w:name="_Toc27635"/>
      <w:bookmarkStart w:id="89" w:name="_Toc279701241"/>
      <w:bookmarkStart w:id="90" w:name="_Toc32504"/>
      <w:bookmarkStart w:id="91" w:name="_Toc487900350"/>
      <w:bookmarkStart w:id="92" w:name="_Toc259093670"/>
      <w:r>
        <w:rPr>
          <w:rFonts w:hint="eastAsia" w:ascii="宋体" w:hAnsi="宋体" w:eastAsia="宋体" w:cs="宋体"/>
          <w:b/>
          <w:bCs/>
          <w:color w:val="auto"/>
          <w:sz w:val="24"/>
          <w:highlight w:val="none"/>
          <w:lang w:val="zh-CN"/>
        </w:rPr>
        <w:t>2.2 技术规范</w:t>
      </w:r>
      <w:bookmarkEnd w:id="87"/>
      <w:bookmarkEnd w:id="88"/>
      <w:bookmarkEnd w:id="89"/>
      <w:bookmarkEnd w:id="90"/>
      <w:bookmarkEnd w:id="91"/>
      <w:bookmarkEnd w:id="92"/>
    </w:p>
    <w:p w14:paraId="22C4C063">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4E994C0">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93" w:name="_Toc27853"/>
      <w:bookmarkStart w:id="94" w:name="_Toc279701242"/>
      <w:bookmarkStart w:id="95" w:name="_Toc259093671"/>
      <w:bookmarkStart w:id="96" w:name="_Toc31634"/>
      <w:bookmarkStart w:id="97" w:name="_Toc9829"/>
      <w:bookmarkStart w:id="98" w:name="_Toc487900351"/>
      <w:r>
        <w:rPr>
          <w:rFonts w:hint="eastAsia" w:ascii="宋体" w:hAnsi="宋体" w:eastAsia="宋体" w:cs="宋体"/>
          <w:b/>
          <w:bCs/>
          <w:color w:val="auto"/>
          <w:sz w:val="24"/>
          <w:highlight w:val="none"/>
          <w:lang w:val="zh-CN"/>
        </w:rPr>
        <w:t>2.3 知识产权</w:t>
      </w:r>
      <w:bookmarkEnd w:id="93"/>
      <w:bookmarkEnd w:id="94"/>
      <w:bookmarkEnd w:id="95"/>
      <w:bookmarkEnd w:id="96"/>
      <w:bookmarkEnd w:id="97"/>
      <w:bookmarkEnd w:id="98"/>
    </w:p>
    <w:p w14:paraId="1604F97A">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747647D6">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43E7BC9">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99" w:name="_Ref467379542"/>
      <w:bookmarkStart w:id="100" w:name="_Ref467379527"/>
      <w:bookmarkStart w:id="101" w:name="_Toc279701245"/>
      <w:bookmarkStart w:id="102" w:name="_Ref467379536"/>
      <w:bookmarkStart w:id="103" w:name="_Toc259093674"/>
      <w:bookmarkStart w:id="104" w:name="_Toc487900354"/>
      <w:bookmarkStart w:id="105" w:name="_Ref467378541"/>
      <w:bookmarkStart w:id="106" w:name="_Ref467378591"/>
      <w:bookmarkStart w:id="107" w:name="_Toc30272"/>
      <w:bookmarkStart w:id="108" w:name="_Toc26182"/>
      <w:bookmarkStart w:id="109" w:name="_Toc19074"/>
      <w:r>
        <w:rPr>
          <w:rFonts w:hint="eastAsia" w:ascii="宋体" w:hAnsi="宋体" w:eastAsia="宋体" w:cs="宋体"/>
          <w:b/>
          <w:bCs/>
          <w:color w:val="auto"/>
          <w:sz w:val="24"/>
          <w:highlight w:val="none"/>
          <w:lang w:val="zh-CN"/>
        </w:rPr>
        <w:t>2.</w:t>
      </w:r>
      <w:bookmarkEnd w:id="99"/>
      <w:bookmarkEnd w:id="100"/>
      <w:bookmarkEnd w:id="101"/>
      <w:bookmarkEnd w:id="102"/>
      <w:bookmarkEnd w:id="103"/>
      <w:bookmarkEnd w:id="104"/>
      <w:bookmarkEnd w:id="105"/>
      <w:bookmarkEnd w:id="106"/>
      <w:r>
        <w:rPr>
          <w:rFonts w:hint="eastAsia" w:ascii="宋体" w:hAnsi="宋体" w:eastAsia="宋体" w:cs="宋体"/>
          <w:b/>
          <w:bCs/>
          <w:color w:val="auto"/>
          <w:sz w:val="24"/>
          <w:highlight w:val="none"/>
          <w:lang w:val="zh-CN"/>
        </w:rPr>
        <w:t>4 履约检查和问题反馈</w:t>
      </w:r>
      <w:bookmarkEnd w:id="107"/>
      <w:bookmarkEnd w:id="108"/>
      <w:bookmarkEnd w:id="109"/>
    </w:p>
    <w:p w14:paraId="579F6973">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bookmarkStart w:id="110" w:name="_Toc186431854"/>
      <w:bookmarkStart w:id="111" w:name="_Toc279701247"/>
      <w:bookmarkStart w:id="112" w:name="_Toc259093676"/>
      <w:bookmarkStart w:id="113" w:name="_Toc487900357"/>
      <w:bookmarkStart w:id="114" w:name="_Ref467379807"/>
      <w:bookmarkStart w:id="115" w:name="_Ref467379793"/>
      <w:r>
        <w:rPr>
          <w:rFonts w:hint="eastAsia" w:ascii="宋体" w:hAnsi="宋体" w:eastAsia="宋体" w:cs="宋体"/>
          <w:color w:val="auto"/>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6EA04185">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2.4.2合同履行期间，甲方有权将履行过程中出现的问题反馈给乙方，双方当事人应以书面形式约定需要完善和改进的内容</w:t>
      </w:r>
      <w:bookmarkEnd w:id="110"/>
      <w:bookmarkStart w:id="116" w:name="_Toc186431855"/>
      <w:r>
        <w:rPr>
          <w:rFonts w:hint="eastAsia" w:ascii="宋体" w:hAnsi="宋体" w:eastAsia="宋体" w:cs="宋体"/>
          <w:color w:val="auto"/>
          <w:sz w:val="24"/>
          <w:highlight w:val="none"/>
        </w:rPr>
        <w:t>。</w:t>
      </w:r>
    </w:p>
    <w:bookmarkEnd w:id="116"/>
    <w:p w14:paraId="2DE7321E">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17" w:name="_Toc28451"/>
      <w:bookmarkStart w:id="118" w:name="_Toc7836"/>
      <w:bookmarkStart w:id="119" w:name="_Toc19219"/>
      <w:r>
        <w:rPr>
          <w:rFonts w:hint="eastAsia" w:ascii="宋体" w:hAnsi="宋体" w:eastAsia="宋体" w:cs="宋体"/>
          <w:b/>
          <w:bCs/>
          <w:color w:val="auto"/>
          <w:sz w:val="24"/>
          <w:highlight w:val="none"/>
          <w:lang w:val="zh-CN"/>
        </w:rPr>
        <w:t>2.5 结算方式和付款条件</w:t>
      </w:r>
      <w:bookmarkEnd w:id="111"/>
      <w:bookmarkEnd w:id="112"/>
      <w:bookmarkEnd w:id="113"/>
      <w:bookmarkEnd w:id="114"/>
      <w:bookmarkEnd w:id="115"/>
      <w:bookmarkEnd w:id="117"/>
      <w:bookmarkEnd w:id="118"/>
      <w:bookmarkEnd w:id="119"/>
    </w:p>
    <w:p w14:paraId="1DEDAF26">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334927C6">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20" w:name="_Toc487900358"/>
      <w:bookmarkStart w:id="121" w:name="_Ref467379863"/>
      <w:bookmarkStart w:id="122" w:name="_Ref467379852"/>
      <w:bookmarkStart w:id="123" w:name="_Toc259093677"/>
      <w:bookmarkStart w:id="124" w:name="_Ref467379923"/>
      <w:bookmarkStart w:id="125" w:name="_Toc279701248"/>
      <w:bookmarkStart w:id="126" w:name="_Toc774"/>
      <w:bookmarkStart w:id="127" w:name="_Toc3225"/>
      <w:bookmarkStart w:id="128" w:name="_Toc16110"/>
      <w:r>
        <w:rPr>
          <w:rFonts w:hint="eastAsia" w:ascii="宋体" w:hAnsi="宋体" w:eastAsia="宋体" w:cs="宋体"/>
          <w:b/>
          <w:bCs/>
          <w:color w:val="auto"/>
          <w:sz w:val="24"/>
          <w:highlight w:val="none"/>
          <w:lang w:val="zh-CN"/>
        </w:rPr>
        <w:t>2.6 技术资料</w:t>
      </w:r>
      <w:bookmarkEnd w:id="120"/>
      <w:bookmarkEnd w:id="121"/>
      <w:bookmarkEnd w:id="122"/>
      <w:bookmarkEnd w:id="123"/>
      <w:bookmarkEnd w:id="124"/>
      <w:bookmarkEnd w:id="125"/>
      <w:r>
        <w:rPr>
          <w:rFonts w:hint="eastAsia" w:ascii="宋体" w:hAnsi="宋体" w:eastAsia="宋体" w:cs="宋体"/>
          <w:b/>
          <w:bCs/>
          <w:color w:val="auto"/>
          <w:sz w:val="24"/>
          <w:highlight w:val="none"/>
          <w:lang w:val="zh-CN"/>
        </w:rPr>
        <w:t>和保密义务</w:t>
      </w:r>
      <w:bookmarkEnd w:id="126"/>
      <w:bookmarkEnd w:id="127"/>
      <w:bookmarkEnd w:id="128"/>
    </w:p>
    <w:p w14:paraId="73596C5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2.6.1乙方有权依据合同约定和项目需要，向甲方了解有关情况，调阅有关资料等，甲方应予积极配合；</w:t>
      </w:r>
    </w:p>
    <w:p w14:paraId="512B1BD7">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2.6.2乙方有义务妥善保管和保护由甲方提供的前款信息和资料等；</w:t>
      </w:r>
    </w:p>
    <w:p w14:paraId="3598C9B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B3F406B">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29" w:name="_Toc7860"/>
      <w:r>
        <w:rPr>
          <w:rFonts w:hint="eastAsia" w:ascii="宋体" w:hAnsi="宋体" w:eastAsia="宋体" w:cs="宋体"/>
          <w:b/>
          <w:bCs/>
          <w:color w:val="auto"/>
          <w:sz w:val="24"/>
          <w:highlight w:val="none"/>
          <w:lang w:val="zh-CN"/>
        </w:rPr>
        <w:t>2.7 质量保证</w:t>
      </w:r>
      <w:bookmarkEnd w:id="129"/>
    </w:p>
    <w:p w14:paraId="35D91CE2">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2.7.1乙方应建立和完善履行合同的内部质量保证体系，并提供相关内部规章制度给甲方，以便甲方进行监督检查；</w:t>
      </w:r>
    </w:p>
    <w:p w14:paraId="2CFD5778">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2.7.2乙方应保证履行合同的人员数量和素质、软件和硬件设备的配置、场地、环境和设施等满足全面履行合同的要求，并应接受甲方的监督检查。</w:t>
      </w:r>
    </w:p>
    <w:p w14:paraId="181D6515">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color w:val="auto"/>
          <w:sz w:val="24"/>
          <w:highlight w:val="none"/>
        </w:rPr>
      </w:pPr>
      <w:bookmarkStart w:id="130" w:name="_Toc22267"/>
      <w:r>
        <w:rPr>
          <w:rFonts w:hint="eastAsia" w:ascii="宋体" w:hAnsi="宋体" w:eastAsia="宋体" w:cs="宋体"/>
          <w:b/>
          <w:color w:val="auto"/>
          <w:sz w:val="24"/>
          <w:highlight w:val="none"/>
        </w:rPr>
        <w:t>2.8 延迟履行</w:t>
      </w:r>
      <w:bookmarkEnd w:id="130"/>
    </w:p>
    <w:p w14:paraId="0A67F411">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44271CB">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31" w:name="_Toc7502"/>
      <w:bookmarkStart w:id="132" w:name="_Toc259093683"/>
      <w:bookmarkStart w:id="133" w:name="_Ref467378121"/>
      <w:bookmarkStart w:id="134" w:name="_Toc279701254"/>
      <w:bookmarkStart w:id="135" w:name="_Toc487900364"/>
      <w:r>
        <w:rPr>
          <w:rFonts w:hint="eastAsia" w:ascii="宋体" w:hAnsi="宋体" w:eastAsia="宋体" w:cs="宋体"/>
          <w:b/>
          <w:bCs/>
          <w:color w:val="auto"/>
          <w:sz w:val="24"/>
          <w:highlight w:val="none"/>
          <w:lang w:val="zh-CN"/>
        </w:rPr>
        <w:t>2.9 合同变更</w:t>
      </w:r>
      <w:bookmarkEnd w:id="131"/>
    </w:p>
    <w:p w14:paraId="4D231EA7">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2.9.1双方当事人协商一致，可以签订书面补充合同的形式变更合同，但不得违背采购文件确定的事项；</w:t>
      </w:r>
    </w:p>
    <w:p w14:paraId="1ECBF5B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2.9.2合同继续履行将损害国家利益和社会公共利益的，双方当事人应当以书面形式变更合同。有过错的一方应当承担赔偿责任，双方当事人都有过错的，各自承担相应的责任。</w:t>
      </w:r>
      <w:bookmarkStart w:id="136" w:name="_Toc259093688"/>
      <w:bookmarkStart w:id="137" w:name="_Toc279701259"/>
      <w:bookmarkStart w:id="138" w:name="_Toc487900369"/>
    </w:p>
    <w:p w14:paraId="56DCAAA5">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39" w:name="_Toc22955"/>
      <w:bookmarkStart w:id="140" w:name="_Toc10366"/>
      <w:bookmarkStart w:id="141" w:name="_Toc15237"/>
      <w:r>
        <w:rPr>
          <w:rFonts w:hint="eastAsia" w:ascii="宋体" w:hAnsi="宋体" w:eastAsia="宋体" w:cs="宋体"/>
          <w:b/>
          <w:bCs/>
          <w:color w:val="auto"/>
          <w:sz w:val="24"/>
          <w:highlight w:val="none"/>
          <w:lang w:val="zh-CN"/>
        </w:rPr>
        <w:t>2.10 合同转让</w:t>
      </w:r>
      <w:bookmarkEnd w:id="136"/>
      <w:bookmarkEnd w:id="137"/>
      <w:bookmarkEnd w:id="138"/>
      <w:r>
        <w:rPr>
          <w:rFonts w:hint="eastAsia" w:ascii="宋体" w:hAnsi="宋体" w:eastAsia="宋体" w:cs="宋体"/>
          <w:b/>
          <w:bCs/>
          <w:color w:val="auto"/>
          <w:sz w:val="24"/>
          <w:highlight w:val="none"/>
          <w:lang w:val="zh-CN"/>
        </w:rPr>
        <w:t>和分包</w:t>
      </w:r>
      <w:bookmarkEnd w:id="139"/>
      <w:bookmarkEnd w:id="140"/>
      <w:bookmarkEnd w:id="141"/>
    </w:p>
    <w:p w14:paraId="751F5DF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13E43DB">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42" w:name="_Toc14066"/>
      <w:bookmarkStart w:id="143" w:name="_Toc16508"/>
      <w:bookmarkStart w:id="144" w:name="_Toc13566"/>
      <w:r>
        <w:rPr>
          <w:rFonts w:hint="eastAsia" w:ascii="宋体" w:hAnsi="宋体" w:eastAsia="宋体" w:cs="宋体"/>
          <w:b/>
          <w:bCs/>
          <w:color w:val="auto"/>
          <w:sz w:val="24"/>
          <w:highlight w:val="none"/>
          <w:lang w:val="zh-CN"/>
        </w:rPr>
        <w:t>2.11 不可抗力</w:t>
      </w:r>
      <w:bookmarkEnd w:id="142"/>
      <w:bookmarkEnd w:id="143"/>
      <w:bookmarkEnd w:id="144"/>
    </w:p>
    <w:p w14:paraId="4C4AD142">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14:paraId="0C73F880">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2.11.2因不可抗力致使不能实现合同目的的，当事人可以解除合同；</w:t>
      </w:r>
    </w:p>
    <w:p w14:paraId="5A2983D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2.11.3因不可抗力致使合同有变更必要的，双方当事人应在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263F3D24">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2BB30B0A">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45" w:name="_Toc259093684"/>
      <w:bookmarkStart w:id="146" w:name="_Toc30676"/>
      <w:bookmarkStart w:id="147" w:name="_Toc689"/>
      <w:bookmarkStart w:id="148" w:name="_Toc279701255"/>
      <w:bookmarkStart w:id="149" w:name="_Toc6969"/>
      <w:bookmarkStart w:id="150" w:name="_Toc487900365"/>
      <w:r>
        <w:rPr>
          <w:rFonts w:hint="eastAsia" w:ascii="宋体" w:hAnsi="宋体" w:eastAsia="宋体" w:cs="宋体"/>
          <w:b/>
          <w:bCs/>
          <w:color w:val="auto"/>
          <w:sz w:val="24"/>
          <w:highlight w:val="none"/>
          <w:lang w:val="zh-CN"/>
        </w:rPr>
        <w:t>2.12 税费</w:t>
      </w:r>
      <w:bookmarkEnd w:id="145"/>
      <w:bookmarkEnd w:id="146"/>
      <w:bookmarkEnd w:id="147"/>
      <w:bookmarkEnd w:id="148"/>
      <w:bookmarkEnd w:id="149"/>
      <w:bookmarkEnd w:id="150"/>
    </w:p>
    <w:p w14:paraId="6264E82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14:paraId="22DE091C">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51" w:name="_Toc8298"/>
      <w:bookmarkStart w:id="152" w:name="_Toc487900368"/>
      <w:bookmarkStart w:id="153" w:name="_Toc16959"/>
      <w:bookmarkStart w:id="154" w:name="_Toc7102"/>
      <w:bookmarkStart w:id="155" w:name="_Toc259093687"/>
      <w:bookmarkStart w:id="156" w:name="_Toc279701258"/>
      <w:r>
        <w:rPr>
          <w:rFonts w:hint="eastAsia" w:ascii="宋体" w:hAnsi="宋体" w:eastAsia="宋体" w:cs="宋体"/>
          <w:b/>
          <w:bCs/>
          <w:color w:val="auto"/>
          <w:sz w:val="24"/>
          <w:highlight w:val="none"/>
          <w:lang w:val="zh-CN"/>
        </w:rPr>
        <w:t>2.13 乙方破产</w:t>
      </w:r>
      <w:bookmarkEnd w:id="151"/>
      <w:bookmarkEnd w:id="152"/>
      <w:bookmarkEnd w:id="153"/>
      <w:bookmarkEnd w:id="154"/>
      <w:bookmarkEnd w:id="155"/>
      <w:bookmarkEnd w:id="156"/>
    </w:p>
    <w:p w14:paraId="67A5B52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A954874">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color w:val="auto"/>
          <w:sz w:val="24"/>
          <w:highlight w:val="none"/>
        </w:rPr>
      </w:pPr>
      <w:bookmarkStart w:id="157" w:name="_Toc15387"/>
      <w:bookmarkStart w:id="158" w:name="_Toc6134"/>
      <w:bookmarkStart w:id="159" w:name="_Toc29333"/>
      <w:r>
        <w:rPr>
          <w:rFonts w:hint="eastAsia" w:ascii="宋体" w:hAnsi="宋体" w:eastAsia="宋体" w:cs="宋体"/>
          <w:b/>
          <w:bCs/>
          <w:color w:val="auto"/>
          <w:sz w:val="24"/>
          <w:highlight w:val="none"/>
          <w:lang w:val="zh-CN"/>
        </w:rPr>
        <w:t>2.14 合同中止、终止</w:t>
      </w:r>
      <w:bookmarkEnd w:id="157"/>
      <w:bookmarkEnd w:id="158"/>
      <w:bookmarkEnd w:id="159"/>
    </w:p>
    <w:p w14:paraId="34A063BD">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2.14.1双方当事人不得擅自中止或者终止合同；</w:t>
      </w:r>
    </w:p>
    <w:p w14:paraId="709235F4">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4C4507AC">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60" w:name="_Toc14563"/>
      <w:bookmarkStart w:id="161" w:name="_Toc6596"/>
      <w:bookmarkStart w:id="162" w:name="_Toc1125"/>
      <w:r>
        <w:rPr>
          <w:rFonts w:hint="eastAsia" w:ascii="宋体" w:hAnsi="宋体" w:eastAsia="宋体" w:cs="宋体"/>
          <w:b/>
          <w:bCs/>
          <w:color w:val="auto"/>
          <w:sz w:val="24"/>
          <w:highlight w:val="none"/>
          <w:lang w:val="zh-CN"/>
        </w:rPr>
        <w:t>2.15 检验和验收</w:t>
      </w:r>
      <w:bookmarkEnd w:id="160"/>
      <w:bookmarkEnd w:id="161"/>
      <w:bookmarkEnd w:id="162"/>
    </w:p>
    <w:p w14:paraId="6E986C42">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2.15.1乙方按照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14:paraId="3F9B6BD4">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3123C8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2.15.3检验和验收标准、程序等具体内容以及前述验收书的效力详见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32"/>
    <w:bookmarkEnd w:id="133"/>
    <w:bookmarkEnd w:id="134"/>
    <w:bookmarkEnd w:id="135"/>
    <w:p w14:paraId="6073C405">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rPr>
      </w:pPr>
      <w:bookmarkStart w:id="163" w:name="_Toc279701263"/>
      <w:bookmarkStart w:id="164" w:name="_Toc259093692"/>
      <w:bookmarkStart w:id="165" w:name="_Toc487900373"/>
      <w:bookmarkStart w:id="166" w:name="_Toc12773"/>
      <w:bookmarkStart w:id="167" w:name="_Toc10330"/>
      <w:bookmarkStart w:id="168" w:name="_Toc18567"/>
      <w:r>
        <w:rPr>
          <w:rFonts w:hint="eastAsia" w:ascii="宋体" w:hAnsi="宋体" w:eastAsia="宋体" w:cs="宋体"/>
          <w:b/>
          <w:bCs/>
          <w:color w:val="auto"/>
          <w:sz w:val="24"/>
          <w:highlight w:val="none"/>
        </w:rPr>
        <w:t xml:space="preserve">2.16 </w:t>
      </w:r>
      <w:r>
        <w:rPr>
          <w:rFonts w:hint="eastAsia" w:ascii="宋体" w:hAnsi="宋体" w:eastAsia="宋体" w:cs="宋体"/>
          <w:b/>
          <w:bCs/>
          <w:color w:val="auto"/>
          <w:sz w:val="24"/>
          <w:highlight w:val="none"/>
          <w:lang w:val="zh-CN"/>
        </w:rPr>
        <w:t>合同使用的文字和适用的法律</w:t>
      </w:r>
      <w:bookmarkEnd w:id="163"/>
      <w:bookmarkEnd w:id="164"/>
      <w:bookmarkEnd w:id="165"/>
      <w:bookmarkEnd w:id="166"/>
      <w:bookmarkEnd w:id="167"/>
      <w:bookmarkEnd w:id="168"/>
    </w:p>
    <w:p w14:paraId="616A39AD">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2.16.1合同使用汉语书就、变更和解释；</w:t>
      </w:r>
    </w:p>
    <w:p w14:paraId="0B7B6B1E">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2.16.2合同适用中华人民共和国法律。</w:t>
      </w:r>
    </w:p>
    <w:p w14:paraId="2520D6F9">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color w:val="auto"/>
          <w:sz w:val="24"/>
          <w:highlight w:val="none"/>
        </w:rPr>
      </w:pPr>
      <w:bookmarkStart w:id="169" w:name="_Toc16673"/>
      <w:bookmarkStart w:id="170" w:name="_Toc279701264"/>
      <w:bookmarkStart w:id="171" w:name="_Toc259093693"/>
      <w:bookmarkStart w:id="172" w:name="_Toc3148"/>
      <w:bookmarkStart w:id="173" w:name="_Toc12004"/>
      <w:bookmarkStart w:id="174" w:name="_Toc487900374"/>
      <w:r>
        <w:rPr>
          <w:rFonts w:hint="eastAsia" w:ascii="宋体" w:hAnsi="宋体" w:eastAsia="宋体" w:cs="宋体"/>
          <w:b/>
          <w:bCs/>
          <w:color w:val="auto"/>
          <w:sz w:val="24"/>
          <w:highlight w:val="none"/>
          <w:lang w:val="zh-CN"/>
        </w:rPr>
        <w:t>2.17 履约保证金</w:t>
      </w:r>
      <w:bookmarkEnd w:id="169"/>
      <w:bookmarkEnd w:id="170"/>
      <w:bookmarkEnd w:id="171"/>
      <w:bookmarkEnd w:id="172"/>
      <w:bookmarkEnd w:id="173"/>
    </w:p>
    <w:p w14:paraId="35C91F07">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2.17.1采购文件要求乙方提交履约保证金的，乙方应按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w:t>
      </w:r>
    </w:p>
    <w:p w14:paraId="33A78194">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2.17.2履约保证金在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约定期间内不予退还或者应完全有效，前述约定期间届满之日起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逾期退还履约保证金</w:t>
      </w:r>
      <w:r>
        <w:rPr>
          <w:rFonts w:hint="eastAsia" w:ascii="宋体" w:hAnsi="宋体" w:eastAsia="宋体" w:cs="宋体"/>
          <w:color w:val="auto"/>
          <w:sz w:val="24"/>
          <w:szCs w:val="24"/>
          <w:highlight w:val="none"/>
          <w:lang w:val="en-US" w:eastAsia="zh-CN"/>
        </w:rPr>
        <w:t>应承担违约责任。</w:t>
      </w:r>
    </w:p>
    <w:p w14:paraId="21B6280A">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4"/>
    <w:p w14:paraId="783A4193">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color w:val="auto"/>
          <w:sz w:val="24"/>
          <w:highlight w:val="none"/>
        </w:rPr>
      </w:pPr>
      <w:bookmarkStart w:id="175" w:name="_Toc6885"/>
      <w:bookmarkStart w:id="176" w:name="_Toc19890"/>
      <w:bookmarkStart w:id="177" w:name="_Toc14001"/>
      <w:r>
        <w:rPr>
          <w:rFonts w:hint="eastAsia" w:ascii="宋体" w:hAnsi="宋体" w:eastAsia="宋体" w:cs="宋体"/>
          <w:b/>
          <w:bCs/>
          <w:color w:val="auto"/>
          <w:sz w:val="24"/>
          <w:highlight w:val="none"/>
          <w:lang w:val="zh-CN"/>
        </w:rPr>
        <w:t>2.18 合同份数</w:t>
      </w:r>
      <w:bookmarkEnd w:id="175"/>
      <w:bookmarkEnd w:id="176"/>
      <w:bookmarkEnd w:id="177"/>
    </w:p>
    <w:p w14:paraId="058E7A6A">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0D31B293">
      <w:pPr>
        <w:spacing w:line="360" w:lineRule="auto"/>
        <w:jc w:val="center"/>
        <w:outlineLvl w:val="2"/>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br w:type="page"/>
      </w:r>
      <w:bookmarkStart w:id="178" w:name="_Toc331685784"/>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178"/>
    </w:p>
    <w:p w14:paraId="1AB702EF">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4"/>
        <w:gridCol w:w="7568"/>
      </w:tblGrid>
      <w:tr w14:paraId="3B93F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089735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4525" w:type="pct"/>
            <w:vAlign w:val="center"/>
          </w:tcPr>
          <w:p w14:paraId="7C4DA30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24"/>
                <w:szCs w:val="24"/>
                <w:highlight w:val="yellow"/>
              </w:rPr>
            </w:pPr>
            <w:r>
              <w:rPr>
                <w:rFonts w:hint="eastAsia" w:ascii="宋体" w:hAnsi="宋体" w:eastAsia="宋体" w:cs="宋体"/>
                <w:b/>
                <w:color w:val="auto"/>
                <w:sz w:val="24"/>
                <w:szCs w:val="24"/>
                <w:highlight w:val="none"/>
              </w:rPr>
              <w:t>约定内容</w:t>
            </w:r>
          </w:p>
        </w:tc>
      </w:tr>
      <w:tr w14:paraId="36B92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050BF6C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4525" w:type="pct"/>
            <w:vAlign w:val="center"/>
          </w:tcPr>
          <w:p w14:paraId="2B8997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包、15-16包付款方式：合同签订生效并具备实施条件后5个工作日内可支付每包合同价的40%预付款(预付款支付前，中标人须提供同等金额的见索即付预付款保函)，合同签订生效并具备实施条件后90个工作日内支付合同全款，并按照甲乙双方规定的时间内开通远程访问权限。待服务完成，经验收合格，一次性退还履约保证金。</w:t>
            </w:r>
          </w:p>
          <w:p w14:paraId="3F7316C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第14包付款方式为：合同签订生效并具备实施条件后5个工作日内可支付合同价的40%预付款(预付款支付前，中标人须提供同等金额的见索即付预付款保函)，供货安装完成，经验收合格后一次性付清合同款。）。</w:t>
            </w:r>
          </w:p>
        </w:tc>
      </w:tr>
      <w:tr w14:paraId="2AFD1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6C8585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2.15.3</w:t>
            </w:r>
          </w:p>
        </w:tc>
        <w:tc>
          <w:tcPr>
            <w:tcW w:w="4525" w:type="pct"/>
            <w:vAlign w:val="center"/>
          </w:tcPr>
          <w:p w14:paraId="044289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检验和验收标准</w:t>
            </w:r>
            <w:r>
              <w:rPr>
                <w:rFonts w:hint="eastAsia" w:ascii="宋体" w:hAnsi="宋体" w:eastAsia="宋体" w:cs="宋体"/>
                <w:color w:val="auto"/>
                <w:sz w:val="24"/>
                <w:szCs w:val="24"/>
                <w:highlight w:val="none"/>
                <w:lang w:eastAsia="zh-CN"/>
              </w:rPr>
              <w:t>根据项目</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zh-CN"/>
              </w:rPr>
              <w:t>文件及</w:t>
            </w:r>
            <w:r>
              <w:rPr>
                <w:rFonts w:hint="eastAsia" w:ascii="宋体" w:hAnsi="宋体" w:eastAsia="宋体" w:cs="宋体"/>
                <w:color w:val="auto"/>
                <w:sz w:val="24"/>
                <w:szCs w:val="24"/>
                <w:highlight w:val="none"/>
                <w:lang w:val="en-US" w:eastAsia="zh-CN"/>
              </w:rPr>
              <w:t>单一来源</w:t>
            </w:r>
            <w:r>
              <w:rPr>
                <w:rFonts w:hint="eastAsia" w:ascii="宋体" w:hAnsi="宋体" w:eastAsia="宋体" w:cs="宋体"/>
                <w:color w:val="auto"/>
                <w:sz w:val="24"/>
                <w:szCs w:val="24"/>
                <w:highlight w:val="none"/>
                <w:lang w:val="zh-CN"/>
              </w:rPr>
              <w:t>采购文件要求（含澄清或者说明文件、承诺书等）执行。验收程序</w:t>
            </w:r>
            <w:r>
              <w:rPr>
                <w:rFonts w:hint="eastAsia" w:ascii="宋体" w:hAnsi="宋体" w:eastAsia="宋体" w:cs="宋体"/>
                <w:color w:val="auto"/>
                <w:sz w:val="24"/>
                <w:szCs w:val="24"/>
                <w:highlight w:val="none"/>
                <w:lang w:eastAsia="zh-CN"/>
              </w:rPr>
              <w:t>按《滁州学院采购项目验收管理办法》执行</w:t>
            </w:r>
            <w:r>
              <w:rPr>
                <w:rFonts w:hint="eastAsia" w:ascii="宋体" w:hAnsi="宋体" w:eastAsia="宋体" w:cs="宋体"/>
                <w:color w:val="auto"/>
                <w:sz w:val="24"/>
                <w:szCs w:val="24"/>
                <w:highlight w:val="none"/>
              </w:rPr>
              <w:t>。</w:t>
            </w:r>
          </w:p>
        </w:tc>
      </w:tr>
      <w:tr w14:paraId="7B6A2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389897C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2.17.1</w:t>
            </w:r>
          </w:p>
        </w:tc>
        <w:tc>
          <w:tcPr>
            <w:tcW w:w="4525" w:type="pct"/>
            <w:vAlign w:val="center"/>
          </w:tcPr>
          <w:p w14:paraId="63E5A4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本项目不收取履约担保</w:t>
            </w:r>
          </w:p>
        </w:tc>
      </w:tr>
      <w:tr w14:paraId="6A577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3F95C4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w:t>
            </w:r>
          </w:p>
        </w:tc>
        <w:tc>
          <w:tcPr>
            <w:tcW w:w="4525" w:type="pct"/>
            <w:vAlign w:val="center"/>
          </w:tcPr>
          <w:p w14:paraId="39F9C6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eastAsia="zh-CN"/>
              </w:rPr>
              <w:t>本合同一式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eastAsia="zh-CN"/>
              </w:rPr>
              <w:t>份，甲</w:t>
            </w:r>
            <w:r>
              <w:rPr>
                <w:rFonts w:hint="eastAsia" w:ascii="宋体" w:hAnsi="宋体" w:eastAsia="宋体" w:cs="宋体"/>
                <w:color w:val="auto"/>
                <w:sz w:val="24"/>
                <w:szCs w:val="24"/>
                <w:highlight w:val="none"/>
                <w:u w:val="none"/>
                <w:lang w:val="en-US" w:eastAsia="zh-CN"/>
              </w:rPr>
              <w:t>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份，</w:t>
            </w:r>
            <w:r>
              <w:rPr>
                <w:rFonts w:hint="eastAsia" w:ascii="宋体" w:hAnsi="宋体" w:eastAsia="宋体" w:cs="宋体"/>
                <w:color w:val="auto"/>
                <w:sz w:val="24"/>
                <w:szCs w:val="24"/>
                <w:highlight w:val="none"/>
                <w:u w:val="none"/>
                <w:lang w:eastAsia="zh-CN"/>
              </w:rPr>
              <w:t>乙方各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eastAsia="zh-CN"/>
              </w:rPr>
              <w:t>份，</w:t>
            </w:r>
            <w:r>
              <w:rPr>
                <w:rFonts w:hint="eastAsia" w:ascii="宋体" w:hAnsi="宋体" w:eastAsia="宋体" w:cs="宋体"/>
                <w:color w:val="auto"/>
                <w:sz w:val="24"/>
                <w:szCs w:val="24"/>
                <w:highlight w:val="none"/>
                <w:u w:val="none"/>
                <w:lang w:val="en-US" w:eastAsia="zh-CN"/>
              </w:rPr>
              <w:t xml:space="preserve"> 采购代理机构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eastAsia="zh-CN"/>
              </w:rPr>
              <w:t>份。</w:t>
            </w:r>
          </w:p>
        </w:tc>
      </w:tr>
      <w:tr w14:paraId="34D5F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0AD8703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tc>
        <w:tc>
          <w:tcPr>
            <w:tcW w:w="4525" w:type="pct"/>
            <w:vAlign w:val="center"/>
          </w:tcPr>
          <w:p w14:paraId="620FFA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single"/>
              </w:rPr>
            </w:pPr>
          </w:p>
        </w:tc>
      </w:tr>
      <w:tr w14:paraId="7E253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59A7B11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tc>
        <w:tc>
          <w:tcPr>
            <w:tcW w:w="4525" w:type="pct"/>
            <w:vAlign w:val="center"/>
          </w:tcPr>
          <w:p w14:paraId="17C44D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tc>
      </w:tr>
      <w:tr w14:paraId="49D99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35F69D3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tc>
        <w:tc>
          <w:tcPr>
            <w:tcW w:w="4525" w:type="pct"/>
            <w:vAlign w:val="center"/>
          </w:tcPr>
          <w:p w14:paraId="0E86A2A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single"/>
              </w:rPr>
            </w:pPr>
          </w:p>
        </w:tc>
      </w:tr>
      <w:tr w14:paraId="3D89A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487A7B2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tc>
        <w:tc>
          <w:tcPr>
            <w:tcW w:w="4525" w:type="pct"/>
            <w:vAlign w:val="center"/>
          </w:tcPr>
          <w:p w14:paraId="3BBDD1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tc>
      </w:tr>
      <w:tr w14:paraId="22FEC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364520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tc>
        <w:tc>
          <w:tcPr>
            <w:tcW w:w="4525" w:type="pct"/>
            <w:vAlign w:val="center"/>
          </w:tcPr>
          <w:p w14:paraId="380830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tc>
      </w:tr>
      <w:tr w14:paraId="5749A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11D1DA3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tc>
        <w:tc>
          <w:tcPr>
            <w:tcW w:w="4525" w:type="pct"/>
            <w:vAlign w:val="center"/>
          </w:tcPr>
          <w:p w14:paraId="466625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tc>
      </w:tr>
      <w:tr w14:paraId="65BD9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73C0561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336C50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tc>
      </w:tr>
      <w:tr w14:paraId="1D781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453BC9E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7034DD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tc>
      </w:tr>
    </w:tbl>
    <w:p w14:paraId="67768237">
      <w:pPr>
        <w:spacing w:line="360" w:lineRule="auto"/>
        <w:rPr>
          <w:rFonts w:asciiTheme="minorEastAsia" w:hAnsiTheme="minorEastAsia" w:eastAsiaTheme="minorEastAsia"/>
          <w:color w:val="000000" w:themeColor="text1"/>
          <w:sz w:val="24"/>
          <w14:textFill>
            <w14:solidFill>
              <w14:schemeClr w14:val="tx1"/>
            </w14:solidFill>
          </w14:textFill>
        </w:rPr>
      </w:pPr>
    </w:p>
    <w:p w14:paraId="48497286">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3C58CB2C">
      <w:pPr>
        <w:spacing w:line="360" w:lineRule="auto"/>
        <w:jc w:val="center"/>
        <w:outlineLvl w:val="0"/>
        <w:rPr>
          <w:rFonts w:asciiTheme="minorEastAsia" w:hAnsiTheme="minorEastAsia" w:eastAsiaTheme="minorEastAsia"/>
          <w:b/>
          <w:color w:val="auto"/>
          <w:sz w:val="28"/>
          <w:highlight w:val="none"/>
        </w:rPr>
      </w:pPr>
      <w:bookmarkStart w:id="179" w:name="_Toc3480"/>
      <w:r>
        <w:rPr>
          <w:rFonts w:hint="eastAsia" w:asciiTheme="minorEastAsia" w:hAnsiTheme="minorEastAsia" w:eastAsiaTheme="minorEastAsia"/>
          <w:b/>
          <w:color w:val="auto"/>
          <w:sz w:val="28"/>
          <w:highlight w:val="none"/>
        </w:rPr>
        <w:t>第六章  响应文件格式</w:t>
      </w:r>
      <w:bookmarkEnd w:id="179"/>
    </w:p>
    <w:p w14:paraId="5C8BA791">
      <w:pPr>
        <w:spacing w:line="900" w:lineRule="exact"/>
        <w:jc w:val="center"/>
        <w:rPr>
          <w:rFonts w:asciiTheme="minorEastAsia" w:hAnsiTheme="minorEastAsia" w:eastAsiaTheme="minorEastAsia"/>
          <w:b/>
          <w:color w:val="auto"/>
          <w:sz w:val="72"/>
          <w:highlight w:val="none"/>
        </w:rPr>
      </w:pPr>
    </w:p>
    <w:p w14:paraId="2EC5A8A5">
      <w:pPr>
        <w:spacing w:line="900" w:lineRule="exact"/>
        <w:jc w:val="center"/>
        <w:outlineLvl w:val="1"/>
        <w:rPr>
          <w:rFonts w:asciiTheme="minorEastAsia" w:hAnsiTheme="minorEastAsia" w:eastAsiaTheme="minorEastAsia"/>
          <w:b/>
          <w:color w:val="auto"/>
          <w:sz w:val="72"/>
          <w:highlight w:val="none"/>
        </w:rPr>
      </w:pPr>
      <w:bookmarkStart w:id="180" w:name="_Toc22600"/>
      <w:bookmarkStart w:id="181" w:name="_Toc17381"/>
      <w:r>
        <w:rPr>
          <w:rFonts w:hint="eastAsia" w:asciiTheme="minorEastAsia" w:hAnsiTheme="minorEastAsia" w:eastAsiaTheme="minorEastAsia"/>
          <w:b/>
          <w:color w:val="auto"/>
          <w:sz w:val="72"/>
          <w:highlight w:val="none"/>
        </w:rPr>
        <w:t>响</w:t>
      </w:r>
      <w:bookmarkEnd w:id="180"/>
      <w:bookmarkEnd w:id="181"/>
    </w:p>
    <w:p w14:paraId="24879951">
      <w:pPr>
        <w:spacing w:line="900" w:lineRule="exact"/>
        <w:jc w:val="center"/>
        <w:rPr>
          <w:rFonts w:asciiTheme="minorEastAsia" w:hAnsiTheme="minorEastAsia" w:eastAsiaTheme="minorEastAsia"/>
          <w:b/>
          <w:color w:val="auto"/>
          <w:sz w:val="72"/>
          <w:highlight w:val="none"/>
        </w:rPr>
      </w:pPr>
    </w:p>
    <w:p w14:paraId="1B5BC883">
      <w:pPr>
        <w:spacing w:line="900" w:lineRule="exact"/>
        <w:jc w:val="center"/>
        <w:outlineLvl w:val="1"/>
        <w:rPr>
          <w:rFonts w:asciiTheme="minorEastAsia" w:hAnsiTheme="minorEastAsia" w:eastAsiaTheme="minorEastAsia"/>
          <w:b/>
          <w:color w:val="auto"/>
          <w:sz w:val="72"/>
          <w:highlight w:val="none"/>
        </w:rPr>
      </w:pPr>
      <w:bookmarkStart w:id="182" w:name="_Toc17096"/>
      <w:bookmarkStart w:id="183" w:name="_Toc5117"/>
      <w:r>
        <w:rPr>
          <w:rFonts w:hint="eastAsia" w:asciiTheme="minorEastAsia" w:hAnsiTheme="minorEastAsia" w:eastAsiaTheme="minorEastAsia"/>
          <w:b/>
          <w:color w:val="auto"/>
          <w:sz w:val="72"/>
          <w:highlight w:val="none"/>
        </w:rPr>
        <w:t>应</w:t>
      </w:r>
      <w:bookmarkEnd w:id="182"/>
      <w:bookmarkEnd w:id="183"/>
    </w:p>
    <w:p w14:paraId="13BBB2E7">
      <w:pPr>
        <w:spacing w:line="900" w:lineRule="exact"/>
        <w:jc w:val="center"/>
        <w:rPr>
          <w:rFonts w:asciiTheme="minorEastAsia" w:hAnsiTheme="minorEastAsia" w:eastAsiaTheme="minorEastAsia"/>
          <w:b/>
          <w:color w:val="auto"/>
          <w:sz w:val="72"/>
          <w:highlight w:val="none"/>
        </w:rPr>
      </w:pPr>
    </w:p>
    <w:p w14:paraId="78531AF9">
      <w:pPr>
        <w:spacing w:line="900" w:lineRule="exact"/>
        <w:jc w:val="center"/>
        <w:outlineLvl w:val="1"/>
        <w:rPr>
          <w:rFonts w:asciiTheme="minorEastAsia" w:hAnsiTheme="minorEastAsia" w:eastAsiaTheme="minorEastAsia"/>
          <w:b/>
          <w:color w:val="auto"/>
          <w:sz w:val="72"/>
          <w:highlight w:val="none"/>
        </w:rPr>
      </w:pPr>
      <w:bookmarkStart w:id="184" w:name="_Toc10137"/>
      <w:bookmarkStart w:id="185" w:name="_Toc29635"/>
      <w:r>
        <w:rPr>
          <w:rFonts w:hint="eastAsia" w:asciiTheme="minorEastAsia" w:hAnsiTheme="minorEastAsia" w:eastAsiaTheme="minorEastAsia"/>
          <w:b/>
          <w:color w:val="auto"/>
          <w:sz w:val="72"/>
          <w:highlight w:val="none"/>
        </w:rPr>
        <w:t>文</w:t>
      </w:r>
      <w:bookmarkEnd w:id="184"/>
      <w:bookmarkEnd w:id="185"/>
    </w:p>
    <w:p w14:paraId="7870912F">
      <w:pPr>
        <w:spacing w:line="900" w:lineRule="exact"/>
        <w:jc w:val="center"/>
        <w:rPr>
          <w:rFonts w:asciiTheme="minorEastAsia" w:hAnsiTheme="minorEastAsia" w:eastAsiaTheme="minorEastAsia"/>
          <w:b/>
          <w:color w:val="auto"/>
          <w:sz w:val="72"/>
          <w:highlight w:val="none"/>
        </w:rPr>
      </w:pPr>
    </w:p>
    <w:p w14:paraId="19D12CD8">
      <w:pPr>
        <w:jc w:val="center"/>
        <w:outlineLvl w:val="1"/>
        <w:rPr>
          <w:rFonts w:asciiTheme="minorEastAsia" w:hAnsiTheme="minorEastAsia" w:eastAsiaTheme="minorEastAsia"/>
          <w:b/>
          <w:color w:val="auto"/>
          <w:sz w:val="72"/>
          <w:highlight w:val="none"/>
        </w:rPr>
      </w:pPr>
      <w:bookmarkStart w:id="186" w:name="_Toc10547"/>
      <w:bookmarkStart w:id="187" w:name="_Toc3497"/>
      <w:r>
        <w:rPr>
          <w:rFonts w:hint="eastAsia" w:asciiTheme="minorEastAsia" w:hAnsiTheme="minorEastAsia" w:eastAsiaTheme="minorEastAsia"/>
          <w:b/>
          <w:color w:val="auto"/>
          <w:sz w:val="72"/>
          <w:highlight w:val="none"/>
        </w:rPr>
        <w:t>件</w:t>
      </w:r>
      <w:bookmarkEnd w:id="186"/>
      <w:bookmarkEnd w:id="187"/>
    </w:p>
    <w:p w14:paraId="087FB119">
      <w:pPr>
        <w:spacing w:after="156" w:afterLines="50"/>
        <w:jc w:val="center"/>
        <w:rPr>
          <w:rFonts w:asciiTheme="minorEastAsia" w:hAnsiTheme="minorEastAsia" w:eastAsiaTheme="minorEastAsia"/>
          <w:b/>
          <w:color w:val="auto"/>
          <w:sz w:val="72"/>
          <w:highlight w:val="none"/>
        </w:rPr>
      </w:pPr>
    </w:p>
    <w:p w14:paraId="6E76F0C0">
      <w:pPr>
        <w:spacing w:after="156" w:afterLines="50" w:line="500" w:lineRule="exact"/>
        <w:jc w:val="center"/>
        <w:rPr>
          <w:rFonts w:asciiTheme="majorEastAsia" w:hAnsiTheme="majorEastAsia" w:eastAsiaTheme="majorEastAsia"/>
          <w:b/>
          <w:color w:val="auto"/>
          <w:sz w:val="28"/>
          <w:szCs w:val="28"/>
          <w:highlight w:val="none"/>
        </w:rPr>
      </w:pPr>
      <w:bookmarkStart w:id="188" w:name="_Toc32506"/>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188"/>
    </w:p>
    <w:p w14:paraId="6D5A0BA2">
      <w:pPr>
        <w:spacing w:after="156" w:afterLines="50" w:line="500" w:lineRule="exact"/>
        <w:jc w:val="center"/>
        <w:rPr>
          <w:rFonts w:asciiTheme="majorEastAsia" w:hAnsiTheme="majorEastAsia" w:eastAsiaTheme="majorEastAsia"/>
          <w:b/>
          <w:color w:val="auto"/>
          <w:sz w:val="72"/>
          <w:highlight w:val="none"/>
        </w:rPr>
      </w:pPr>
    </w:p>
    <w:p w14:paraId="1F8AF87D">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4807B69">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FCB95CF">
      <w:pPr>
        <w:spacing w:after="156" w:afterLines="50" w:line="500" w:lineRule="exact"/>
        <w:ind w:firstLine="643" w:firstLineChars="200"/>
        <w:rPr>
          <w:rFonts w:asciiTheme="majorEastAsia" w:hAnsiTheme="majorEastAsia" w:eastAsiaTheme="majorEastAsia"/>
          <w:b/>
          <w:color w:val="auto"/>
          <w:sz w:val="32"/>
          <w:highlight w:val="none"/>
          <w:u w:val="single"/>
        </w:rPr>
      </w:pPr>
      <w:r>
        <w:rPr>
          <w:rFonts w:hint="eastAsia" w:asciiTheme="minorEastAsia" w:hAnsiTheme="minorEastAsia" w:eastAsiaTheme="minorEastAsia"/>
          <w:b/>
          <w:color w:val="auto"/>
          <w:sz w:val="32"/>
          <w:highlight w:val="none"/>
        </w:rPr>
        <w:t>供</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应</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115D453">
      <w:pPr>
        <w:spacing w:after="156" w:afterLines="50" w:line="500" w:lineRule="exact"/>
        <w:jc w:val="center"/>
        <w:outlineLvl w:val="0"/>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89" w:name="_Toc13087"/>
      <w:bookmarkStart w:id="190" w:name="_Toc8780"/>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189"/>
      <w:bookmarkEnd w:id="190"/>
    </w:p>
    <w:p w14:paraId="7E9CBCA0">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5AE3D2DF">
      <w:pPr>
        <w:spacing w:line="360" w:lineRule="auto"/>
        <w:jc w:val="center"/>
        <w:outlineLvl w:val="1"/>
        <w:rPr>
          <w:rFonts w:asciiTheme="minorEastAsia" w:hAnsiTheme="minorEastAsia" w:eastAsiaTheme="minorEastAsia"/>
          <w:b/>
          <w:color w:val="auto"/>
          <w:sz w:val="24"/>
          <w:highlight w:val="none"/>
        </w:rPr>
      </w:pPr>
      <w:bookmarkStart w:id="191" w:name="_Toc15419"/>
      <w:bookmarkStart w:id="192" w:name="_Toc25523"/>
      <w:r>
        <w:rPr>
          <w:rFonts w:hint="eastAsia" w:asciiTheme="minorEastAsia" w:hAnsiTheme="minorEastAsia" w:eastAsiaTheme="minorEastAsia"/>
          <w:b/>
          <w:color w:val="auto"/>
          <w:sz w:val="24"/>
          <w:highlight w:val="none"/>
        </w:rPr>
        <w:t>一、报价表</w:t>
      </w:r>
      <w:bookmarkEnd w:id="191"/>
      <w:bookmarkEnd w:id="192"/>
    </w:p>
    <w:p w14:paraId="3FCAFCD6">
      <w:pPr>
        <w:snapToGrid w:val="0"/>
        <w:spacing w:line="360" w:lineRule="auto"/>
        <w:jc w:val="left"/>
        <w:rPr>
          <w:rFonts w:asciiTheme="minorEastAsia" w:hAnsiTheme="minorEastAsia" w:eastAsiaTheme="minorEastAsia"/>
          <w:b/>
          <w:color w:val="auto"/>
          <w:sz w:val="24"/>
          <w:szCs w:val="28"/>
          <w:highlight w:val="none"/>
        </w:rPr>
      </w:pPr>
      <w:r>
        <w:rPr>
          <w:rFonts w:hint="eastAsia" w:asciiTheme="minorEastAsia" w:hAnsiTheme="minorEastAsia" w:eastAsiaTheme="minorEastAsia"/>
          <w:b/>
          <w:color w:val="auto"/>
          <w:sz w:val="24"/>
          <w:szCs w:val="28"/>
          <w:highlight w:val="none"/>
        </w:rPr>
        <w:t>项目名称：</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u w:val="single"/>
          <w:lang w:val="en-US" w:eastAsia="zh-CN"/>
        </w:rPr>
        <w:t xml:space="preserve">      </w:t>
      </w:r>
      <w:r>
        <w:rPr>
          <w:rFonts w:hint="eastAsia" w:asciiTheme="minorEastAsia" w:hAnsiTheme="minorEastAsia" w:eastAsiaTheme="minorEastAsia"/>
          <w:b/>
          <w:color w:val="auto"/>
          <w:sz w:val="24"/>
          <w:szCs w:val="28"/>
          <w:highlight w:val="none"/>
          <w:u w:val="single"/>
        </w:rPr>
        <w:t xml:space="preserve">   </w:t>
      </w:r>
    </w:p>
    <w:p w14:paraId="04A322AF">
      <w:pPr>
        <w:snapToGrid w:val="0"/>
        <w:spacing w:after="156" w:afterLines="50" w:line="360" w:lineRule="auto"/>
        <w:jc w:val="left"/>
        <w:rPr>
          <w:rFonts w:asciiTheme="minorEastAsia" w:hAnsiTheme="minorEastAsia" w:eastAsiaTheme="minorEastAsia"/>
          <w:b/>
          <w:bCs/>
          <w:color w:val="auto"/>
          <w:sz w:val="24"/>
          <w:szCs w:val="28"/>
          <w:highlight w:val="none"/>
        </w:rPr>
      </w:pPr>
      <w:r>
        <w:rPr>
          <w:rFonts w:hint="eastAsia" w:asciiTheme="minorEastAsia" w:hAnsiTheme="minorEastAsia" w:eastAsiaTheme="minorEastAsia"/>
          <w:b/>
          <w:color w:val="auto"/>
          <w:sz w:val="24"/>
          <w:szCs w:val="28"/>
          <w:highlight w:val="none"/>
        </w:rPr>
        <w:t>项目编号：</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u w:val="single"/>
          <w:lang w:val="en-US" w:eastAsia="zh-CN"/>
        </w:rPr>
        <w:t xml:space="preserve">      </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6AB2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6DDDCEB">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供应商名称</w:t>
            </w:r>
          </w:p>
        </w:tc>
        <w:tc>
          <w:tcPr>
            <w:tcW w:w="3557" w:type="pct"/>
            <w:tcBorders>
              <w:left w:val="single" w:color="auto" w:sz="4" w:space="0"/>
            </w:tcBorders>
          </w:tcPr>
          <w:p w14:paraId="3DFF4E5B">
            <w:pPr>
              <w:spacing w:line="360" w:lineRule="auto"/>
              <w:rPr>
                <w:rFonts w:asciiTheme="minorEastAsia" w:hAnsiTheme="minorEastAsia" w:eastAsiaTheme="minorEastAsia"/>
                <w:b/>
                <w:color w:val="auto"/>
                <w:sz w:val="24"/>
                <w:highlight w:val="none"/>
              </w:rPr>
            </w:pPr>
          </w:p>
        </w:tc>
      </w:tr>
      <w:tr w14:paraId="08EE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BEB1502">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szCs w:val="28"/>
                <w:highlight w:val="none"/>
              </w:rPr>
              <w:t>响应</w:t>
            </w:r>
            <w:r>
              <w:rPr>
                <w:rFonts w:hint="eastAsia" w:asciiTheme="minorEastAsia" w:hAnsiTheme="minorEastAsia" w:eastAsiaTheme="minorEastAsia"/>
                <w:b/>
                <w:color w:val="auto"/>
                <w:sz w:val="24"/>
                <w:highlight w:val="none"/>
              </w:rPr>
              <w:t>范围</w:t>
            </w:r>
          </w:p>
        </w:tc>
        <w:tc>
          <w:tcPr>
            <w:tcW w:w="3557" w:type="pct"/>
            <w:tcBorders>
              <w:left w:val="single" w:color="auto" w:sz="4" w:space="0"/>
            </w:tcBorders>
            <w:vAlign w:val="center"/>
          </w:tcPr>
          <w:p w14:paraId="57545B47">
            <w:pPr>
              <w:widowControl/>
              <w:spacing w:line="360" w:lineRule="exact"/>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color w:val="auto"/>
                <w:sz w:val="24"/>
                <w:szCs w:val="28"/>
                <w:highlight w:val="none"/>
              </w:rPr>
              <w:t>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u w:val="single"/>
                <w:lang w:val="en-US" w:eastAsia="zh-CN"/>
              </w:rPr>
              <w:t xml:space="preserve"> </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r>
              <w:rPr>
                <w:rFonts w:hint="eastAsia" w:asciiTheme="minorEastAsia" w:hAnsiTheme="minorEastAsia" w:eastAsiaTheme="minorEastAsia"/>
                <w:color w:val="auto"/>
                <w:sz w:val="24"/>
                <w:szCs w:val="28"/>
                <w:highlight w:val="none"/>
                <w:lang w:val="en-US" w:eastAsia="zh-CN"/>
              </w:rPr>
              <w:t xml:space="preserve"> </w:t>
            </w:r>
          </w:p>
        </w:tc>
      </w:tr>
      <w:tr w14:paraId="2F51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7FEA33B8">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szCs w:val="28"/>
                <w:highlight w:val="none"/>
              </w:rPr>
              <w:t>报</w:t>
            </w:r>
            <w:r>
              <w:rPr>
                <w:rFonts w:hint="eastAsia" w:asciiTheme="minorEastAsia" w:hAnsiTheme="minorEastAsia" w:eastAsiaTheme="minorEastAsia"/>
                <w:b/>
                <w:color w:val="auto"/>
                <w:sz w:val="24"/>
                <w:highlight w:val="none"/>
              </w:rPr>
              <w:t>价</w:t>
            </w:r>
          </w:p>
          <w:p w14:paraId="1EBAF5AF">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（详见备注说明）</w:t>
            </w:r>
          </w:p>
        </w:tc>
        <w:tc>
          <w:tcPr>
            <w:tcW w:w="3557" w:type="pct"/>
            <w:vAlign w:val="center"/>
          </w:tcPr>
          <w:p w14:paraId="60722DA7">
            <w:pPr>
              <w:snapToGrid w:val="0"/>
              <w:spacing w:line="360" w:lineRule="auto"/>
              <w:rPr>
                <w:rFonts w:hint="eastAsia"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eastAsia="zh-CN"/>
              </w:rPr>
              <w:t>（</w:t>
            </w:r>
            <w:r>
              <w:rPr>
                <w:rFonts w:hint="eastAsia" w:asciiTheme="minorEastAsia" w:hAnsiTheme="minorEastAsia" w:eastAsiaTheme="minorEastAsia"/>
                <w:color w:val="auto"/>
                <w:sz w:val="24"/>
                <w:szCs w:val="28"/>
                <w:highlight w:val="none"/>
                <w:lang w:val="en-US" w:eastAsia="zh-CN"/>
              </w:rPr>
              <w:t xml:space="preserve">大写） </w:t>
            </w:r>
          </w:p>
          <w:p w14:paraId="7882F44A">
            <w:pPr>
              <w:pStyle w:val="40"/>
              <w:ind w:left="0" w:leftChars="0" w:firstLine="0" w:firstLineChars="0"/>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szCs w:val="28"/>
                <w:highlight w:val="none"/>
                <w:lang w:val="en-US" w:eastAsia="zh-CN"/>
              </w:rPr>
              <w:t>（小写）</w:t>
            </w:r>
          </w:p>
        </w:tc>
      </w:tr>
      <w:tr w14:paraId="79A9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443" w:type="pct"/>
            <w:vAlign w:val="center"/>
          </w:tcPr>
          <w:p w14:paraId="1D414490">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备注说明</w:t>
            </w:r>
          </w:p>
        </w:tc>
        <w:tc>
          <w:tcPr>
            <w:tcW w:w="3557" w:type="pct"/>
          </w:tcPr>
          <w:p w14:paraId="763D61F7">
            <w:pPr>
              <w:spacing w:line="360" w:lineRule="auto"/>
              <w:rPr>
                <w:rFonts w:asciiTheme="minorEastAsia" w:hAnsiTheme="minorEastAsia" w:eastAsiaTheme="minorEastAsia"/>
                <w:b/>
                <w:color w:val="auto"/>
                <w:sz w:val="24"/>
                <w:highlight w:val="none"/>
              </w:rPr>
            </w:pPr>
          </w:p>
        </w:tc>
      </w:tr>
    </w:tbl>
    <w:p w14:paraId="379380FB">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lang w:eastAsia="zh-CN"/>
        </w:rPr>
        <w:t>供应商电子签章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0E9D36CD">
      <w:pPr>
        <w:spacing w:line="440" w:lineRule="exact"/>
        <w:ind w:firstLine="5280" w:firstLineChars="2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51C25483">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eastAsia="zh-CN"/>
        </w:rPr>
        <w:t>注：</w:t>
      </w:r>
    </w:p>
    <w:p w14:paraId="15301CB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表中报价即为优惠后报价，并作为评审依据。任何有选择或有条件的报价，或者表中某一包别填写多个报价，均为无效报价。</w:t>
      </w:r>
    </w:p>
    <w:p w14:paraId="37B06D8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1915454">
      <w:pPr>
        <w:spacing w:line="360" w:lineRule="auto"/>
        <w:jc w:val="center"/>
        <w:outlineLvl w:val="1"/>
        <w:rPr>
          <w:rFonts w:asciiTheme="minorEastAsia" w:hAnsiTheme="minorEastAsia" w:eastAsiaTheme="minorEastAsia"/>
          <w:b/>
          <w:color w:val="auto"/>
          <w:sz w:val="24"/>
          <w:highlight w:val="none"/>
        </w:rPr>
      </w:pPr>
      <w:bookmarkStart w:id="193" w:name="_Toc28308"/>
      <w:bookmarkStart w:id="194" w:name="_Toc29464"/>
      <w:r>
        <w:rPr>
          <w:rFonts w:hint="eastAsia" w:asciiTheme="minorEastAsia" w:hAnsiTheme="minorEastAsia" w:eastAsiaTheme="minorEastAsia"/>
          <w:b/>
          <w:color w:val="auto"/>
          <w:sz w:val="24"/>
          <w:highlight w:val="none"/>
        </w:rPr>
        <w:t>二、最终承诺报价表</w:t>
      </w:r>
      <w:bookmarkEnd w:id="193"/>
      <w:bookmarkEnd w:id="194"/>
    </w:p>
    <w:p w14:paraId="1B2D10BD">
      <w:pPr>
        <w:spacing w:before="156" w:beforeLines="50" w:after="156" w:afterLines="50" w:line="360" w:lineRule="auto"/>
        <w:ind w:firstLine="236" w:firstLineChars="98"/>
        <w:jc w:val="center"/>
        <w:rPr>
          <w:rFonts w:asciiTheme="minorEastAsia" w:hAnsiTheme="minorEastAsia" w:eastAsiaTheme="minorEastAsia"/>
          <w:b/>
          <w:color w:val="auto"/>
          <w:sz w:val="24"/>
          <w:szCs w:val="28"/>
          <w:highlight w:val="none"/>
        </w:rPr>
      </w:pPr>
      <w:r>
        <w:rPr>
          <w:rFonts w:hint="eastAsia" w:asciiTheme="minorEastAsia" w:hAnsiTheme="minorEastAsia" w:eastAsiaTheme="minorEastAsia"/>
          <w:b/>
          <w:color w:val="auto"/>
          <w:sz w:val="24"/>
          <w:szCs w:val="28"/>
          <w:highlight w:val="none"/>
        </w:rPr>
        <w:t>（某项目第</w:t>
      </w:r>
      <w:r>
        <w:rPr>
          <w:rFonts w:hint="eastAsia"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rPr>
        <w:t>次报价书）</w:t>
      </w:r>
    </w:p>
    <w:p w14:paraId="678B2D61">
      <w:pPr>
        <w:snapToGrid w:val="0"/>
        <w:spacing w:line="360" w:lineRule="auto"/>
        <w:jc w:val="left"/>
        <w:rPr>
          <w:rFonts w:asciiTheme="minorEastAsia" w:hAnsiTheme="minorEastAsia" w:eastAsiaTheme="minorEastAsia"/>
          <w:b/>
          <w:color w:val="auto"/>
          <w:sz w:val="24"/>
          <w:szCs w:val="28"/>
          <w:highlight w:val="none"/>
        </w:rPr>
      </w:pPr>
      <w:r>
        <w:rPr>
          <w:rFonts w:hint="eastAsia" w:asciiTheme="minorEastAsia" w:hAnsiTheme="minorEastAsia" w:eastAsiaTheme="minorEastAsia"/>
          <w:b/>
          <w:color w:val="auto"/>
          <w:sz w:val="24"/>
          <w:szCs w:val="28"/>
          <w:highlight w:val="none"/>
        </w:rPr>
        <w:t>项目名称：</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u w:val="single"/>
          <w:lang w:val="en-US" w:eastAsia="zh-CN"/>
        </w:rPr>
        <w:t xml:space="preserve">      </w:t>
      </w:r>
      <w:r>
        <w:rPr>
          <w:rFonts w:hint="eastAsia" w:asciiTheme="minorEastAsia" w:hAnsiTheme="minorEastAsia" w:eastAsiaTheme="minorEastAsia"/>
          <w:b/>
          <w:color w:val="auto"/>
          <w:sz w:val="24"/>
          <w:szCs w:val="28"/>
          <w:highlight w:val="none"/>
          <w:u w:val="single"/>
        </w:rPr>
        <w:t xml:space="preserve">   </w:t>
      </w:r>
    </w:p>
    <w:p w14:paraId="386EEAFE">
      <w:pPr>
        <w:snapToGrid w:val="0"/>
        <w:spacing w:after="156" w:afterLines="50" w:line="360" w:lineRule="auto"/>
        <w:jc w:val="left"/>
        <w:rPr>
          <w:rFonts w:asciiTheme="majorEastAsia" w:hAnsiTheme="majorEastAsia" w:eastAsiaTheme="majorEastAsia"/>
          <w:b/>
          <w:bCs/>
          <w:color w:val="auto"/>
          <w:sz w:val="24"/>
          <w:szCs w:val="28"/>
          <w:highlight w:val="none"/>
        </w:rPr>
      </w:pPr>
      <w:r>
        <w:rPr>
          <w:rFonts w:hint="eastAsia" w:asciiTheme="minorEastAsia" w:hAnsiTheme="minorEastAsia" w:eastAsiaTheme="minorEastAsia"/>
          <w:b/>
          <w:color w:val="auto"/>
          <w:sz w:val="24"/>
          <w:szCs w:val="28"/>
          <w:highlight w:val="none"/>
        </w:rPr>
        <w:t>项目编号：</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u w:val="single"/>
          <w:lang w:val="en-US" w:eastAsia="zh-CN"/>
        </w:rPr>
        <w:t xml:space="preserve">      </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3D23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D5675C5">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供应商名称</w:t>
            </w:r>
          </w:p>
        </w:tc>
        <w:tc>
          <w:tcPr>
            <w:tcW w:w="3557" w:type="pct"/>
            <w:tcBorders>
              <w:left w:val="single" w:color="auto" w:sz="4" w:space="0"/>
            </w:tcBorders>
          </w:tcPr>
          <w:p w14:paraId="331D29CF">
            <w:pPr>
              <w:spacing w:line="360" w:lineRule="auto"/>
              <w:rPr>
                <w:rFonts w:asciiTheme="minorEastAsia" w:hAnsiTheme="minorEastAsia" w:eastAsiaTheme="minorEastAsia"/>
                <w:b/>
                <w:color w:val="auto"/>
                <w:sz w:val="24"/>
                <w:highlight w:val="none"/>
              </w:rPr>
            </w:pPr>
          </w:p>
        </w:tc>
      </w:tr>
      <w:tr w14:paraId="50AB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D81490F">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szCs w:val="28"/>
                <w:highlight w:val="none"/>
              </w:rPr>
              <w:t>响应</w:t>
            </w:r>
            <w:r>
              <w:rPr>
                <w:rFonts w:hint="eastAsia" w:asciiTheme="minorEastAsia" w:hAnsiTheme="minorEastAsia" w:eastAsiaTheme="minorEastAsia"/>
                <w:b/>
                <w:color w:val="auto"/>
                <w:sz w:val="24"/>
                <w:highlight w:val="none"/>
              </w:rPr>
              <w:t>范围</w:t>
            </w:r>
          </w:p>
        </w:tc>
        <w:tc>
          <w:tcPr>
            <w:tcW w:w="3557" w:type="pct"/>
            <w:tcBorders>
              <w:left w:val="single" w:color="auto" w:sz="4" w:space="0"/>
            </w:tcBorders>
            <w:vAlign w:val="center"/>
          </w:tcPr>
          <w:p w14:paraId="0FA34545">
            <w:pPr>
              <w:widowControl/>
              <w:spacing w:line="360" w:lineRule="exac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szCs w:val="28"/>
                <w:highlight w:val="none"/>
              </w:rPr>
              <w:t>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0BBF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655CB554">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szCs w:val="28"/>
                <w:highlight w:val="none"/>
              </w:rPr>
              <w:t>最终报</w:t>
            </w:r>
            <w:r>
              <w:rPr>
                <w:rFonts w:hint="eastAsia" w:asciiTheme="minorEastAsia" w:hAnsiTheme="minorEastAsia" w:eastAsiaTheme="minorEastAsia"/>
                <w:b/>
                <w:color w:val="auto"/>
                <w:sz w:val="24"/>
                <w:highlight w:val="none"/>
              </w:rPr>
              <w:t>价</w:t>
            </w:r>
          </w:p>
          <w:p w14:paraId="122F4535">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（详见备注说明）</w:t>
            </w:r>
          </w:p>
        </w:tc>
        <w:tc>
          <w:tcPr>
            <w:tcW w:w="3557" w:type="pct"/>
            <w:vAlign w:val="center"/>
          </w:tcPr>
          <w:p w14:paraId="354D34A7">
            <w:pPr>
              <w:snapToGrid w:val="0"/>
              <w:spacing w:line="360" w:lineRule="auto"/>
              <w:rPr>
                <w:rFonts w:asciiTheme="minorEastAsia" w:hAnsiTheme="minorEastAsia" w:eastAsiaTheme="minorEastAsia"/>
                <w:color w:val="auto"/>
                <w:sz w:val="24"/>
                <w:szCs w:val="28"/>
                <w:highlight w:val="none"/>
              </w:rPr>
            </w:pPr>
          </w:p>
          <w:p w14:paraId="0A1C9C37">
            <w:pPr>
              <w:snapToGrid w:val="0"/>
              <w:spacing w:line="360" w:lineRule="auto"/>
              <w:rPr>
                <w:rFonts w:hint="eastAsia"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eastAsia="zh-CN"/>
              </w:rPr>
              <w:t>（</w:t>
            </w:r>
            <w:r>
              <w:rPr>
                <w:rFonts w:hint="eastAsia" w:asciiTheme="minorEastAsia" w:hAnsiTheme="minorEastAsia" w:eastAsiaTheme="minorEastAsia"/>
                <w:color w:val="auto"/>
                <w:sz w:val="24"/>
                <w:szCs w:val="28"/>
                <w:highlight w:val="none"/>
                <w:lang w:val="en-US" w:eastAsia="zh-CN"/>
              </w:rPr>
              <w:t xml:space="preserve">大写） </w:t>
            </w:r>
          </w:p>
          <w:p w14:paraId="6C207E95">
            <w:pPr>
              <w:snapToGrid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szCs w:val="28"/>
                <w:highlight w:val="none"/>
                <w:lang w:val="en-US" w:eastAsia="zh-CN"/>
              </w:rPr>
              <w:t>（小写）</w:t>
            </w:r>
          </w:p>
        </w:tc>
      </w:tr>
      <w:tr w14:paraId="60AE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443" w:type="pct"/>
            <w:vAlign w:val="center"/>
          </w:tcPr>
          <w:p w14:paraId="6A955DB2">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备注说明</w:t>
            </w:r>
          </w:p>
        </w:tc>
        <w:tc>
          <w:tcPr>
            <w:tcW w:w="3557" w:type="pct"/>
          </w:tcPr>
          <w:p w14:paraId="2A0D2FA1">
            <w:pPr>
              <w:spacing w:line="360" w:lineRule="auto"/>
              <w:rPr>
                <w:rFonts w:asciiTheme="minorEastAsia" w:hAnsiTheme="minorEastAsia" w:eastAsiaTheme="minorEastAsia"/>
                <w:b/>
                <w:color w:val="auto"/>
                <w:sz w:val="24"/>
                <w:highlight w:val="none"/>
              </w:rPr>
            </w:pPr>
          </w:p>
        </w:tc>
      </w:tr>
      <w:tr w14:paraId="2A76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15463A0C">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szCs w:val="28"/>
                <w:highlight w:val="none"/>
              </w:rPr>
              <w:t>采购小组</w:t>
            </w:r>
            <w:r>
              <w:rPr>
                <w:rFonts w:asciiTheme="minorEastAsia" w:hAnsiTheme="minorEastAsia" w:eastAsiaTheme="minorEastAsia"/>
                <w:b/>
                <w:bCs/>
                <w:color w:val="auto"/>
                <w:sz w:val="24"/>
                <w:szCs w:val="28"/>
                <w:highlight w:val="none"/>
              </w:rPr>
              <w:t>签字</w:t>
            </w:r>
          </w:p>
        </w:tc>
        <w:tc>
          <w:tcPr>
            <w:tcW w:w="3557" w:type="pct"/>
          </w:tcPr>
          <w:p w14:paraId="0689AFD5">
            <w:pPr>
              <w:spacing w:line="360" w:lineRule="auto"/>
              <w:rPr>
                <w:rFonts w:asciiTheme="minorEastAsia" w:hAnsiTheme="minorEastAsia" w:eastAsiaTheme="minorEastAsia"/>
                <w:b/>
                <w:color w:val="auto"/>
                <w:sz w:val="24"/>
                <w:highlight w:val="none"/>
              </w:rPr>
            </w:pPr>
          </w:p>
        </w:tc>
      </w:tr>
    </w:tbl>
    <w:p w14:paraId="00EA2CCB">
      <w:pPr>
        <w:spacing w:line="360" w:lineRule="auto"/>
        <w:ind w:firstLine="3600" w:firstLineChars="1500"/>
        <w:jc w:val="left"/>
        <w:rPr>
          <w:rFonts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p>
    <w:p w14:paraId="61D7A78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BD47F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本页《报价表》由供应商在协商现场依协商情况填写，请加盖公章后带至协商现场备填（不需装订在响应文件内）。考虑报价的方便，供应商在填写最终承诺报价后，（第一次报价-最终承诺报价）除以第一次报价后得出的优惠率视同为需求表中全部分项设备、工程量或服务的优惠浮动值（特定分项优惠除外），而不考虑措施项目清单和规费税金清单的金额改变。此优惠率调整原则适用于合同内价格的计算及项目增减、变更时价格的计算。</w:t>
      </w:r>
    </w:p>
    <w:p w14:paraId="23FAB579">
      <w:pPr>
        <w:widowControl/>
        <w:jc w:val="left"/>
        <w:rPr>
          <w:rFonts w:asciiTheme="minorEastAsia" w:hAnsiTheme="minorEastAsia" w:eastAsiaTheme="minorEastAsia"/>
          <w:color w:val="auto"/>
          <w:sz w:val="24"/>
          <w:highlight w:val="none"/>
        </w:rPr>
      </w:pPr>
      <w:r>
        <w:rPr>
          <w:rFonts w:asciiTheme="minorEastAsia" w:hAnsiTheme="minorEastAsia" w:eastAsiaTheme="minorEastAsia"/>
          <w:bCs/>
          <w:color w:val="auto"/>
          <w:sz w:val="24"/>
          <w:highlight w:val="none"/>
        </w:rPr>
        <w:br w:type="page"/>
      </w:r>
    </w:p>
    <w:p w14:paraId="617935EC">
      <w:pPr>
        <w:spacing w:line="360" w:lineRule="auto"/>
        <w:jc w:val="center"/>
        <w:outlineLvl w:val="1"/>
        <w:rPr>
          <w:rFonts w:asciiTheme="minorEastAsia" w:hAnsiTheme="minorEastAsia" w:eastAsiaTheme="minorEastAsia"/>
          <w:b/>
          <w:color w:val="auto"/>
          <w:sz w:val="24"/>
          <w:highlight w:val="none"/>
        </w:rPr>
      </w:pPr>
      <w:bookmarkStart w:id="195" w:name="_Toc23522"/>
      <w:bookmarkStart w:id="196" w:name="_Toc8480"/>
      <w:r>
        <w:rPr>
          <w:rFonts w:hint="eastAsia" w:asciiTheme="minorEastAsia" w:hAnsiTheme="minorEastAsia" w:eastAsiaTheme="minorEastAsia"/>
          <w:b/>
          <w:color w:val="auto"/>
          <w:sz w:val="24"/>
          <w:highlight w:val="none"/>
        </w:rPr>
        <w:t>三、响应函</w:t>
      </w:r>
      <w:bookmarkEnd w:id="195"/>
      <w:bookmarkEnd w:id="196"/>
    </w:p>
    <w:p w14:paraId="2FDB00F2">
      <w:pPr>
        <w:spacing w:line="360" w:lineRule="auto"/>
        <w:rPr>
          <w:rFonts w:hint="eastAsia" w:cs="Arial" w:asciiTheme="minorEastAsia" w:hAnsiTheme="minorEastAsia" w:eastAsiaTheme="minorEastAsia"/>
          <w:b/>
          <w:color w:val="auto"/>
          <w:sz w:val="24"/>
          <w:highlight w:val="none"/>
          <w:lang w:eastAsia="zh-CN"/>
        </w:rPr>
      </w:pPr>
      <w:r>
        <w:rPr>
          <w:rFonts w:hint="eastAsia" w:cs="Arial" w:asciiTheme="minorEastAsia" w:hAnsiTheme="minorEastAsia" w:eastAsiaTheme="minorEastAsia"/>
          <w:b/>
          <w:color w:val="auto"/>
          <w:sz w:val="24"/>
          <w:highlight w:val="none"/>
        </w:rPr>
        <w:t>致：</w:t>
      </w:r>
      <w:r>
        <w:rPr>
          <w:rFonts w:hint="eastAsia" w:cs="Arial" w:asciiTheme="minorEastAsia" w:hAnsiTheme="minorEastAsia" w:eastAsiaTheme="minorEastAsia"/>
          <w:b/>
          <w:color w:val="auto"/>
          <w:sz w:val="24"/>
          <w:highlight w:val="none"/>
          <w:u w:val="none"/>
          <w:lang w:eastAsia="zh-CN"/>
        </w:rPr>
        <w:t>采购人</w:t>
      </w:r>
    </w:p>
    <w:p w14:paraId="0A91B5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根据贵方的采购文件，我方兹宣布同意如下：</w:t>
      </w:r>
    </w:p>
    <w:p w14:paraId="3AAEEA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.我方根据采购文件的规定，严格履行合同的责任和义务,并保证于买方要求的日期内完成，并通过买方验收。</w:t>
      </w:r>
    </w:p>
    <w:p w14:paraId="4AC305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.我方已详细审核全部采购文件，包括采购文件</w:t>
      </w:r>
      <w:r>
        <w:rPr>
          <w:rFonts w:hint="eastAsia" w:asciiTheme="minorEastAsia" w:hAnsiTheme="minorEastAsia" w:eastAsiaTheme="minorEastAsia"/>
          <w:color w:val="auto"/>
          <w:sz w:val="24"/>
          <w:highlight w:val="none"/>
          <w:lang w:val="en-US" w:eastAsia="zh-CN"/>
        </w:rPr>
        <w:t>附件及更正公告</w:t>
      </w:r>
      <w:r>
        <w:rPr>
          <w:rFonts w:hint="eastAsia" w:asciiTheme="minorEastAsia" w:hAnsiTheme="minorEastAsia" w:eastAsiaTheme="minorEastAsia"/>
          <w:color w:val="auto"/>
          <w:sz w:val="24"/>
          <w:highlight w:val="none"/>
        </w:rPr>
        <w:t>（如有），我方正式认可并遵守本次采购文件，并对采购文件各项条款、规定及要求均无异议。</w:t>
      </w:r>
    </w:p>
    <w:p w14:paraId="2B3F51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.我方同意从采购文件规定的响应文件提交截止日期起遵循本采购文件，并在采购文件规定的响应文件有效期之前均具有约束力。</w:t>
      </w:r>
    </w:p>
    <w:p w14:paraId="0A497C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124518B8">
      <w:pPr>
        <w:spacing w:line="360" w:lineRule="auto"/>
        <w:ind w:firstLine="435"/>
        <w:rPr>
          <w:rFonts w:asciiTheme="minorEastAsia" w:hAnsiTheme="minorEastAsia" w:eastAsiaTheme="minorEastAsia"/>
          <w:color w:val="auto"/>
          <w:sz w:val="24"/>
          <w:highlight w:val="none"/>
        </w:rPr>
      </w:pPr>
    </w:p>
    <w:p w14:paraId="53805F5E">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lang w:eastAsia="zh-CN"/>
        </w:rPr>
        <w:t>供应商电子签章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60F0273A">
      <w:pPr>
        <w:spacing w:line="440" w:lineRule="exact"/>
        <w:ind w:firstLine="5280" w:firstLineChars="2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0E76E83F">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D1DAABA">
      <w:pPr>
        <w:spacing w:line="360" w:lineRule="auto"/>
        <w:jc w:val="center"/>
        <w:outlineLvl w:val="1"/>
        <w:rPr>
          <w:rFonts w:hint="eastAsia" w:asciiTheme="minorEastAsia" w:hAnsiTheme="minorEastAsia" w:eastAsiaTheme="minorEastAsia"/>
          <w:b/>
          <w:color w:val="auto"/>
          <w:sz w:val="24"/>
          <w:highlight w:val="none"/>
        </w:rPr>
      </w:pPr>
      <w:bookmarkStart w:id="197" w:name="_Toc23671"/>
      <w:bookmarkStart w:id="198" w:name="_Toc3741"/>
      <w:bookmarkStart w:id="199" w:name="_Toc11669"/>
      <w:r>
        <w:rPr>
          <w:rFonts w:hint="eastAsia" w:asciiTheme="majorEastAsia" w:hAnsiTheme="majorEastAsia" w:eastAsiaTheme="majorEastAsia"/>
          <w:b/>
          <w:color w:val="auto"/>
          <w:sz w:val="24"/>
          <w:highlight w:val="none"/>
        </w:rPr>
        <w:t>四、</w:t>
      </w:r>
      <w:bookmarkEnd w:id="197"/>
      <w:r>
        <w:rPr>
          <w:rFonts w:hint="eastAsia" w:asciiTheme="minorEastAsia" w:hAnsiTheme="minorEastAsia" w:eastAsiaTheme="minorEastAsia"/>
          <w:b/>
          <w:color w:val="auto"/>
          <w:sz w:val="24"/>
          <w:highlight w:val="none"/>
          <w:lang w:val="en-US" w:eastAsia="zh-CN"/>
        </w:rPr>
        <w:t>供应商资格声明书</w:t>
      </w:r>
      <w:bookmarkEnd w:id="198"/>
      <w:bookmarkEnd w:id="199"/>
      <w:r>
        <w:rPr>
          <w:rFonts w:hint="eastAsia" w:asciiTheme="minorEastAsia" w:hAnsiTheme="minorEastAsia" w:eastAsiaTheme="minorEastAsia"/>
          <w:b/>
          <w:color w:val="auto"/>
          <w:sz w:val="24"/>
          <w:highlight w:val="none"/>
          <w:lang w:val="en-US" w:eastAsia="zh-CN"/>
        </w:rPr>
        <w:t xml:space="preserve"> </w:t>
      </w:r>
    </w:p>
    <w:p w14:paraId="01D9E59F">
      <w:pPr>
        <w:pStyle w:val="14"/>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none"/>
          <w:lang w:eastAsia="zh-CN"/>
        </w:rPr>
        <w:t>采购人</w:t>
      </w:r>
    </w:p>
    <w:p w14:paraId="5E5A287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在参与本次项目单一来源采购中，我单位承诺：</w:t>
      </w:r>
    </w:p>
    <w:p w14:paraId="6479261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06DF33B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FE4A9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25F4FB1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25A938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（五）与我单位存在单位负责人为同一人或者存在直接控股、管理关系的其他法人单位信息如下（如有，不论其是否参加同一合同项下的政府采购活动均须填写）：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5"/>
        <w:gridCol w:w="3047"/>
        <w:gridCol w:w="3360"/>
      </w:tblGrid>
      <w:tr w14:paraId="6FC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Align w:val="center"/>
          </w:tcPr>
          <w:p w14:paraId="710AED1F">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3047" w:type="dxa"/>
            <w:vAlign w:val="center"/>
          </w:tcPr>
          <w:p w14:paraId="262954C3">
            <w:pPr>
              <w:pStyle w:val="8"/>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3360" w:type="dxa"/>
            <w:vAlign w:val="center"/>
          </w:tcPr>
          <w:p w14:paraId="237F023E">
            <w:pPr>
              <w:pStyle w:val="8"/>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139A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Align w:val="center"/>
          </w:tcPr>
          <w:p w14:paraId="3AFA6BA9">
            <w:pPr>
              <w:pStyle w:val="8"/>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3047" w:type="dxa"/>
            <w:vAlign w:val="center"/>
          </w:tcPr>
          <w:p w14:paraId="4668A181">
            <w:pPr>
              <w:pStyle w:val="8"/>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3360" w:type="dxa"/>
            <w:vAlign w:val="center"/>
          </w:tcPr>
          <w:p w14:paraId="660AF2D8">
            <w:pPr>
              <w:pStyle w:val="8"/>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7976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Align w:val="center"/>
          </w:tcPr>
          <w:p w14:paraId="10448359">
            <w:pPr>
              <w:pStyle w:val="8"/>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3047" w:type="dxa"/>
            <w:vAlign w:val="center"/>
          </w:tcPr>
          <w:p w14:paraId="29290559">
            <w:pPr>
              <w:pStyle w:val="8"/>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3360" w:type="dxa"/>
            <w:vAlign w:val="center"/>
          </w:tcPr>
          <w:p w14:paraId="745AA66C">
            <w:pPr>
              <w:pStyle w:val="8"/>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72468C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236E1743">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19C70E9">
      <w:pPr>
        <w:spacing w:line="360" w:lineRule="auto"/>
        <w:ind w:firstLine="4800" w:firstLineChars="2000"/>
        <w:rPr>
          <w:rFonts w:asciiTheme="minorEastAsia" w:hAnsiTheme="minorEastAsia" w:eastAsiaTheme="minorEastAsia"/>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r>
        <w:rPr>
          <w:rFonts w:asciiTheme="minorEastAsia" w:hAnsiTheme="minorEastAsia" w:eastAsiaTheme="minorEastAsia"/>
          <w:color w:val="auto"/>
          <w:sz w:val="24"/>
          <w:highlight w:val="none"/>
          <w:u w:val="single"/>
        </w:rPr>
        <w:br w:type="page"/>
      </w:r>
    </w:p>
    <w:p w14:paraId="473AD8AF">
      <w:pPr>
        <w:spacing w:line="360" w:lineRule="auto"/>
        <w:jc w:val="center"/>
        <w:outlineLvl w:val="1"/>
        <w:rPr>
          <w:rFonts w:asciiTheme="minorEastAsia" w:hAnsiTheme="minorEastAsia" w:eastAsiaTheme="minorEastAsia"/>
          <w:b/>
          <w:color w:val="auto"/>
          <w:sz w:val="24"/>
          <w:highlight w:val="none"/>
        </w:rPr>
      </w:pPr>
      <w:bookmarkStart w:id="200" w:name="_Toc14261"/>
      <w:bookmarkStart w:id="201" w:name="_Toc31415"/>
      <w:r>
        <w:rPr>
          <w:rFonts w:hint="eastAsia" w:asciiTheme="minorEastAsia" w:hAnsiTheme="minorEastAsia" w:eastAsiaTheme="minorEastAsia"/>
          <w:b/>
          <w:color w:val="auto"/>
          <w:sz w:val="24"/>
          <w:highlight w:val="none"/>
        </w:rPr>
        <w:t>五、授权书</w:t>
      </w:r>
      <w:bookmarkEnd w:id="200"/>
      <w:bookmarkEnd w:id="201"/>
    </w:p>
    <w:p w14:paraId="56880027">
      <w:pPr>
        <w:pStyle w:val="13"/>
        <w:snapToGrid w:val="0"/>
        <w:spacing w:line="360" w:lineRule="auto"/>
        <w:ind w:firstLine="480" w:firstLineChars="200"/>
        <w:jc w:val="left"/>
        <w:rPr>
          <w:rFonts w:asciiTheme="minorEastAsia" w:hAnsiTheme="minorEastAsia"/>
          <w:color w:val="auto"/>
          <w:sz w:val="24"/>
          <w:szCs w:val="28"/>
          <w:highlight w:val="none"/>
        </w:rPr>
      </w:pPr>
    </w:p>
    <w:p w14:paraId="4DD5CDE6">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asciiTheme="minorEastAsia" w:hAnsiTheme="minorEastAsia" w:eastAsiaTheme="minorEastAsia"/>
          <w:color w:val="auto"/>
          <w:sz w:val="24"/>
          <w:szCs w:val="28"/>
          <w:highlight w:val="none"/>
        </w:rPr>
        <w:t>书声明：</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（供应商名称）授权</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（供应商授权代表姓名）代表我方参加本项目</w:t>
      </w:r>
      <w:r>
        <w:rPr>
          <w:rFonts w:hint="eastAsia" w:asciiTheme="minorEastAsia" w:hAnsiTheme="minorEastAsia" w:eastAsiaTheme="minorEastAsia"/>
          <w:bCs/>
          <w:color w:val="auto"/>
          <w:sz w:val="24"/>
          <w:szCs w:val="28"/>
          <w:highlight w:val="none"/>
        </w:rPr>
        <w:t>采购活动</w:t>
      </w:r>
      <w:r>
        <w:rPr>
          <w:rFonts w:hint="eastAsia" w:asciiTheme="minorEastAsia" w:hAnsiTheme="minorEastAsia" w:eastAsiaTheme="minorEastAsia"/>
          <w:color w:val="auto"/>
          <w:sz w:val="24"/>
          <w:szCs w:val="28"/>
          <w:highlight w:val="none"/>
        </w:rPr>
        <w:t>，全权代表我方处理单一来源采购过程的一切事宜，包括但不限于：提交响应文件、协商、签约等。供应商授权代表在协商过程中所签署的一切文件和处理与之有关的一切事务，我方均予以认可并对此承担责任。供应商授权代表无转委托权。特此授权。</w:t>
      </w:r>
    </w:p>
    <w:p w14:paraId="2997A363">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本授权书自出具之日起生效。</w:t>
      </w:r>
    </w:p>
    <w:p w14:paraId="22B3868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授权</w:t>
      </w:r>
      <w:r>
        <w:rPr>
          <w:rFonts w:hint="eastAsia" w:asciiTheme="minorEastAsia" w:hAnsiTheme="minorEastAsia" w:eastAsiaTheme="minorEastAsia"/>
          <w:color w:val="auto"/>
          <w:sz w:val="24"/>
          <w:highlight w:val="none"/>
        </w:rPr>
        <w:t>代表身份证明</w:t>
      </w:r>
      <w:r>
        <w:rPr>
          <w:rFonts w:hint="eastAsia" w:asciiTheme="minorEastAsia" w:hAnsiTheme="minorEastAsia" w:eastAsiaTheme="minorEastAsia"/>
          <w:color w:val="auto"/>
          <w:sz w:val="24"/>
          <w:highlight w:val="none"/>
          <w:lang w:eastAsia="zh-CN"/>
        </w:rPr>
        <w:t>扫描件</w:t>
      </w:r>
      <w:r>
        <w:rPr>
          <w:rFonts w:hint="eastAsia" w:asciiTheme="minorEastAsia" w:hAnsiTheme="minorEastAsia" w:eastAsiaTheme="minorEastAsia"/>
          <w:color w:val="auto"/>
          <w:sz w:val="24"/>
          <w:highlight w:val="none"/>
        </w:rPr>
        <w:t>：</w:t>
      </w:r>
    </w:p>
    <w:p w14:paraId="2B7AA130">
      <w:pPr>
        <w:pStyle w:val="8"/>
        <w:rPr>
          <w:rFonts w:hint="eastAsia" w:asciiTheme="minorEastAsia" w:hAnsiTheme="minorEastAsia" w:eastAsiaTheme="minorEastAsia"/>
          <w:color w:val="auto"/>
          <w:sz w:val="24"/>
          <w:highlight w:val="none"/>
        </w:rPr>
      </w:pPr>
    </w:p>
    <w:p w14:paraId="61D8976A">
      <w:pPr>
        <w:pStyle w:val="8"/>
        <w:rPr>
          <w:rFonts w:hint="eastAsia" w:asciiTheme="minorEastAsia" w:hAnsiTheme="minorEastAsia" w:eastAsiaTheme="minorEastAsia"/>
          <w:color w:val="auto"/>
          <w:sz w:val="24"/>
          <w:highlight w:val="none"/>
        </w:rPr>
      </w:pPr>
    </w:p>
    <w:p w14:paraId="16952D6F">
      <w:pPr>
        <w:pStyle w:val="8"/>
        <w:rPr>
          <w:rFonts w:hint="eastAsia" w:asciiTheme="minorEastAsia" w:hAnsiTheme="minorEastAsia" w:eastAsiaTheme="minorEastAsia"/>
          <w:color w:val="auto"/>
          <w:sz w:val="24"/>
          <w:highlight w:val="none"/>
        </w:rPr>
      </w:pPr>
    </w:p>
    <w:p w14:paraId="70F0D09E">
      <w:pPr>
        <w:spacing w:line="360" w:lineRule="auto"/>
        <w:ind w:firstLine="435"/>
        <w:rPr>
          <w:rFonts w:asciiTheme="minorEastAsia" w:hAnsiTheme="minorEastAsia" w:eastAsiaTheme="minorEastAsia"/>
          <w:color w:val="auto"/>
          <w:sz w:val="24"/>
          <w:szCs w:val="28"/>
          <w:highlight w:val="none"/>
          <w:u w:val="single"/>
          <w:lang w:val="zh-CN"/>
        </w:rPr>
      </w:pPr>
      <w:r>
        <w:rPr>
          <w:rFonts w:hint="eastAsia" w:asciiTheme="minorEastAsia" w:hAnsiTheme="minorEastAsia" w:eastAsiaTheme="minorEastAsia"/>
          <w:color w:val="auto"/>
          <w:sz w:val="24"/>
          <w:szCs w:val="28"/>
          <w:highlight w:val="none"/>
        </w:rPr>
        <w:t>授权代表联系方式：</w:t>
      </w:r>
      <w:r>
        <w:rPr>
          <w:rFonts w:hint="eastAsia" w:asciiTheme="minorEastAsia" w:hAnsiTheme="minorEastAsia" w:eastAsiaTheme="minorEastAsia"/>
          <w:color w:val="auto"/>
          <w:sz w:val="24"/>
          <w:szCs w:val="28"/>
          <w:highlight w:val="none"/>
          <w:u w:val="single"/>
        </w:rPr>
        <w:t xml:space="preserve">          （请填写手机号码）</w:t>
      </w:r>
    </w:p>
    <w:p w14:paraId="597A1D18">
      <w:pPr>
        <w:spacing w:line="360" w:lineRule="auto"/>
        <w:ind w:firstLine="435"/>
        <w:rPr>
          <w:rFonts w:asciiTheme="minorEastAsia" w:hAnsiTheme="minorEastAsia" w:eastAsiaTheme="minorEastAsia"/>
          <w:color w:val="auto"/>
          <w:sz w:val="24"/>
          <w:szCs w:val="28"/>
          <w:highlight w:val="none"/>
          <w:lang w:val="zh-CN"/>
        </w:rPr>
      </w:pPr>
    </w:p>
    <w:p w14:paraId="5E53EF93">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Theme="minorEastAsia" w:hAnsiTheme="minorEastAsia" w:eastAsiaTheme="minorEastAsia"/>
          <w:color w:val="auto"/>
          <w:sz w:val="24"/>
          <w:szCs w:val="28"/>
          <w:highlight w:val="none"/>
        </w:rPr>
        <w:t>声明。</w:t>
      </w:r>
    </w:p>
    <w:p w14:paraId="31B11E72">
      <w:pPr>
        <w:spacing w:line="360" w:lineRule="auto"/>
        <w:rPr>
          <w:rFonts w:asciiTheme="minorEastAsia" w:hAnsiTheme="minorEastAsia" w:eastAsiaTheme="minorEastAsia"/>
          <w:color w:val="auto"/>
          <w:sz w:val="24"/>
          <w:szCs w:val="28"/>
          <w:highlight w:val="none"/>
        </w:rPr>
      </w:pPr>
    </w:p>
    <w:p w14:paraId="2145A1F8">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lang w:eastAsia="zh-CN"/>
        </w:rPr>
        <w:t>供应商电子签章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657110F7">
      <w:pPr>
        <w:spacing w:line="440" w:lineRule="exact"/>
        <w:ind w:firstLine="5280" w:firstLineChars="2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12C3EF07">
      <w:pPr>
        <w:spacing w:line="360" w:lineRule="auto"/>
        <w:ind w:firstLine="435"/>
        <w:rPr>
          <w:rFonts w:asciiTheme="minorEastAsia" w:hAnsiTheme="minorEastAsia" w:eastAsiaTheme="minorEastAsia"/>
          <w:color w:val="auto"/>
          <w:sz w:val="24"/>
          <w:highlight w:val="none"/>
        </w:rPr>
      </w:pPr>
    </w:p>
    <w:p w14:paraId="64AF7D6B">
      <w:pPr>
        <w:spacing w:line="360" w:lineRule="auto"/>
        <w:ind w:firstLine="435"/>
        <w:rPr>
          <w:rFonts w:asciiTheme="minorEastAsia" w:hAnsiTheme="minorEastAsia" w:eastAsiaTheme="minorEastAsia"/>
          <w:color w:val="auto"/>
          <w:sz w:val="24"/>
          <w:highlight w:val="none"/>
        </w:rPr>
      </w:pPr>
    </w:p>
    <w:p w14:paraId="3E3D36A5">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04DA2F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1.本项目只允许有唯一的供应商授权代表，提供身份证明</w:t>
      </w:r>
      <w:r>
        <w:rPr>
          <w:rFonts w:hint="eastAsia" w:asciiTheme="minorEastAsia" w:hAnsiTheme="minorEastAsia" w:eastAsiaTheme="minorEastAsia"/>
          <w:color w:val="auto"/>
          <w:sz w:val="24"/>
          <w:highlight w:val="none"/>
          <w:lang w:eastAsia="zh-CN"/>
        </w:rPr>
        <w:t>扫描件</w:t>
      </w:r>
      <w:r>
        <w:rPr>
          <w:rFonts w:hint="eastAsia" w:asciiTheme="minorEastAsia" w:hAnsiTheme="minorEastAsia" w:eastAsiaTheme="minorEastAsia"/>
          <w:color w:val="auto"/>
          <w:sz w:val="24"/>
          <w:highlight w:val="none"/>
        </w:rPr>
        <w:t>；</w:t>
      </w:r>
    </w:p>
    <w:p w14:paraId="2262F5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2.法定代表人参加协商的无需提供授权书，提供身份证明</w:t>
      </w:r>
      <w:r>
        <w:rPr>
          <w:rFonts w:hint="eastAsia" w:asciiTheme="minorEastAsia" w:hAnsiTheme="minorEastAsia" w:eastAsiaTheme="minorEastAsia"/>
          <w:color w:val="auto"/>
          <w:sz w:val="24"/>
          <w:highlight w:val="none"/>
          <w:lang w:eastAsia="zh-CN"/>
        </w:rPr>
        <w:t>扫描件</w:t>
      </w:r>
      <w:r>
        <w:rPr>
          <w:rFonts w:hint="eastAsia" w:asciiTheme="minorEastAsia" w:hAnsiTheme="minorEastAsia" w:eastAsiaTheme="minorEastAsia"/>
          <w:color w:val="auto"/>
          <w:sz w:val="24"/>
          <w:highlight w:val="none"/>
        </w:rPr>
        <w:t>。</w:t>
      </w:r>
    </w:p>
    <w:p w14:paraId="59D37D80">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4A6092D">
      <w:pPr>
        <w:spacing w:line="360" w:lineRule="auto"/>
        <w:jc w:val="center"/>
        <w:outlineLvl w:val="1"/>
        <w:rPr>
          <w:rFonts w:asciiTheme="minorEastAsia" w:hAnsiTheme="minorEastAsia" w:eastAsiaTheme="minorEastAsia"/>
          <w:b/>
          <w:color w:val="auto"/>
          <w:sz w:val="24"/>
          <w:highlight w:val="none"/>
        </w:rPr>
      </w:pPr>
      <w:bookmarkStart w:id="202" w:name="_Toc3307"/>
      <w:bookmarkStart w:id="203" w:name="_Toc29017"/>
      <w:r>
        <w:rPr>
          <w:rFonts w:hint="eastAsia" w:asciiTheme="minorEastAsia" w:hAnsiTheme="minorEastAsia" w:eastAsiaTheme="minorEastAsia"/>
          <w:b/>
          <w:color w:val="auto"/>
          <w:sz w:val="24"/>
          <w:highlight w:val="none"/>
        </w:rPr>
        <w:t>六、响应表</w:t>
      </w:r>
      <w:bookmarkEnd w:id="202"/>
      <w:bookmarkEnd w:id="203"/>
    </w:p>
    <w:p w14:paraId="54CE1246">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6.1</w:t>
      </w:r>
      <w:r>
        <w:rPr>
          <w:rFonts w:hint="eastAsia" w:asciiTheme="minorEastAsia" w:hAnsiTheme="minorEastAsia" w:eastAsiaTheme="minorEastAsia"/>
          <w:b/>
          <w:color w:val="auto"/>
          <w:sz w:val="24"/>
          <w:highlight w:val="none"/>
        </w:rPr>
        <w:t>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14:paraId="0D967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29A489DB">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663D48A1">
            <w:pPr>
              <w:pStyle w:val="13"/>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36197934">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采购文件要求</w:t>
            </w:r>
          </w:p>
        </w:tc>
        <w:tc>
          <w:tcPr>
            <w:tcW w:w="1511" w:type="pct"/>
            <w:vAlign w:val="center"/>
          </w:tcPr>
          <w:p w14:paraId="49431F76">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6DCF082F">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7AF0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7EED58BB">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1A5A64CC">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6CD6C0F0">
            <w:pPr>
              <w:jc w:val="center"/>
              <w:rPr>
                <w:rFonts w:asciiTheme="minorEastAsia" w:hAnsiTheme="minorEastAsia" w:eastAsiaTheme="minorEastAsia"/>
                <w:color w:val="auto"/>
                <w:sz w:val="24"/>
                <w:highlight w:val="none"/>
              </w:rPr>
            </w:pPr>
          </w:p>
        </w:tc>
        <w:tc>
          <w:tcPr>
            <w:tcW w:w="1511" w:type="pct"/>
            <w:vAlign w:val="center"/>
          </w:tcPr>
          <w:p w14:paraId="77F0B094">
            <w:pPr>
              <w:jc w:val="center"/>
              <w:rPr>
                <w:rFonts w:asciiTheme="minorEastAsia" w:hAnsiTheme="minorEastAsia" w:eastAsiaTheme="minorEastAsia"/>
                <w:color w:val="auto"/>
                <w:sz w:val="24"/>
                <w:highlight w:val="none"/>
              </w:rPr>
            </w:pPr>
          </w:p>
        </w:tc>
        <w:tc>
          <w:tcPr>
            <w:tcW w:w="475" w:type="pct"/>
            <w:vAlign w:val="center"/>
          </w:tcPr>
          <w:p w14:paraId="6B8A35EF">
            <w:pPr>
              <w:jc w:val="center"/>
              <w:rPr>
                <w:rFonts w:asciiTheme="minorEastAsia" w:hAnsiTheme="minorEastAsia" w:eastAsiaTheme="minorEastAsia"/>
                <w:color w:val="auto"/>
                <w:sz w:val="24"/>
                <w:highlight w:val="none"/>
              </w:rPr>
            </w:pPr>
          </w:p>
        </w:tc>
      </w:tr>
      <w:tr w14:paraId="77C7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E1D110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093826B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服务地点</w:t>
            </w:r>
          </w:p>
        </w:tc>
        <w:tc>
          <w:tcPr>
            <w:tcW w:w="1465" w:type="pct"/>
            <w:vAlign w:val="center"/>
          </w:tcPr>
          <w:p w14:paraId="55EAA1A2">
            <w:pPr>
              <w:jc w:val="center"/>
              <w:rPr>
                <w:rFonts w:asciiTheme="minorEastAsia" w:hAnsiTheme="minorEastAsia" w:eastAsiaTheme="minorEastAsia"/>
                <w:color w:val="auto"/>
                <w:sz w:val="24"/>
                <w:highlight w:val="none"/>
              </w:rPr>
            </w:pPr>
          </w:p>
        </w:tc>
        <w:tc>
          <w:tcPr>
            <w:tcW w:w="1511" w:type="pct"/>
            <w:vAlign w:val="center"/>
          </w:tcPr>
          <w:p w14:paraId="4A543E8C">
            <w:pPr>
              <w:jc w:val="center"/>
              <w:rPr>
                <w:rFonts w:asciiTheme="minorEastAsia" w:hAnsiTheme="minorEastAsia" w:eastAsiaTheme="minorEastAsia"/>
                <w:color w:val="auto"/>
                <w:sz w:val="24"/>
                <w:highlight w:val="none"/>
              </w:rPr>
            </w:pPr>
          </w:p>
        </w:tc>
        <w:tc>
          <w:tcPr>
            <w:tcW w:w="475" w:type="pct"/>
            <w:vAlign w:val="center"/>
          </w:tcPr>
          <w:p w14:paraId="59C97267">
            <w:pPr>
              <w:jc w:val="center"/>
              <w:rPr>
                <w:rFonts w:asciiTheme="minorEastAsia" w:hAnsiTheme="minorEastAsia" w:eastAsiaTheme="minorEastAsia"/>
                <w:color w:val="auto"/>
                <w:sz w:val="24"/>
                <w:highlight w:val="none"/>
              </w:rPr>
            </w:pPr>
          </w:p>
        </w:tc>
      </w:tr>
      <w:tr w14:paraId="0B98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B12DAD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29FB178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服务期限</w:t>
            </w:r>
          </w:p>
        </w:tc>
        <w:tc>
          <w:tcPr>
            <w:tcW w:w="1465" w:type="pct"/>
            <w:vAlign w:val="center"/>
          </w:tcPr>
          <w:p w14:paraId="5981D51C">
            <w:pPr>
              <w:jc w:val="center"/>
              <w:rPr>
                <w:rFonts w:asciiTheme="minorEastAsia" w:hAnsiTheme="minorEastAsia" w:eastAsiaTheme="minorEastAsia"/>
                <w:color w:val="auto"/>
                <w:sz w:val="24"/>
                <w:highlight w:val="none"/>
              </w:rPr>
            </w:pPr>
          </w:p>
        </w:tc>
        <w:tc>
          <w:tcPr>
            <w:tcW w:w="1511" w:type="pct"/>
            <w:vAlign w:val="center"/>
          </w:tcPr>
          <w:p w14:paraId="77704453">
            <w:pPr>
              <w:pStyle w:val="51"/>
              <w:jc w:val="center"/>
              <w:rPr>
                <w:rFonts w:asciiTheme="minorEastAsia" w:hAnsiTheme="minorEastAsia" w:eastAsiaTheme="minorEastAsia"/>
                <w:color w:val="auto"/>
                <w:highlight w:val="none"/>
              </w:rPr>
            </w:pPr>
          </w:p>
        </w:tc>
        <w:tc>
          <w:tcPr>
            <w:tcW w:w="475" w:type="pct"/>
            <w:vAlign w:val="center"/>
          </w:tcPr>
          <w:p w14:paraId="64493506">
            <w:pPr>
              <w:jc w:val="center"/>
              <w:rPr>
                <w:rFonts w:asciiTheme="minorEastAsia" w:hAnsiTheme="minorEastAsia" w:eastAsiaTheme="minorEastAsia"/>
                <w:color w:val="auto"/>
                <w:sz w:val="24"/>
                <w:highlight w:val="none"/>
              </w:rPr>
            </w:pPr>
          </w:p>
        </w:tc>
      </w:tr>
      <w:tr w14:paraId="3E8F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6386B1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66BA4AC4">
            <w:pPr>
              <w:jc w:val="center"/>
              <w:rPr>
                <w:rFonts w:asciiTheme="minorEastAsia" w:hAnsiTheme="minorEastAsia" w:eastAsiaTheme="minorEastAsia"/>
                <w:color w:val="auto"/>
                <w:sz w:val="24"/>
                <w:highlight w:val="none"/>
              </w:rPr>
            </w:pPr>
          </w:p>
        </w:tc>
        <w:tc>
          <w:tcPr>
            <w:tcW w:w="1465" w:type="pct"/>
            <w:vAlign w:val="center"/>
          </w:tcPr>
          <w:p w14:paraId="209EDAF8">
            <w:pPr>
              <w:jc w:val="center"/>
              <w:rPr>
                <w:rFonts w:asciiTheme="minorEastAsia" w:hAnsiTheme="minorEastAsia" w:eastAsiaTheme="minorEastAsia"/>
                <w:color w:val="auto"/>
                <w:sz w:val="24"/>
                <w:highlight w:val="none"/>
              </w:rPr>
            </w:pPr>
          </w:p>
        </w:tc>
        <w:tc>
          <w:tcPr>
            <w:tcW w:w="1511" w:type="pct"/>
            <w:vAlign w:val="center"/>
          </w:tcPr>
          <w:p w14:paraId="2C57A4EE">
            <w:pPr>
              <w:jc w:val="center"/>
              <w:rPr>
                <w:rFonts w:asciiTheme="minorEastAsia" w:hAnsiTheme="minorEastAsia" w:eastAsiaTheme="minorEastAsia"/>
                <w:color w:val="auto"/>
                <w:sz w:val="24"/>
                <w:highlight w:val="none"/>
              </w:rPr>
            </w:pPr>
          </w:p>
        </w:tc>
        <w:tc>
          <w:tcPr>
            <w:tcW w:w="475" w:type="pct"/>
            <w:vAlign w:val="center"/>
          </w:tcPr>
          <w:p w14:paraId="7834BEA4">
            <w:pPr>
              <w:jc w:val="center"/>
              <w:rPr>
                <w:rFonts w:asciiTheme="minorEastAsia" w:hAnsiTheme="minorEastAsia" w:eastAsiaTheme="minorEastAsia"/>
                <w:color w:val="auto"/>
                <w:sz w:val="24"/>
                <w:highlight w:val="none"/>
              </w:rPr>
            </w:pPr>
          </w:p>
        </w:tc>
      </w:tr>
    </w:tbl>
    <w:p w14:paraId="3E639408">
      <w:pPr>
        <w:pStyle w:val="14"/>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0FC2C93F">
      <w:pPr>
        <w:spacing w:line="360" w:lineRule="auto"/>
        <w:jc w:val="center"/>
        <w:outlineLvl w:val="1"/>
        <w:rPr>
          <w:rFonts w:asciiTheme="minorEastAsia" w:hAnsiTheme="minorEastAsia" w:eastAsiaTheme="minorEastAsia"/>
          <w:b/>
          <w:color w:val="auto"/>
          <w:sz w:val="24"/>
          <w:highlight w:val="none"/>
        </w:rPr>
      </w:pPr>
      <w:bookmarkStart w:id="204" w:name="_Toc31573"/>
      <w:bookmarkStart w:id="205" w:name="_Toc13881"/>
      <w:r>
        <w:rPr>
          <w:rFonts w:hint="eastAsia" w:asciiTheme="minorEastAsia" w:hAnsiTheme="minorEastAsia" w:eastAsiaTheme="minorEastAsia"/>
          <w:b/>
          <w:color w:val="auto"/>
          <w:sz w:val="24"/>
          <w:highlight w:val="none"/>
          <w:lang w:eastAsia="zh-CN"/>
        </w:rPr>
        <w:t>七</w:t>
      </w:r>
      <w:r>
        <w:rPr>
          <w:rFonts w:hint="eastAsia" w:asciiTheme="minorEastAsia" w:hAnsiTheme="minorEastAsia" w:eastAsiaTheme="minorEastAsia"/>
          <w:b/>
          <w:color w:val="auto"/>
          <w:sz w:val="24"/>
          <w:highlight w:val="none"/>
        </w:rPr>
        <w:t>、诚信履约承诺函</w:t>
      </w:r>
      <w:bookmarkEnd w:id="204"/>
      <w:bookmarkEnd w:id="205"/>
    </w:p>
    <w:p w14:paraId="64889D0A">
      <w:pPr>
        <w:spacing w:line="360" w:lineRule="auto"/>
        <w:rPr>
          <w:rFonts w:asciiTheme="minorEastAsia" w:hAnsiTheme="minorEastAsia" w:eastAsiaTheme="minorEastAsia"/>
          <w:b/>
          <w:bCs/>
          <w:color w:val="auto"/>
          <w:sz w:val="24"/>
          <w:highlight w:val="none"/>
        </w:rPr>
      </w:pPr>
    </w:p>
    <w:p w14:paraId="6C2677D6">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57C0C38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0BB38CE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1CC7E31E">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0978CB0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6AACF23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1449C56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6A26DFE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523F6B2">
      <w:pPr>
        <w:spacing w:line="360" w:lineRule="auto"/>
        <w:rPr>
          <w:rFonts w:asciiTheme="minorEastAsia" w:hAnsiTheme="minorEastAsia" w:eastAsiaTheme="minorEastAsia"/>
          <w:bCs/>
          <w:color w:val="auto"/>
          <w:sz w:val="24"/>
          <w:highlight w:val="none"/>
        </w:rPr>
      </w:pPr>
    </w:p>
    <w:p w14:paraId="780279AA">
      <w:pPr>
        <w:spacing w:line="360" w:lineRule="auto"/>
        <w:rPr>
          <w:rFonts w:asciiTheme="minorEastAsia" w:hAnsiTheme="minorEastAsia" w:eastAsiaTheme="minorEastAsia"/>
          <w:bCs/>
          <w:color w:val="auto"/>
          <w:sz w:val="24"/>
          <w:highlight w:val="none"/>
        </w:rPr>
      </w:pPr>
    </w:p>
    <w:p w14:paraId="7ED5A8F1">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lang w:eastAsia="zh-CN"/>
        </w:rPr>
        <w:t>供应商电子签章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5A148DCA">
      <w:pPr>
        <w:spacing w:line="440" w:lineRule="exact"/>
        <w:ind w:firstLine="5280" w:firstLineChars="2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7F6564D1">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7CBA589A">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诚信响应承诺书</w:t>
      </w:r>
    </w:p>
    <w:p w14:paraId="18FDA937">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本人以企业法定代表人的身份郑重承诺：</w:t>
      </w:r>
    </w:p>
    <w:p w14:paraId="2A3742D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项目的投标，所提供的一切材料都是真实、有效、合法的；</w:t>
      </w:r>
    </w:p>
    <w:p w14:paraId="09B445D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0F1F83F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002A4682">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的合法权益；</w:t>
      </w:r>
    </w:p>
    <w:p w14:paraId="68A7432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五、不与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、招标代理机构或其他投标人串通投标，损害国家利益、社会公共利益或者他人的合法权益；</w:t>
      </w:r>
    </w:p>
    <w:p w14:paraId="7855C48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或</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5D383FD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、严格遵守开标现场纪律，服从监管人员管理；</w:t>
      </w:r>
    </w:p>
    <w:p w14:paraId="4C9BFC53">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、保证中标后不转包，若有分包征得</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同意；</w:t>
      </w:r>
    </w:p>
    <w:p w14:paraId="5C7E41C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、保证中标之后，按照投标文件要求提供相关后续服务；</w:t>
      </w:r>
    </w:p>
    <w:p w14:paraId="71022CD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十、保证企业及所属相关人员在本次投标中无行贿等犯罪行为；</w:t>
      </w:r>
    </w:p>
    <w:p w14:paraId="2497774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D7EE390">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造成损失的，依法承担赔偿责任。</w:t>
      </w:r>
    </w:p>
    <w:p w14:paraId="623B2F64">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136DD2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                      基本账户：</w:t>
      </w:r>
    </w:p>
    <w:p w14:paraId="228147EF">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投标单位（签章）：              法定代表人（签章）：</w:t>
      </w:r>
    </w:p>
    <w:p w14:paraId="5D1405CF">
      <w:pPr>
        <w:spacing w:line="360" w:lineRule="auto"/>
        <w:ind w:firstLine="435"/>
        <w:rPr>
          <w:rFonts w:asciiTheme="minorEastAsia" w:hAnsiTheme="minorEastAsia" w:eastAsiaTheme="minorEastAsia"/>
          <w:b/>
          <w:color w:val="auto"/>
          <w:sz w:val="28"/>
          <w:highlight w:val="none"/>
        </w:rPr>
      </w:pPr>
    </w:p>
    <w:p w14:paraId="3F0803D4">
      <w:pPr>
        <w:pStyle w:val="40"/>
        <w:rPr>
          <w:rFonts w:asciiTheme="minorEastAsia" w:hAnsiTheme="minorEastAsia" w:eastAsiaTheme="minorEastAsia"/>
          <w:b/>
          <w:color w:val="auto"/>
          <w:sz w:val="28"/>
          <w:highlight w:val="none"/>
        </w:rPr>
      </w:pPr>
    </w:p>
    <w:p w14:paraId="4CE482E2">
      <w:pPr>
        <w:pStyle w:val="40"/>
        <w:rPr>
          <w:rFonts w:asciiTheme="minorEastAsia" w:hAnsiTheme="minorEastAsia" w:eastAsiaTheme="minorEastAsia"/>
          <w:b/>
          <w:color w:val="auto"/>
          <w:sz w:val="28"/>
          <w:highlight w:val="none"/>
        </w:rPr>
      </w:pPr>
    </w:p>
    <w:p w14:paraId="5FE7ED30">
      <w:pPr>
        <w:pStyle w:val="40"/>
        <w:rPr>
          <w:rFonts w:asciiTheme="minorEastAsia" w:hAnsiTheme="minorEastAsia" w:eastAsiaTheme="minorEastAsia"/>
          <w:b/>
          <w:color w:val="auto"/>
          <w:sz w:val="28"/>
          <w:highlight w:val="none"/>
        </w:rPr>
      </w:pPr>
    </w:p>
    <w:p w14:paraId="388EE66C">
      <w:pPr>
        <w:pStyle w:val="40"/>
        <w:rPr>
          <w:rFonts w:asciiTheme="minorEastAsia" w:hAnsiTheme="minorEastAsia" w:eastAsiaTheme="minorEastAsia"/>
          <w:b/>
          <w:color w:val="auto"/>
          <w:sz w:val="28"/>
          <w:highlight w:val="none"/>
        </w:rPr>
      </w:pPr>
    </w:p>
    <w:p w14:paraId="50549F7D">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p>
    <w:p w14:paraId="5C588CE1">
      <w:pPr>
        <w:spacing w:line="360" w:lineRule="auto"/>
        <w:ind w:firstLine="435"/>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1、采购标的成本构成说明</w:t>
      </w:r>
    </w:p>
    <w:p w14:paraId="7A2FECC0">
      <w:pPr>
        <w:spacing w:line="360" w:lineRule="auto"/>
        <w:ind w:firstLine="435"/>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2、同类项目相关材料（包括但不限于项目名称、成交价格等）</w:t>
      </w:r>
    </w:p>
    <w:p w14:paraId="0A1C5A6F">
      <w:pPr>
        <w:spacing w:line="360" w:lineRule="auto"/>
        <w:ind w:firstLine="435"/>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3、相关专利、专有技术等情况</w:t>
      </w:r>
    </w:p>
    <w:p w14:paraId="08287784">
      <w:pPr>
        <w:spacing w:line="360" w:lineRule="auto"/>
        <w:ind w:firstLine="435"/>
        <w:rPr>
          <w:rFonts w:asciiTheme="minorEastAsia" w:hAnsiTheme="minorEastAsia" w:eastAsiaTheme="minorEastAsia"/>
          <w:b/>
          <w:color w:val="auto"/>
          <w:sz w:val="28"/>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提供符合采购需求及协商程序和评审标准规定的相关证明文件。</w:t>
      </w:r>
    </w:p>
    <w:p w14:paraId="1D55EA40">
      <w:pPr>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41911D5B">
      <w:pPr>
        <w:keepNext/>
        <w:keepLines/>
        <w:spacing w:before="200" w:after="200" w:line="600" w:lineRule="exact"/>
        <w:outlineLvl w:val="0"/>
        <w:rPr>
          <w:rFonts w:ascii="黑体" w:hAnsi="黑体" w:eastAsia="黑体" w:cs="Times New Roman"/>
          <w:b/>
          <w:bCs/>
          <w:color w:val="auto"/>
          <w:kern w:val="44"/>
          <w:sz w:val="28"/>
          <w:szCs w:val="28"/>
          <w:highlight w:val="none"/>
        </w:rPr>
      </w:pPr>
      <w:r>
        <w:rPr>
          <w:rFonts w:hint="eastAsia" w:ascii="黑体" w:hAnsi="黑体" w:eastAsia="黑体" w:cs="Times New Roman"/>
          <w:b/>
          <w:bCs/>
          <w:color w:val="auto"/>
          <w:kern w:val="44"/>
          <w:sz w:val="36"/>
          <w:szCs w:val="28"/>
          <w:highlight w:val="none"/>
        </w:rPr>
        <w:t>附件1 关于联合惩戒失信行为加强信用查询管理的通知</w:t>
      </w:r>
    </w:p>
    <w:p w14:paraId="00432A46">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一、失信行为联合惩戒的范围和查询渠道</w:t>
      </w:r>
    </w:p>
    <w:p w14:paraId="6FB98C2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在我市公共资源交易活动中对存在下列失信行为的投标人、法定代表人及其项目经理（建造师）实施联合惩戒，禁止参与我市公共资源交易活动。</w:t>
      </w:r>
    </w:p>
    <w:p w14:paraId="300ED821">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（一）工程建设项目</w:t>
      </w:r>
    </w:p>
    <w:p w14:paraId="4A9B53E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1、“信用中国”网站（www.creditchina.gov.cn）查询</w:t>
      </w:r>
      <w:bookmarkStart w:id="206" w:name="OLE_LINK91"/>
      <w:bookmarkStart w:id="207" w:name="OLE_LINK103"/>
      <w:bookmarkStart w:id="208" w:name="OLE_LINK93"/>
      <w:bookmarkStart w:id="209" w:name="OLE_LINK92"/>
      <w:r>
        <w:rPr>
          <w:rFonts w:hint="eastAsia" w:ascii="仿宋_GB2312" w:hAnsi="宋体" w:eastAsia="仿宋_GB2312" w:cs="Times New Roman"/>
          <w:color w:val="auto"/>
          <w:sz w:val="28"/>
          <w:szCs w:val="28"/>
          <w:highlight w:val="none"/>
        </w:rPr>
        <w:t>投标人、法定代表人及其项目经理(建造师)</w:t>
      </w:r>
      <w:bookmarkEnd w:id="206"/>
      <w:bookmarkEnd w:id="207"/>
      <w:bookmarkEnd w:id="208"/>
      <w:bookmarkEnd w:id="209"/>
      <w:r>
        <w:rPr>
          <w:rFonts w:hint="eastAsia" w:ascii="仿宋_GB2312" w:hAnsi="宋体" w:eastAsia="仿宋_GB2312" w:cs="Times New Roman"/>
          <w:color w:val="auto"/>
          <w:sz w:val="28"/>
          <w:szCs w:val="28"/>
          <w:highlight w:val="none"/>
        </w:rPr>
        <w:t>以下失信行为：</w:t>
      </w:r>
    </w:p>
    <w:p w14:paraId="6D2133C1">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10" w:name="OLE_LINK94"/>
      <w:bookmarkStart w:id="211" w:name="OLE_LINK119"/>
      <w:bookmarkStart w:id="212" w:name="OLE_LINK87"/>
      <w:bookmarkStart w:id="213" w:name="OLE_LINK86"/>
      <w:r>
        <w:rPr>
          <w:rFonts w:hint="eastAsia" w:ascii="仿宋_GB2312" w:hAnsi="宋体" w:eastAsia="仿宋_GB2312" w:cs="Times New Roman"/>
          <w:color w:val="auto"/>
          <w:sz w:val="28"/>
          <w:szCs w:val="28"/>
          <w:highlight w:val="none"/>
        </w:rPr>
        <w:t>①被列入“失信被执行人”的;</w:t>
      </w:r>
    </w:p>
    <w:p w14:paraId="0BD87E6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w:t>
      </w:r>
      <w:bookmarkStart w:id="214" w:name="OLE_LINK116"/>
      <w:bookmarkStart w:id="215" w:name="OLE_LINK117"/>
      <w:bookmarkStart w:id="216" w:name="OLE_LINK118"/>
      <w:bookmarkStart w:id="217" w:name="OLE_LINK115"/>
      <w:r>
        <w:rPr>
          <w:rFonts w:hint="eastAsia" w:ascii="仿宋_GB2312" w:hAnsi="宋体" w:eastAsia="仿宋_GB2312" w:cs="Times New Roman"/>
          <w:color w:val="auto"/>
          <w:sz w:val="28"/>
          <w:szCs w:val="28"/>
          <w:highlight w:val="none"/>
        </w:rPr>
        <w:t>“重大税收违法失信主体”</w:t>
      </w:r>
      <w:bookmarkEnd w:id="214"/>
      <w:bookmarkEnd w:id="215"/>
      <w:bookmarkEnd w:id="216"/>
      <w:bookmarkEnd w:id="217"/>
      <w:r>
        <w:rPr>
          <w:rFonts w:hint="eastAsia" w:ascii="仿宋_GB2312" w:hAnsi="宋体" w:eastAsia="仿宋_GB2312" w:cs="Times New Roman"/>
          <w:color w:val="auto"/>
          <w:sz w:val="28"/>
          <w:szCs w:val="28"/>
          <w:highlight w:val="none"/>
        </w:rPr>
        <w:t>的；</w:t>
      </w:r>
    </w:p>
    <w:p w14:paraId="1C01053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③被列入“拖欠</w:t>
      </w:r>
      <w:bookmarkStart w:id="218" w:name="OLE_LINK85"/>
      <w:bookmarkStart w:id="219" w:name="OLE_LINK84"/>
      <w:r>
        <w:rPr>
          <w:rFonts w:hint="eastAsia" w:ascii="仿宋_GB2312" w:hAnsi="宋体" w:eastAsia="仿宋_GB2312" w:cs="Times New Roman"/>
          <w:color w:val="auto"/>
          <w:sz w:val="28"/>
          <w:szCs w:val="28"/>
          <w:highlight w:val="none"/>
        </w:rPr>
        <w:t>农民工工资失信联合惩戒对象</w:t>
      </w:r>
      <w:bookmarkEnd w:id="218"/>
      <w:bookmarkEnd w:id="219"/>
      <w:r>
        <w:rPr>
          <w:rFonts w:hint="eastAsia" w:ascii="仿宋_GB2312" w:hAnsi="宋体" w:eastAsia="仿宋_GB2312" w:cs="Times New Roman"/>
          <w:color w:val="auto"/>
          <w:sz w:val="28"/>
          <w:szCs w:val="28"/>
          <w:highlight w:val="none"/>
        </w:rPr>
        <w:t>名单”的；</w:t>
      </w:r>
    </w:p>
    <w:p w14:paraId="7038C451">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④被列入 “严重失信主体名单”的；</w:t>
      </w:r>
    </w:p>
    <w:p w14:paraId="5C00593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⑤在“信用中国”网站上披露的仍在公示期的严重失信行为(具体行为类别及判定依据见附件2)的。</w:t>
      </w:r>
    </w:p>
    <w:bookmarkEnd w:id="210"/>
    <w:bookmarkEnd w:id="211"/>
    <w:bookmarkEnd w:id="212"/>
    <w:bookmarkEnd w:id="213"/>
    <w:p w14:paraId="597705C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w:t>
      </w:r>
      <w:bookmarkStart w:id="220" w:name="OLE_LINK130"/>
      <w:r>
        <w:rPr>
          <w:rFonts w:hint="eastAsia" w:ascii="仿宋_GB2312" w:hAnsi="宋体" w:eastAsia="仿宋_GB2312" w:cs="Times New Roman"/>
          <w:color w:val="auto"/>
          <w:sz w:val="28"/>
          <w:szCs w:val="28"/>
          <w:highlight w:val="none"/>
        </w:rPr>
        <w:t>国家企业信用信息公示系统网站</w:t>
      </w:r>
      <w:bookmarkEnd w:id="220"/>
      <w:r>
        <w:rPr>
          <w:rFonts w:hint="eastAsia" w:ascii="仿宋_GB2312" w:hAnsi="宋体" w:eastAsia="仿宋_GB2312"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221" w:name="OLE_LINK89"/>
      <w:bookmarkStart w:id="222" w:name="OLE_LINK90"/>
      <w:r>
        <w:rPr>
          <w:rStyle w:val="35"/>
          <w:rFonts w:hint="eastAsia" w:ascii="仿宋_GB2312" w:hAnsi="宋体" w:eastAsia="仿宋_GB2312" w:cs="Times New Roman"/>
          <w:color w:val="auto"/>
          <w:sz w:val="28"/>
          <w:szCs w:val="28"/>
          <w:highlight w:val="none"/>
        </w:rPr>
        <w:t>www.gsxt.gov.cn</w:t>
      </w:r>
      <w:bookmarkEnd w:id="221"/>
      <w:bookmarkEnd w:id="222"/>
      <w:r>
        <w:rPr>
          <w:rStyle w:val="35"/>
          <w:rFonts w:hint="eastAsia" w:ascii="仿宋_GB2312" w:hAnsi="宋体" w:eastAsia="仿宋_GB2312" w:cs="Times New Roman"/>
          <w:color w:val="auto"/>
          <w:sz w:val="28"/>
          <w:szCs w:val="28"/>
          <w:highlight w:val="none"/>
        </w:rPr>
        <w:t>）</w:t>
      </w:r>
      <w:r>
        <w:rPr>
          <w:rStyle w:val="35"/>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查询投标人以下失信行为：</w:t>
      </w:r>
    </w:p>
    <w:p w14:paraId="1688C438">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23" w:name="OLE_LINK121"/>
      <w:bookmarkStart w:id="224" w:name="OLE_LINK122"/>
      <w:bookmarkStart w:id="225" w:name="OLE_LINK120"/>
      <w:r>
        <w:rPr>
          <w:rFonts w:hint="eastAsia" w:ascii="仿宋_GB2312" w:hAnsi="宋体" w:eastAsia="仿宋_GB2312" w:cs="Times New Roman"/>
          <w:color w:val="auto"/>
          <w:sz w:val="28"/>
          <w:szCs w:val="28"/>
          <w:highlight w:val="none"/>
        </w:rPr>
        <w:t>①</w:t>
      </w:r>
      <w:bookmarkStart w:id="226" w:name="OLE_LINK113"/>
      <w:bookmarkStart w:id="227" w:name="OLE_LINK114"/>
      <w:r>
        <w:rPr>
          <w:rFonts w:hint="eastAsia" w:ascii="仿宋_GB2312" w:hAnsi="宋体" w:eastAsia="仿宋_GB2312" w:cs="Times New Roman"/>
          <w:color w:val="auto"/>
          <w:sz w:val="28"/>
          <w:szCs w:val="28"/>
          <w:highlight w:val="none"/>
        </w:rPr>
        <w:t>被列入“经营异常名录”或者“严重违法失信名单”的</w:t>
      </w:r>
      <w:bookmarkEnd w:id="226"/>
      <w:bookmarkEnd w:id="227"/>
      <w:r>
        <w:rPr>
          <w:rFonts w:hint="eastAsia" w:ascii="仿宋_GB2312" w:hAnsi="宋体" w:eastAsia="仿宋_GB2312" w:cs="Times New Roman"/>
          <w:color w:val="auto"/>
          <w:sz w:val="28"/>
          <w:szCs w:val="28"/>
          <w:highlight w:val="none"/>
        </w:rPr>
        <w:t>。</w:t>
      </w:r>
      <w:bookmarkEnd w:id="223"/>
      <w:bookmarkEnd w:id="224"/>
      <w:bookmarkEnd w:id="225"/>
    </w:p>
    <w:p w14:paraId="4C3ECB9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3、由</w:t>
      </w:r>
      <w:r>
        <w:rPr>
          <w:rFonts w:hint="eastAsia" w:ascii="仿宋_GB2312" w:hAnsi="宋体" w:eastAsia="仿宋_GB2312" w:cs="Times New Roman"/>
          <w:color w:val="auto"/>
          <w:kern w:val="0"/>
          <w:sz w:val="28"/>
          <w:szCs w:val="28"/>
          <w:highlight w:val="none"/>
        </w:rPr>
        <w:t>投标人、法定代表人及其项目经理(建造师)</w:t>
      </w:r>
      <w:r>
        <w:rPr>
          <w:rFonts w:hint="eastAsia" w:ascii="仿宋_GB2312" w:hAnsi="宋体" w:eastAsia="仿宋_GB2312" w:cs="Times New Roman"/>
          <w:color w:val="auto"/>
          <w:sz w:val="28"/>
          <w:szCs w:val="28"/>
          <w:highlight w:val="none"/>
        </w:rPr>
        <w:t>进行承诺，不进行现场网上信用查询的失信行为：</w:t>
      </w:r>
    </w:p>
    <w:p w14:paraId="575F5001">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228" w:name="OLE_LINK124"/>
      <w:bookmarkStart w:id="229" w:name="OLE_LINK123"/>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58D12B7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②被滁州市县两级公管部门取消在一定期限内的投标资格且在取消期限内的；</w:t>
      </w:r>
    </w:p>
    <w:p w14:paraId="20978862">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③被滁州市县两级各行业主管部门取消在一定期限内的投标资格且在取消期限内的；</w:t>
      </w:r>
    </w:p>
    <w:p w14:paraId="5F7C5AD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④因拖欠农民工工资被</w:t>
      </w:r>
      <w:bookmarkStart w:id="230" w:name="OLE_LINK107"/>
      <w:bookmarkStart w:id="231" w:name="OLE_LINK108"/>
      <w:r>
        <w:rPr>
          <w:rFonts w:hint="eastAsia" w:ascii="仿宋_GB2312" w:hAnsi="宋体" w:eastAsia="仿宋_GB2312" w:cs="Times New Roman"/>
          <w:color w:val="auto"/>
          <w:sz w:val="28"/>
          <w:szCs w:val="28"/>
          <w:highlight w:val="none"/>
        </w:rPr>
        <w:t>县级及以上有关行政主管部门限制投标资格且在限制期限内的</w:t>
      </w:r>
      <w:bookmarkEnd w:id="230"/>
      <w:bookmarkEnd w:id="231"/>
      <w:r>
        <w:rPr>
          <w:rFonts w:hint="eastAsia" w:ascii="仿宋_GB2312" w:hAnsi="宋体" w:eastAsia="仿宋_GB2312" w:cs="Times New Roman"/>
          <w:color w:val="auto"/>
          <w:sz w:val="28"/>
          <w:szCs w:val="28"/>
          <w:highlight w:val="none"/>
        </w:rPr>
        <w:t>；</w:t>
      </w:r>
    </w:p>
    <w:p w14:paraId="30705AC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28"/>
    <w:bookmarkEnd w:id="229"/>
    <w:p w14:paraId="6C068A6B">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（二）政府采购项目</w:t>
      </w:r>
    </w:p>
    <w:p w14:paraId="4E617FB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t>
      </w:r>
      <w:r>
        <w:rPr>
          <w:rFonts w:hint="eastAsia" w:ascii="仿宋" w:hAnsi="仿宋" w:eastAsia="仿宋" w:cs="Times New Roman"/>
          <w:color w:val="auto"/>
          <w:sz w:val="28"/>
          <w:szCs w:val="28"/>
          <w:highlight w:val="none"/>
        </w:rPr>
        <w:t>（</w:t>
      </w:r>
      <w:r>
        <w:rPr>
          <w:rStyle w:val="35"/>
          <w:rFonts w:hint="eastAsia" w:ascii="仿宋" w:hAnsi="仿宋" w:eastAsia="仿宋"/>
          <w:color w:val="auto"/>
          <w:sz w:val="28"/>
          <w:szCs w:val="28"/>
          <w:highlight w:val="none"/>
        </w:rPr>
        <w:t>www.creditchina.gov.cn</w:t>
      </w:r>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查询供应商、法定代表人及其项目负责人以下失信行为：</w:t>
      </w:r>
    </w:p>
    <w:p w14:paraId="26B8EE2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①被列入“失信被执行人”的;</w:t>
      </w:r>
    </w:p>
    <w:p w14:paraId="2260317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②被列入“重大税收违法失信主体”的；</w:t>
      </w:r>
    </w:p>
    <w:p w14:paraId="668120A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 “严重失信主体名单”的；</w:t>
      </w:r>
    </w:p>
    <w:p w14:paraId="333BD6A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④在“信用中国”网站上披露的仍在公示期的严重失信行为(具体行为类别及判定依据见附件2)的。</w:t>
      </w:r>
    </w:p>
    <w:p w14:paraId="0CA53DD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2、国家企业信用信息公示系统网站</w:t>
      </w:r>
      <w:r>
        <w:rPr>
          <w:rFonts w:hint="eastAsia" w:ascii="仿宋" w:hAnsi="仿宋" w:eastAsia="仿宋"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仿宋" w:hAnsi="仿宋" w:eastAsia="仿宋"/>
          <w:color w:val="auto"/>
          <w:sz w:val="28"/>
          <w:szCs w:val="28"/>
          <w:highlight w:val="none"/>
        </w:rPr>
        <w:t>www.gsxt.gov.cn）</w:t>
      </w:r>
      <w:r>
        <w:rPr>
          <w:rFonts w:hint="eastAsia" w:ascii="仿宋" w:hAnsi="仿宋" w:eastAsia="仿宋"/>
          <w:color w:val="auto"/>
          <w:sz w:val="28"/>
          <w:szCs w:val="28"/>
          <w:highlight w:val="none"/>
        </w:rPr>
        <w:fldChar w:fldCharType="end"/>
      </w:r>
      <w:r>
        <w:rPr>
          <w:rFonts w:hint="eastAsia" w:ascii="仿宋_GB2312" w:hAnsi="宋体" w:eastAsia="仿宋_GB2312" w:cs="Times New Roman"/>
          <w:color w:val="auto"/>
          <w:sz w:val="28"/>
          <w:szCs w:val="28"/>
          <w:highlight w:val="none"/>
        </w:rPr>
        <w:t>查询供应商以下失信行为：</w:t>
      </w:r>
    </w:p>
    <w:p w14:paraId="049AE11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bookmarkStart w:id="232" w:name="OLE_LINK101"/>
      <w:bookmarkStart w:id="233" w:name="OLE_LINK102"/>
      <w:bookmarkStart w:id="234" w:name="OLE_LINK100"/>
      <w:r>
        <w:rPr>
          <w:rFonts w:hint="eastAsia" w:ascii="仿宋_GB2312" w:hAnsi="宋体" w:eastAsia="仿宋_GB2312" w:cs="Times New Roman"/>
          <w:color w:val="auto"/>
          <w:sz w:val="28"/>
          <w:szCs w:val="28"/>
          <w:highlight w:val="none"/>
        </w:rPr>
        <w:t>被列入“经营异常名录”或者“严重违法失信名单”的</w:t>
      </w:r>
      <w:bookmarkEnd w:id="232"/>
      <w:bookmarkEnd w:id="233"/>
      <w:bookmarkEnd w:id="234"/>
      <w:r>
        <w:rPr>
          <w:rFonts w:hint="eastAsia" w:ascii="仿宋_GB2312" w:hAnsi="宋体" w:eastAsia="仿宋_GB2312" w:cs="Times New Roman"/>
          <w:color w:val="auto"/>
          <w:sz w:val="28"/>
          <w:szCs w:val="28"/>
          <w:highlight w:val="none"/>
        </w:rPr>
        <w:t>。</w:t>
      </w:r>
    </w:p>
    <w:p w14:paraId="24460C5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3、中国政府采购网站</w:t>
      </w:r>
      <w:r>
        <w:rPr>
          <w:rFonts w:hint="eastAsia" w:ascii="仿宋" w:hAnsi="仿宋" w:eastAsia="仿宋" w:cs="Times New Roman"/>
          <w:color w:val="auto"/>
          <w:sz w:val="28"/>
          <w:szCs w:val="28"/>
          <w:highlight w:val="none"/>
        </w:rPr>
        <w:t>（</w:t>
      </w:r>
      <w:bookmarkStart w:id="235" w:name="OLE_LINK95"/>
      <w:bookmarkStart w:id="236" w:name="OLE_LINK96"/>
      <w:r>
        <w:rPr>
          <w:rFonts w:ascii="仿宋" w:hAnsi="仿宋" w:eastAsia="仿宋" w:cs="Times New Roman"/>
          <w:color w:val="auto"/>
          <w:sz w:val="28"/>
          <w:szCs w:val="28"/>
          <w:highlight w:val="none"/>
        </w:rPr>
        <w:fldChar w:fldCharType="begin"/>
      </w:r>
      <w:r>
        <w:rPr>
          <w:rFonts w:ascii="仿宋" w:hAnsi="仿宋" w:eastAsia="仿宋" w:cs="Times New Roman"/>
          <w:color w:val="auto"/>
          <w:sz w:val="28"/>
          <w:szCs w:val="28"/>
          <w:highlight w:val="none"/>
        </w:rPr>
        <w:instrText xml:space="preserve"> HYPERLINK "http://www.ccgp.gov.cn" </w:instrText>
      </w:r>
      <w:r>
        <w:rPr>
          <w:rFonts w:ascii="仿宋" w:hAnsi="仿宋" w:eastAsia="仿宋" w:cs="Times New Roman"/>
          <w:color w:val="auto"/>
          <w:sz w:val="28"/>
          <w:szCs w:val="28"/>
          <w:highlight w:val="none"/>
        </w:rPr>
        <w:fldChar w:fldCharType="separate"/>
      </w:r>
      <w:r>
        <w:rPr>
          <w:rFonts w:hint="eastAsia" w:ascii="仿宋" w:hAnsi="仿宋" w:eastAsia="仿宋"/>
          <w:color w:val="auto"/>
          <w:sz w:val="28"/>
          <w:szCs w:val="28"/>
          <w:highlight w:val="none"/>
        </w:rPr>
        <w:t>www.ccgp.gov.cn</w:t>
      </w:r>
      <w:r>
        <w:rPr>
          <w:rFonts w:ascii="仿宋" w:hAnsi="仿宋" w:eastAsia="仿宋" w:cs="Times New Roman"/>
          <w:color w:val="auto"/>
          <w:sz w:val="28"/>
          <w:szCs w:val="28"/>
          <w:highlight w:val="none"/>
        </w:rPr>
        <w:fldChar w:fldCharType="end"/>
      </w:r>
      <w:bookmarkEnd w:id="235"/>
      <w:bookmarkEnd w:id="236"/>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查询以下失信行为：</w:t>
      </w:r>
    </w:p>
    <w:p w14:paraId="3B736A91">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s="Times New Roman"/>
          <w:color w:val="auto"/>
          <w:sz w:val="28"/>
          <w:szCs w:val="28"/>
          <w:highlight w:val="none"/>
        </w:rPr>
        <w:t>①</w:t>
      </w:r>
      <w:bookmarkStart w:id="237" w:name="OLE_LINK105"/>
      <w:bookmarkStart w:id="238" w:name="OLE_LINK104"/>
      <w:bookmarkStart w:id="239" w:name="OLE_LINK106"/>
      <w:r>
        <w:rPr>
          <w:rFonts w:hint="eastAsia" w:ascii="仿宋_GB2312" w:hAnsi="宋体" w:eastAsia="仿宋_GB2312" w:cs="Times New Roman"/>
          <w:color w:val="auto"/>
          <w:sz w:val="28"/>
          <w:szCs w:val="28"/>
          <w:highlight w:val="none"/>
        </w:rPr>
        <w:t>被列入“政府采购严重违法失信行为信息记录”的</w:t>
      </w:r>
      <w:bookmarkEnd w:id="237"/>
      <w:bookmarkEnd w:id="238"/>
      <w:bookmarkEnd w:id="239"/>
      <w:r>
        <w:rPr>
          <w:rFonts w:hint="eastAsia" w:ascii="仿宋_GB2312" w:hAnsi="宋体" w:eastAsia="仿宋_GB2312" w:cs="楷体"/>
          <w:color w:val="auto"/>
          <w:sz w:val="28"/>
          <w:szCs w:val="28"/>
          <w:highlight w:val="none"/>
        </w:rPr>
        <w:t>。</w:t>
      </w:r>
    </w:p>
    <w:p w14:paraId="1B3270F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4、由竞争主体进行承诺，不进行现场网上信用查询的失信行为：</w:t>
      </w:r>
    </w:p>
    <w:p w14:paraId="3FE3E10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s="Times New Roman"/>
          <w:color w:val="auto"/>
          <w:sz w:val="28"/>
          <w:szCs w:val="28"/>
          <w:highlight w:val="none"/>
        </w:rPr>
        <w:t>。</w:t>
      </w:r>
    </w:p>
    <w:p w14:paraId="778C1CC7">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二、在开评标活动中的查询程序</w:t>
      </w:r>
    </w:p>
    <w:p w14:paraId="52832B5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22D8B70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735F19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3、项目单位及其委托的代理机构应当做好信用查询结果截图和记录留存。</w:t>
      </w:r>
    </w:p>
    <w:p w14:paraId="66FB3C9F">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三、相关要求</w:t>
      </w:r>
    </w:p>
    <w:p w14:paraId="5701F6B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0AC9843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14C5534">
      <w:pPr>
        <w:wordWrap w:val="0"/>
        <w:adjustRightInd w:val="0"/>
        <w:snapToGrid w:val="0"/>
        <w:spacing w:line="560" w:lineRule="exact"/>
        <w:ind w:firstLine="560" w:firstLineChars="200"/>
        <w:rPr>
          <w:rFonts w:ascii="Times New Roman" w:hAnsi="Times New Roman" w:eastAsia="宋体" w:cs="Times New Roman"/>
          <w:color w:val="auto"/>
          <w:szCs w:val="24"/>
          <w:highlight w:val="none"/>
        </w:rPr>
      </w:pPr>
      <w:r>
        <w:rPr>
          <w:rFonts w:hint="eastAsia" w:ascii="仿宋_GB2312" w:hAnsi="宋体" w:eastAsia="仿宋_GB2312" w:cs="Times New Roman"/>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仿宋_GB2312" w:hAnsi="宋体" w:eastAsia="仿宋_GB2312" w:cs="Times New Roman"/>
          <w:color w:val="auto"/>
          <w:sz w:val="28"/>
          <w:szCs w:val="28"/>
          <w:highlight w:val="none"/>
        </w:rPr>
        <w:t>https://credit.ah.gov.cn/xinyong-fuwu/xvbahv/index.html</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03C30B17">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2、“信用中国”查询的严重失信行为判定依据为各行业主管部门下发的联合惩戒文件中规定的行为（按附件2执行）。</w:t>
      </w:r>
    </w:p>
    <w:p w14:paraId="3C2F4A58">
      <w:pPr>
        <w:spacing w:line="360" w:lineRule="exact"/>
        <w:ind w:right="-92" w:rightChars="-44" w:firstLine="560" w:firstLineChars="200"/>
        <w:rPr>
          <w:rFonts w:ascii="宋体" w:hAnsi="宋体" w:eastAsia="宋体" w:cs="宋体"/>
          <w:bCs/>
          <w:color w:val="auto"/>
          <w:sz w:val="24"/>
          <w:highlight w:val="none"/>
        </w:rPr>
      </w:pPr>
      <w:r>
        <w:rPr>
          <w:rFonts w:hint="eastAsia" w:ascii="仿宋_GB2312" w:hAnsi="宋体" w:eastAsia="仿宋_GB2312" w:cs="Times New Roman"/>
          <w:color w:val="auto"/>
          <w:sz w:val="28"/>
          <w:szCs w:val="28"/>
          <w:highlight w:val="none"/>
        </w:rPr>
        <w:t>3、资格预审的项目以递交资格预审申请文件截止时间查询为准；资格后审的项目以递交投标文件截止时间查询为准</w:t>
      </w:r>
      <w:r>
        <w:rPr>
          <w:rFonts w:hint="eastAsia" w:ascii="宋体" w:hAnsi="宋体" w:eastAsia="宋体" w:cs="宋体"/>
          <w:bCs/>
          <w:color w:val="auto"/>
          <w:sz w:val="24"/>
          <w:highlight w:val="none"/>
        </w:rPr>
        <w:t>。</w:t>
      </w:r>
    </w:p>
    <w:p w14:paraId="1AC49B4A">
      <w:pPr>
        <w:ind w:right="-92" w:rightChars="-44"/>
        <w:rPr>
          <w:rFonts w:ascii="宋体" w:hAnsi="宋体" w:eastAsia="宋体" w:cs="宋体"/>
          <w:bCs/>
          <w:color w:val="auto"/>
          <w:szCs w:val="21"/>
          <w:highlight w:val="none"/>
        </w:rPr>
      </w:pPr>
    </w:p>
    <w:p w14:paraId="5A75D3A9">
      <w:pPr>
        <w:ind w:right="-92" w:rightChars="-44"/>
        <w:rPr>
          <w:rFonts w:ascii="宋体" w:hAnsi="宋体" w:eastAsia="宋体" w:cs="宋体"/>
          <w:bCs/>
          <w:color w:val="auto"/>
          <w:szCs w:val="21"/>
          <w:highlight w:val="none"/>
        </w:rPr>
      </w:pPr>
    </w:p>
    <w:p w14:paraId="740B79D3">
      <w:pPr>
        <w:ind w:right="-92" w:rightChars="-44"/>
        <w:rPr>
          <w:rFonts w:ascii="宋体" w:hAnsi="宋体" w:eastAsia="宋体" w:cs="宋体"/>
          <w:bCs/>
          <w:color w:val="auto"/>
          <w:sz w:val="32"/>
          <w:szCs w:val="32"/>
          <w:highlight w:val="none"/>
        </w:rPr>
      </w:pPr>
    </w:p>
    <w:p w14:paraId="7F053A57">
      <w:pPr>
        <w:ind w:right="-92" w:rightChars="-44"/>
        <w:rPr>
          <w:rFonts w:ascii="宋体" w:hAnsi="宋体" w:eastAsia="宋体" w:cs="宋体"/>
          <w:bCs/>
          <w:color w:val="auto"/>
          <w:sz w:val="32"/>
          <w:szCs w:val="32"/>
          <w:highlight w:val="none"/>
        </w:rPr>
      </w:pPr>
    </w:p>
    <w:p w14:paraId="0793C1EC">
      <w:pPr>
        <w:ind w:right="-92" w:rightChars="-44"/>
        <w:rPr>
          <w:rFonts w:ascii="宋体" w:hAnsi="宋体" w:eastAsia="宋体" w:cs="宋体"/>
          <w:bCs/>
          <w:color w:val="auto"/>
          <w:sz w:val="32"/>
          <w:szCs w:val="32"/>
          <w:highlight w:val="none"/>
        </w:rPr>
      </w:pPr>
    </w:p>
    <w:p w14:paraId="31BA0D7A">
      <w:pPr>
        <w:ind w:right="-92" w:rightChars="-44"/>
        <w:rPr>
          <w:rFonts w:ascii="宋体" w:hAnsi="宋体" w:eastAsia="宋体" w:cs="宋体"/>
          <w:bCs/>
          <w:color w:val="auto"/>
          <w:sz w:val="32"/>
          <w:szCs w:val="32"/>
          <w:highlight w:val="none"/>
        </w:rPr>
      </w:pPr>
    </w:p>
    <w:p w14:paraId="0CDDD8A3">
      <w:pPr>
        <w:ind w:right="-92" w:rightChars="-44"/>
        <w:rPr>
          <w:rFonts w:ascii="宋体" w:hAnsi="宋体" w:eastAsia="宋体" w:cs="宋体"/>
          <w:bCs/>
          <w:color w:val="auto"/>
          <w:sz w:val="32"/>
          <w:szCs w:val="32"/>
          <w:highlight w:val="none"/>
        </w:rPr>
      </w:pPr>
    </w:p>
    <w:p w14:paraId="042CBCE7">
      <w:pPr>
        <w:ind w:right="-92" w:rightChars="-44"/>
        <w:rPr>
          <w:rFonts w:ascii="宋体" w:hAnsi="宋体" w:eastAsia="宋体" w:cs="宋体"/>
          <w:bCs/>
          <w:color w:val="auto"/>
          <w:sz w:val="32"/>
          <w:szCs w:val="32"/>
          <w:highlight w:val="none"/>
        </w:rPr>
      </w:pPr>
    </w:p>
    <w:p w14:paraId="2DFA258C">
      <w:pPr>
        <w:ind w:right="-92" w:rightChars="-44"/>
        <w:rPr>
          <w:rFonts w:ascii="宋体" w:hAnsi="宋体" w:eastAsia="宋体" w:cs="宋体"/>
          <w:bCs/>
          <w:color w:val="auto"/>
          <w:sz w:val="32"/>
          <w:szCs w:val="32"/>
          <w:highlight w:val="none"/>
        </w:rPr>
      </w:pPr>
    </w:p>
    <w:p w14:paraId="67B3FAE2">
      <w:pPr>
        <w:ind w:right="-92" w:rightChars="-44"/>
        <w:rPr>
          <w:rFonts w:ascii="宋体" w:hAnsi="宋体" w:eastAsia="宋体" w:cs="宋体"/>
          <w:bCs/>
          <w:color w:val="auto"/>
          <w:sz w:val="32"/>
          <w:szCs w:val="32"/>
          <w:highlight w:val="none"/>
        </w:rPr>
      </w:pPr>
    </w:p>
    <w:p w14:paraId="06C90293">
      <w:pPr>
        <w:ind w:right="-92" w:rightChars="-44"/>
        <w:rPr>
          <w:rFonts w:ascii="宋体" w:hAnsi="宋体" w:eastAsia="宋体" w:cs="宋体"/>
          <w:bCs/>
          <w:color w:val="auto"/>
          <w:sz w:val="32"/>
          <w:szCs w:val="32"/>
          <w:highlight w:val="none"/>
        </w:rPr>
      </w:pPr>
    </w:p>
    <w:p w14:paraId="3C3910A6">
      <w:pPr>
        <w:pStyle w:val="24"/>
        <w:rPr>
          <w:rFonts w:ascii="宋体" w:hAnsi="宋体" w:eastAsia="宋体" w:cs="宋体"/>
          <w:bCs/>
          <w:color w:val="auto"/>
          <w:sz w:val="32"/>
          <w:szCs w:val="32"/>
          <w:highlight w:val="none"/>
        </w:rPr>
      </w:pPr>
    </w:p>
    <w:p w14:paraId="76E01DEE">
      <w:pPr>
        <w:keepNext/>
        <w:keepLines/>
        <w:spacing w:before="200" w:after="200" w:line="600" w:lineRule="exact"/>
        <w:outlineLvl w:val="0"/>
        <w:rPr>
          <w:rFonts w:ascii="黑体" w:hAnsi="黑体" w:eastAsia="黑体" w:cs="Times New Roman"/>
          <w:b/>
          <w:bCs/>
          <w:color w:val="auto"/>
          <w:kern w:val="44"/>
          <w:sz w:val="36"/>
          <w:szCs w:val="28"/>
          <w:highlight w:val="none"/>
        </w:rPr>
      </w:pPr>
      <w:bookmarkStart w:id="240" w:name="_Toc95223549"/>
      <w:bookmarkStart w:id="241" w:name="OLE_LINK32"/>
      <w:bookmarkStart w:id="242" w:name="OLE_LINK41"/>
      <w:bookmarkStart w:id="243" w:name="OLE_LINK31"/>
      <w:r>
        <w:rPr>
          <w:rFonts w:hint="eastAsia" w:ascii="黑体" w:hAnsi="黑体" w:eastAsia="黑体" w:cs="Times New Roman"/>
          <w:b/>
          <w:bCs/>
          <w:color w:val="auto"/>
          <w:kern w:val="44"/>
          <w:sz w:val="36"/>
          <w:szCs w:val="28"/>
          <w:highlight w:val="none"/>
        </w:rPr>
        <w:t xml:space="preserve">附件2 </w:t>
      </w:r>
      <w:bookmarkStart w:id="244" w:name="OLE_LINK74"/>
      <w:bookmarkStart w:id="245" w:name="OLE_LINK75"/>
      <w:r>
        <w:rPr>
          <w:rFonts w:hint="eastAsia" w:ascii="黑体" w:hAnsi="黑体" w:eastAsia="黑体" w:cs="Times New Roman"/>
          <w:b/>
          <w:bCs/>
          <w:color w:val="auto"/>
          <w:kern w:val="44"/>
          <w:sz w:val="36"/>
          <w:szCs w:val="28"/>
          <w:highlight w:val="none"/>
        </w:rPr>
        <w:t>“信用中国”查询的严重失信行为</w:t>
      </w:r>
      <w:bookmarkStart w:id="246" w:name="OLE_LINK40"/>
      <w:bookmarkStart w:id="247" w:name="OLE_LINK38"/>
      <w:bookmarkStart w:id="248" w:name="OLE_LINK39"/>
      <w:bookmarkStart w:id="249" w:name="OLE_LINK76"/>
      <w:r>
        <w:rPr>
          <w:rFonts w:hint="eastAsia" w:ascii="黑体" w:hAnsi="黑体" w:eastAsia="黑体" w:cs="Times New Roman"/>
          <w:b/>
          <w:bCs/>
          <w:color w:val="auto"/>
          <w:kern w:val="44"/>
          <w:sz w:val="36"/>
          <w:szCs w:val="28"/>
          <w:highlight w:val="none"/>
        </w:rPr>
        <w:t>类别及判定依据</w:t>
      </w:r>
      <w:bookmarkEnd w:id="240"/>
      <w:bookmarkEnd w:id="244"/>
      <w:bookmarkEnd w:id="245"/>
      <w:bookmarkEnd w:id="246"/>
      <w:bookmarkEnd w:id="247"/>
      <w:bookmarkEnd w:id="248"/>
      <w:bookmarkEnd w:id="249"/>
    </w:p>
    <w:bookmarkEnd w:id="241"/>
    <w:bookmarkEnd w:id="242"/>
    <w:bookmarkEnd w:id="243"/>
    <w:p w14:paraId="1F18B88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28"/>
          <w:szCs w:val="28"/>
          <w:highlight w:val="none"/>
        </w:rPr>
        <w:t>信用中国”查询的严重失信行为判定依据为各行业主管部门下发的联合惩戒文件中规定的行为。下面将部分类别的严重失信行为列举如下：</w:t>
      </w:r>
    </w:p>
    <w:p w14:paraId="1CB9251C">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一、安全生产领域严重失信行为：</w:t>
      </w:r>
    </w:p>
    <w:p w14:paraId="7CB6EB7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（一）下列发生生产安全事故的生产经营单位及其有关人员应当列入严重失信主体名单：</w:t>
      </w:r>
    </w:p>
    <w:p w14:paraId="140B6C00">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1、发生特别重大、重大生产安全事故的生产经营单位及其主要负责人，以及经调查认定对该事故发生负有责任，应当列入名单的其他单位和人员；</w:t>
      </w:r>
    </w:p>
    <w:p w14:paraId="62E1B04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2、12个月内累计发生2起以上较大生产安全事故的生产经营单位及其主要负责人；</w:t>
      </w:r>
    </w:p>
    <w:p w14:paraId="0A31705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72F4481C">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4、瞒报、谎报生产安全事故的生产经营单位及其有关责任人员；</w:t>
      </w:r>
    </w:p>
    <w:p w14:paraId="5CF9B96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5、发生生产安全事故后，不立即组织抢救或者在事故调查处理期间擅离职守或者逃匿的生产经营单位主要负责人。</w:t>
      </w:r>
    </w:p>
    <w:p w14:paraId="7E4A148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（二）下列未发生生产安全事故，但因安全生产违法行为，受到行政处罚的生产经营单位或者机构及其有关人员，应当列入严重失信主体名单：</w:t>
      </w:r>
    </w:p>
    <w:p w14:paraId="57D34FB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1、未依法取得安全生产相关许可或者许可被暂扣、吊销期间从事相关生产经营活动的生产经营单位及其主要负责人；</w:t>
      </w:r>
    </w:p>
    <w:p w14:paraId="43391F1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2、承担安全评价、认证、检测、检验职责的机构及其直接责任人员租借资质、挂靠、出具虚假报告或者证书的；</w:t>
      </w:r>
    </w:p>
    <w:p w14:paraId="04786F5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3、在应急管理部门作出行政处罚后，有执行能力拒不执行或者逃避执行的生产经营单位及其主要负责人；</w:t>
      </w:r>
    </w:p>
    <w:p w14:paraId="7AFBBFD6">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4、其他违反安全生产法律法规受到行政处罚，且性质恶劣、情节严重的。</w:t>
      </w:r>
    </w:p>
    <w:p w14:paraId="51FCDF5E">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依据：《安全生产严重失信主体名单管理办法》</w:t>
      </w:r>
      <w:r>
        <w:rPr>
          <w:rFonts w:hint="eastAsia" w:ascii="仿宋_GB2312" w:hAnsi="Calibri" w:eastAsia="仿宋_GB2312" w:cs="Times New Roman"/>
          <w:b/>
          <w:color w:val="auto"/>
          <w:sz w:val="28"/>
          <w:szCs w:val="28"/>
          <w:highlight w:val="none"/>
        </w:rPr>
        <w:t>（2023年8月8日应急管理部令第11号）</w:t>
      </w:r>
    </w:p>
    <w:p w14:paraId="36131214">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二、环境保护领域严重失信行为：</w:t>
      </w:r>
    </w:p>
    <w:p w14:paraId="2D4C1916">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（一）因为环境违法构成</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"https://baike.sogou.com/m/fullLemma?lid=10403954&amp;g_ut=3"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环境犯罪</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5E57FB4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"https://baike.sogou.com/m/fullLemma?lid=76033123&amp;g_ut=3"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建设项目环境影响评价</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文件未按规定通过审批，擅自开工建设的；</w:t>
      </w:r>
    </w:p>
    <w:p w14:paraId="4979E5A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（三）建设项目环保设施未建成、环保措施未落实、未通过</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"https://baike.sogou.com/m/fullLemma?lid=6470550&amp;g_ut=3"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竣工环保验收</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或者验收不合格，主体工程正式投入生产或者使用的；</w:t>
      </w:r>
    </w:p>
    <w:p w14:paraId="3904171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（四）建设项目性质、规模、地点、采用的生产工艺或者防治污染、防止生态破坏的措施发生重大变动，未重新报批环境影响评价文件，擅自投入生产或者使用的；</w:t>
      </w:r>
    </w:p>
    <w:p w14:paraId="4D8232C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（五）主要污染物排放总量超过控制指标的；</w:t>
      </w:r>
    </w:p>
    <w:p w14:paraId="60872E0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（六）私设暗管或者利用</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"https://baike.sogou.com/m/fullLemma?lid=41657319&amp;g_ut=3"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渗井</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、渗坑、裂隙、溶洞等排放、倾倒、处置水污染物，或者通过私设旁路排放</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"https://baike.sogou.com/m/fullLemma?lid=7758328&amp;g_ut=3"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大气污染物</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2A7237B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（七）非法排放、倾倒、处置危险废物，或者向无</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"https://baike.sogou.com/m/fullLemma?lid=5923292&amp;g_ut=3"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经营许可证</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或者超出经营许可范围的单位或个人提供或者委托其收集、贮存、利用、处置危险废物的；</w:t>
      </w:r>
    </w:p>
    <w:p w14:paraId="376312D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（八）</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"https://baike.sogou.com/m/fullLemma?lid=167759803&amp;g_ut=3"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环境违法行为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造成集中式生活饮用水水源取水中断的；</w:t>
      </w:r>
    </w:p>
    <w:p w14:paraId="6854DE6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（九）环境违法行为对生活饮用水水源保护区、自然保护区、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"https://baike.sogou.com/m/fullLemma?lid=155199213&amp;g_ut=3"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国家重点生态功能区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、风景名胜区、居住功能区、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"https://baike.sogou.com/m/fullLemma?lid=7757164&amp;g_ut=3"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基本农田保护区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等环境敏感区造成重大不利影响的；</w:t>
      </w:r>
    </w:p>
    <w:p w14:paraId="79D025E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（十）违法从事自然资源开发、交通基础设施建设，以及其他开发建设活动，造成严重生态破坏的；</w:t>
      </w:r>
    </w:p>
    <w:p w14:paraId="3611BAF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（十一）发生较大及以上突发环境事件的；</w:t>
      </w:r>
    </w:p>
    <w:p w14:paraId="74197911">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（十二）被环保部门挂牌督办，整改逾期未完成的；</w:t>
      </w:r>
    </w:p>
    <w:p w14:paraId="04D720F1">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（十三）以暴力、威胁等方式拒绝、阻挠环保部门工作人员现场检查的；</w:t>
      </w:r>
    </w:p>
    <w:p w14:paraId="638AFD3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（十四）违反重污染天气应急预案有关规定，对重污染天气响应不力的。</w:t>
      </w:r>
    </w:p>
    <w:p w14:paraId="01155B63">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250" w:name="OLE_LINK9"/>
      <w:bookmarkStart w:id="251" w:name="OLE_LINK8"/>
      <w:bookmarkStart w:id="252" w:name="OLE_LINK10"/>
      <w:r>
        <w:rPr>
          <w:rFonts w:hint="eastAsia" w:ascii="仿宋_GB2312" w:hAnsi="宋体" w:eastAsia="仿宋_GB2312" w:cs="Times New Roman"/>
          <w:b/>
          <w:color w:val="auto"/>
          <w:sz w:val="28"/>
          <w:szCs w:val="28"/>
          <w:highlight w:val="none"/>
        </w:rPr>
        <w:t>关于对环境保护领域失信生产经营单位及其有关人员开展联合惩戒的合作备忘录</w:t>
      </w:r>
      <w:bookmarkEnd w:id="250"/>
      <w:bookmarkEnd w:id="251"/>
      <w:bookmarkEnd w:id="252"/>
      <w:r>
        <w:rPr>
          <w:rFonts w:hint="eastAsia" w:ascii="仿宋_GB2312" w:hAnsi="宋体" w:eastAsia="仿宋_GB2312" w:cs="Times New Roman"/>
          <w:b/>
          <w:color w:val="auto"/>
          <w:sz w:val="28"/>
          <w:szCs w:val="28"/>
          <w:highlight w:val="none"/>
        </w:rPr>
        <w:t>》、《</w:t>
      </w:r>
      <w:bookmarkStart w:id="253" w:name="OLE_LINK11"/>
      <w:bookmarkStart w:id="254" w:name="OLE_LINK12"/>
      <w:r>
        <w:rPr>
          <w:rFonts w:hint="eastAsia" w:ascii="仿宋_GB2312" w:hAnsi="宋体" w:eastAsia="仿宋_GB2312" w:cs="Times New Roman"/>
          <w:b/>
          <w:color w:val="auto"/>
          <w:sz w:val="28"/>
          <w:szCs w:val="28"/>
          <w:highlight w:val="none"/>
        </w:rPr>
        <w:t>企业环境信用评价办法（试行）</w:t>
      </w:r>
      <w:bookmarkEnd w:id="253"/>
      <w:bookmarkEnd w:id="254"/>
      <w:r>
        <w:rPr>
          <w:rFonts w:hint="eastAsia" w:ascii="仿宋_GB2312" w:hAnsi="宋体" w:eastAsia="仿宋_GB2312" w:cs="Times New Roman"/>
          <w:b/>
          <w:color w:val="auto"/>
          <w:sz w:val="28"/>
          <w:szCs w:val="28"/>
          <w:highlight w:val="none"/>
        </w:rPr>
        <w:t>》（环发〔2013〕150号）</w:t>
      </w:r>
    </w:p>
    <w:p w14:paraId="11EA56E1">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w:t>
      </w:r>
      <w:r>
        <w:rPr>
          <w:rFonts w:hint="eastAsia" w:ascii="仿宋_GB2312" w:hAnsi="宋体" w:eastAsia="仿宋_GB2312" w:cs="Times New Roman"/>
          <w:b/>
          <w:bCs/>
          <w:color w:val="auto"/>
          <w:sz w:val="28"/>
          <w:szCs w:val="28"/>
          <w:highlight w:val="none"/>
        </w:rPr>
        <w:t>公共资源交易领域严重失信行为</w:t>
      </w:r>
    </w:p>
    <w:p w14:paraId="7E30F382">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（一）违反法律规定，必须进行招标的项目而不招标的，将必须进行招标的项目化整为零或者以其他任何方式规避招标的； </w:t>
      </w:r>
    </w:p>
    <w:p w14:paraId="2D20576C">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6BEF65E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7C27099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4983449C">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（五）投标人相互串通投标或者与招标人串通投标的，投标人以向招标人或者评标委员会成员行贿的手段谋取中标的； </w:t>
      </w:r>
    </w:p>
    <w:p w14:paraId="39E02806">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（六）投标人以他人名义投标或者以其他方式弄虚作假，骗取中标的；</w:t>
      </w:r>
    </w:p>
    <w:p w14:paraId="042EB6DA">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（七）依法必须进行招标的项目，招标人违反法律规定，与投标人就投标价格、投标方案等实质性内容进行谈判的；</w:t>
      </w:r>
    </w:p>
    <w:p w14:paraId="31C05762">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18D96CC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556ED85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4FD7FA4D">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（十一）招标人与中标人不按照招标文件和中标人的投标文件订立合同的，或者招标人、中标人订立背离合同实质性内容的 协议的； </w:t>
      </w:r>
    </w:p>
    <w:p w14:paraId="0CD2250D">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（十二）中标人不按照与招标人订立的合同履行义务，情节严重的； </w:t>
      </w:r>
    </w:p>
    <w:p w14:paraId="2CFAAA72">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AB69C1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76CD45E6">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（十五）采购人对应当实行集中采购的政府采购项目，不委托集中采购机构实行集中采购的； </w:t>
      </w:r>
    </w:p>
    <w:p w14:paraId="20463BFD">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（十六）采购人、采购代理机构违反法律规定隐匿、销毁应当保存的采购文件或者伪造、变造采购文件的； </w:t>
      </w:r>
    </w:p>
    <w:p w14:paraId="25D6725B">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5EF2A8ED">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（十八）疫苗生产企业向县级疾病预防控制机构以外的单位或者个人销售第二类疫苗的； </w:t>
      </w:r>
    </w:p>
    <w:p w14:paraId="7F159F6E">
      <w:pPr>
        <w:adjustRightInd w:val="0"/>
        <w:snapToGrid w:val="0"/>
        <w:spacing w:line="560" w:lineRule="exact"/>
        <w:ind w:left="141" w:leftChars="67" w:firstLine="420" w:firstLineChars="150"/>
        <w:jc w:val="left"/>
        <w:rPr>
          <w:rFonts w:ascii="仿宋_GB2312" w:hAnsi="宋体"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（十九）存在其他违反公共资源交易法律法规行为的。</w:t>
      </w:r>
    </w:p>
    <w:p w14:paraId="5B7B232B">
      <w:pPr>
        <w:adjustRightInd w:val="0"/>
        <w:snapToGrid w:val="0"/>
        <w:spacing w:line="560" w:lineRule="exact"/>
        <w:ind w:firstLine="894" w:firstLineChars="318"/>
        <w:jc w:val="left"/>
        <w:rPr>
          <w:rFonts w:ascii="仿宋_GB2312" w:hAnsi="宋体" w:eastAsia="仿宋_GB2312" w:cs="Times New Roman"/>
          <w:color w:val="auto"/>
          <w:sz w:val="28"/>
          <w:szCs w:val="28"/>
          <w:highlight w:val="none"/>
        </w:rPr>
      </w:pPr>
      <w:r>
        <w:rPr>
          <w:rFonts w:hint="eastAsia" w:ascii="仿宋_GB2312" w:hAnsi="宋体" w:eastAsia="仿宋_GB2312" w:cs="Times New Roman"/>
          <w:b/>
          <w:color w:val="auto"/>
          <w:sz w:val="28"/>
          <w:szCs w:val="28"/>
          <w:highlight w:val="none"/>
        </w:rPr>
        <w:t>依据：《</w:t>
      </w:r>
      <w:bookmarkStart w:id="255" w:name="OLE_LINK13"/>
      <w:bookmarkStart w:id="256" w:name="OLE_LINK14"/>
      <w:r>
        <w:rPr>
          <w:rFonts w:hint="eastAsia" w:ascii="仿宋_GB2312" w:hAnsi="宋体" w:eastAsia="仿宋_GB2312" w:cs="Times New Roman"/>
          <w:b/>
          <w:color w:val="auto"/>
          <w:sz w:val="28"/>
          <w:szCs w:val="28"/>
          <w:highlight w:val="none"/>
        </w:rPr>
        <w:t>关于对公共资源交易领域严重失信主体开展联合惩戒的备忘录</w:t>
      </w:r>
      <w:bookmarkEnd w:id="255"/>
      <w:bookmarkEnd w:id="256"/>
      <w:r>
        <w:rPr>
          <w:rFonts w:hint="eastAsia" w:ascii="仿宋_GB2312" w:hAnsi="宋体" w:eastAsia="仿宋_GB2312" w:cs="Times New Roman"/>
          <w:b/>
          <w:color w:val="auto"/>
          <w:sz w:val="28"/>
          <w:szCs w:val="28"/>
          <w:highlight w:val="none"/>
        </w:rPr>
        <w:t>》（发改法规〔2018〕457号）</w:t>
      </w:r>
    </w:p>
    <w:p w14:paraId="71228C2A">
      <w:pPr>
        <w:adjustRightInd w:val="0"/>
        <w:snapToGrid w:val="0"/>
        <w:spacing w:line="560" w:lineRule="exact"/>
        <w:ind w:firstLine="645"/>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四、</w:t>
      </w:r>
      <w:r>
        <w:rPr>
          <w:rFonts w:hint="eastAsia" w:ascii="仿宋_GB2312" w:hAnsi="宋体" w:eastAsia="仿宋_GB2312" w:cs="Times New Roman"/>
          <w:b/>
          <w:bCs/>
          <w:color w:val="auto"/>
          <w:sz w:val="28"/>
          <w:szCs w:val="28"/>
          <w:highlight w:val="none"/>
        </w:rPr>
        <w:t>社会保险领域严重失信行为</w:t>
      </w:r>
    </w:p>
    <w:p w14:paraId="07768326">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（一）用人单位未按相关规定参加社会保险且拒不整改的； </w:t>
      </w:r>
    </w:p>
    <w:p w14:paraId="36C03AA6">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（二）用人单位未如实申报社会保险缴费基数且拒不整改的； </w:t>
      </w:r>
    </w:p>
    <w:p w14:paraId="1972751B">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（三）应缴纳社会保险费却拒不缴纳的； </w:t>
      </w:r>
    </w:p>
    <w:p w14:paraId="02222F7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（四）隐匿、转移、侵占、挪用社会保险费款、基金或者违规投资运营的；</w:t>
      </w:r>
    </w:p>
    <w:p w14:paraId="795B5505">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（五）以欺诈、伪造证明材料或者其他手段参加、申报社会保险和骗取社会保险基金支出或社会保险待遇的； </w:t>
      </w:r>
    </w:p>
    <w:p w14:paraId="1AC71837">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（六）非法获取、出售或变相交易社会保险个人权益数据的； </w:t>
      </w:r>
    </w:p>
    <w:p w14:paraId="4E875CC4">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（七）社会保险服务机构违反服务协议或相关规定的； </w:t>
      </w:r>
    </w:p>
    <w:p w14:paraId="4E473810">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77884635">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（九）其他违反法律法规规定的。</w:t>
      </w:r>
    </w:p>
    <w:p w14:paraId="11410811">
      <w:pPr>
        <w:adjustRightInd w:val="0"/>
        <w:snapToGrid w:val="0"/>
        <w:spacing w:line="560" w:lineRule="exact"/>
        <w:ind w:firstLine="551" w:firstLineChars="196"/>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257" w:name="OLE_LINK16"/>
      <w:bookmarkStart w:id="258" w:name="OLE_LINK15"/>
      <w:r>
        <w:rPr>
          <w:rFonts w:hint="eastAsia" w:ascii="仿宋_GB2312" w:hAnsi="Calibri" w:eastAsia="仿宋_GB2312" w:cs="Times New Roman"/>
          <w:b/>
          <w:color w:val="auto"/>
          <w:sz w:val="28"/>
          <w:szCs w:val="28"/>
          <w:highlight w:val="none"/>
        </w:rPr>
        <w:t>关于对社会保险领域严重失信企业及其有关人员实施联合惩戒的合作备忘录</w:t>
      </w:r>
      <w:bookmarkEnd w:id="257"/>
      <w:bookmarkEnd w:id="258"/>
      <w:r>
        <w:rPr>
          <w:rFonts w:hint="eastAsia" w:ascii="仿宋_GB2312" w:hAnsi="Calibri" w:eastAsia="仿宋_GB2312" w:cs="Times New Roman"/>
          <w:b/>
          <w:color w:val="auto"/>
          <w:sz w:val="28"/>
          <w:szCs w:val="28"/>
          <w:highlight w:val="none"/>
        </w:rPr>
        <w:t>》（发改财金〔2018〕1704号）</w:t>
      </w:r>
    </w:p>
    <w:p w14:paraId="750B94B7">
      <w:pPr>
        <w:adjustRightInd w:val="0"/>
        <w:snapToGrid w:val="0"/>
        <w:spacing w:line="560" w:lineRule="exact"/>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 xml:space="preserve">     </w:t>
      </w:r>
    </w:p>
    <w:p w14:paraId="1EF4184E">
      <w:pPr>
        <w:adjustRightInd w:val="0"/>
        <w:snapToGrid w:val="0"/>
        <w:spacing w:line="560" w:lineRule="exact"/>
        <w:ind w:firstLine="562" w:firstLineChars="200"/>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五、建筑市场领域</w:t>
      </w:r>
      <w:r>
        <w:rPr>
          <w:rFonts w:hint="eastAsia" w:ascii="仿宋_GB2312" w:hAnsi="宋体" w:eastAsia="仿宋_GB2312" w:cs="Times New Roman"/>
          <w:b/>
          <w:bCs/>
          <w:color w:val="auto"/>
          <w:sz w:val="28"/>
          <w:szCs w:val="28"/>
          <w:highlight w:val="none"/>
        </w:rPr>
        <w:t>严重失信行为</w:t>
      </w:r>
    </w:p>
    <w:p w14:paraId="62AC7E88">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（一）利用虚假材料、以欺骗手段取得企业资质的；</w:t>
      </w:r>
    </w:p>
    <w:p w14:paraId="100CE0CE">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（二）发生转包、出借资质，受到行政处罚的；</w:t>
      </w:r>
    </w:p>
    <w:p w14:paraId="0B8CA5D1">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3465151C">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（四）经法院判决或仲裁机构裁决，认定为拖欠工程款,且拒不履行生效法律文书确定的义务的。</w:t>
      </w:r>
    </w:p>
    <w:p w14:paraId="5060719D">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144416BC">
      <w:pPr>
        <w:ind w:firstLine="562" w:firstLineChars="200"/>
        <w:jc w:val="left"/>
        <w:rPr>
          <w:rFonts w:ascii="仿宋_GB2312" w:hAnsi="宋体" w:eastAsia="仿宋_GB2312" w:cs="Times New Roman"/>
          <w:b/>
          <w:color w:val="auto"/>
          <w:sz w:val="28"/>
          <w:szCs w:val="28"/>
          <w:highlight w:val="none"/>
        </w:rPr>
      </w:pPr>
      <w:r>
        <w:rPr>
          <w:rFonts w:hint="eastAsia" w:ascii="仿宋_GB2312" w:hAnsi="Calibri" w:eastAsia="仿宋_GB2312" w:cs="Times New Roman"/>
          <w:b/>
          <w:color w:val="auto"/>
          <w:sz w:val="28"/>
          <w:szCs w:val="28"/>
          <w:highlight w:val="none"/>
        </w:rPr>
        <w:t>依据：《</w:t>
      </w:r>
      <w:bookmarkStart w:id="259" w:name="OLE_LINK18"/>
      <w:bookmarkStart w:id="260" w:name="OLE_LINK17"/>
      <w:r>
        <w:rPr>
          <w:rFonts w:hint="eastAsia" w:ascii="仿宋_GB2312" w:hAnsi="Calibri" w:eastAsia="仿宋_GB2312" w:cs="Times New Roman"/>
          <w:b/>
          <w:color w:val="auto"/>
          <w:sz w:val="28"/>
          <w:szCs w:val="28"/>
          <w:highlight w:val="none"/>
        </w:rPr>
        <w:t>建筑市场信用管理暂行办法</w:t>
      </w:r>
      <w:bookmarkEnd w:id="259"/>
      <w:bookmarkEnd w:id="260"/>
      <w:r>
        <w:rPr>
          <w:rFonts w:hint="eastAsia" w:ascii="仿宋_GB2312" w:hAnsi="Calibri" w:eastAsia="仿宋_GB2312" w:cs="Times New Roman"/>
          <w:b/>
          <w:color w:val="auto"/>
          <w:sz w:val="28"/>
          <w:szCs w:val="28"/>
          <w:highlight w:val="none"/>
        </w:rPr>
        <w:t>》（建市〔2017〕241号）</w:t>
      </w:r>
    </w:p>
    <w:p w14:paraId="63B3AC38">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六、</w:t>
      </w:r>
      <w:bookmarkStart w:id="261" w:name="OLE_LINK19"/>
      <w:bookmarkStart w:id="262" w:name="OLE_LINK20"/>
      <w:r>
        <w:rPr>
          <w:rFonts w:hint="eastAsia" w:ascii="仿宋_GB2312" w:hAnsi="宋体" w:eastAsia="仿宋_GB2312" w:cs="Times New Roman"/>
          <w:b/>
          <w:color w:val="auto"/>
          <w:sz w:val="28"/>
          <w:szCs w:val="28"/>
          <w:highlight w:val="none"/>
        </w:rPr>
        <w:t>政府采购严重失信行为</w:t>
      </w:r>
      <w:bookmarkEnd w:id="261"/>
      <w:bookmarkEnd w:id="262"/>
    </w:p>
    <w:p w14:paraId="19396CF5">
      <w:pPr>
        <w:adjustRightInd w:val="0"/>
        <w:snapToGrid w:val="0"/>
        <w:spacing w:line="560" w:lineRule="exact"/>
        <w:ind w:firstLine="615"/>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（一）三万元以上罚款；</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（二）在一至三年内禁止参加政府采购活动（处罚期限届满的除外）；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（三）在一至三年内禁止代理政府采购业务（处罚期限届满的除外）；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宋体" w:eastAsia="仿宋_GB2312" w:cs="Times New Roman"/>
          <w:color w:val="auto"/>
          <w:sz w:val="28"/>
          <w:szCs w:val="28"/>
          <w:highlight w:val="none"/>
        </w:rPr>
        <w:t xml:space="preserve">　 </w:t>
      </w:r>
      <w:r>
        <w:rPr>
          <w:rFonts w:hint="eastAsia" w:ascii="仿宋_GB2312" w:hAnsi="Calibri" w:eastAsia="仿宋_GB2312" w:cs="Times New Roman"/>
          <w:color w:val="auto"/>
          <w:sz w:val="28"/>
          <w:szCs w:val="28"/>
          <w:highlight w:val="none"/>
        </w:rPr>
        <w:t>（四）撤销政府采购代理机构资格（仅针对《政府采购法》第78条修改前作出的处罚决定）。</w:t>
      </w:r>
    </w:p>
    <w:p w14:paraId="2D28E777">
      <w:pPr>
        <w:spacing w:line="440" w:lineRule="exact"/>
        <w:ind w:right="-92" w:rightChars="-44" w:firstLine="615"/>
        <w:rPr>
          <w:rFonts w:hint="eastAsia"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依据：《关于报送政府采购严重违法失信行为信息记录的通知》（财办库〔2014〕526号）</w:t>
      </w:r>
    </w:p>
    <w:p w14:paraId="79B7C507">
      <w:pPr>
        <w:pStyle w:val="24"/>
        <w:rPr>
          <w:rFonts w:hint="eastAsia"/>
        </w:rPr>
      </w:pPr>
    </w:p>
    <w:p w14:paraId="671ECBA7">
      <w:pPr>
        <w:pStyle w:val="40"/>
        <w:rPr>
          <w:rFonts w:asciiTheme="minorEastAsia" w:hAnsiTheme="minorEastAsia" w:eastAsiaTheme="minorEastAsia"/>
          <w:b/>
          <w:color w:val="auto"/>
          <w:sz w:val="28"/>
          <w:highlight w:val="none"/>
        </w:rPr>
      </w:pPr>
      <w:r>
        <w:rPr>
          <w:rFonts w:hint="eastAsia" w:ascii="仿宋_GB2312" w:hAnsi="宋体" w:eastAsia="仿宋_GB2312" w:cs="Times New Roman"/>
          <w:b/>
          <w:color w:val="auto"/>
          <w:sz w:val="28"/>
          <w:szCs w:val="28"/>
          <w:highlight w:val="none"/>
        </w:rPr>
        <w:t>未列出的其他类别严重失信行为，由招标人（代理机构）根据各类别行业主管部门下发的联合惩戒文件进行判断。</w:t>
      </w: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6C772">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000811171"/>
    </w:sdtPr>
    <w:sdtEndPr>
      <w:rPr>
        <w:rFonts w:asciiTheme="minorEastAsia" w:hAnsiTheme="minorEastAsia" w:eastAsiaTheme="minorEastAsia"/>
        <w:sz w:val="21"/>
        <w:szCs w:val="21"/>
      </w:rPr>
    </w:sdtEndPr>
    <w:sdtContent>
      <w:sdt>
        <w:sdtPr>
          <w:rPr>
            <w:sz w:val="21"/>
            <w:szCs w:val="21"/>
          </w:rPr>
          <w:id w:val="-1669238322"/>
        </w:sdtPr>
        <w:sdtEndPr>
          <w:rPr>
            <w:rFonts w:asciiTheme="minorEastAsia" w:hAnsiTheme="minorEastAsia" w:eastAsiaTheme="minorEastAsia"/>
            <w:sz w:val="21"/>
            <w:szCs w:val="21"/>
          </w:rPr>
        </w:sdtEndPr>
        <w:sdtContent>
          <w:p w14:paraId="78B8F20D">
            <w:pPr>
              <w:pStyle w:val="16"/>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31</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35</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33</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FE351">
    <w:pPr>
      <w:pStyle w:val="17"/>
      <w:jc w:val="left"/>
    </w:pPr>
    <w:r>
      <w:rPr>
        <w:rFonts w:hint="eastAsia" w:asciiTheme="minorEastAsia" w:hAnsiTheme="minorEastAsia" w:eastAsiaTheme="minorEastAsia"/>
        <w:lang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单一来源采购文件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服务类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B9D49">
    <w:pPr>
      <w:pStyle w:val="17"/>
      <w:jc w:val="left"/>
    </w:pP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单一来源采购文件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服务类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E627D1"/>
    <w:multiLevelType w:val="singleLevel"/>
    <w:tmpl w:val="FCE627D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1232"/>
    <w:rsid w:val="000049DA"/>
    <w:rsid w:val="000056B7"/>
    <w:rsid w:val="00012A13"/>
    <w:rsid w:val="000131F7"/>
    <w:rsid w:val="00016B6C"/>
    <w:rsid w:val="00020B57"/>
    <w:rsid w:val="000312F9"/>
    <w:rsid w:val="00033C40"/>
    <w:rsid w:val="00037DBE"/>
    <w:rsid w:val="00042139"/>
    <w:rsid w:val="00042B14"/>
    <w:rsid w:val="00044C81"/>
    <w:rsid w:val="00044F49"/>
    <w:rsid w:val="000450C3"/>
    <w:rsid w:val="00050A3F"/>
    <w:rsid w:val="000530EC"/>
    <w:rsid w:val="000544DE"/>
    <w:rsid w:val="000549CC"/>
    <w:rsid w:val="000648D2"/>
    <w:rsid w:val="00070E0E"/>
    <w:rsid w:val="00076DB7"/>
    <w:rsid w:val="0007742D"/>
    <w:rsid w:val="00080FEB"/>
    <w:rsid w:val="00094D41"/>
    <w:rsid w:val="00097CB9"/>
    <w:rsid w:val="000A6345"/>
    <w:rsid w:val="000A6693"/>
    <w:rsid w:val="000A6B73"/>
    <w:rsid w:val="000A7D94"/>
    <w:rsid w:val="000B1511"/>
    <w:rsid w:val="000B54F4"/>
    <w:rsid w:val="000C1631"/>
    <w:rsid w:val="000C1DB1"/>
    <w:rsid w:val="000D3F37"/>
    <w:rsid w:val="000D7FBD"/>
    <w:rsid w:val="000E3C74"/>
    <w:rsid w:val="000E3F9B"/>
    <w:rsid w:val="000E6689"/>
    <w:rsid w:val="000F172B"/>
    <w:rsid w:val="000F2198"/>
    <w:rsid w:val="000F39B6"/>
    <w:rsid w:val="000F6B7B"/>
    <w:rsid w:val="00100B0F"/>
    <w:rsid w:val="0010187C"/>
    <w:rsid w:val="001037E3"/>
    <w:rsid w:val="00116A70"/>
    <w:rsid w:val="001177D3"/>
    <w:rsid w:val="0012143A"/>
    <w:rsid w:val="001222C6"/>
    <w:rsid w:val="00136D80"/>
    <w:rsid w:val="00137C7C"/>
    <w:rsid w:val="00140687"/>
    <w:rsid w:val="00143652"/>
    <w:rsid w:val="00146421"/>
    <w:rsid w:val="001479CF"/>
    <w:rsid w:val="00155615"/>
    <w:rsid w:val="00155F64"/>
    <w:rsid w:val="00157856"/>
    <w:rsid w:val="00160729"/>
    <w:rsid w:val="00166ED8"/>
    <w:rsid w:val="001714C9"/>
    <w:rsid w:val="0018119B"/>
    <w:rsid w:val="001844AB"/>
    <w:rsid w:val="001944B8"/>
    <w:rsid w:val="00196DA3"/>
    <w:rsid w:val="00197AC4"/>
    <w:rsid w:val="001A5D34"/>
    <w:rsid w:val="001A68E5"/>
    <w:rsid w:val="001B2A54"/>
    <w:rsid w:val="001B5014"/>
    <w:rsid w:val="001B7327"/>
    <w:rsid w:val="001C67F2"/>
    <w:rsid w:val="001D53B4"/>
    <w:rsid w:val="001E23F0"/>
    <w:rsid w:val="001F28D2"/>
    <w:rsid w:val="001F2F45"/>
    <w:rsid w:val="001F3023"/>
    <w:rsid w:val="001F31B0"/>
    <w:rsid w:val="001F35F6"/>
    <w:rsid w:val="001F74CA"/>
    <w:rsid w:val="002003B6"/>
    <w:rsid w:val="002049B4"/>
    <w:rsid w:val="0020520B"/>
    <w:rsid w:val="002058AF"/>
    <w:rsid w:val="00213C55"/>
    <w:rsid w:val="002178B1"/>
    <w:rsid w:val="00223CF4"/>
    <w:rsid w:val="00224C4A"/>
    <w:rsid w:val="0023407E"/>
    <w:rsid w:val="00240B40"/>
    <w:rsid w:val="002440D8"/>
    <w:rsid w:val="00244182"/>
    <w:rsid w:val="00260B94"/>
    <w:rsid w:val="00264F2E"/>
    <w:rsid w:val="002703E8"/>
    <w:rsid w:val="00271245"/>
    <w:rsid w:val="00274A9E"/>
    <w:rsid w:val="00276292"/>
    <w:rsid w:val="00276BA1"/>
    <w:rsid w:val="00277094"/>
    <w:rsid w:val="00290CD1"/>
    <w:rsid w:val="00293C71"/>
    <w:rsid w:val="002A1A1D"/>
    <w:rsid w:val="002A28AD"/>
    <w:rsid w:val="002A3AEE"/>
    <w:rsid w:val="002A7FC1"/>
    <w:rsid w:val="002B5318"/>
    <w:rsid w:val="002B6D27"/>
    <w:rsid w:val="002D2965"/>
    <w:rsid w:val="002D3D02"/>
    <w:rsid w:val="002D4CB5"/>
    <w:rsid w:val="002D684B"/>
    <w:rsid w:val="002E0ACA"/>
    <w:rsid w:val="002E3B26"/>
    <w:rsid w:val="002E4AB8"/>
    <w:rsid w:val="002E4BAD"/>
    <w:rsid w:val="0030337B"/>
    <w:rsid w:val="00310070"/>
    <w:rsid w:val="003110EC"/>
    <w:rsid w:val="00327C92"/>
    <w:rsid w:val="00333292"/>
    <w:rsid w:val="003344E7"/>
    <w:rsid w:val="0033580B"/>
    <w:rsid w:val="003365E7"/>
    <w:rsid w:val="003378D5"/>
    <w:rsid w:val="0034000C"/>
    <w:rsid w:val="003473D7"/>
    <w:rsid w:val="00351AC8"/>
    <w:rsid w:val="003528B7"/>
    <w:rsid w:val="00353075"/>
    <w:rsid w:val="00356223"/>
    <w:rsid w:val="00363E02"/>
    <w:rsid w:val="00372B3E"/>
    <w:rsid w:val="00373A96"/>
    <w:rsid w:val="003826C2"/>
    <w:rsid w:val="00383728"/>
    <w:rsid w:val="00391586"/>
    <w:rsid w:val="00394128"/>
    <w:rsid w:val="003947A4"/>
    <w:rsid w:val="00395235"/>
    <w:rsid w:val="0039561A"/>
    <w:rsid w:val="00397C7D"/>
    <w:rsid w:val="003A004F"/>
    <w:rsid w:val="003B4130"/>
    <w:rsid w:val="003B67D3"/>
    <w:rsid w:val="003B6B17"/>
    <w:rsid w:val="003B715B"/>
    <w:rsid w:val="003D0263"/>
    <w:rsid w:val="003D1D14"/>
    <w:rsid w:val="003D6C7C"/>
    <w:rsid w:val="003D6EFB"/>
    <w:rsid w:val="003D7E52"/>
    <w:rsid w:val="003E25C6"/>
    <w:rsid w:val="003E5F2D"/>
    <w:rsid w:val="003F145B"/>
    <w:rsid w:val="004011AA"/>
    <w:rsid w:val="0040202C"/>
    <w:rsid w:val="00406508"/>
    <w:rsid w:val="0041456E"/>
    <w:rsid w:val="00414F7E"/>
    <w:rsid w:val="004164F8"/>
    <w:rsid w:val="00420B7F"/>
    <w:rsid w:val="00431435"/>
    <w:rsid w:val="004427B7"/>
    <w:rsid w:val="0044349F"/>
    <w:rsid w:val="00445F1F"/>
    <w:rsid w:val="00451F60"/>
    <w:rsid w:val="00452BB2"/>
    <w:rsid w:val="0045656D"/>
    <w:rsid w:val="00462D98"/>
    <w:rsid w:val="00465136"/>
    <w:rsid w:val="00472A44"/>
    <w:rsid w:val="00473A89"/>
    <w:rsid w:val="00475899"/>
    <w:rsid w:val="00482C78"/>
    <w:rsid w:val="004874AE"/>
    <w:rsid w:val="00494D24"/>
    <w:rsid w:val="004951D1"/>
    <w:rsid w:val="004A27D0"/>
    <w:rsid w:val="004A43F9"/>
    <w:rsid w:val="004A4D67"/>
    <w:rsid w:val="004D12B4"/>
    <w:rsid w:val="004D3D4B"/>
    <w:rsid w:val="004D5498"/>
    <w:rsid w:val="004D66A5"/>
    <w:rsid w:val="004D6B00"/>
    <w:rsid w:val="004E1D50"/>
    <w:rsid w:val="004E1DF5"/>
    <w:rsid w:val="004E3991"/>
    <w:rsid w:val="004F0396"/>
    <w:rsid w:val="00501382"/>
    <w:rsid w:val="00510798"/>
    <w:rsid w:val="00524A11"/>
    <w:rsid w:val="00527768"/>
    <w:rsid w:val="005327FB"/>
    <w:rsid w:val="00533FCA"/>
    <w:rsid w:val="00546D49"/>
    <w:rsid w:val="005616B5"/>
    <w:rsid w:val="005904E5"/>
    <w:rsid w:val="00597B15"/>
    <w:rsid w:val="005A044C"/>
    <w:rsid w:val="005B5C95"/>
    <w:rsid w:val="005D0200"/>
    <w:rsid w:val="005D44EF"/>
    <w:rsid w:val="005D4814"/>
    <w:rsid w:val="005D5112"/>
    <w:rsid w:val="005E5AD8"/>
    <w:rsid w:val="005F3914"/>
    <w:rsid w:val="005F3B5A"/>
    <w:rsid w:val="005F5A1E"/>
    <w:rsid w:val="005F6AB4"/>
    <w:rsid w:val="00607D20"/>
    <w:rsid w:val="00610A66"/>
    <w:rsid w:val="00611533"/>
    <w:rsid w:val="00613177"/>
    <w:rsid w:val="00613F7C"/>
    <w:rsid w:val="00614BF2"/>
    <w:rsid w:val="00617573"/>
    <w:rsid w:val="00623DE2"/>
    <w:rsid w:val="00627601"/>
    <w:rsid w:val="006300D0"/>
    <w:rsid w:val="00632012"/>
    <w:rsid w:val="00634694"/>
    <w:rsid w:val="00636517"/>
    <w:rsid w:val="00637690"/>
    <w:rsid w:val="00640E1E"/>
    <w:rsid w:val="0064389A"/>
    <w:rsid w:val="00645442"/>
    <w:rsid w:val="006525CD"/>
    <w:rsid w:val="00653F7F"/>
    <w:rsid w:val="00662EE8"/>
    <w:rsid w:val="00663813"/>
    <w:rsid w:val="00663C3B"/>
    <w:rsid w:val="00664AFD"/>
    <w:rsid w:val="00667567"/>
    <w:rsid w:val="0067391A"/>
    <w:rsid w:val="00674173"/>
    <w:rsid w:val="0067535A"/>
    <w:rsid w:val="00683CA0"/>
    <w:rsid w:val="00690DB1"/>
    <w:rsid w:val="0069287B"/>
    <w:rsid w:val="00693404"/>
    <w:rsid w:val="006953D9"/>
    <w:rsid w:val="006B1242"/>
    <w:rsid w:val="006B1DBC"/>
    <w:rsid w:val="006B5263"/>
    <w:rsid w:val="006B63B7"/>
    <w:rsid w:val="006B7D9A"/>
    <w:rsid w:val="006C06D9"/>
    <w:rsid w:val="006C5716"/>
    <w:rsid w:val="006C74A9"/>
    <w:rsid w:val="006D07DE"/>
    <w:rsid w:val="006E06D9"/>
    <w:rsid w:val="006E1D40"/>
    <w:rsid w:val="006E2E1F"/>
    <w:rsid w:val="006E4F5D"/>
    <w:rsid w:val="006F5FFF"/>
    <w:rsid w:val="006F6E33"/>
    <w:rsid w:val="006F7AF3"/>
    <w:rsid w:val="00707B8C"/>
    <w:rsid w:val="00710804"/>
    <w:rsid w:val="00711FC6"/>
    <w:rsid w:val="007130B1"/>
    <w:rsid w:val="00715071"/>
    <w:rsid w:val="007158F8"/>
    <w:rsid w:val="00721D6E"/>
    <w:rsid w:val="007231E9"/>
    <w:rsid w:val="0072558E"/>
    <w:rsid w:val="00727C59"/>
    <w:rsid w:val="00734E5D"/>
    <w:rsid w:val="00736013"/>
    <w:rsid w:val="00737661"/>
    <w:rsid w:val="00755D75"/>
    <w:rsid w:val="00756245"/>
    <w:rsid w:val="00761662"/>
    <w:rsid w:val="00764043"/>
    <w:rsid w:val="007757CF"/>
    <w:rsid w:val="007805D8"/>
    <w:rsid w:val="0078128F"/>
    <w:rsid w:val="0078683C"/>
    <w:rsid w:val="00790EDB"/>
    <w:rsid w:val="00791538"/>
    <w:rsid w:val="0079326E"/>
    <w:rsid w:val="00796EDE"/>
    <w:rsid w:val="007A017E"/>
    <w:rsid w:val="007A5A58"/>
    <w:rsid w:val="007A6740"/>
    <w:rsid w:val="007B1C56"/>
    <w:rsid w:val="007B28BD"/>
    <w:rsid w:val="007B4996"/>
    <w:rsid w:val="007C3CD5"/>
    <w:rsid w:val="007C61EF"/>
    <w:rsid w:val="007D1C0D"/>
    <w:rsid w:val="007D2D23"/>
    <w:rsid w:val="007E27D6"/>
    <w:rsid w:val="007E3921"/>
    <w:rsid w:val="00801028"/>
    <w:rsid w:val="00803793"/>
    <w:rsid w:val="008149FD"/>
    <w:rsid w:val="00817A01"/>
    <w:rsid w:val="00825CD7"/>
    <w:rsid w:val="00825E35"/>
    <w:rsid w:val="008334F8"/>
    <w:rsid w:val="008341AA"/>
    <w:rsid w:val="00841414"/>
    <w:rsid w:val="0084346B"/>
    <w:rsid w:val="00852340"/>
    <w:rsid w:val="00876659"/>
    <w:rsid w:val="0087734C"/>
    <w:rsid w:val="00882141"/>
    <w:rsid w:val="00884341"/>
    <w:rsid w:val="008922A8"/>
    <w:rsid w:val="00895BD5"/>
    <w:rsid w:val="008A16C4"/>
    <w:rsid w:val="008A6FED"/>
    <w:rsid w:val="008A7A94"/>
    <w:rsid w:val="008B0D13"/>
    <w:rsid w:val="008B39C5"/>
    <w:rsid w:val="008B51AA"/>
    <w:rsid w:val="008B79B1"/>
    <w:rsid w:val="008C67F2"/>
    <w:rsid w:val="008C7F65"/>
    <w:rsid w:val="008D064A"/>
    <w:rsid w:val="008D2B0F"/>
    <w:rsid w:val="008E449E"/>
    <w:rsid w:val="008E4527"/>
    <w:rsid w:val="008E5E29"/>
    <w:rsid w:val="008E7342"/>
    <w:rsid w:val="008E7705"/>
    <w:rsid w:val="008F187F"/>
    <w:rsid w:val="008F402F"/>
    <w:rsid w:val="008F596E"/>
    <w:rsid w:val="008F76E8"/>
    <w:rsid w:val="008F7CD0"/>
    <w:rsid w:val="009078A1"/>
    <w:rsid w:val="00911E9C"/>
    <w:rsid w:val="00917405"/>
    <w:rsid w:val="00920F7C"/>
    <w:rsid w:val="00931502"/>
    <w:rsid w:val="00933379"/>
    <w:rsid w:val="00934CAE"/>
    <w:rsid w:val="009409CA"/>
    <w:rsid w:val="0094257D"/>
    <w:rsid w:val="0095467C"/>
    <w:rsid w:val="00954A61"/>
    <w:rsid w:val="00955C6F"/>
    <w:rsid w:val="00966C7B"/>
    <w:rsid w:val="009701DC"/>
    <w:rsid w:val="009708D2"/>
    <w:rsid w:val="009715D8"/>
    <w:rsid w:val="00985C4B"/>
    <w:rsid w:val="00987D4C"/>
    <w:rsid w:val="00995BF9"/>
    <w:rsid w:val="009A097A"/>
    <w:rsid w:val="009A0CAF"/>
    <w:rsid w:val="009A1474"/>
    <w:rsid w:val="009A2207"/>
    <w:rsid w:val="009A5959"/>
    <w:rsid w:val="009B6C42"/>
    <w:rsid w:val="009B7D70"/>
    <w:rsid w:val="009C2206"/>
    <w:rsid w:val="009D217A"/>
    <w:rsid w:val="009D31F7"/>
    <w:rsid w:val="009D32C2"/>
    <w:rsid w:val="009D50DB"/>
    <w:rsid w:val="009E3A0A"/>
    <w:rsid w:val="009F3E91"/>
    <w:rsid w:val="00A142E5"/>
    <w:rsid w:val="00A1499B"/>
    <w:rsid w:val="00A227B2"/>
    <w:rsid w:val="00A22D37"/>
    <w:rsid w:val="00A314C2"/>
    <w:rsid w:val="00A31CB3"/>
    <w:rsid w:val="00A51C93"/>
    <w:rsid w:val="00A62559"/>
    <w:rsid w:val="00A63E86"/>
    <w:rsid w:val="00A65A1C"/>
    <w:rsid w:val="00A757C3"/>
    <w:rsid w:val="00A75E5B"/>
    <w:rsid w:val="00A7684A"/>
    <w:rsid w:val="00A7771B"/>
    <w:rsid w:val="00A83A9B"/>
    <w:rsid w:val="00A83B69"/>
    <w:rsid w:val="00A86533"/>
    <w:rsid w:val="00A91CA2"/>
    <w:rsid w:val="00A92FB8"/>
    <w:rsid w:val="00A93D44"/>
    <w:rsid w:val="00A948F1"/>
    <w:rsid w:val="00AA1D7D"/>
    <w:rsid w:val="00AB139D"/>
    <w:rsid w:val="00AB3EFB"/>
    <w:rsid w:val="00AC0B05"/>
    <w:rsid w:val="00AC0B97"/>
    <w:rsid w:val="00AD079A"/>
    <w:rsid w:val="00AD1890"/>
    <w:rsid w:val="00AE2149"/>
    <w:rsid w:val="00AE33AE"/>
    <w:rsid w:val="00AE3785"/>
    <w:rsid w:val="00AE3F91"/>
    <w:rsid w:val="00AE452F"/>
    <w:rsid w:val="00AE4F90"/>
    <w:rsid w:val="00AE76E6"/>
    <w:rsid w:val="00AF418A"/>
    <w:rsid w:val="00B039E3"/>
    <w:rsid w:val="00B0711B"/>
    <w:rsid w:val="00B104DD"/>
    <w:rsid w:val="00B22838"/>
    <w:rsid w:val="00B33E95"/>
    <w:rsid w:val="00B3720B"/>
    <w:rsid w:val="00B5558A"/>
    <w:rsid w:val="00B56513"/>
    <w:rsid w:val="00B56B2E"/>
    <w:rsid w:val="00B64376"/>
    <w:rsid w:val="00B7401F"/>
    <w:rsid w:val="00B806C3"/>
    <w:rsid w:val="00B84FCA"/>
    <w:rsid w:val="00B9089F"/>
    <w:rsid w:val="00B91AEE"/>
    <w:rsid w:val="00B95F5A"/>
    <w:rsid w:val="00B96EAD"/>
    <w:rsid w:val="00BA79F5"/>
    <w:rsid w:val="00BB3AB6"/>
    <w:rsid w:val="00BB766D"/>
    <w:rsid w:val="00BC007B"/>
    <w:rsid w:val="00BC239B"/>
    <w:rsid w:val="00BC26BA"/>
    <w:rsid w:val="00BC35F8"/>
    <w:rsid w:val="00BC623B"/>
    <w:rsid w:val="00BE18C5"/>
    <w:rsid w:val="00BF16B9"/>
    <w:rsid w:val="00BF376F"/>
    <w:rsid w:val="00BF46A6"/>
    <w:rsid w:val="00BF58A9"/>
    <w:rsid w:val="00C06545"/>
    <w:rsid w:val="00C1161C"/>
    <w:rsid w:val="00C1244B"/>
    <w:rsid w:val="00C220FC"/>
    <w:rsid w:val="00C24DFA"/>
    <w:rsid w:val="00C46A36"/>
    <w:rsid w:val="00C46D88"/>
    <w:rsid w:val="00C47037"/>
    <w:rsid w:val="00C53625"/>
    <w:rsid w:val="00C602C1"/>
    <w:rsid w:val="00C63FC0"/>
    <w:rsid w:val="00C66392"/>
    <w:rsid w:val="00C74C5E"/>
    <w:rsid w:val="00C77C8D"/>
    <w:rsid w:val="00C827A2"/>
    <w:rsid w:val="00C82B69"/>
    <w:rsid w:val="00C90167"/>
    <w:rsid w:val="00C91B28"/>
    <w:rsid w:val="00C91F3A"/>
    <w:rsid w:val="00CB439E"/>
    <w:rsid w:val="00CB4A8E"/>
    <w:rsid w:val="00CB5797"/>
    <w:rsid w:val="00CB5B5E"/>
    <w:rsid w:val="00CC1202"/>
    <w:rsid w:val="00CC644B"/>
    <w:rsid w:val="00CD09E1"/>
    <w:rsid w:val="00CD6202"/>
    <w:rsid w:val="00CE4913"/>
    <w:rsid w:val="00CE4AC0"/>
    <w:rsid w:val="00CE66BD"/>
    <w:rsid w:val="00CF0671"/>
    <w:rsid w:val="00CF44AD"/>
    <w:rsid w:val="00CF4FC0"/>
    <w:rsid w:val="00D030F2"/>
    <w:rsid w:val="00D1072F"/>
    <w:rsid w:val="00D108A5"/>
    <w:rsid w:val="00D14585"/>
    <w:rsid w:val="00D20EFF"/>
    <w:rsid w:val="00D25ABC"/>
    <w:rsid w:val="00D34F0D"/>
    <w:rsid w:val="00D34F7B"/>
    <w:rsid w:val="00D3516E"/>
    <w:rsid w:val="00D4064C"/>
    <w:rsid w:val="00D41225"/>
    <w:rsid w:val="00D476E0"/>
    <w:rsid w:val="00D53ED8"/>
    <w:rsid w:val="00D64857"/>
    <w:rsid w:val="00D6493A"/>
    <w:rsid w:val="00D67875"/>
    <w:rsid w:val="00D71E86"/>
    <w:rsid w:val="00D731C6"/>
    <w:rsid w:val="00D745C5"/>
    <w:rsid w:val="00D75327"/>
    <w:rsid w:val="00D80C36"/>
    <w:rsid w:val="00D86779"/>
    <w:rsid w:val="00D86EE1"/>
    <w:rsid w:val="00D91A99"/>
    <w:rsid w:val="00D933AC"/>
    <w:rsid w:val="00D96126"/>
    <w:rsid w:val="00D97441"/>
    <w:rsid w:val="00DA7B6C"/>
    <w:rsid w:val="00DB4B1C"/>
    <w:rsid w:val="00DB5085"/>
    <w:rsid w:val="00DC1062"/>
    <w:rsid w:val="00DC132C"/>
    <w:rsid w:val="00DC5D94"/>
    <w:rsid w:val="00DD1134"/>
    <w:rsid w:val="00DD43F0"/>
    <w:rsid w:val="00DD44DE"/>
    <w:rsid w:val="00DE09AB"/>
    <w:rsid w:val="00DE4A3F"/>
    <w:rsid w:val="00DF4367"/>
    <w:rsid w:val="00DF76FB"/>
    <w:rsid w:val="00E0574A"/>
    <w:rsid w:val="00E1243D"/>
    <w:rsid w:val="00E12742"/>
    <w:rsid w:val="00E146D4"/>
    <w:rsid w:val="00E20976"/>
    <w:rsid w:val="00E211B4"/>
    <w:rsid w:val="00E22B44"/>
    <w:rsid w:val="00E30ACD"/>
    <w:rsid w:val="00E31B57"/>
    <w:rsid w:val="00E32735"/>
    <w:rsid w:val="00E66E36"/>
    <w:rsid w:val="00E702ED"/>
    <w:rsid w:val="00E709A4"/>
    <w:rsid w:val="00E73822"/>
    <w:rsid w:val="00E772DB"/>
    <w:rsid w:val="00E86012"/>
    <w:rsid w:val="00E86450"/>
    <w:rsid w:val="00E86BAB"/>
    <w:rsid w:val="00E94E10"/>
    <w:rsid w:val="00E96743"/>
    <w:rsid w:val="00E96A42"/>
    <w:rsid w:val="00EA0A36"/>
    <w:rsid w:val="00EA49C5"/>
    <w:rsid w:val="00EB5027"/>
    <w:rsid w:val="00EC1836"/>
    <w:rsid w:val="00EC3990"/>
    <w:rsid w:val="00EC484B"/>
    <w:rsid w:val="00ED15FA"/>
    <w:rsid w:val="00ED3F57"/>
    <w:rsid w:val="00ED7B24"/>
    <w:rsid w:val="00EE6E9A"/>
    <w:rsid w:val="00EF0BF1"/>
    <w:rsid w:val="00EF2AC4"/>
    <w:rsid w:val="00EF397E"/>
    <w:rsid w:val="00EF4C0E"/>
    <w:rsid w:val="00F06F68"/>
    <w:rsid w:val="00F1713B"/>
    <w:rsid w:val="00F24C2D"/>
    <w:rsid w:val="00F26D85"/>
    <w:rsid w:val="00F26F54"/>
    <w:rsid w:val="00F27356"/>
    <w:rsid w:val="00F32A81"/>
    <w:rsid w:val="00F4320E"/>
    <w:rsid w:val="00F46998"/>
    <w:rsid w:val="00F47100"/>
    <w:rsid w:val="00F50BC1"/>
    <w:rsid w:val="00F5382D"/>
    <w:rsid w:val="00F53D9C"/>
    <w:rsid w:val="00F5462B"/>
    <w:rsid w:val="00F634AD"/>
    <w:rsid w:val="00F63677"/>
    <w:rsid w:val="00F75B81"/>
    <w:rsid w:val="00F804C4"/>
    <w:rsid w:val="00F82F83"/>
    <w:rsid w:val="00F832E5"/>
    <w:rsid w:val="00F85900"/>
    <w:rsid w:val="00F90F40"/>
    <w:rsid w:val="00F92B30"/>
    <w:rsid w:val="00F933B9"/>
    <w:rsid w:val="00F938AB"/>
    <w:rsid w:val="00F94674"/>
    <w:rsid w:val="00F94919"/>
    <w:rsid w:val="00F94A59"/>
    <w:rsid w:val="00FA25B6"/>
    <w:rsid w:val="00FA2FAF"/>
    <w:rsid w:val="00FA4BB4"/>
    <w:rsid w:val="00FA64B1"/>
    <w:rsid w:val="00FA70F3"/>
    <w:rsid w:val="00FA71CD"/>
    <w:rsid w:val="00FB0453"/>
    <w:rsid w:val="00FB0C07"/>
    <w:rsid w:val="00FB298D"/>
    <w:rsid w:val="00FB57E2"/>
    <w:rsid w:val="00FB5C76"/>
    <w:rsid w:val="00FC1439"/>
    <w:rsid w:val="00FC724B"/>
    <w:rsid w:val="00FC7910"/>
    <w:rsid w:val="00FF0DA7"/>
    <w:rsid w:val="00FF0F8F"/>
    <w:rsid w:val="00FF44E0"/>
    <w:rsid w:val="00FF6C72"/>
    <w:rsid w:val="02AE6E56"/>
    <w:rsid w:val="03021A9A"/>
    <w:rsid w:val="033B482B"/>
    <w:rsid w:val="04D87AD6"/>
    <w:rsid w:val="05BF2781"/>
    <w:rsid w:val="05D81721"/>
    <w:rsid w:val="0AC4027F"/>
    <w:rsid w:val="0ACC78F9"/>
    <w:rsid w:val="0AF8048C"/>
    <w:rsid w:val="0B0974D2"/>
    <w:rsid w:val="0BB236EC"/>
    <w:rsid w:val="0C651887"/>
    <w:rsid w:val="0CF773F2"/>
    <w:rsid w:val="0DA64489"/>
    <w:rsid w:val="0DAE5868"/>
    <w:rsid w:val="0DCB1BDF"/>
    <w:rsid w:val="0DEA5D13"/>
    <w:rsid w:val="0ECE7FF7"/>
    <w:rsid w:val="12706417"/>
    <w:rsid w:val="14945CF6"/>
    <w:rsid w:val="16330BCA"/>
    <w:rsid w:val="18B835C0"/>
    <w:rsid w:val="2120385C"/>
    <w:rsid w:val="21510D0C"/>
    <w:rsid w:val="2191541A"/>
    <w:rsid w:val="220D5A31"/>
    <w:rsid w:val="22660EAD"/>
    <w:rsid w:val="25E5245B"/>
    <w:rsid w:val="282A442D"/>
    <w:rsid w:val="28D2355B"/>
    <w:rsid w:val="29411BA9"/>
    <w:rsid w:val="29A56C4B"/>
    <w:rsid w:val="2A426596"/>
    <w:rsid w:val="2CCA2648"/>
    <w:rsid w:val="2D44243F"/>
    <w:rsid w:val="2DD12008"/>
    <w:rsid w:val="2FF83E5B"/>
    <w:rsid w:val="316118F5"/>
    <w:rsid w:val="32697EE8"/>
    <w:rsid w:val="35AD335B"/>
    <w:rsid w:val="37CA44D7"/>
    <w:rsid w:val="39D72754"/>
    <w:rsid w:val="3D71148D"/>
    <w:rsid w:val="3E3361A8"/>
    <w:rsid w:val="3E5F540E"/>
    <w:rsid w:val="42712AA7"/>
    <w:rsid w:val="42C121F4"/>
    <w:rsid w:val="436639E6"/>
    <w:rsid w:val="43680DC4"/>
    <w:rsid w:val="440A1268"/>
    <w:rsid w:val="44114AB5"/>
    <w:rsid w:val="45B72A55"/>
    <w:rsid w:val="45D80D31"/>
    <w:rsid w:val="45F33E4F"/>
    <w:rsid w:val="4A725E70"/>
    <w:rsid w:val="4ED11EB2"/>
    <w:rsid w:val="5754544E"/>
    <w:rsid w:val="582E6596"/>
    <w:rsid w:val="584A6BAC"/>
    <w:rsid w:val="58872539"/>
    <w:rsid w:val="5B3012ED"/>
    <w:rsid w:val="5EFF4551"/>
    <w:rsid w:val="5F7B2CF0"/>
    <w:rsid w:val="62054DC8"/>
    <w:rsid w:val="624F7F32"/>
    <w:rsid w:val="62820518"/>
    <w:rsid w:val="63D8721D"/>
    <w:rsid w:val="64281C7B"/>
    <w:rsid w:val="646A4041"/>
    <w:rsid w:val="66996E60"/>
    <w:rsid w:val="67476448"/>
    <w:rsid w:val="69B144C0"/>
    <w:rsid w:val="6ADA3357"/>
    <w:rsid w:val="6CC62404"/>
    <w:rsid w:val="6D7800EF"/>
    <w:rsid w:val="6D8819DC"/>
    <w:rsid w:val="6DBA372D"/>
    <w:rsid w:val="6E5661AF"/>
    <w:rsid w:val="6E8679BF"/>
    <w:rsid w:val="700415EC"/>
    <w:rsid w:val="707F0E75"/>
    <w:rsid w:val="72CC1BD6"/>
    <w:rsid w:val="73B43DC2"/>
    <w:rsid w:val="73EB6821"/>
    <w:rsid w:val="74503C05"/>
    <w:rsid w:val="74F84494"/>
    <w:rsid w:val="751F49D4"/>
    <w:rsid w:val="760A0840"/>
    <w:rsid w:val="78197E01"/>
    <w:rsid w:val="78F17746"/>
    <w:rsid w:val="79D7762B"/>
    <w:rsid w:val="7E56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61"/>
    <w:autoRedefine/>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66"/>
    <w:autoRedefine/>
    <w:qFormat/>
    <w:uiPriority w:val="0"/>
    <w:pPr>
      <w:keepNext/>
      <w:keepLines/>
      <w:spacing w:before="280" w:after="290" w:line="376" w:lineRule="auto"/>
      <w:outlineLvl w:val="3"/>
    </w:pPr>
    <w:rPr>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sz w:val="18"/>
      <w:szCs w:val="18"/>
    </w:r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8"/>
    <w:autoRedefine/>
    <w:qFormat/>
    <w:uiPriority w:val="0"/>
    <w:pPr>
      <w:jc w:val="left"/>
    </w:pPr>
    <w:rPr>
      <w:rFonts w:ascii="Arial" w:hAnsi="Arial" w:eastAsia="黑体" w:cs="Arial"/>
    </w:rPr>
  </w:style>
  <w:style w:type="paragraph" w:styleId="8">
    <w:name w:val="Body Text"/>
    <w:basedOn w:val="1"/>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next w:val="10"/>
    <w:unhideWhenUsed/>
    <w:qFormat/>
    <w:uiPriority w:val="99"/>
    <w:pPr>
      <w:spacing w:after="120"/>
      <w:ind w:left="420" w:leftChars="200"/>
    </w:pPr>
  </w:style>
  <w:style w:type="paragraph" w:styleId="10">
    <w:name w:val="envelope return"/>
    <w:basedOn w:val="1"/>
    <w:next w:val="5"/>
    <w:qFormat/>
    <w:uiPriority w:val="99"/>
    <w:pPr>
      <w:widowControl/>
      <w:snapToGrid w:val="0"/>
      <w:spacing w:line="357" w:lineRule="atLeast"/>
      <w:textAlignment w:val="baseline"/>
    </w:pPr>
    <w:rPr>
      <w:rFonts w:ascii="Arial" w:hAnsi="Arial" w:cs="Arial"/>
      <w:color w:val="000000"/>
      <w:kern w:val="0"/>
      <w:u w:color="000000"/>
    </w:rPr>
  </w:style>
  <w:style w:type="paragraph" w:styleId="11">
    <w:name w:val="index 4"/>
    <w:basedOn w:val="1"/>
    <w:next w:val="1"/>
    <w:qFormat/>
    <w:uiPriority w:val="99"/>
    <w:pPr>
      <w:ind w:left="600" w:leftChars="600"/>
    </w:pPr>
    <w:rPr>
      <w:rFonts w:ascii="Times New Roman" w:hAnsi="Times New Roman" w:eastAsia="宋体" w:cs="Times New Roman"/>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autoRedefine/>
    <w:qFormat/>
    <w:uiPriority w:val="0"/>
    <w:rPr>
      <w:rFonts w:ascii="宋体" w:hAnsi="Courier New" w:eastAsiaTheme="minorEastAsia" w:cstheme="minorBidi"/>
      <w:szCs w:val="22"/>
    </w:rPr>
  </w:style>
  <w:style w:type="paragraph" w:styleId="14">
    <w:name w:val="Date"/>
    <w:basedOn w:val="1"/>
    <w:next w:val="1"/>
    <w:link w:val="54"/>
    <w:autoRedefine/>
    <w:qFormat/>
    <w:uiPriority w:val="0"/>
    <w:rPr>
      <w:rFonts w:ascii="Arial" w:hAnsi="Arial" w:eastAsia="宋体" w:cs="Arial"/>
      <w:b/>
      <w:sz w:val="28"/>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46"/>
    <w:autoRedefine/>
    <w:unhideWhenUsed/>
    <w:qFormat/>
    <w:uiPriority w:val="99"/>
    <w:pPr>
      <w:tabs>
        <w:tab w:val="center" w:pos="4153"/>
        <w:tab w:val="right" w:pos="8306"/>
      </w:tabs>
      <w:snapToGrid w:val="0"/>
      <w:jc w:val="left"/>
    </w:pPr>
    <w:rPr>
      <w:sz w:val="18"/>
      <w:szCs w:val="18"/>
    </w:rPr>
  </w:style>
  <w:style w:type="paragraph" w:styleId="17">
    <w:name w:val="header"/>
    <w:basedOn w:val="1"/>
    <w:link w:val="4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List"/>
    <w:basedOn w:val="1"/>
    <w:next w:val="1"/>
    <w:qFormat/>
    <w:uiPriority w:val="0"/>
    <w:pPr>
      <w:ind w:left="420" w:hanging="420"/>
    </w:pPr>
    <w:rPr>
      <w:rFonts w:ascii="Arial" w:hAnsi="Arial" w:eastAsia="楷体_GB2312"/>
      <w:sz w:val="28"/>
    </w:rPr>
  </w:style>
  <w:style w:type="paragraph" w:styleId="20">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Body Text First Indent"/>
    <w:basedOn w:val="8"/>
    <w:autoRedefine/>
    <w:unhideWhenUsed/>
    <w:qFormat/>
    <w:uiPriority w:val="99"/>
    <w:pPr>
      <w:ind w:firstLine="420" w:firstLineChars="100"/>
    </w:pPr>
  </w:style>
  <w:style w:type="paragraph" w:styleId="24">
    <w:name w:val="Body Text First Indent 2"/>
    <w:basedOn w:val="9"/>
    <w:next w:val="19"/>
    <w:unhideWhenUsed/>
    <w:qFormat/>
    <w:uiPriority w:val="99"/>
    <w:pPr>
      <w:ind w:firstLine="420" w:firstLineChars="200"/>
    </w:pPr>
  </w:style>
  <w:style w:type="table" w:styleId="26">
    <w:name w:val="Table Grid"/>
    <w:basedOn w:val="2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0"/>
    <w:rPr>
      <w:b/>
      <w:bCs/>
    </w:rPr>
  </w:style>
  <w:style w:type="character" w:styleId="29">
    <w:name w:val="FollowedHyperlink"/>
    <w:basedOn w:val="27"/>
    <w:semiHidden/>
    <w:unhideWhenUsed/>
    <w:qFormat/>
    <w:uiPriority w:val="99"/>
    <w:rPr>
      <w:color w:val="5C5C5C"/>
      <w:u w:val="none"/>
    </w:rPr>
  </w:style>
  <w:style w:type="character" w:styleId="30">
    <w:name w:val="Emphasis"/>
    <w:basedOn w:val="27"/>
    <w:qFormat/>
    <w:uiPriority w:val="20"/>
    <w:rPr>
      <w:b/>
      <w:bCs/>
    </w:rPr>
  </w:style>
  <w:style w:type="character" w:styleId="31">
    <w:name w:val="HTML Definition"/>
    <w:basedOn w:val="27"/>
    <w:semiHidden/>
    <w:unhideWhenUsed/>
    <w:qFormat/>
    <w:uiPriority w:val="99"/>
  </w:style>
  <w:style w:type="character" w:styleId="32">
    <w:name w:val="HTML Typewriter"/>
    <w:basedOn w:val="27"/>
    <w:semiHidden/>
    <w:unhideWhenUsed/>
    <w:qFormat/>
    <w:uiPriority w:val="99"/>
    <w:rPr>
      <w:rFonts w:hint="default" w:ascii="monospace" w:hAnsi="monospace" w:eastAsia="monospace" w:cs="monospace"/>
      <w:color w:val="5C5C5C"/>
      <w:sz w:val="20"/>
      <w:u w:val="none"/>
      <w:bdr w:val="single" w:color="7CBCF3" w:sz="6" w:space="0"/>
      <w:shd w:val="clear" w:fill="FFFFFF"/>
    </w:rPr>
  </w:style>
  <w:style w:type="character" w:styleId="33">
    <w:name w:val="HTML Acronym"/>
    <w:basedOn w:val="27"/>
    <w:semiHidden/>
    <w:unhideWhenUsed/>
    <w:qFormat/>
    <w:uiPriority w:val="99"/>
  </w:style>
  <w:style w:type="character" w:styleId="34">
    <w:name w:val="HTML Variable"/>
    <w:basedOn w:val="27"/>
    <w:semiHidden/>
    <w:unhideWhenUsed/>
    <w:qFormat/>
    <w:uiPriority w:val="99"/>
  </w:style>
  <w:style w:type="character" w:styleId="35">
    <w:name w:val="Hyperlink"/>
    <w:basedOn w:val="27"/>
    <w:autoRedefine/>
    <w:unhideWhenUsed/>
    <w:qFormat/>
    <w:uiPriority w:val="99"/>
    <w:rPr>
      <w:color w:val="0000FF" w:themeColor="hyperlink"/>
      <w:u w:val="single"/>
      <w14:textFill>
        <w14:solidFill>
          <w14:schemeClr w14:val="hlink"/>
        </w14:solidFill>
      </w14:textFill>
    </w:rPr>
  </w:style>
  <w:style w:type="character" w:styleId="36">
    <w:name w:val="HTML Code"/>
    <w:basedOn w:val="27"/>
    <w:semiHidden/>
    <w:unhideWhenUsed/>
    <w:qFormat/>
    <w:uiPriority w:val="99"/>
    <w:rPr>
      <w:rFonts w:ascii="monospace" w:hAnsi="monospace" w:eastAsia="monospace" w:cs="monospace"/>
      <w:sz w:val="20"/>
    </w:rPr>
  </w:style>
  <w:style w:type="character" w:styleId="37">
    <w:name w:val="HTML Cite"/>
    <w:basedOn w:val="27"/>
    <w:semiHidden/>
    <w:unhideWhenUsed/>
    <w:qFormat/>
    <w:uiPriority w:val="99"/>
  </w:style>
  <w:style w:type="character" w:styleId="38">
    <w:name w:val="HTML Keyboard"/>
    <w:basedOn w:val="27"/>
    <w:semiHidden/>
    <w:unhideWhenUsed/>
    <w:qFormat/>
    <w:uiPriority w:val="99"/>
    <w:rPr>
      <w:rFonts w:hint="default" w:ascii="monospace" w:hAnsi="monospace" w:eastAsia="monospace" w:cs="monospace"/>
      <w:sz w:val="20"/>
    </w:rPr>
  </w:style>
  <w:style w:type="character" w:styleId="39">
    <w:name w:val="HTML Sample"/>
    <w:basedOn w:val="27"/>
    <w:semiHidden/>
    <w:unhideWhenUsed/>
    <w:qFormat/>
    <w:uiPriority w:val="99"/>
    <w:rPr>
      <w:rFonts w:hint="default" w:ascii="monospace" w:hAnsi="monospace" w:eastAsia="monospace" w:cs="monospace"/>
    </w:rPr>
  </w:style>
  <w:style w:type="paragraph" w:customStyle="1" w:styleId="40">
    <w:name w:val="首行缩进"/>
    <w:basedOn w:val="1"/>
    <w:autoRedefine/>
    <w:qFormat/>
    <w:uiPriority w:val="0"/>
    <w:pPr>
      <w:spacing w:line="360" w:lineRule="auto"/>
      <w:ind w:firstLine="480" w:firstLineChars="200"/>
    </w:pPr>
    <w:rPr>
      <w:sz w:val="24"/>
      <w:lang w:val="zh-CN"/>
    </w:rPr>
  </w:style>
  <w:style w:type="character" w:customStyle="1" w:styleId="41">
    <w:name w:val="批注框文本 字符"/>
    <w:basedOn w:val="27"/>
    <w:link w:val="15"/>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字符"/>
    <w:basedOn w:val="27"/>
    <w:link w:val="17"/>
    <w:autoRedefine/>
    <w:qFormat/>
    <w:uiPriority w:val="0"/>
    <w:rPr>
      <w:rFonts w:ascii="@仿宋_GB2312" w:hAnsi="@仿宋_GB2312" w:eastAsia="@仿宋_GB2312" w:cs="@仿宋_GB2312"/>
      <w:sz w:val="18"/>
      <w:szCs w:val="18"/>
    </w:rPr>
  </w:style>
  <w:style w:type="character" w:customStyle="1" w:styleId="46">
    <w:name w:val="页脚 字符"/>
    <w:basedOn w:val="27"/>
    <w:link w:val="16"/>
    <w:autoRedefine/>
    <w:qFormat/>
    <w:uiPriority w:val="99"/>
    <w:rPr>
      <w:rFonts w:ascii="@仿宋_GB2312" w:hAnsi="@仿宋_GB2312" w:eastAsia="@仿宋_GB2312" w:cs="@仿宋_GB2312"/>
      <w:sz w:val="18"/>
      <w:szCs w:val="18"/>
    </w:rPr>
  </w:style>
  <w:style w:type="character" w:customStyle="1" w:styleId="47">
    <w:name w:val="纯文本 字符"/>
    <w:link w:val="13"/>
    <w:autoRedefine/>
    <w:qFormat/>
    <w:uiPriority w:val="0"/>
    <w:rPr>
      <w:rFonts w:ascii="宋体" w:hAnsi="Courier New"/>
    </w:rPr>
  </w:style>
  <w:style w:type="character" w:customStyle="1" w:styleId="48">
    <w:name w:val="纯文本 字符1"/>
    <w:basedOn w:val="27"/>
    <w:autoRedefine/>
    <w:semiHidden/>
    <w:qFormat/>
    <w:uiPriority w:val="99"/>
    <w:rPr>
      <w:rFonts w:hAnsi="Courier New" w:cs="Courier New" w:asciiTheme="minorEastAsia"/>
      <w:szCs w:val="20"/>
    </w:rPr>
  </w:style>
  <w:style w:type="character" w:customStyle="1" w:styleId="49">
    <w:name w:val="未处理的提及1"/>
    <w:basedOn w:val="27"/>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7"/>
    <w:autoRedefine/>
    <w:semiHidden/>
    <w:qFormat/>
    <w:uiPriority w:val="99"/>
    <w:rPr>
      <w:rFonts w:ascii="@仿宋_GB2312" w:hAnsi="@仿宋_GB2312" w:eastAsia="@仿宋_GB2312" w:cs="@仿宋_GB2312"/>
      <w:szCs w:val="20"/>
    </w:rPr>
  </w:style>
  <w:style w:type="character" w:customStyle="1" w:styleId="54">
    <w:name w:val="日期 字符1"/>
    <w:link w:val="14"/>
    <w:autoRedefine/>
    <w:qFormat/>
    <w:uiPriority w:val="0"/>
    <w:rPr>
      <w:rFonts w:ascii="Arial" w:hAnsi="Arial" w:eastAsia="宋体" w:cs="Arial"/>
      <w:b/>
      <w:sz w:val="28"/>
      <w:szCs w:val="20"/>
    </w:rPr>
  </w:style>
  <w:style w:type="character" w:customStyle="1" w:styleId="55">
    <w:name w:val="纯文本 Char1"/>
    <w:link w:val="56"/>
    <w:autoRedefine/>
    <w:qFormat/>
    <w:locked/>
    <w:uiPriority w:val="0"/>
    <w:rPr>
      <w:rFonts w:ascii="Arial" w:hAnsi="Arial" w:eastAsia="Arial"/>
      <w:kern w:val="2"/>
      <w:sz w:val="21"/>
      <w:lang w:val="en-US" w:eastAsia="zh-CN" w:bidi="ar-SA"/>
    </w:rPr>
  </w:style>
  <w:style w:type="paragraph" w:customStyle="1" w:styleId="56">
    <w:name w:val="纯文本1"/>
    <w:basedOn w:val="1"/>
    <w:link w:val="55"/>
    <w:autoRedefine/>
    <w:qFormat/>
    <w:uiPriority w:val="0"/>
    <w:rPr>
      <w:rFonts w:ascii="Arial" w:hAnsi="Arial" w:eastAsia="Arial" w:cstheme="minorBidi"/>
      <w:szCs w:val="22"/>
    </w:rPr>
  </w:style>
  <w:style w:type="character" w:customStyle="1" w:styleId="57">
    <w:name w:val="批注文字 Char"/>
    <w:basedOn w:val="27"/>
    <w:autoRedefine/>
    <w:semiHidden/>
    <w:qFormat/>
    <w:uiPriority w:val="99"/>
    <w:rPr>
      <w:rFonts w:ascii="@仿宋_GB2312" w:hAnsi="@仿宋_GB2312" w:eastAsia="@仿宋_GB2312" w:cs="@仿宋_GB2312"/>
      <w:szCs w:val="20"/>
    </w:rPr>
  </w:style>
  <w:style w:type="character" w:customStyle="1" w:styleId="58">
    <w:name w:val="批注文字 字符"/>
    <w:link w:val="7"/>
    <w:autoRedefine/>
    <w:qFormat/>
    <w:uiPriority w:val="0"/>
    <w:rPr>
      <w:rFonts w:ascii="Arial" w:hAnsi="Arial" w:eastAsia="黑体" w:cs="Arial"/>
      <w:szCs w:val="20"/>
    </w:rPr>
  </w:style>
  <w:style w:type="character" w:customStyle="1" w:styleId="59">
    <w:name w:val="标题 1 字符"/>
    <w:basedOn w:val="27"/>
    <w:link w:val="2"/>
    <w:autoRedefine/>
    <w:qFormat/>
    <w:uiPriority w:val="9"/>
    <w:rPr>
      <w:rFonts w:ascii="@仿宋_GB2312" w:hAnsi="@仿宋_GB2312" w:eastAsia="@仿宋_GB2312" w:cs="@仿宋_GB2312"/>
      <w:b/>
      <w:bCs/>
      <w:kern w:val="44"/>
      <w:sz w:val="44"/>
      <w:szCs w:val="44"/>
    </w:rPr>
  </w:style>
  <w:style w:type="paragraph" w:customStyle="1" w:styleId="60">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标题 3 字符"/>
    <w:basedOn w:val="27"/>
    <w:link w:val="3"/>
    <w:autoRedefine/>
    <w:semiHidden/>
    <w:qFormat/>
    <w:uiPriority w:val="9"/>
    <w:rPr>
      <w:rFonts w:ascii="@仿宋_GB2312" w:hAnsi="@仿宋_GB2312" w:eastAsia="@仿宋_GB2312" w:cs="@仿宋_GB2312"/>
      <w:b/>
      <w:bCs/>
      <w:sz w:val="32"/>
      <w:szCs w:val="32"/>
    </w:rPr>
  </w:style>
  <w:style w:type="character" w:customStyle="1" w:styleId="62">
    <w:name w:val="fontstyle01"/>
    <w:basedOn w:val="27"/>
    <w:autoRedefine/>
    <w:qFormat/>
    <w:uiPriority w:val="0"/>
    <w:rPr>
      <w:rFonts w:hint="eastAsia" w:ascii="宋体" w:hAnsi="宋体" w:eastAsia="宋体"/>
      <w:color w:val="000000"/>
      <w:sz w:val="22"/>
      <w:szCs w:val="22"/>
    </w:rPr>
  </w:style>
  <w:style w:type="character" w:customStyle="1" w:styleId="63">
    <w:name w:val="fontstyle21"/>
    <w:basedOn w:val="27"/>
    <w:autoRedefine/>
    <w:qFormat/>
    <w:uiPriority w:val="0"/>
    <w:rPr>
      <w:rFonts w:hint="default" w:ascii="TimesNewRomanPSMT" w:hAnsi="TimesNewRomanPSMT"/>
      <w:color w:val="000000"/>
      <w:sz w:val="22"/>
      <w:szCs w:val="22"/>
    </w:rPr>
  </w:style>
  <w:style w:type="character" w:customStyle="1" w:styleId="6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7"/>
    <w:autoRedefine/>
    <w:semiHidden/>
    <w:qFormat/>
    <w:uiPriority w:val="9"/>
    <w:rPr>
      <w:rFonts w:asciiTheme="majorHAnsi" w:hAnsiTheme="majorHAnsi" w:eastAsiaTheme="majorEastAsia" w:cstheme="majorBidi"/>
      <w:b/>
      <w:bCs/>
      <w:sz w:val="28"/>
      <w:szCs w:val="28"/>
    </w:rPr>
  </w:style>
  <w:style w:type="character" w:customStyle="1" w:styleId="66">
    <w:name w:val="标题 4 字符1"/>
    <w:link w:val="4"/>
    <w:autoRedefine/>
    <w:qFormat/>
    <w:uiPriority w:val="0"/>
    <w:rPr>
      <w:rFonts w:ascii="@仿宋_GB2312" w:hAnsi="@仿宋_GB2312" w:eastAsia="@仿宋_GB2312" w:cs="@仿宋_GB2312"/>
      <w:b/>
      <w:bCs/>
      <w:sz w:val="28"/>
      <w:szCs w:val="28"/>
    </w:rPr>
  </w:style>
  <w:style w:type="character" w:customStyle="1" w:styleId="67">
    <w:name w:val="hover1"/>
    <w:basedOn w:val="27"/>
    <w:qFormat/>
    <w:uiPriority w:val="0"/>
    <w:rPr>
      <w:color w:val="2590EB"/>
    </w:rPr>
  </w:style>
  <w:style w:type="character" w:customStyle="1" w:styleId="68">
    <w:name w:val="hover2"/>
    <w:basedOn w:val="27"/>
    <w:qFormat/>
    <w:uiPriority w:val="0"/>
    <w:rPr>
      <w:color w:val="2590EB"/>
    </w:rPr>
  </w:style>
  <w:style w:type="character" w:customStyle="1" w:styleId="69">
    <w:name w:val="hover3"/>
    <w:basedOn w:val="27"/>
    <w:qFormat/>
    <w:uiPriority w:val="0"/>
  </w:style>
  <w:style w:type="character" w:customStyle="1" w:styleId="70">
    <w:name w:val="hover4"/>
    <w:basedOn w:val="27"/>
    <w:qFormat/>
    <w:uiPriority w:val="0"/>
    <w:rPr>
      <w:color w:val="2590EB"/>
      <w:shd w:val="clear" w:fill="E9F4FD"/>
    </w:rPr>
  </w:style>
  <w:style w:type="character" w:customStyle="1" w:styleId="71">
    <w:name w:val="hover"/>
    <w:basedOn w:val="27"/>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98ECD-E22D-4D0D-918B-F11B9CC08BF2}">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59</Pages>
  <Words>1425</Words>
  <Characters>1749</Characters>
  <Lines>102</Lines>
  <Paragraphs>28</Paragraphs>
  <TotalTime>38</TotalTime>
  <ScaleCrop>false</ScaleCrop>
  <LinksUpToDate>false</LinksUpToDate>
  <CharactersWithSpaces>1791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韦韦</cp:lastModifiedBy>
  <cp:lastPrinted>2019-12-07T15:23:00Z</cp:lastPrinted>
  <dcterms:modified xsi:type="dcterms:W3CDTF">2026-06-12T02:53:05Z</dcterms:modified>
  <cp:revision>316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4BE9200D711E4577894F5C6AF8444741_12</vt:lpwstr>
  </property>
  <property fmtid="{D5CDD505-2E9C-101B-9397-08002B2CF9AE}" pid="4" name="KSOTemplateDocerSaveRecord">
    <vt:lpwstr>eyJoZGlkIjoiZmQ5MGI3YTdkMjVkZTZjM2ZjZTQ5YjMxYTJjZjRlOWEiLCJ1c2VySWQiOiIzNjE4MjQ5In0=</vt:lpwstr>
  </property>
</Properties>
</file>