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58A13">
      <w:pPr>
        <w:pStyle w:val="12"/>
        <w:ind w:left="0" w:leftChars="0" w:firstLineChars="0"/>
        <w:jc w:val="center"/>
        <w:rPr>
          <w:rFonts w:ascii="新宋体" w:hAnsi="新宋体" w:eastAsia="新宋体"/>
          <w:b/>
          <w:color w:val="auto"/>
          <w:sz w:val="44"/>
          <w:szCs w:val="44"/>
          <w:highlight w:val="none"/>
        </w:rPr>
      </w:pPr>
      <w:bookmarkStart w:id="0" w:name="OLE_LINK1"/>
    </w:p>
    <w:p w14:paraId="6193BF03">
      <w:pPr>
        <w:spacing w:before="312" w:beforeLines="100" w:after="312" w:afterLines="100" w:line="840" w:lineRule="exact"/>
        <w:jc w:val="center"/>
        <w:rPr>
          <w:rFonts w:hint="eastAsia" w:eastAsia="宋体"/>
          <w:color w:val="auto"/>
          <w:highlight w:val="none"/>
          <w:lang w:eastAsia="zh-CN"/>
        </w:rPr>
      </w:pPr>
      <w:r>
        <w:rPr>
          <w:rFonts w:hint="eastAsia" w:ascii="新宋体" w:hAnsi="新宋体" w:eastAsia="新宋体"/>
          <w:b/>
          <w:color w:val="auto"/>
          <w:sz w:val="44"/>
          <w:szCs w:val="44"/>
          <w:highlight w:val="none"/>
          <w:lang w:eastAsia="zh-CN"/>
        </w:rPr>
        <w:t>滁州市二次供水设备合格供应商采购项目</w:t>
      </w:r>
    </w:p>
    <w:p w14:paraId="706B0E10">
      <w:pPr>
        <w:spacing w:before="156" w:beforeLines="50" w:after="156" w:afterLines="50"/>
        <w:ind w:left="-850" w:leftChars="-405" w:right="-625"/>
        <w:jc w:val="center"/>
        <w:rPr>
          <w:rFonts w:ascii="宋体" w:hAnsi="宋体"/>
          <w:color w:val="auto"/>
          <w:sz w:val="40"/>
          <w:szCs w:val="36"/>
          <w:highlight w:val="none"/>
        </w:rPr>
      </w:pPr>
      <w:r>
        <w:rPr>
          <w:rFonts w:hint="eastAsia" w:ascii="宋体" w:hAnsi="宋体"/>
          <w:color w:val="auto"/>
          <w:sz w:val="40"/>
          <w:szCs w:val="36"/>
          <w:highlight w:val="none"/>
        </w:rPr>
        <w:t>（电子招标投标）</w:t>
      </w:r>
    </w:p>
    <w:p w14:paraId="2B947221">
      <w:pPr>
        <w:pStyle w:val="12"/>
        <w:ind w:left="0" w:leftChars="0" w:firstLine="2880" w:firstLineChars="1200"/>
        <w:rPr>
          <w:rFonts w:hint="default" w:eastAsia="宋体"/>
          <w:color w:val="auto"/>
          <w:sz w:val="24"/>
          <w:highlight w:val="none"/>
          <w:lang w:val="en-US" w:eastAsia="zh-CN"/>
        </w:rPr>
      </w:pPr>
      <w:r>
        <w:rPr>
          <w:rFonts w:hint="eastAsia"/>
          <w:color w:val="auto"/>
          <w:sz w:val="24"/>
          <w:highlight w:val="none"/>
        </w:rPr>
        <w:t>项目编号：czsjqt2025</w:t>
      </w:r>
      <w:r>
        <w:rPr>
          <w:rFonts w:hint="eastAsia"/>
          <w:color w:val="auto"/>
          <w:sz w:val="24"/>
          <w:highlight w:val="none"/>
          <w:lang w:val="en-US" w:eastAsia="zh-CN"/>
        </w:rPr>
        <w:t>11-013</w:t>
      </w:r>
    </w:p>
    <w:p w14:paraId="5A46434C">
      <w:pPr>
        <w:pStyle w:val="52"/>
        <w:ind w:firstLine="0" w:firstLineChars="0"/>
        <w:rPr>
          <w:color w:val="auto"/>
          <w:highlight w:val="none"/>
        </w:rPr>
      </w:pPr>
    </w:p>
    <w:p w14:paraId="2522ADF8">
      <w:pPr>
        <w:pStyle w:val="52"/>
        <w:ind w:firstLine="480"/>
        <w:rPr>
          <w:color w:val="auto"/>
          <w:highlight w:val="none"/>
        </w:rPr>
      </w:pPr>
    </w:p>
    <w:p w14:paraId="7166B834">
      <w:pPr>
        <w:rPr>
          <w:rFonts w:ascii="宋体"/>
          <w:bCs/>
          <w:color w:val="auto"/>
          <w:szCs w:val="21"/>
          <w:highlight w:val="none"/>
        </w:rPr>
      </w:pPr>
    </w:p>
    <w:p w14:paraId="596D9607">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7875971E">
      <w:pPr>
        <w:rPr>
          <w:rFonts w:ascii="宋体"/>
          <w:bCs/>
          <w:color w:val="auto"/>
          <w:szCs w:val="21"/>
          <w:highlight w:val="none"/>
        </w:rPr>
      </w:pPr>
    </w:p>
    <w:p w14:paraId="08F7FA0F">
      <w:pPr>
        <w:rPr>
          <w:rFonts w:ascii="宋体" w:hAnsi="宋体"/>
          <w:b/>
          <w:color w:val="auto"/>
          <w:sz w:val="84"/>
          <w:szCs w:val="84"/>
          <w:highlight w:val="none"/>
        </w:rPr>
      </w:pPr>
      <w:r>
        <w:rPr>
          <w:rFonts w:hint="eastAsia" w:ascii="宋体" w:hAnsi="宋体"/>
          <w:b/>
          <w:color w:val="auto"/>
          <w:sz w:val="84"/>
          <w:szCs w:val="84"/>
          <w:highlight w:val="none"/>
        </w:rPr>
        <w:t xml:space="preserve"> </w:t>
      </w:r>
    </w:p>
    <w:p w14:paraId="58CA5781">
      <w:pPr>
        <w:pStyle w:val="13"/>
        <w:ind w:left="420"/>
        <w:rPr>
          <w:color w:val="auto"/>
          <w:highlight w:val="none"/>
        </w:rPr>
      </w:pPr>
    </w:p>
    <w:p w14:paraId="79BE5134">
      <w:pPr>
        <w:rPr>
          <w:color w:val="auto"/>
          <w:highlight w:val="none"/>
        </w:rPr>
      </w:pPr>
    </w:p>
    <w:p w14:paraId="38559AE4">
      <w:pPr>
        <w:pStyle w:val="12"/>
        <w:ind w:firstLine="400"/>
        <w:rPr>
          <w:color w:val="auto"/>
          <w:highlight w:val="none"/>
        </w:rPr>
      </w:pPr>
    </w:p>
    <w:p w14:paraId="1B0A714C">
      <w:pPr>
        <w:spacing w:before="312" w:beforeLines="100" w:after="312" w:afterLines="100" w:line="360" w:lineRule="auto"/>
        <w:jc w:val="left"/>
        <w:rPr>
          <w:rFonts w:ascii="宋体"/>
          <w:b/>
          <w:color w:val="auto"/>
          <w:sz w:val="32"/>
          <w:szCs w:val="32"/>
          <w:highlight w:val="none"/>
        </w:rPr>
      </w:pPr>
    </w:p>
    <w:p w14:paraId="0AC52618">
      <w:pPr>
        <w:pStyle w:val="12"/>
        <w:ind w:firstLine="400"/>
        <w:rPr>
          <w:color w:val="auto"/>
          <w:highlight w:val="none"/>
        </w:rPr>
      </w:pPr>
    </w:p>
    <w:p w14:paraId="4B6FBA9B">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滁州市自来水有限公司       </w:t>
      </w:r>
      <w:r>
        <w:rPr>
          <w:rFonts w:hint="eastAsia" w:ascii="宋体"/>
          <w:b/>
          <w:color w:val="auto"/>
          <w:sz w:val="32"/>
          <w:szCs w:val="32"/>
          <w:highlight w:val="none"/>
        </w:rPr>
        <w:t>（盖单位章）</w:t>
      </w:r>
    </w:p>
    <w:p w14:paraId="1B64728D">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2995E6F">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2025</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11</w:t>
      </w:r>
      <w:r>
        <w:rPr>
          <w:rFonts w:hint="eastAsia" w:ascii="宋体"/>
          <w:b/>
          <w:color w:val="auto"/>
          <w:sz w:val="32"/>
          <w:szCs w:val="32"/>
          <w:highlight w:val="none"/>
        </w:rPr>
        <w:t>月</w:t>
      </w:r>
    </w:p>
    <w:p w14:paraId="010572EC">
      <w:pPr>
        <w:spacing w:line="360" w:lineRule="exact"/>
        <w:rPr>
          <w:b/>
          <w:color w:val="auto"/>
          <w:sz w:val="36"/>
          <w:highlight w:val="none"/>
        </w:rPr>
      </w:pPr>
    </w:p>
    <w:p w14:paraId="0C4452C4">
      <w:pPr>
        <w:pStyle w:val="13"/>
        <w:ind w:left="0" w:leftChars="0"/>
        <w:rPr>
          <w:color w:val="auto"/>
          <w:highlight w:val="none"/>
        </w:rPr>
      </w:pPr>
    </w:p>
    <w:p w14:paraId="355E478C">
      <w:pPr>
        <w:pStyle w:val="14"/>
        <w:rPr>
          <w:color w:val="auto"/>
          <w:highlight w:val="none"/>
        </w:rPr>
      </w:pPr>
    </w:p>
    <w:p w14:paraId="16774568">
      <w:pPr>
        <w:spacing w:line="360" w:lineRule="exact"/>
        <w:jc w:val="center"/>
        <w:rPr>
          <w:b/>
          <w:color w:val="auto"/>
          <w:sz w:val="36"/>
          <w:highlight w:val="none"/>
        </w:rPr>
      </w:pPr>
    </w:p>
    <w:p w14:paraId="1D6FBEAB">
      <w:pPr>
        <w:spacing w:line="360" w:lineRule="auto"/>
        <w:jc w:val="center"/>
        <w:rPr>
          <w:b/>
          <w:color w:val="auto"/>
          <w:sz w:val="44"/>
          <w:szCs w:val="32"/>
          <w:highlight w:val="none"/>
        </w:rPr>
      </w:pPr>
      <w:r>
        <w:rPr>
          <w:rFonts w:hint="eastAsia"/>
          <w:b/>
          <w:color w:val="auto"/>
          <w:sz w:val="44"/>
          <w:szCs w:val="32"/>
          <w:highlight w:val="none"/>
        </w:rPr>
        <w:t>目  录</w:t>
      </w:r>
    </w:p>
    <w:p w14:paraId="582AEB6C">
      <w:pPr>
        <w:spacing w:line="720" w:lineRule="auto"/>
        <w:jc w:val="center"/>
        <w:rPr>
          <w:b/>
          <w:color w:val="auto"/>
          <w:sz w:val="36"/>
          <w:highlight w:val="none"/>
        </w:rPr>
      </w:pPr>
    </w:p>
    <w:p w14:paraId="409C730C">
      <w:pPr>
        <w:pStyle w:val="25"/>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241E0BFC">
      <w:pPr>
        <w:pStyle w:val="25"/>
        <w:tabs>
          <w:tab w:val="right" w:leader="dot" w:pos="9072"/>
        </w:tabs>
        <w:spacing w:line="700" w:lineRule="exact"/>
        <w:rPr>
          <w:rFonts w:hint="eastAsia"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4B472BC1">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78536156">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3</w:t>
      </w:r>
    </w:p>
    <w:p w14:paraId="3A4C062A">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7</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6</w:t>
      </w:r>
    </w:p>
    <w:p w14:paraId="64FC1A43">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83</w:t>
      </w:r>
    </w:p>
    <w:p w14:paraId="34381AEE">
      <w:pPr>
        <w:pStyle w:val="25"/>
        <w:tabs>
          <w:tab w:val="right" w:leader="dot" w:pos="9072"/>
        </w:tabs>
        <w:spacing w:line="700" w:lineRule="exact"/>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01</w:t>
      </w:r>
    </w:p>
    <w:p w14:paraId="05F9FD62">
      <w:pPr>
        <w:pStyle w:val="25"/>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4C2B100D">
      <w:pPr>
        <w:pStyle w:val="2"/>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790"/>
      <w:bookmarkStart w:id="3" w:name="_Toc28359079"/>
      <w:bookmarkStart w:id="4" w:name="_Toc35393621"/>
      <w:bookmarkStart w:id="5" w:name="_Toc28359002"/>
      <w:bookmarkStart w:id="6" w:name="_Hlk24379207"/>
    </w:p>
    <w:p w14:paraId="1227A65E">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4E27669B">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滁州市二次供水设备合格供应商采购项目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2025年</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22</w:t>
      </w:r>
      <w:r>
        <w:rPr>
          <w:rFonts w:hint="eastAsia" w:ascii="仿宋" w:hAnsi="仿宋" w:eastAsia="仿宋" w:cs="仿宋"/>
          <w:color w:val="auto"/>
          <w:sz w:val="28"/>
          <w:szCs w:val="28"/>
          <w:highlight w:val="none"/>
          <w:u w:val="single"/>
        </w:rPr>
        <w:t>日08点</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u w:val="single"/>
        </w:rPr>
        <w:t>0分</w:t>
      </w:r>
      <w:r>
        <w:rPr>
          <w:rFonts w:hint="eastAsia" w:ascii="仿宋" w:hAnsi="仿宋" w:eastAsia="仿宋" w:cs="仿宋"/>
          <w:color w:val="auto"/>
          <w:sz w:val="28"/>
          <w:szCs w:val="28"/>
          <w:highlight w:val="none"/>
        </w:rPr>
        <w:t>（北京时间）前递交投标文件。</w:t>
      </w:r>
    </w:p>
    <w:p w14:paraId="443A3D5B">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45C27A0C">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项目编号：czsjqt2025</w:t>
      </w:r>
      <w:r>
        <w:rPr>
          <w:rFonts w:hint="eastAsia" w:ascii="仿宋" w:hAnsi="仿宋" w:eastAsia="仿宋"/>
          <w:color w:val="auto"/>
          <w:sz w:val="28"/>
          <w:szCs w:val="28"/>
          <w:highlight w:val="none"/>
          <w:lang w:val="en-US" w:eastAsia="zh-CN"/>
        </w:rPr>
        <w:t>11-013</w:t>
      </w:r>
    </w:p>
    <w:p w14:paraId="71629487">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滁州市二次供水设备合格供应商采购项目</w:t>
      </w:r>
    </w:p>
    <w:p w14:paraId="38374AC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约15500000.00</w:t>
      </w:r>
      <w:r>
        <w:rPr>
          <w:rFonts w:hint="eastAsia" w:ascii="仿宋" w:hAnsi="仿宋" w:eastAsia="仿宋"/>
          <w:color w:val="auto"/>
          <w:sz w:val="28"/>
          <w:szCs w:val="28"/>
          <w:highlight w:val="none"/>
        </w:rPr>
        <w:t xml:space="preserve">元   </w:t>
      </w:r>
    </w:p>
    <w:p w14:paraId="288798E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 xml:space="preserve">   </w:t>
      </w:r>
    </w:p>
    <w:p w14:paraId="081879B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采购需求：滁州市自来水有限公司二次供水设备合格供应商采购，承担二次供水成套设备的供货及安装、集成、调试、运维等工作。</w:t>
      </w:r>
    </w:p>
    <w:p w14:paraId="7339DCC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有效期限2年（合同签订之日起2年），2年期满招标人可视情况续签一年。合同期限内，中标人应常备一定储量货物，每批次货物，中标人须在接到每批次采购订单后30日历天内将货物送达招标人指定项目所在地，并根据招标人要求进行安装调试，遇特殊情况则经招标人同意后可以调整送货及安装调试时间。</w:t>
      </w:r>
    </w:p>
    <w:p w14:paraId="7ECB922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3B14CE1F">
      <w:pPr>
        <w:keepNext/>
        <w:keepLines/>
        <w:spacing w:before="260" w:after="260"/>
        <w:rPr>
          <w:rFonts w:ascii="黑体" w:hAnsi="黑体" w:eastAsia="黑体" w:cs="黑体"/>
          <w:color w:val="auto"/>
          <w:sz w:val="28"/>
          <w:szCs w:val="28"/>
          <w:highlight w:val="none"/>
        </w:rPr>
      </w:pPr>
      <w:bookmarkStart w:id="7" w:name="_Toc35393791"/>
      <w:bookmarkStart w:id="8" w:name="_Toc28359080"/>
      <w:bookmarkStart w:id="9" w:name="_Toc28359003"/>
      <w:bookmarkStart w:id="10" w:name="_Toc35393622"/>
      <w:r>
        <w:rPr>
          <w:rFonts w:hint="eastAsia" w:ascii="黑体" w:hAnsi="黑体" w:eastAsia="黑体" w:cs="黑体"/>
          <w:color w:val="auto"/>
          <w:sz w:val="28"/>
          <w:szCs w:val="28"/>
          <w:highlight w:val="none"/>
        </w:rPr>
        <w:t>二、申请人的资格要求</w:t>
      </w:r>
      <w:bookmarkEnd w:id="7"/>
      <w:bookmarkEnd w:id="8"/>
      <w:bookmarkEnd w:id="9"/>
      <w:bookmarkEnd w:id="10"/>
    </w:p>
    <w:p w14:paraId="7C80C807">
      <w:pPr>
        <w:ind w:firstLine="560" w:firstLineChars="200"/>
        <w:rPr>
          <w:rFonts w:ascii="仿宋" w:hAnsi="仿宋" w:eastAsia="仿宋"/>
          <w:color w:val="auto"/>
          <w:sz w:val="28"/>
          <w:szCs w:val="28"/>
          <w:highlight w:val="none"/>
        </w:rPr>
      </w:pPr>
      <w:bookmarkStart w:id="11" w:name="_Toc28359004"/>
      <w:bookmarkStart w:id="12" w:name="_Toc28359081"/>
      <w:bookmarkStart w:id="13" w:name="_Toc35393792"/>
      <w:bookmarkStart w:id="14" w:name="_Toc35393623"/>
      <w:r>
        <w:rPr>
          <w:rFonts w:hint="eastAsia" w:ascii="仿宋" w:hAnsi="仿宋" w:eastAsia="仿宋"/>
          <w:color w:val="auto"/>
          <w:sz w:val="28"/>
          <w:szCs w:val="28"/>
          <w:highlight w:val="none"/>
        </w:rPr>
        <w:t>1.具有独立承担民事责任能力及相应供货能力的</w:t>
      </w:r>
      <w:r>
        <w:rPr>
          <w:rFonts w:hint="eastAsia" w:ascii="仿宋" w:hAnsi="仿宋" w:eastAsia="仿宋"/>
          <w:color w:val="auto"/>
          <w:sz w:val="28"/>
          <w:szCs w:val="28"/>
          <w:highlight w:val="none"/>
          <w:lang w:val="en-US" w:eastAsia="zh-CN"/>
        </w:rPr>
        <w:t>供水成套设备生产商或制造商</w:t>
      </w:r>
      <w:r>
        <w:rPr>
          <w:rFonts w:hint="eastAsia" w:ascii="仿宋" w:hAnsi="仿宋" w:eastAsia="仿宋"/>
          <w:color w:val="auto"/>
          <w:sz w:val="28"/>
          <w:szCs w:val="28"/>
          <w:highlight w:val="none"/>
        </w:rPr>
        <w:t>。</w:t>
      </w:r>
    </w:p>
    <w:p w14:paraId="73854AC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.投标人具有地市级或以上级别卫生行政主管部门颁发的涉及饮用水卫生安全产品的卫生许可批件，产品须含叠压（或无负压）给水（或供水）设备；</w:t>
      </w:r>
    </w:p>
    <w:p w14:paraId="3F4BB09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.信誉要求：投标人不得存在以下情形：</w:t>
      </w:r>
    </w:p>
    <w:p w14:paraId="441120E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109C12C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30F52FE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51FD684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49404A9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02E4D97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5" w:name="OLE_LINK4"/>
      <w:r>
        <w:rPr>
          <w:rFonts w:hint="eastAsia" w:ascii="仿宋" w:hAnsi="仿宋" w:eastAsia="仿宋"/>
          <w:color w:val="auto"/>
          <w:sz w:val="28"/>
          <w:szCs w:val="28"/>
          <w:highlight w:val="none"/>
        </w:rPr>
        <w:t>国家企业信用信息公示系统网站</w:t>
      </w:r>
      <w:bookmarkEnd w:id="15"/>
      <w:r>
        <w:rPr>
          <w:rFonts w:hint="eastAsia" w:ascii="仿宋" w:hAnsi="仿宋" w:eastAsia="仿宋"/>
          <w:color w:val="auto"/>
          <w:sz w:val="28"/>
          <w:szCs w:val="28"/>
          <w:highlight w:val="none"/>
        </w:rPr>
        <w:t>“经营异常名录”或者“严重违法失信名单”的。</w:t>
      </w:r>
    </w:p>
    <w:p w14:paraId="33C439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6B37459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p>
    <w:p w14:paraId="382365C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⑨因拖欠农民工工资被县级及以上有关行政主管部门限制投标资格且在限制期限内的；</w:t>
      </w:r>
    </w:p>
    <w:p w14:paraId="1DFD4EF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DC1225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.投标人所属分公司、办事处等分支机构存在第</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款信誉要求①-</w:t>
      </w:r>
      <w:r>
        <w:rPr>
          <w:rFonts w:hint="eastAsia" w:ascii="仿宋" w:hAnsi="仿宋" w:eastAsia="仿宋" w:cs="仿宋"/>
          <w:color w:val="auto"/>
          <w:sz w:val="28"/>
          <w:szCs w:val="28"/>
          <w:highlight w:val="none"/>
        </w:rPr>
        <w:t>⑩</w:t>
      </w:r>
      <w:r>
        <w:rPr>
          <w:rFonts w:hint="eastAsia" w:ascii="仿宋" w:hAnsi="仿宋" w:eastAsia="仿宋"/>
          <w:color w:val="auto"/>
          <w:sz w:val="28"/>
          <w:szCs w:val="28"/>
          <w:highlight w:val="none"/>
        </w:rPr>
        <w:t>项情形之一的，接受投标人参加本项目。</w:t>
      </w:r>
    </w:p>
    <w:p w14:paraId="5AD8E07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w:t>
      </w:r>
      <w:r>
        <w:rPr>
          <w:rFonts w:hint="eastAsia" w:ascii="仿宋" w:hAnsi="仿宋" w:eastAsia="仿宋"/>
          <w:color w:val="auto"/>
          <w:sz w:val="28"/>
          <w:szCs w:val="28"/>
          <w:highlight w:val="none"/>
          <w:lang w:val="en-US" w:eastAsia="zh-CN"/>
        </w:rPr>
        <w:t>3、4</w:t>
      </w:r>
      <w:r>
        <w:rPr>
          <w:rFonts w:hint="eastAsia" w:ascii="仿宋" w:hAnsi="仿宋" w:eastAsia="仿宋"/>
          <w:color w:val="auto"/>
          <w:sz w:val="28"/>
          <w:szCs w:val="28"/>
          <w:highlight w:val="none"/>
        </w:rPr>
        <w:t>条按照“关于联合惩戒失信行为加强信用查询管理的通知”查询或承诺。</w:t>
      </w:r>
    </w:p>
    <w:p w14:paraId="0D9A1F75">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98946C5">
      <w:pPr>
        <w:ind w:firstLine="540"/>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2025年</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28</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2025年</w:t>
      </w:r>
      <w:r>
        <w:rPr>
          <w:rFonts w:hint="eastAsia" w:ascii="仿宋" w:hAnsi="仿宋" w:eastAsia="仿宋" w:cs="宋体"/>
          <w:color w:val="auto"/>
          <w:sz w:val="28"/>
          <w:szCs w:val="28"/>
          <w:highlight w:val="none"/>
          <w:u w:val="single"/>
          <w:lang w:val="en-US" w:eastAsia="zh-CN"/>
        </w:rPr>
        <w:t>12</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22</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2C5067B1">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56FCFEA8">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4D7A4F3A">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57E3E9E">
      <w:pPr>
        <w:pStyle w:val="3"/>
        <w:numPr>
          <w:ilvl w:val="0"/>
          <w:numId w:val="0"/>
        </w:numPr>
        <w:spacing w:line="240" w:lineRule="auto"/>
        <w:rPr>
          <w:rFonts w:ascii="黑体" w:hAnsi="黑体" w:eastAsia="黑体" w:cs="黑体"/>
          <w:color w:val="auto"/>
          <w:kern w:val="2"/>
          <w:sz w:val="28"/>
          <w:szCs w:val="28"/>
          <w:highlight w:val="none"/>
        </w:rPr>
      </w:pPr>
      <w:bookmarkStart w:id="16" w:name="_Toc28359082"/>
      <w:bookmarkStart w:id="17" w:name="_Toc28359005"/>
      <w:bookmarkStart w:id="18" w:name="_Toc35393793"/>
      <w:bookmarkStart w:id="19" w:name="_Toc35393624"/>
      <w:r>
        <w:rPr>
          <w:rFonts w:hint="eastAsia" w:ascii="黑体" w:hAnsi="黑体" w:eastAsia="黑体" w:cs="黑体"/>
          <w:color w:val="auto"/>
          <w:kern w:val="2"/>
          <w:sz w:val="28"/>
          <w:szCs w:val="28"/>
          <w:highlight w:val="none"/>
        </w:rPr>
        <w:t>四、提交投标文件</w:t>
      </w:r>
      <w:bookmarkEnd w:id="16"/>
      <w:bookmarkEnd w:id="17"/>
      <w:r>
        <w:rPr>
          <w:rFonts w:hint="eastAsia" w:ascii="黑体" w:hAnsi="黑体" w:eastAsia="黑体" w:cs="黑体"/>
          <w:color w:val="auto"/>
          <w:kern w:val="2"/>
          <w:sz w:val="28"/>
          <w:szCs w:val="28"/>
          <w:highlight w:val="none"/>
        </w:rPr>
        <w:t>截止时间、开标时间和地点</w:t>
      </w:r>
      <w:bookmarkEnd w:id="18"/>
      <w:bookmarkEnd w:id="19"/>
    </w:p>
    <w:p w14:paraId="2E3CB6C0">
      <w:pPr>
        <w:ind w:firstLine="560" w:firstLineChars="200"/>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2025年</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22</w:t>
      </w:r>
      <w:r>
        <w:rPr>
          <w:rFonts w:hint="eastAsia" w:ascii="仿宋" w:hAnsi="仿宋" w:eastAsia="仿宋"/>
          <w:bCs/>
          <w:color w:val="auto"/>
          <w:sz w:val="28"/>
          <w:szCs w:val="28"/>
          <w:highlight w:val="none"/>
          <w:u w:val="single"/>
        </w:rPr>
        <w:t>日8点</w:t>
      </w:r>
      <w:r>
        <w:rPr>
          <w:rFonts w:hint="eastAsia" w:ascii="仿宋" w:hAnsi="仿宋" w:eastAsia="仿宋"/>
          <w:bCs/>
          <w:color w:val="auto"/>
          <w:sz w:val="28"/>
          <w:szCs w:val="28"/>
          <w:highlight w:val="none"/>
          <w:u w:val="single"/>
          <w:lang w:val="en-US" w:eastAsia="zh-CN"/>
        </w:rPr>
        <w:t>3</w:t>
      </w:r>
      <w:r>
        <w:rPr>
          <w:rFonts w:hint="eastAsia" w:ascii="仿宋" w:hAnsi="仿宋" w:eastAsia="仿宋"/>
          <w:bCs/>
          <w:color w:val="auto"/>
          <w:sz w:val="28"/>
          <w:szCs w:val="28"/>
          <w:highlight w:val="none"/>
          <w:u w:val="single"/>
        </w:rPr>
        <w:t>0分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36D341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地点：滁州市公共资源交易中心(滁州市龙蟠大道109号房产商务大厦二楼)。</w:t>
      </w:r>
    </w:p>
    <w:p w14:paraId="42E5CB41">
      <w:pPr>
        <w:keepNext/>
        <w:keepLines/>
        <w:spacing w:before="260" w:after="260"/>
        <w:rPr>
          <w:rFonts w:ascii="黑体" w:hAnsi="黑体" w:eastAsia="黑体" w:cs="黑体"/>
          <w:color w:val="auto"/>
          <w:sz w:val="28"/>
          <w:szCs w:val="28"/>
          <w:highlight w:val="none"/>
        </w:rPr>
      </w:pPr>
      <w:bookmarkStart w:id="20" w:name="_Toc35393794"/>
      <w:bookmarkStart w:id="21" w:name="_Toc28359007"/>
      <w:bookmarkStart w:id="22" w:name="_Toc28359084"/>
      <w:bookmarkStart w:id="23" w:name="_Toc35393625"/>
      <w:r>
        <w:rPr>
          <w:rFonts w:hint="eastAsia" w:ascii="黑体" w:hAnsi="黑体" w:eastAsia="黑体" w:cs="黑体"/>
          <w:color w:val="auto"/>
          <w:sz w:val="28"/>
          <w:szCs w:val="28"/>
          <w:highlight w:val="none"/>
        </w:rPr>
        <w:t>五、公告期限</w:t>
      </w:r>
      <w:bookmarkEnd w:id="20"/>
      <w:bookmarkEnd w:id="21"/>
      <w:bookmarkEnd w:id="22"/>
      <w:bookmarkEnd w:id="23"/>
    </w:p>
    <w:p w14:paraId="2C4A8B1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D79CBA8">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5B635BA9">
      <w:pPr>
        <w:pStyle w:val="119"/>
        <w:rPr>
          <w:color w:val="auto"/>
          <w:highlight w:val="none"/>
        </w:rPr>
      </w:pPr>
      <w:bookmarkStart w:id="24" w:name="_Toc35393626"/>
      <w:bookmarkStart w:id="25" w:name="_Toc35393795"/>
      <w:r>
        <w:rPr>
          <w:color w:val="auto"/>
          <w:highlight w:val="none"/>
        </w:rPr>
        <w:t>窗体顶端</w:t>
      </w:r>
    </w:p>
    <w:p w14:paraId="27894E06">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投标保证金的金额：</w:t>
      </w:r>
      <w:r>
        <w:rPr>
          <w:rFonts w:hint="eastAsia" w:ascii="仿宋" w:hAnsi="仿宋" w:eastAsia="仿宋"/>
          <w:color w:val="auto"/>
          <w:sz w:val="28"/>
          <w:szCs w:val="28"/>
          <w:highlight w:val="none"/>
          <w:lang w:val="en-US" w:eastAsia="zh-CN"/>
        </w:rPr>
        <w:t>6.1</w:t>
      </w:r>
      <w:r>
        <w:rPr>
          <w:rFonts w:hint="eastAsia" w:ascii="仿宋" w:hAnsi="仿宋" w:eastAsia="仿宋"/>
          <w:color w:val="auto"/>
          <w:sz w:val="28"/>
          <w:szCs w:val="28"/>
          <w:highlight w:val="none"/>
        </w:rPr>
        <w:t>万元。要求投标人提交投标保证金。</w:t>
      </w:r>
    </w:p>
    <w:p w14:paraId="449C1DAD">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投标保证金形式</w:t>
      </w:r>
      <w:r>
        <w:rPr>
          <w:rFonts w:hint="eastAsia" w:ascii="仿宋" w:hAnsi="仿宋" w:eastAsia="仿宋"/>
          <w:color w:val="auto"/>
          <w:sz w:val="28"/>
          <w:szCs w:val="28"/>
          <w:highlight w:val="none"/>
          <w:lang w:eastAsia="zh-CN"/>
        </w:rPr>
        <w:t>：持现金（银行转账、银行电汇等）、非现金形式（支票、银行汇票、本票等）、电子保函、纸质保函（纸质银行保函、纸质担保机构担保、纸质保证保险等）</w:t>
      </w:r>
    </w:p>
    <w:p w14:paraId="6CBADBB6">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接收投标保证金的账户信息</w:t>
      </w:r>
      <w:r>
        <w:rPr>
          <w:rFonts w:hint="eastAsia" w:ascii="仿宋" w:hAnsi="仿宋" w:eastAsia="仿宋"/>
          <w:color w:val="auto"/>
          <w:sz w:val="28"/>
          <w:szCs w:val="28"/>
          <w:highlight w:val="none"/>
          <w:lang w:eastAsia="zh-CN"/>
        </w:rPr>
        <w:t>：</w:t>
      </w:r>
      <w:bookmarkStart w:id="26" w:name="OLE_LINK65"/>
      <w:bookmarkStart w:id="27" w:name="OLE_LINK64"/>
      <w:bookmarkStart w:id="28" w:name="OLE_LINK63"/>
      <w:bookmarkStart w:id="29" w:name="OLE_LINK70"/>
      <w:r>
        <w:rPr>
          <w:rFonts w:hint="eastAsia" w:ascii="仿宋" w:hAnsi="仿宋" w:eastAsia="仿宋"/>
          <w:color w:val="auto"/>
          <w:sz w:val="28"/>
          <w:szCs w:val="28"/>
          <w:highlight w:val="none"/>
          <w:lang w:eastAsia="zh-CN"/>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2C8C0C90">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①户名：滁州市公共资源交易中心</w:t>
      </w:r>
    </w:p>
    <w:p w14:paraId="58B9C1CE">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开户行：中国银行滁州分行 </w:t>
      </w:r>
    </w:p>
    <w:p w14:paraId="01547DD9">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账  号：</w:t>
      </w:r>
      <w:r>
        <w:rPr>
          <w:rFonts w:hint="eastAsia" w:ascii="仿宋" w:hAnsi="仿宋" w:eastAsia="仿宋"/>
          <w:color w:val="auto"/>
          <w:sz w:val="28"/>
          <w:szCs w:val="28"/>
          <w:highlight w:val="none"/>
          <w:lang w:val="en-US" w:eastAsia="zh-CN"/>
        </w:rPr>
        <w:t>179746121002</w:t>
      </w:r>
    </w:p>
    <w:p w14:paraId="3CB8CE7F">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②户  名：滁州市公共资源交易中心        </w:t>
      </w:r>
    </w:p>
    <w:p w14:paraId="00E421EF">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开户行：中国农业银行滁州中都支行                </w:t>
      </w:r>
    </w:p>
    <w:p w14:paraId="3CC1DE35">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账  号：</w:t>
      </w:r>
      <w:r>
        <w:rPr>
          <w:rFonts w:hint="eastAsia" w:ascii="仿宋" w:hAnsi="仿宋" w:eastAsia="仿宋"/>
          <w:color w:val="auto"/>
          <w:sz w:val="28"/>
          <w:szCs w:val="28"/>
          <w:highlight w:val="none"/>
          <w:lang w:val="en-US" w:eastAsia="zh-CN"/>
        </w:rPr>
        <w:t xml:space="preserve">123340010400044210000000997 </w:t>
      </w:r>
    </w:p>
    <w:p w14:paraId="439AF426">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采用现金形式缴纳保证金时须在交易附言中注明：“</w:t>
      </w:r>
      <w:r>
        <w:rPr>
          <w:rFonts w:hint="eastAsia" w:ascii="仿宋" w:hAnsi="仿宋" w:eastAsia="仿宋"/>
          <w:color w:val="auto"/>
          <w:sz w:val="28"/>
          <w:szCs w:val="28"/>
          <w:highlight w:val="none"/>
        </w:rPr>
        <w:t>czsjqt2025</w:t>
      </w:r>
      <w:r>
        <w:rPr>
          <w:rFonts w:hint="eastAsia" w:ascii="仿宋" w:hAnsi="仿宋" w:eastAsia="仿宋"/>
          <w:color w:val="auto"/>
          <w:sz w:val="28"/>
          <w:szCs w:val="28"/>
          <w:highlight w:val="none"/>
          <w:lang w:val="en-US" w:eastAsia="zh-CN"/>
        </w:rPr>
        <w:t>11-013</w:t>
      </w:r>
      <w:r>
        <w:rPr>
          <w:rFonts w:hint="eastAsia" w:ascii="仿宋" w:hAnsi="仿宋" w:eastAsia="仿宋"/>
          <w:color w:val="auto"/>
          <w:sz w:val="28"/>
          <w:szCs w:val="28"/>
          <w:highlight w:val="none"/>
          <w:lang w:eastAsia="zh-CN"/>
        </w:rPr>
        <w:t>项目投标保证金</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lang w:eastAsia="zh-CN"/>
        </w:rPr>
        <w:t>”。</w:t>
      </w:r>
    </w:p>
    <w:p w14:paraId="72DBAA9D">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2）采用支票、银行汇票、本票等非现金形式提交投标保证金时，投标人应在付款人开户行申请书附言处注明“</w:t>
      </w:r>
      <w:r>
        <w:rPr>
          <w:rFonts w:hint="eastAsia" w:ascii="仿宋" w:hAnsi="仿宋" w:eastAsia="仿宋"/>
          <w:color w:val="auto"/>
          <w:sz w:val="28"/>
          <w:szCs w:val="28"/>
          <w:highlight w:val="none"/>
        </w:rPr>
        <w:t>czsjqt2025</w:t>
      </w:r>
      <w:r>
        <w:rPr>
          <w:rFonts w:hint="eastAsia" w:ascii="仿宋" w:hAnsi="仿宋" w:eastAsia="仿宋"/>
          <w:color w:val="auto"/>
          <w:sz w:val="28"/>
          <w:szCs w:val="28"/>
          <w:highlight w:val="none"/>
          <w:lang w:val="en-US" w:eastAsia="zh-CN"/>
        </w:rPr>
        <w:t>11-013</w:t>
      </w:r>
      <w:r>
        <w:rPr>
          <w:rFonts w:hint="eastAsia" w:ascii="仿宋" w:hAnsi="仿宋" w:eastAsia="仿宋"/>
          <w:color w:val="auto"/>
          <w:sz w:val="28"/>
          <w:szCs w:val="28"/>
          <w:highlight w:val="none"/>
          <w:lang w:eastAsia="zh-CN"/>
        </w:rPr>
        <w:t>项目投标保证金”字样，应确保收款人开户行进账单完整反映交易附言内容，由此导致无法识别投标保证金对应的投标项目，其后果由投标人负责。</w:t>
      </w:r>
    </w:p>
    <w:p w14:paraId="35211D44">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3)采用电子保函形式具体要求如下：</w:t>
      </w:r>
    </w:p>
    <w:p w14:paraId="676E675B">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①电子保函提交要求：</w:t>
      </w:r>
    </w:p>
    <w:p w14:paraId="69A86EDE">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a.投标人须在投标文件提交截止时间前提供与滁州市公共资源交易中心金融服务平台对接的电子保函，否则视为投标保证金未按规定要求缴纳。</w:t>
      </w:r>
    </w:p>
    <w:p w14:paraId="174D92C7">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b.电子保函生效时间须为所投项目规定的保证金到账截止时间之前，电子保函的有效期截止时间不得短于招标文件约定的投标有效期截止时间，否则视为投标保证金未按规定要求缴纳。</w:t>
      </w:r>
    </w:p>
    <w:p w14:paraId="3B912061">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c.投标有效期内未能确定中标结果，需要延长投标有效期，投标人同意延长投标有效期的，须相应延长电子保函的有效期。</w:t>
      </w:r>
    </w:p>
    <w:p w14:paraId="6F0F1EA6">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d.投标人存在投标保证金不予退还的情形，采用电子保函形式的将予以追缴。</w:t>
      </w:r>
    </w:p>
    <w:p w14:paraId="7FC1619F">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4)采用纸质保函形式具体要求如下：</w:t>
      </w:r>
    </w:p>
    <w:p w14:paraId="493A3783">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①该保函应当是无条件见索即付的银行保函、保证保险、担保机构保函，保函期限必须大于或等于投标有效期，受益人应为招标人。投标人存在投标保证金不予退还的情形，采用纸质保函形式的将由招标人予以追缴；投标人须将采用的纸质保函原件扫描件编入投标文件。</w:t>
      </w:r>
    </w:p>
    <w:p w14:paraId="7D9CAF65">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②采用纸质保函，其办理所需的费用，应从投标人的银行基本账户汇(支)出，并保证真实有效。投标人须将本单位从基本账户汇出该项费用的原始凭证(属于基本账户银行出具保函的除外)扫描件、基本账户开户许可证(或基本账户开户银行出具的该投标人基本存款账户信息证明材料)的原件扫描件编入投标文件中,由评标委员会在评标时审查认定。</w:t>
      </w:r>
    </w:p>
    <w:p w14:paraId="5021052F">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③投标人提交的纸质保函，必须明确载明有效的查询途径(包括电话、网址链接及查询方式)。</w:t>
      </w:r>
    </w:p>
    <w:p w14:paraId="03EA2D88">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采用纸质保函，未按照上述要求提供材料或提供的材料不符合要求的，其投标无效；存在弄虚作假的，由招标人报招标投标行政监督部门依法处理。</w:t>
      </w:r>
    </w:p>
    <w:p w14:paraId="22BE43FB">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lang w:eastAsia="zh-CN"/>
        </w:rPr>
        <w:t>.保证金电子保函业务应急处置措施。由于自然灾害、事故灾难、突发公共网络安全事件或者系统原因，以及保证金电子保函系统使用过程中出现的以下情况：</w:t>
      </w:r>
    </w:p>
    <w:p w14:paraId="51216896">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（1）开标时，系统获取明文保函文件异常，无法正常获取保函文件；</w:t>
      </w:r>
    </w:p>
    <w:p w14:paraId="6E87A6CC">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（2）保证金电子保函系统的软件或数据库出现错误，不能进行正常操作；</w:t>
      </w:r>
    </w:p>
    <w:p w14:paraId="0CB31E9F">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（3）保证金电子保函系统服务器发生故障等情况，无法访问或无法使用电子保函；</w:t>
      </w:r>
    </w:p>
    <w:p w14:paraId="4AC5BDFD">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（4）保证金电子保函系统服务器受到病毒或其他外来的攻击；</w:t>
      </w:r>
    </w:p>
    <w:p w14:paraId="3760E75D">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（5）其他影响电子保函出具的异常情形。</w:t>
      </w:r>
    </w:p>
    <w:p w14:paraId="367698B1">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054D03A1">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lang w:eastAsia="zh-CN"/>
        </w:rPr>
        <w:t>.本次招标失败，再次进行招标的，投标人须按照新的账户重新缴纳投标保证金。</w:t>
      </w:r>
    </w:p>
    <w:p w14:paraId="382AEA25">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.投标人为联合体投标的，由牵头人基本账户转出投标保证金或由牵头人办理保函。</w:t>
      </w:r>
    </w:p>
    <w:p w14:paraId="1244F993">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lang w:eastAsia="zh-CN"/>
        </w:rPr>
        <w:t>.是否适用免缴投标保证金政策：不适用。</w:t>
      </w:r>
      <w:r>
        <w:rPr>
          <w:rFonts w:hint="eastAsia" w:ascii="仿宋" w:hAnsi="仿宋" w:eastAsia="仿宋"/>
          <w:color w:val="auto"/>
          <w:sz w:val="28"/>
          <w:szCs w:val="28"/>
          <w:highlight w:val="none"/>
          <w:lang w:val="en-US" w:eastAsia="zh-CN"/>
        </w:rPr>
        <w:t xml:space="preserve"> </w:t>
      </w:r>
      <w:bookmarkEnd w:id="26"/>
      <w:bookmarkEnd w:id="27"/>
      <w:bookmarkEnd w:id="28"/>
      <w:bookmarkEnd w:id="29"/>
    </w:p>
    <w:p w14:paraId="1F5A59A2">
      <w:pPr>
        <w:ind w:firstLine="562" w:firstLineChars="200"/>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备注：1.本项目不缴纳投标保证金条款仅针对在投标过程中未违反本招标文件第二章“投标人须知”中第24.4项约定的投标人。如在投标过程中投标人存在本招标文件第二章“投标人须知”中第3.4.4项约定情形，则无条件按招标人要求的金额、时间、账号缴纳投标保证金。投标人采用银行保函、担保机构担保、保证保险方式提交投标保证金的，如出现本招标文件“投标人须知”第 24.4项所列情形的，提供担保的银行、担保机构及保险机构将无条件向招标人支付保函所列的全部投标保证金金额，该支付行为视同投标保证金不予退还。</w:t>
      </w:r>
    </w:p>
    <w:p w14:paraId="18768900">
      <w:pPr>
        <w:ind w:firstLine="562" w:firstLineChars="200"/>
        <w:rPr>
          <w:rFonts w:hint="default"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2.投标人采用虚假银行保函、担保机构担保、保证保险方式提交投标保证金的，应依法承担弄虚作假、骗取中标的法律责任。</w:t>
      </w:r>
    </w:p>
    <w:p w14:paraId="40A002B0">
      <w:pPr>
        <w:pStyle w:val="12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561F0CF">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788CA6B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4B1BF4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4D37DA8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35FE8E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696A4A7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5.投标人提出异议的截止时间及方式：如投标人对招标文件有异议，请于2025年</w:t>
      </w:r>
      <w:r>
        <w:rPr>
          <w:rFonts w:hint="eastAsia" w:ascii="仿宋" w:hAnsi="仿宋" w:eastAsia="仿宋"/>
          <w:color w:val="auto"/>
          <w:sz w:val="28"/>
          <w:szCs w:val="28"/>
          <w:highlight w:val="none"/>
          <w:lang w:val="en-US" w:eastAsia="zh-CN"/>
        </w:rPr>
        <w:t>12</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12</w:t>
      </w:r>
      <w:r>
        <w:rPr>
          <w:rFonts w:hint="eastAsia" w:ascii="仿宋" w:hAnsi="仿宋" w:eastAsia="仿宋"/>
          <w:color w:val="auto"/>
          <w:sz w:val="28"/>
          <w:szCs w:val="28"/>
          <w:highlight w:val="none"/>
        </w:rPr>
        <w:t>日08时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0FA8ADE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6.受理异议的联系人及联系方式：胡佳文0550-</w:t>
      </w:r>
      <w:r>
        <w:rPr>
          <w:rFonts w:hint="eastAsia" w:ascii="仿宋" w:hAnsi="仿宋" w:eastAsia="仿宋"/>
          <w:color w:val="auto"/>
          <w:sz w:val="28"/>
          <w:szCs w:val="28"/>
          <w:highlight w:val="none"/>
          <w:lang w:val="en-US" w:eastAsia="zh-CN"/>
        </w:rPr>
        <w:t>2130280</w:t>
      </w:r>
      <w:r>
        <w:rPr>
          <w:rFonts w:hint="eastAsia" w:ascii="仿宋" w:hAnsi="仿宋" w:eastAsia="仿宋"/>
          <w:color w:val="auto"/>
          <w:sz w:val="28"/>
          <w:szCs w:val="28"/>
          <w:highlight w:val="none"/>
        </w:rPr>
        <w:t>、杨韦0550-3519590。</w:t>
      </w:r>
    </w:p>
    <w:p w14:paraId="7DF4B0C0">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4D36C59">
      <w:pPr>
        <w:pStyle w:val="3"/>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112C2E96">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 xml:space="preserve">滁州市自来水有限公司  </w:t>
      </w:r>
    </w:p>
    <w:p w14:paraId="193F9339">
      <w:pPr>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滁州市清流西路389号</w:t>
      </w:r>
    </w:p>
    <w:p w14:paraId="4DCB33FA">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w:t>
      </w:r>
      <w:r>
        <w:rPr>
          <w:rFonts w:hint="eastAsia" w:ascii="仿宋" w:hAnsi="仿宋" w:eastAsia="仿宋" w:cs="仿宋"/>
          <w:color w:val="auto"/>
          <w:sz w:val="28"/>
          <w:szCs w:val="28"/>
          <w:highlight w:val="none"/>
          <w:u w:val="single"/>
          <w:lang w:val="en-US" w:eastAsia="zh-CN"/>
        </w:rPr>
        <w:t>2130280</w:t>
      </w:r>
      <w:r>
        <w:rPr>
          <w:rFonts w:hint="eastAsia" w:ascii="仿宋" w:hAnsi="仿宋" w:eastAsia="仿宋" w:cs="仿宋"/>
          <w:color w:val="auto"/>
          <w:sz w:val="28"/>
          <w:szCs w:val="28"/>
          <w:highlight w:val="none"/>
          <w:u w:val="single"/>
        </w:rPr>
        <w:t xml:space="preserve">                 </w:t>
      </w:r>
    </w:p>
    <w:p w14:paraId="6A3665B8">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2C074CB1">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421BDEB">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438AF5D7">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31D4A432">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034EE741">
      <w:pPr>
        <w:pStyle w:val="19"/>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rPr>
        <w:t>胡佳文、</w:t>
      </w:r>
      <w:r>
        <w:rPr>
          <w:rFonts w:hint="eastAsia" w:ascii="仿宋" w:hAnsi="仿宋" w:eastAsia="仿宋" w:cs="仿宋"/>
          <w:color w:val="auto"/>
          <w:sz w:val="28"/>
          <w:szCs w:val="28"/>
          <w:highlight w:val="none"/>
          <w:u w:val="single"/>
        </w:rPr>
        <w:t xml:space="preserve">杨韦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7B0ACDB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0550-</w:t>
      </w:r>
      <w:r>
        <w:rPr>
          <w:rFonts w:hint="eastAsia" w:ascii="仿宋" w:hAnsi="仿宋" w:eastAsia="仿宋" w:cs="仿宋"/>
          <w:color w:val="auto"/>
          <w:sz w:val="28"/>
          <w:szCs w:val="28"/>
          <w:highlight w:val="none"/>
          <w:u w:val="single"/>
          <w:lang w:val="en-US" w:eastAsia="zh-CN"/>
        </w:rPr>
        <w:t>2130280</w:t>
      </w:r>
      <w:r>
        <w:rPr>
          <w:rFonts w:hint="eastAsia" w:ascii="仿宋" w:hAnsi="仿宋" w:eastAsia="仿宋" w:cs="仿宋"/>
          <w:color w:val="auto"/>
          <w:sz w:val="28"/>
          <w:szCs w:val="28"/>
          <w:highlight w:val="none"/>
          <w:u w:val="single"/>
        </w:rPr>
        <w:t xml:space="preserve">、0550-3519590 </w:t>
      </w:r>
    </w:p>
    <w:p w14:paraId="7B686E2B">
      <w:pPr>
        <w:pStyle w:val="52"/>
        <w:ind w:firstLine="560"/>
        <w:rPr>
          <w:rFonts w:ascii="仿宋" w:hAnsi="仿宋" w:eastAsia="仿宋"/>
          <w:color w:val="auto"/>
          <w:sz w:val="28"/>
          <w:szCs w:val="28"/>
          <w:highlight w:val="none"/>
          <w:u w:val="single"/>
        </w:rPr>
      </w:pPr>
    </w:p>
    <w:p w14:paraId="320F345A">
      <w:pPr>
        <w:pStyle w:val="52"/>
        <w:ind w:firstLine="560"/>
        <w:rPr>
          <w:rFonts w:ascii="仿宋" w:hAnsi="仿宋" w:eastAsia="仿宋"/>
          <w:color w:val="auto"/>
          <w:sz w:val="28"/>
          <w:szCs w:val="28"/>
          <w:highlight w:val="none"/>
          <w:u w:val="single"/>
        </w:rPr>
      </w:pPr>
    </w:p>
    <w:p w14:paraId="62180CA7">
      <w:pPr>
        <w:pStyle w:val="52"/>
        <w:ind w:firstLine="0" w:firstLineChars="0"/>
        <w:rPr>
          <w:rFonts w:ascii="仿宋" w:hAnsi="仿宋" w:eastAsia="仿宋"/>
          <w:color w:val="auto"/>
          <w:sz w:val="28"/>
          <w:szCs w:val="28"/>
          <w:highlight w:val="none"/>
          <w:u w:val="single"/>
        </w:rPr>
      </w:pPr>
    </w:p>
    <w:p w14:paraId="72666C2F">
      <w:pPr>
        <w:pStyle w:val="2"/>
        <w:spacing w:before="156" w:beforeLines="50" w:after="156" w:afterLines="50" w:line="579" w:lineRule="auto"/>
        <w:rPr>
          <w:rFonts w:ascii="宋体"/>
          <w:b w:val="0"/>
          <w:color w:val="auto"/>
          <w:szCs w:val="32"/>
          <w:highlight w:val="none"/>
        </w:rPr>
      </w:pPr>
      <w:bookmarkStart w:id="30" w:name="_Toc20364"/>
      <w:r>
        <w:rPr>
          <w:rFonts w:hint="eastAsia"/>
          <w:color w:val="auto"/>
          <w:highlight w:val="none"/>
        </w:rPr>
        <w:br w:type="page"/>
      </w:r>
      <w:r>
        <w:rPr>
          <w:rFonts w:hint="eastAsia"/>
          <w:color w:val="auto"/>
          <w:highlight w:val="none"/>
        </w:rPr>
        <w:t>第二章 投标人须知</w:t>
      </w:r>
      <w:bookmarkEnd w:id="30"/>
    </w:p>
    <w:p w14:paraId="0E28AE93">
      <w:pPr>
        <w:snapToGrid w:val="0"/>
        <w:spacing w:line="440" w:lineRule="exact"/>
        <w:jc w:val="center"/>
        <w:outlineLvl w:val="1"/>
        <w:rPr>
          <w:rFonts w:ascii="宋体"/>
          <w:b/>
          <w:color w:val="auto"/>
          <w:sz w:val="28"/>
          <w:szCs w:val="28"/>
          <w:highlight w:val="none"/>
        </w:rPr>
      </w:pPr>
      <w:bookmarkStart w:id="31" w:name="_Toc58430314"/>
      <w:bookmarkStart w:id="32" w:name="_Toc1019"/>
      <w:bookmarkStart w:id="33"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31"/>
      <w:bookmarkEnd w:id="32"/>
      <w:bookmarkEnd w:id="33"/>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07AF47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785980A0">
            <w:pPr>
              <w:pStyle w:val="19"/>
              <w:spacing w:line="500" w:lineRule="exact"/>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6BF0B1F3">
            <w:pPr>
              <w:pStyle w:val="19"/>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4A838944">
            <w:pPr>
              <w:pStyle w:val="19"/>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7E594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055D6770">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ED85F87">
            <w:pPr>
              <w:pStyle w:val="19"/>
              <w:spacing w:line="500" w:lineRule="exact"/>
              <w:jc w:val="left"/>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649BE9EA">
            <w:pPr>
              <w:pStyle w:val="19"/>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eastAsia="zh-CN"/>
              </w:rPr>
              <w:t>滁州市二次供水设备合格供应商采购项目</w:t>
            </w:r>
          </w:p>
        </w:tc>
      </w:tr>
      <w:tr w14:paraId="3C5E87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521367A8">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0682243">
            <w:pPr>
              <w:pStyle w:val="19"/>
              <w:spacing w:line="500" w:lineRule="exact"/>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1E4B2590">
            <w:pPr>
              <w:pStyle w:val="19"/>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czsjqt2025</w:t>
            </w:r>
            <w:r>
              <w:rPr>
                <w:rFonts w:hint="eastAsia" w:hAnsi="宋体" w:cs="宋体"/>
                <w:color w:val="auto"/>
                <w:szCs w:val="21"/>
                <w:highlight w:val="none"/>
                <w:lang w:val="en-US" w:eastAsia="zh-CN"/>
              </w:rPr>
              <w:t>11-013</w:t>
            </w:r>
          </w:p>
        </w:tc>
      </w:tr>
      <w:tr w14:paraId="24884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1DF449E8">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1032EAC9">
            <w:pPr>
              <w:pStyle w:val="19"/>
              <w:spacing w:line="500" w:lineRule="exact"/>
              <w:jc w:val="left"/>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12C9433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有效期限2年（合同签订之日起2年），2年期满招标人可视情况续签一年。合同期限内，中标人应常备一定储量货物，每批次货物，中标人须在接到每批次采购订单后30日历天内将货物送达招标人指定项目所在地，并根据招标人要求进行安装调试，遇特殊情况则经招标人同意后可以调整送货及安装调试时间。</w:t>
            </w:r>
          </w:p>
        </w:tc>
      </w:tr>
      <w:tr w14:paraId="3ECA08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F4F0F9D">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1127EEF">
            <w:pPr>
              <w:pStyle w:val="19"/>
              <w:spacing w:line="500" w:lineRule="exact"/>
              <w:jc w:val="left"/>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2D91DA09">
            <w:pPr>
              <w:pStyle w:val="19"/>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滁州市内</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招标人指定地点</w:t>
            </w:r>
          </w:p>
        </w:tc>
      </w:tr>
      <w:tr w14:paraId="570493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777EE9A4">
            <w:pPr>
              <w:pStyle w:val="19"/>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4B18217">
            <w:pPr>
              <w:pStyle w:val="19"/>
              <w:spacing w:line="500" w:lineRule="exact"/>
              <w:jc w:val="left"/>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2FED7BED">
            <w:pPr>
              <w:pStyle w:val="19"/>
              <w:spacing w:line="500" w:lineRule="exact"/>
              <w:rPr>
                <w:rFonts w:hAnsi="宋体" w:cs="宋体"/>
                <w:color w:val="auto"/>
                <w:szCs w:val="21"/>
                <w:highlight w:val="none"/>
              </w:rPr>
            </w:pPr>
            <w:r>
              <w:rPr>
                <w:rFonts w:hint="eastAsia" w:hAnsi="宋体" w:cs="宋体"/>
                <w:color w:val="auto"/>
                <w:szCs w:val="21"/>
                <w:highlight w:val="none"/>
              </w:rPr>
              <w:t>联系人：胡佳文              电话：0550-</w:t>
            </w:r>
            <w:r>
              <w:rPr>
                <w:rFonts w:hint="eastAsia" w:hAnsi="宋体" w:cs="宋体"/>
                <w:color w:val="auto"/>
                <w:szCs w:val="21"/>
                <w:highlight w:val="none"/>
                <w:lang w:val="en-US" w:eastAsia="zh-CN"/>
              </w:rPr>
              <w:t>2130280</w:t>
            </w:r>
          </w:p>
        </w:tc>
      </w:tr>
      <w:tr w14:paraId="01AF4C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3D8DEFBF">
            <w:pPr>
              <w:pStyle w:val="19"/>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3EB7375">
            <w:pPr>
              <w:pStyle w:val="19"/>
              <w:spacing w:line="500" w:lineRule="exact"/>
              <w:jc w:val="left"/>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5DE1507">
            <w:pPr>
              <w:pStyle w:val="19"/>
              <w:spacing w:line="500" w:lineRule="exact"/>
              <w:rPr>
                <w:rFonts w:hAnsi="宋体" w:cs="宋体"/>
                <w:color w:val="auto"/>
                <w:szCs w:val="21"/>
                <w:highlight w:val="none"/>
              </w:rPr>
            </w:pPr>
            <w:r>
              <w:rPr>
                <w:rFonts w:hint="eastAsia" w:hAnsi="宋体" w:cs="宋体"/>
                <w:color w:val="auto"/>
                <w:szCs w:val="21"/>
                <w:highlight w:val="none"/>
              </w:rPr>
              <w:t>联系人：杨韦                电话0550-3519590   18005501210</w:t>
            </w:r>
          </w:p>
        </w:tc>
      </w:tr>
      <w:tr w14:paraId="685D60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6CE28A79">
            <w:pPr>
              <w:pStyle w:val="19"/>
              <w:spacing w:line="500" w:lineRule="exact"/>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0C59E8F9">
            <w:pPr>
              <w:pStyle w:val="19"/>
              <w:spacing w:line="500" w:lineRule="exact"/>
              <w:jc w:val="left"/>
              <w:rPr>
                <w:rFonts w:hAnsi="宋体" w:cs="宋体"/>
                <w:color w:val="auto"/>
                <w:szCs w:val="21"/>
                <w:highlight w:val="none"/>
              </w:rPr>
            </w:pPr>
            <w:r>
              <w:rPr>
                <w:rFonts w:hint="eastAsia" w:hAnsi="宋体" w:cs="宋体"/>
                <w:color w:val="auto"/>
                <w:szCs w:val="21"/>
                <w:highlight w:val="none"/>
              </w:rPr>
              <w:t xml:space="preserve">资金来源                                                                                                                                                                 </w:t>
            </w:r>
          </w:p>
        </w:tc>
        <w:tc>
          <w:tcPr>
            <w:tcW w:w="6610" w:type="dxa"/>
            <w:vAlign w:val="center"/>
          </w:tcPr>
          <w:p w14:paraId="201EEE05">
            <w:pPr>
              <w:pStyle w:val="19"/>
              <w:spacing w:line="500" w:lineRule="exact"/>
              <w:rPr>
                <w:rFonts w:hAnsi="宋体" w:cs="宋体"/>
                <w:color w:val="auto"/>
                <w:szCs w:val="21"/>
                <w:highlight w:val="none"/>
              </w:rPr>
            </w:pPr>
            <w:r>
              <w:rPr>
                <w:rFonts w:hint="eastAsia" w:hAnsi="宋体" w:cs="宋体"/>
                <w:color w:val="auto"/>
                <w:szCs w:val="21"/>
                <w:highlight w:val="none"/>
              </w:rPr>
              <w:t>自筹资金</w:t>
            </w:r>
          </w:p>
        </w:tc>
      </w:tr>
      <w:tr w14:paraId="1D45DA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3C769EF2">
            <w:pPr>
              <w:pStyle w:val="19"/>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3F90E657">
            <w:pPr>
              <w:pStyle w:val="19"/>
              <w:spacing w:line="500" w:lineRule="exact"/>
              <w:rPr>
                <w:rFonts w:hAnsi="宋体" w:cs="宋体"/>
                <w:color w:val="auto"/>
                <w:szCs w:val="21"/>
                <w:highlight w:val="none"/>
              </w:rPr>
            </w:pPr>
            <w:r>
              <w:rPr>
                <w:rFonts w:hint="eastAsia" w:hAnsi="宋体" w:cs="宋体"/>
                <w:color w:val="auto"/>
                <w:szCs w:val="21"/>
                <w:highlight w:val="none"/>
              </w:rPr>
              <w:t>采购预算</w:t>
            </w:r>
          </w:p>
        </w:tc>
        <w:tc>
          <w:tcPr>
            <w:tcW w:w="6610" w:type="dxa"/>
            <w:vAlign w:val="center"/>
          </w:tcPr>
          <w:p w14:paraId="6D93740E">
            <w:pPr>
              <w:pStyle w:val="19"/>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约15500000.00元</w:t>
            </w:r>
          </w:p>
        </w:tc>
      </w:tr>
      <w:tr w14:paraId="7EFB7A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9D0DAC9">
            <w:pPr>
              <w:pStyle w:val="19"/>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6EB97386">
            <w:pPr>
              <w:pStyle w:val="19"/>
              <w:spacing w:line="500" w:lineRule="exact"/>
              <w:jc w:val="left"/>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5A858B9E">
            <w:pPr>
              <w:spacing w:line="500" w:lineRule="exact"/>
              <w:rPr>
                <w:rFonts w:ascii="宋体" w:hAnsi="宋体" w:cs="宋体"/>
                <w:color w:val="auto"/>
                <w:szCs w:val="21"/>
                <w:highlight w:val="none"/>
                <w:u w:color="000000"/>
              </w:rPr>
            </w:pPr>
            <w:r>
              <w:rPr>
                <w:rFonts w:hint="eastAsia" w:ascii="宋体" w:hAnsi="宋体" w:cs="宋体"/>
                <w:color w:val="auto"/>
                <w:szCs w:val="21"/>
                <w:highlight w:val="none"/>
                <w:u w:color="000000"/>
                <w:lang w:val="en-US" w:eastAsia="zh-CN"/>
              </w:rPr>
              <w:t>/</w:t>
            </w:r>
            <w:r>
              <w:rPr>
                <w:rFonts w:hint="eastAsia" w:ascii="宋体" w:hAnsi="宋体" w:cs="宋体"/>
                <w:color w:val="auto"/>
                <w:szCs w:val="21"/>
                <w:highlight w:val="none"/>
                <w:u w:color="000000"/>
              </w:rPr>
              <w:t xml:space="preserve"> </w:t>
            </w:r>
          </w:p>
        </w:tc>
      </w:tr>
      <w:tr w14:paraId="4EB231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10007E7B">
            <w:pPr>
              <w:pStyle w:val="19"/>
              <w:spacing w:line="500" w:lineRule="exact"/>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64A54D0">
            <w:pPr>
              <w:pStyle w:val="19"/>
              <w:spacing w:line="500" w:lineRule="exact"/>
              <w:jc w:val="left"/>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6C37553D">
            <w:pPr>
              <w:pStyle w:val="19"/>
              <w:spacing w:line="500" w:lineRule="exact"/>
              <w:rPr>
                <w:rFonts w:hAnsi="宋体" w:cs="宋体"/>
                <w:color w:val="auto"/>
                <w:szCs w:val="21"/>
                <w:highlight w:val="none"/>
              </w:rPr>
            </w:pPr>
            <w:r>
              <w:rPr>
                <w:rFonts w:hint="eastAsia" w:hAnsi="宋体" w:cs="宋体"/>
                <w:b/>
                <w:color w:val="auto"/>
                <w:kern w:val="0"/>
                <w:szCs w:val="21"/>
                <w:highlight w:val="none"/>
              </w:rPr>
              <w:t>具体详见《采购内容与技术要求》</w:t>
            </w:r>
          </w:p>
        </w:tc>
      </w:tr>
      <w:tr w14:paraId="0EE59D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1F8ECD1">
            <w:pPr>
              <w:pStyle w:val="19"/>
              <w:spacing w:line="500" w:lineRule="exact"/>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5432F5AE">
            <w:pPr>
              <w:pStyle w:val="19"/>
              <w:spacing w:line="500" w:lineRule="exact"/>
              <w:jc w:val="left"/>
              <w:rPr>
                <w:rFonts w:hAnsi="宋体" w:cs="宋体"/>
                <w:color w:val="auto"/>
                <w:szCs w:val="21"/>
                <w:highlight w:val="none"/>
              </w:rPr>
            </w:pPr>
            <w:r>
              <w:rPr>
                <w:rFonts w:hint="eastAsia" w:hAnsi="宋体" w:cs="宋体"/>
                <w:color w:val="auto"/>
                <w:szCs w:val="21"/>
                <w:highlight w:val="none"/>
              </w:rPr>
              <w:t>标包划分</w:t>
            </w:r>
          </w:p>
        </w:tc>
        <w:tc>
          <w:tcPr>
            <w:tcW w:w="6610" w:type="dxa"/>
            <w:vAlign w:val="center"/>
          </w:tcPr>
          <w:p w14:paraId="58E29F57">
            <w:pPr>
              <w:pStyle w:val="19"/>
              <w:spacing w:line="500" w:lineRule="exact"/>
              <w:rPr>
                <w:rFonts w:hAnsi="宋体" w:cs="宋体"/>
                <w:color w:val="auto"/>
                <w:szCs w:val="21"/>
                <w:highlight w:val="none"/>
              </w:rPr>
            </w:pPr>
            <w:r>
              <w:rPr>
                <w:rFonts w:hint="eastAsia" w:hAnsi="宋体" w:cs="宋体"/>
                <w:color w:val="auto"/>
                <w:szCs w:val="21"/>
                <w:highlight w:val="none"/>
              </w:rPr>
              <w:t>本项目划分为</w:t>
            </w:r>
            <w:r>
              <w:rPr>
                <w:rFonts w:hint="eastAsia" w:hAnsi="宋体" w:cs="宋体"/>
                <w:color w:val="auto"/>
                <w:szCs w:val="21"/>
                <w:highlight w:val="none"/>
                <w:u w:val="single"/>
              </w:rPr>
              <w:t xml:space="preserve"> 1</w:t>
            </w:r>
            <w:r>
              <w:rPr>
                <w:rFonts w:hint="eastAsia" w:hAnsi="宋体" w:cs="宋体"/>
                <w:color w:val="auto"/>
                <w:szCs w:val="21"/>
                <w:highlight w:val="none"/>
              </w:rPr>
              <w:t>个标包</w:t>
            </w:r>
          </w:p>
        </w:tc>
      </w:tr>
      <w:tr w14:paraId="048671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464B028B">
            <w:pPr>
              <w:pStyle w:val="19"/>
              <w:spacing w:line="500" w:lineRule="exact"/>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309C76CB">
            <w:pPr>
              <w:pStyle w:val="19"/>
              <w:spacing w:line="500" w:lineRule="exact"/>
              <w:jc w:val="left"/>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077CF309">
            <w:pPr>
              <w:pStyle w:val="19"/>
              <w:spacing w:line="500" w:lineRule="exact"/>
              <w:rPr>
                <w:rFonts w:hAnsi="宋体" w:cs="宋体"/>
                <w:color w:val="auto"/>
                <w:szCs w:val="21"/>
                <w:highlight w:val="none"/>
              </w:rPr>
            </w:pPr>
            <w:r>
              <w:rPr>
                <w:rFonts w:hint="eastAsia" w:hAnsi="宋体" w:cs="宋体"/>
                <w:color w:val="auto"/>
                <w:szCs w:val="21"/>
                <w:highlight w:val="none"/>
              </w:rPr>
              <w:t>公开招标</w:t>
            </w:r>
          </w:p>
        </w:tc>
      </w:tr>
      <w:tr w14:paraId="292E7B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01A682C0">
            <w:pPr>
              <w:pStyle w:val="19"/>
              <w:spacing w:line="500" w:lineRule="exact"/>
              <w:jc w:val="center"/>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7142ACE7">
            <w:pPr>
              <w:pStyle w:val="19"/>
              <w:spacing w:line="500" w:lineRule="exact"/>
              <w:jc w:val="left"/>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21954D95">
            <w:pP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57BD77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C8A6CC6">
            <w:pPr>
              <w:pStyle w:val="19"/>
              <w:spacing w:line="500" w:lineRule="exact"/>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425AD6E2">
            <w:pPr>
              <w:pStyle w:val="19"/>
              <w:spacing w:line="500" w:lineRule="exact"/>
              <w:jc w:val="left"/>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034305FC">
            <w:pPr>
              <w:pStyle w:val="19"/>
              <w:spacing w:line="500" w:lineRule="exact"/>
              <w:rPr>
                <w:rFonts w:hAnsi="宋体" w:cs="宋体"/>
                <w:color w:val="auto"/>
                <w:szCs w:val="21"/>
                <w:highlight w:val="none"/>
              </w:rPr>
            </w:pPr>
            <w:r>
              <w:rPr>
                <w:rFonts w:hint="eastAsia" w:hAnsi="宋体" w:cs="宋体"/>
                <w:color w:val="auto"/>
                <w:szCs w:val="21"/>
                <w:highlight w:val="none"/>
              </w:rPr>
              <w:t>不组织,投标人自行踏勘。</w:t>
            </w:r>
          </w:p>
        </w:tc>
      </w:tr>
      <w:tr w14:paraId="7123BC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C113F77">
            <w:pPr>
              <w:pStyle w:val="19"/>
              <w:spacing w:line="500" w:lineRule="exact"/>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2C613BF2">
            <w:pPr>
              <w:pStyle w:val="19"/>
              <w:spacing w:line="500" w:lineRule="exact"/>
              <w:jc w:val="left"/>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4A0B0AB2">
            <w:pPr>
              <w:pStyle w:val="19"/>
              <w:spacing w:line="500" w:lineRule="exact"/>
              <w:rPr>
                <w:rFonts w:hAnsi="宋体" w:cs="宋体"/>
                <w:color w:val="auto"/>
                <w:szCs w:val="21"/>
                <w:highlight w:val="none"/>
              </w:rPr>
            </w:pPr>
            <w:r>
              <w:rPr>
                <w:rFonts w:hint="eastAsia" w:hAnsi="宋体" w:cs="宋体"/>
                <w:color w:val="auto"/>
                <w:szCs w:val="21"/>
                <w:highlight w:val="none"/>
              </w:rPr>
              <w:t>不召开</w:t>
            </w:r>
          </w:p>
        </w:tc>
      </w:tr>
      <w:tr w14:paraId="55BF47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F308747">
            <w:pPr>
              <w:pStyle w:val="19"/>
              <w:spacing w:line="500" w:lineRule="exact"/>
              <w:jc w:val="center"/>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7F439331">
            <w:pPr>
              <w:pStyle w:val="19"/>
              <w:spacing w:line="500" w:lineRule="exact"/>
              <w:jc w:val="left"/>
              <w:rPr>
                <w:rFonts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9B180DF">
            <w:pPr>
              <w:pStyle w:val="19"/>
              <w:spacing w:line="500" w:lineRule="exact"/>
              <w:rPr>
                <w:rFonts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2025年</w:t>
            </w:r>
            <w:r>
              <w:rPr>
                <w:rFonts w:hint="eastAsia" w:hAnsi="宋体" w:cs="宋体"/>
                <w:b/>
                <w:bCs/>
                <w:color w:val="auto"/>
                <w:szCs w:val="21"/>
                <w:highlight w:val="none"/>
                <w:lang w:val="en-US" w:eastAsia="zh-CN"/>
              </w:rPr>
              <w:t>12</w:t>
            </w:r>
            <w:r>
              <w:rPr>
                <w:rFonts w:hint="eastAsia" w:hAnsi="宋体" w:cs="宋体"/>
                <w:b/>
                <w:bCs/>
                <w:color w:val="auto"/>
                <w:szCs w:val="21"/>
                <w:highlight w:val="none"/>
              </w:rPr>
              <w:t>月</w:t>
            </w:r>
            <w:r>
              <w:rPr>
                <w:rFonts w:hint="eastAsia" w:hAnsi="宋体" w:cs="宋体"/>
                <w:b/>
                <w:bCs/>
                <w:color w:val="auto"/>
                <w:szCs w:val="21"/>
                <w:highlight w:val="none"/>
                <w:lang w:val="en-US" w:eastAsia="zh-CN"/>
              </w:rPr>
              <w:t>12</w:t>
            </w:r>
            <w:r>
              <w:rPr>
                <w:rFonts w:hint="eastAsia" w:hAnsi="宋体" w:cs="宋体"/>
                <w:b/>
                <w:bCs/>
                <w:color w:val="auto"/>
                <w:szCs w:val="21"/>
                <w:highlight w:val="none"/>
              </w:rPr>
              <w:t>日8时</w:t>
            </w:r>
            <w:r>
              <w:rPr>
                <w:rFonts w:hint="eastAsia" w:hAnsi="宋体" w:cs="宋体"/>
                <w:b/>
                <w:bCs/>
                <w:color w:val="auto"/>
                <w:szCs w:val="21"/>
                <w:highlight w:val="none"/>
                <w:lang w:val="en-US" w:eastAsia="zh-CN"/>
              </w:rPr>
              <w:t>30分</w:t>
            </w:r>
            <w:r>
              <w:rPr>
                <w:rFonts w:hint="eastAsia" w:hAnsi="宋体" w:cs="宋体"/>
                <w:color w:val="auto"/>
                <w:szCs w:val="21"/>
                <w:highlight w:val="none"/>
              </w:rPr>
              <w:t>（投标截止10日）前</w:t>
            </w:r>
            <w:bookmarkStart w:id="34"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34"/>
          </w:p>
        </w:tc>
      </w:tr>
      <w:tr w14:paraId="38F0A9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AB6C9E4">
            <w:pPr>
              <w:pStyle w:val="19"/>
              <w:spacing w:line="500" w:lineRule="exact"/>
              <w:jc w:val="center"/>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47DB05B9">
            <w:pPr>
              <w:pStyle w:val="19"/>
              <w:spacing w:line="500" w:lineRule="exact"/>
              <w:jc w:val="left"/>
              <w:rPr>
                <w:rFonts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5BD32FC9">
            <w:pPr>
              <w:spacing w:line="500" w:lineRule="exact"/>
              <w:rPr>
                <w:rFonts w:ascii="宋体" w:hAnsi="宋体" w:cs="宋体"/>
                <w:color w:val="auto"/>
                <w:szCs w:val="21"/>
                <w:highlight w:val="none"/>
              </w:rPr>
            </w:pPr>
            <w:r>
              <w:rPr>
                <w:rFonts w:hint="eastAsia" w:ascii="宋体" w:hAnsi="宋体" w:cs="宋体"/>
                <w:b/>
                <w:bCs/>
                <w:color w:val="auto"/>
                <w:szCs w:val="21"/>
                <w:highlight w:val="none"/>
                <w:u w:color="000000"/>
              </w:rPr>
              <w:t>2025年</w:t>
            </w:r>
            <w:r>
              <w:rPr>
                <w:rFonts w:hint="eastAsia" w:ascii="宋体" w:hAnsi="宋体" w:cs="宋体"/>
                <w:b/>
                <w:bCs/>
                <w:color w:val="auto"/>
                <w:szCs w:val="21"/>
                <w:highlight w:val="none"/>
                <w:u w:color="000000"/>
                <w:lang w:val="en-US" w:eastAsia="zh-CN"/>
              </w:rPr>
              <w:t>12</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12</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36F274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10D83F47">
            <w:pPr>
              <w:pStyle w:val="19"/>
              <w:spacing w:line="500" w:lineRule="exact"/>
              <w:jc w:val="center"/>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170D9521">
            <w:pPr>
              <w:pStyle w:val="19"/>
              <w:spacing w:line="500" w:lineRule="exact"/>
              <w:jc w:val="left"/>
              <w:rPr>
                <w:rFonts w:hAnsi="宋体" w:cs="宋体"/>
                <w:color w:val="auto"/>
                <w:szCs w:val="21"/>
                <w:highlight w:val="none"/>
              </w:rPr>
            </w:pPr>
            <w:r>
              <w:rPr>
                <w:rFonts w:hint="eastAsia" w:hAnsi="宋体" w:cs="宋体"/>
                <w:color w:val="auto"/>
                <w:szCs w:val="21"/>
                <w:highlight w:val="none"/>
              </w:rPr>
              <w:t>联合体投标</w:t>
            </w:r>
          </w:p>
        </w:tc>
        <w:tc>
          <w:tcPr>
            <w:tcW w:w="6610" w:type="dxa"/>
            <w:vAlign w:val="center"/>
          </w:tcPr>
          <w:p w14:paraId="24C49B3E">
            <w:pPr>
              <w:pStyle w:val="19"/>
              <w:spacing w:line="500" w:lineRule="exact"/>
              <w:rPr>
                <w:rFonts w:hAnsi="宋体" w:cs="宋体"/>
                <w:color w:val="auto"/>
                <w:szCs w:val="21"/>
                <w:highlight w:val="none"/>
              </w:rPr>
            </w:pPr>
            <w:r>
              <w:rPr>
                <w:rFonts w:hint="eastAsia" w:hAnsi="宋体" w:cs="宋体"/>
                <w:color w:val="auto"/>
                <w:szCs w:val="21"/>
                <w:highlight w:val="none"/>
              </w:rPr>
              <w:t>本次招标不接受联合体投标</w:t>
            </w:r>
          </w:p>
        </w:tc>
      </w:tr>
      <w:tr w14:paraId="731AC3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8E3FFA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068559A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25ECEFD4">
            <w:pPr>
              <w:keepNext w:val="0"/>
              <w:keepLines w:val="0"/>
              <w:widowControl/>
              <w:suppressLineNumbers w:val="0"/>
              <w:jc w:val="left"/>
              <w:rPr>
                <w:rFonts w:hint="eastAsia"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95200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参考计价格[2002]1980号文件75.3%）</w:t>
            </w:r>
          </w:p>
          <w:p w14:paraId="7B314D9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代理服务费支付主体：中标单位</w:t>
            </w:r>
            <w:r>
              <w:rPr>
                <w:rFonts w:hint="eastAsia" w:ascii="宋体" w:hAnsi="宋体" w:cs="宋体"/>
                <w:color w:val="auto"/>
                <w:szCs w:val="21"/>
                <w:highlight w:val="none"/>
                <w:lang w:val="en-US" w:eastAsia="zh-CN"/>
              </w:rPr>
              <w:t>（所有中标单位平均分摊）</w:t>
            </w:r>
            <w:r>
              <w:rPr>
                <w:rFonts w:hint="eastAsia" w:ascii="宋体" w:hAnsi="宋体" w:cs="宋体"/>
                <w:color w:val="auto"/>
                <w:szCs w:val="21"/>
                <w:highlight w:val="none"/>
              </w:rPr>
              <w:t>。</w:t>
            </w:r>
          </w:p>
          <w:p w14:paraId="066D7ED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专家评审费支付主体：代理机构。</w:t>
            </w:r>
          </w:p>
        </w:tc>
      </w:tr>
      <w:tr w14:paraId="5C5C3E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D6911D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656082E4">
            <w:pPr>
              <w:spacing w:line="500" w:lineRule="exact"/>
              <w:ind w:right="-27" w:rightChars="-13"/>
              <w:jc w:val="left"/>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610" w:type="dxa"/>
            <w:vAlign w:val="center"/>
          </w:tcPr>
          <w:p w14:paraId="1B2709C9">
            <w:pPr>
              <w:spacing w:line="500" w:lineRule="exact"/>
              <w:rPr>
                <w:rFonts w:ascii="宋体" w:hAnsi="宋体" w:cs="宋体"/>
                <w:color w:val="auto"/>
                <w:szCs w:val="21"/>
                <w:highlight w:val="none"/>
              </w:rPr>
            </w:pPr>
            <w:r>
              <w:rPr>
                <w:rFonts w:hint="eastAsia" w:ascii="宋体" w:hAnsi="宋体" w:cs="宋体"/>
                <w:color w:val="auto"/>
                <w:szCs w:val="21"/>
                <w:highlight w:val="none"/>
              </w:rPr>
              <w:t>同表10.2款</w:t>
            </w:r>
          </w:p>
        </w:tc>
      </w:tr>
      <w:tr w14:paraId="4543CE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28BA62B">
            <w:pPr>
              <w:pStyle w:val="19"/>
              <w:spacing w:line="500" w:lineRule="exact"/>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277EFE33">
            <w:pPr>
              <w:pStyle w:val="19"/>
              <w:spacing w:line="500" w:lineRule="exact"/>
              <w:jc w:val="left"/>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25D466E0">
            <w:pPr>
              <w:pStyle w:val="19"/>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30CD4E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71E5F0D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73CB23F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205D745D">
            <w:pPr>
              <w:widowControl/>
              <w:shd w:val="clear" w:color="auto" w:fill="FFFFFF"/>
              <w:spacing w:line="500" w:lineRule="exact"/>
              <w:jc w:val="left"/>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0F324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005727B">
            <w:pPr>
              <w:pStyle w:val="19"/>
              <w:spacing w:line="500" w:lineRule="exact"/>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546CAAB9">
            <w:pPr>
              <w:pStyle w:val="19"/>
              <w:spacing w:line="500" w:lineRule="exact"/>
              <w:jc w:val="left"/>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1BD25900">
            <w:pPr>
              <w:widowControl/>
              <w:spacing w:line="500" w:lineRule="exact"/>
              <w:ind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2F2BE6F5">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份；中标单位领取中标通知书时，一并递交给代理机构）</w:t>
            </w:r>
          </w:p>
        </w:tc>
      </w:tr>
      <w:tr w14:paraId="6CCEA1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279FA33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221E365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1234D0D">
            <w:pPr>
              <w:widowControl/>
              <w:spacing w:line="5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446C6F2">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22CF6A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009C8EB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4AECF73D">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0FAB9F11">
            <w:pPr>
              <w:spacing w:line="500" w:lineRule="exact"/>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2025年</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22</w:t>
            </w:r>
            <w:r>
              <w:rPr>
                <w:rFonts w:hint="eastAsia" w:ascii="宋体" w:hAnsi="宋体" w:cs="宋体"/>
                <w:b/>
                <w:bCs/>
                <w:color w:val="auto"/>
                <w:szCs w:val="21"/>
                <w:highlight w:val="none"/>
              </w:rPr>
              <w:t>日8点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043CC658">
            <w:pPr>
              <w:spacing w:line="500" w:lineRule="exact"/>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22911DEE">
            <w:pP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2CB05AAA">
            <w:pPr>
              <w:wordWrap w:val="0"/>
              <w:spacing w:line="500" w:lineRule="exact"/>
              <w:rPr>
                <w:rFonts w:ascii="宋体" w:hAnsi="宋体" w:cs="宋体"/>
                <w:color w:val="auto"/>
                <w:szCs w:val="21"/>
                <w:highlight w:val="none"/>
              </w:rPr>
            </w:pPr>
            <w:r>
              <w:rPr>
                <w:rFonts w:hint="eastAsia" w:ascii="宋体" w:hAnsi="宋体" w:cs="宋体"/>
                <w:b/>
                <w:bCs/>
                <w:color w:val="auto"/>
                <w:szCs w:val="21"/>
                <w:highlight w:val="none"/>
              </w:rPr>
              <w:t>2.解密时间为2025年</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22</w:t>
            </w:r>
            <w:r>
              <w:rPr>
                <w:rFonts w:hint="eastAsia" w:ascii="宋体" w:hAnsi="宋体" w:cs="宋体"/>
                <w:b/>
                <w:bCs/>
                <w:color w:val="auto"/>
                <w:szCs w:val="21"/>
                <w:highlight w:val="none"/>
              </w:rPr>
              <w:t>日08点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分至2025年</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22</w:t>
            </w:r>
            <w:r>
              <w:rPr>
                <w:rFonts w:hint="eastAsia" w:ascii="宋体" w:hAnsi="宋体" w:cs="宋体"/>
                <w:b/>
                <w:bCs/>
                <w:color w:val="auto"/>
                <w:szCs w:val="21"/>
                <w:highlight w:val="none"/>
              </w:rPr>
              <w:t>日09点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c>
      </w:tr>
      <w:tr w14:paraId="218160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6C33AF4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7CA6D7A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610" w:type="dxa"/>
            <w:vAlign w:val="center"/>
          </w:tcPr>
          <w:p w14:paraId="721ACDB6">
            <w:pPr>
              <w:spacing w:line="50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4D3073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DAB480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452E026A">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017DC649">
            <w:pPr>
              <w:spacing w:line="500" w:lineRule="exact"/>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2025年</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22</w:t>
            </w:r>
            <w:r>
              <w:rPr>
                <w:rFonts w:hint="eastAsia" w:ascii="宋体" w:hAnsi="宋体" w:cs="宋体"/>
                <w:b/>
                <w:bCs/>
                <w:color w:val="auto"/>
                <w:szCs w:val="21"/>
                <w:highlight w:val="none"/>
              </w:rPr>
              <w:t>日08点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4627F3BC">
            <w:pPr>
              <w:spacing w:line="500" w:lineRule="exact"/>
              <w:rPr>
                <w:rFonts w:ascii="宋体" w:hAnsi="宋体" w:cs="宋体"/>
                <w:color w:val="auto"/>
                <w:szCs w:val="21"/>
                <w:highlight w:val="none"/>
              </w:rPr>
            </w:pPr>
            <w:r>
              <w:rPr>
                <w:rFonts w:hint="eastAsia" w:ascii="宋体" w:hAnsi="宋体" w:cs="宋体"/>
                <w:color w:val="auto"/>
                <w:szCs w:val="21"/>
                <w:highlight w:val="none"/>
              </w:rPr>
              <w:t>开标地点：滁州市公共资源交易中心(滁州市龙蟠大道109号房产商务大厦二楼)</w:t>
            </w:r>
          </w:p>
        </w:tc>
      </w:tr>
      <w:tr w14:paraId="78A772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6849465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740F909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04664B7F">
            <w:pPr>
              <w:spacing w:line="500" w:lineRule="exact"/>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66D647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48973052">
            <w:pPr>
              <w:pStyle w:val="19"/>
              <w:spacing w:line="500" w:lineRule="exact"/>
              <w:jc w:val="center"/>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52526561">
            <w:pPr>
              <w:pStyle w:val="19"/>
              <w:spacing w:line="500" w:lineRule="exact"/>
              <w:jc w:val="left"/>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0832636F">
            <w:pPr>
              <w:spacing w:line="500" w:lineRule="exact"/>
              <w:rPr>
                <w:rFonts w:ascii="宋体" w:hAnsi="宋体" w:cs="宋体"/>
                <w:color w:val="auto"/>
                <w:szCs w:val="21"/>
                <w:highlight w:val="none"/>
              </w:rPr>
            </w:pPr>
            <w:r>
              <w:rPr>
                <w:rFonts w:hint="eastAsia" w:ascii="宋体" w:hAnsi="宋体" w:cs="宋体"/>
                <w:color w:val="auto"/>
                <w:szCs w:val="21"/>
                <w:highlight w:val="none"/>
              </w:rPr>
              <w:t>评标委员会构成：9人，其中招标人代表3人，评标专家6人。</w:t>
            </w:r>
          </w:p>
          <w:p w14:paraId="33A00371">
            <w:pPr>
              <w:spacing w:line="500" w:lineRule="exact"/>
              <w:rPr>
                <w:rFonts w:ascii="宋体" w:hAnsi="宋体" w:cs="宋体"/>
                <w:color w:val="auto"/>
                <w:szCs w:val="21"/>
                <w:highlight w:val="none"/>
              </w:rPr>
            </w:pPr>
            <w:r>
              <w:rPr>
                <w:rFonts w:hint="eastAsia" w:ascii="宋体" w:hAnsi="宋体" w:cs="宋体"/>
                <w:color w:val="auto"/>
                <w:szCs w:val="21"/>
                <w:highlight w:val="none"/>
              </w:rPr>
              <w:t>评标专家确定方式：专家评委由招标人在开标前从专家库中随机抽取。</w:t>
            </w:r>
          </w:p>
        </w:tc>
      </w:tr>
      <w:tr w14:paraId="38DE42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0681B718">
            <w:pPr>
              <w:pStyle w:val="19"/>
              <w:spacing w:line="500" w:lineRule="exact"/>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7BFC2EF7">
            <w:pPr>
              <w:pStyle w:val="19"/>
              <w:spacing w:line="500" w:lineRule="exact"/>
              <w:jc w:val="left"/>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3404A08C">
            <w:pPr>
              <w:pStyle w:val="19"/>
              <w:spacing w:line="500" w:lineRule="exact"/>
              <w:rPr>
                <w:rFonts w:hAnsi="宋体" w:cs="宋体"/>
                <w:color w:val="auto"/>
                <w:szCs w:val="21"/>
                <w:highlight w:val="none"/>
              </w:rPr>
            </w:pPr>
            <w:r>
              <w:rPr>
                <w:rFonts w:hint="eastAsia" w:hAnsi="宋体" w:cs="宋体"/>
                <w:color w:val="auto"/>
                <w:szCs w:val="21"/>
                <w:highlight w:val="none"/>
              </w:rPr>
              <w:t>是，</w:t>
            </w:r>
            <w:r>
              <w:rPr>
                <w:rFonts w:hint="eastAsia" w:hAnsi="宋体" w:cs="宋体"/>
                <w:color w:val="auto"/>
                <w:szCs w:val="21"/>
                <w:highlight w:val="none"/>
                <w:lang w:val="en-US" w:eastAsia="zh-CN"/>
              </w:rPr>
              <w:t>具体详见评分细则</w:t>
            </w:r>
            <w:r>
              <w:rPr>
                <w:rFonts w:hint="eastAsia" w:hAnsi="宋体" w:cs="宋体"/>
                <w:color w:val="auto"/>
                <w:szCs w:val="21"/>
                <w:highlight w:val="none"/>
              </w:rPr>
              <w:t>。</w:t>
            </w:r>
          </w:p>
        </w:tc>
      </w:tr>
      <w:tr w14:paraId="1F390D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EEE9378">
            <w:pPr>
              <w:pStyle w:val="19"/>
              <w:spacing w:line="500" w:lineRule="exact"/>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224C6AAE">
            <w:pPr>
              <w:pStyle w:val="19"/>
              <w:spacing w:line="500" w:lineRule="exact"/>
              <w:jc w:val="left"/>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364728AF">
            <w:pPr>
              <w:pStyle w:val="19"/>
              <w:spacing w:line="500" w:lineRule="exact"/>
              <w:rPr>
                <w:rFonts w:hAnsi="宋体" w:cs="宋体"/>
                <w:color w:val="auto"/>
                <w:szCs w:val="21"/>
                <w:highlight w:val="none"/>
              </w:rPr>
            </w:pPr>
            <w:r>
              <w:rPr>
                <w:rFonts w:hint="eastAsia" w:hAnsi="宋体" w:cs="宋体"/>
                <w:color w:val="auto"/>
                <w:szCs w:val="21"/>
                <w:highlight w:val="none"/>
              </w:rPr>
              <w:t>公示媒介：同招标公告发布媒介</w:t>
            </w:r>
          </w:p>
          <w:p w14:paraId="367BBAB7">
            <w:pPr>
              <w:pStyle w:val="19"/>
              <w:spacing w:line="500" w:lineRule="exact"/>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2CF7AD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38FD7FC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6FD2972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33D2F248">
            <w:pP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7F90BC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7270C092">
            <w:pPr>
              <w:spacing w:line="500" w:lineRule="exact"/>
              <w:jc w:val="center"/>
              <w:rPr>
                <w:rFonts w:ascii="宋体" w:hAnsi="宋体" w:cs="宋体"/>
                <w:color w:val="auto"/>
                <w:szCs w:val="21"/>
                <w:highlight w:val="none"/>
              </w:rPr>
            </w:pPr>
          </w:p>
        </w:tc>
        <w:tc>
          <w:tcPr>
            <w:tcW w:w="2140" w:type="dxa"/>
            <w:gridSpan w:val="2"/>
            <w:vAlign w:val="center"/>
          </w:tcPr>
          <w:p w14:paraId="02875CB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482DFBBC">
            <w:pPr>
              <w:spacing w:line="500" w:lineRule="exact"/>
              <w:rPr>
                <w:rFonts w:ascii="宋体" w:hAnsi="宋体" w:cs="宋体"/>
                <w:color w:val="auto"/>
                <w:szCs w:val="21"/>
                <w:highlight w:val="none"/>
              </w:rPr>
            </w:pPr>
            <w:r>
              <w:rPr>
                <w:rFonts w:hint="eastAsia" w:ascii="宋体" w:hAnsi="宋体" w:cs="宋体"/>
                <w:color w:val="auto"/>
                <w:szCs w:val="21"/>
                <w:highlight w:val="none"/>
              </w:rPr>
              <w:t>数据电文</w:t>
            </w:r>
          </w:p>
        </w:tc>
      </w:tr>
      <w:tr w14:paraId="4C94E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E177BA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4CB31D8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5A004A32">
            <w:pPr>
              <w:tabs>
                <w:tab w:val="left" w:pos="5034"/>
              </w:tabs>
              <w:spacing w:line="500" w:lineRule="exact"/>
              <w:rPr>
                <w:rFonts w:ascii="宋体" w:hAnsi="宋体" w:cs="宋体"/>
                <w:color w:val="auto"/>
                <w:szCs w:val="21"/>
                <w:highlight w:val="none"/>
              </w:rPr>
            </w:pPr>
            <w:r>
              <w:rPr>
                <w:rFonts w:hint="eastAsia" w:ascii="宋体" w:hAnsi="宋体" w:cs="宋体"/>
                <w:color w:val="auto"/>
                <w:szCs w:val="21"/>
                <w:highlight w:val="none"/>
              </w:rPr>
              <w:t>是否收取履约担保：收取</w:t>
            </w:r>
          </w:p>
          <w:p w14:paraId="4EC67825">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6D4892A7">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30万元</w:t>
            </w:r>
          </w:p>
          <w:p w14:paraId="597BA1E7">
            <w:pPr>
              <w:spacing w:line="500" w:lineRule="exact"/>
              <w:rPr>
                <w:rFonts w:ascii="宋体" w:hAnsi="宋体" w:cs="宋体"/>
                <w:color w:val="auto"/>
                <w:szCs w:val="21"/>
                <w:highlight w:val="none"/>
              </w:rPr>
            </w:pPr>
            <w:r>
              <w:rPr>
                <w:rFonts w:hint="eastAsia" w:ascii="宋体" w:hAnsi="宋体" w:cs="宋体"/>
                <w:color w:val="auto"/>
                <w:szCs w:val="21"/>
                <w:highlight w:val="none"/>
              </w:rPr>
              <w:t>收款单位：另行通知</w:t>
            </w:r>
          </w:p>
          <w:p w14:paraId="636D5ED5">
            <w:pPr>
              <w:spacing w:line="500" w:lineRule="exact"/>
              <w:rPr>
                <w:rFonts w:ascii="宋体" w:hAnsi="宋体" w:cs="宋体"/>
                <w:color w:val="auto"/>
                <w:szCs w:val="21"/>
                <w:highlight w:val="none"/>
              </w:rPr>
            </w:pPr>
            <w:r>
              <w:rPr>
                <w:rFonts w:hint="eastAsia" w:ascii="宋体" w:hAnsi="宋体" w:cs="宋体"/>
                <w:color w:val="auto"/>
                <w:szCs w:val="21"/>
                <w:highlight w:val="none"/>
              </w:rPr>
              <w:t>开户行、账号：另行通知</w:t>
            </w:r>
          </w:p>
          <w:p w14:paraId="559A6731">
            <w:pPr>
              <w:spacing w:line="500" w:lineRule="exact"/>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16981C4B">
            <w:pPr>
              <w:spacing w:line="500" w:lineRule="exact"/>
              <w:rPr>
                <w:rFonts w:ascii="宋体" w:hAnsi="宋体" w:cs="宋体"/>
                <w:color w:val="auto"/>
                <w:szCs w:val="21"/>
                <w:highlight w:val="none"/>
              </w:rPr>
            </w:pPr>
            <w:r>
              <w:rPr>
                <w:rFonts w:hint="eastAsia" w:ascii="宋体" w:hAnsi="宋体" w:cs="宋体"/>
                <w:color w:val="auto"/>
                <w:szCs w:val="21"/>
                <w:highlight w:val="none"/>
              </w:rPr>
              <w:t>履约保证金退还方式：服务期内所供最后一套设备的履约期（以投标人自行承诺的期限为准）满后一次性退还。</w:t>
            </w:r>
          </w:p>
          <w:p w14:paraId="12AB14ED">
            <w:pPr>
              <w:spacing w:line="500" w:lineRule="exact"/>
              <w:rPr>
                <w:rFonts w:ascii="宋体" w:hAnsi="宋体" w:cs="宋体"/>
                <w:color w:val="auto"/>
                <w:szCs w:val="21"/>
                <w:highlight w:val="none"/>
              </w:rPr>
            </w:pPr>
            <w:r>
              <w:rPr>
                <w:rFonts w:hint="eastAsia" w:ascii="宋体" w:hAnsi="宋体" w:cs="宋体"/>
                <w:color w:val="auto"/>
                <w:szCs w:val="21"/>
                <w:highlight w:val="none"/>
              </w:rPr>
              <w:t>其他相关要求：保函内容及格式等均须经招标人认可。</w:t>
            </w:r>
          </w:p>
        </w:tc>
      </w:tr>
      <w:tr w14:paraId="50E6EC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0778036F">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7DEE891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本次招标为合格供应商招标，具体付款方式</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入围供应商与项目承建方</w:t>
            </w:r>
            <w:r>
              <w:rPr>
                <w:rFonts w:hint="eastAsia" w:ascii="宋体" w:hAnsi="宋体" w:cs="宋体"/>
                <w:color w:val="auto"/>
                <w:szCs w:val="21"/>
                <w:highlight w:val="none"/>
                <w:lang w:val="en-US" w:eastAsia="zh-CN"/>
              </w:rPr>
              <w:t>签订</w:t>
            </w:r>
            <w:r>
              <w:rPr>
                <w:rFonts w:hint="eastAsia" w:ascii="宋体" w:hAnsi="宋体" w:cs="宋体"/>
                <w:color w:val="auto"/>
                <w:szCs w:val="21"/>
                <w:highlight w:val="none"/>
              </w:rPr>
              <w:t>的供需合同</w:t>
            </w:r>
            <w:r>
              <w:rPr>
                <w:rFonts w:hint="eastAsia" w:ascii="宋体" w:hAnsi="宋体" w:cs="宋体"/>
                <w:color w:val="auto"/>
                <w:szCs w:val="21"/>
                <w:highlight w:val="none"/>
                <w:lang w:val="en-US" w:eastAsia="zh-CN"/>
              </w:rPr>
              <w:t>为准</w:t>
            </w:r>
            <w:r>
              <w:rPr>
                <w:rFonts w:hint="eastAsia" w:ascii="宋体" w:hAnsi="宋体" w:cs="宋体"/>
                <w:color w:val="auto"/>
                <w:szCs w:val="21"/>
                <w:highlight w:val="none"/>
              </w:rPr>
              <w:t>。</w:t>
            </w:r>
          </w:p>
        </w:tc>
      </w:tr>
      <w:tr w14:paraId="31F9B4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018415DC">
            <w:pPr>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08A1E311">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55B108E3">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33BA2A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A9BBC86">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684F1D05">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4E8046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77599654">
            <w:pPr>
              <w:widowControl/>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767EE79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1.本项目投标保证金、履约保证金、工程质量保证金、农民工工资保证金均支持保函使用。以现金形式提交保证金的，应当同时退还保证金本金和银行同期存款利息。</w:t>
            </w:r>
          </w:p>
          <w:p w14:paraId="0DD6746F">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32A425D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145D2A8B">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58274C4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04CC29DF">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1452E12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6098DED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774FB87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26A351BC">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1C8E9B0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2C07779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08027FF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4C0B2692">
            <w:pPr>
              <w:spacing w:line="500" w:lineRule="exact"/>
              <w:jc w:val="left"/>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D3B20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C9122B9">
            <w:pPr>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7872" w:type="dxa"/>
            <w:gridSpan w:val="2"/>
            <w:shd w:val="clear" w:color="auto" w:fill="auto"/>
          </w:tcPr>
          <w:p w14:paraId="4C68B2BE">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E338327">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25FBF65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2609939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1A22FE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2A720CF1">
            <w:pPr>
              <w:adjustRightInd w:val="0"/>
              <w:snapToGrid w:val="0"/>
              <w:spacing w:line="500" w:lineRule="exact"/>
              <w:jc w:val="center"/>
              <w:rPr>
                <w:rFonts w:hint="default" w:ascii="宋体" w:hAnsi="宋体" w:eastAsia="宋体" w:cs="宋体"/>
                <w:bCs/>
                <w:color w:val="auto"/>
                <w:szCs w:val="21"/>
                <w:highlight w:val="none"/>
                <w:lang w:val="en-US" w:eastAsia="zh-CN" w:bidi="ar"/>
              </w:rPr>
            </w:pPr>
            <w:r>
              <w:rPr>
                <w:rFonts w:hint="eastAsia" w:ascii="宋体" w:hAnsi="宋体" w:cs="宋体"/>
                <w:b/>
                <w:bCs w:val="0"/>
                <w:color w:val="auto"/>
                <w:szCs w:val="21"/>
                <w:highlight w:val="none"/>
                <w:lang w:val="en-US" w:eastAsia="zh-CN" w:bidi="ar"/>
              </w:rPr>
              <w:t>特别提醒</w:t>
            </w:r>
          </w:p>
        </w:tc>
        <w:tc>
          <w:tcPr>
            <w:tcW w:w="7872" w:type="dxa"/>
            <w:gridSpan w:val="2"/>
            <w:shd w:val="clear" w:color="auto" w:fill="auto"/>
            <w:vAlign w:val="center"/>
          </w:tcPr>
          <w:p w14:paraId="4EDA4E5A">
            <w:pPr>
              <w:snapToGrid w:val="0"/>
              <w:spacing w:line="50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本次</w:t>
            </w:r>
            <w:r>
              <w:rPr>
                <w:rFonts w:hint="eastAsia" w:ascii="宋体" w:hAnsi="宋体" w:eastAsia="宋体" w:cs="宋体"/>
                <w:color w:val="auto"/>
                <w:szCs w:val="21"/>
                <w:highlight w:val="none"/>
                <w:lang w:val="zh-CN"/>
              </w:rPr>
              <w:t>拟</w:t>
            </w:r>
            <w:r>
              <w:rPr>
                <w:rFonts w:hint="eastAsia" w:ascii="宋体" w:hAnsi="宋体" w:eastAsia="宋体" w:cs="宋体"/>
                <w:color w:val="auto"/>
                <w:szCs w:val="21"/>
                <w:highlight w:val="none"/>
                <w:lang w:val="en-US" w:eastAsia="zh-CN"/>
              </w:rPr>
              <w:t>优</w:t>
            </w:r>
            <w:r>
              <w:rPr>
                <w:rFonts w:hint="eastAsia" w:ascii="宋体" w:hAnsi="宋体" w:eastAsia="宋体" w:cs="宋体"/>
                <w:color w:val="auto"/>
                <w:szCs w:val="21"/>
                <w:highlight w:val="none"/>
                <w:lang w:val="zh-CN"/>
              </w:rPr>
              <w:t>选</w:t>
            </w: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家合格</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val="zh-CN"/>
              </w:rPr>
              <w:t>，有效期限</w:t>
            </w:r>
            <w:r>
              <w:rPr>
                <w:rFonts w:hint="eastAsia" w:ascii="宋体" w:hAnsi="宋体" w:eastAsia="宋体" w:cs="宋体"/>
                <w:color w:val="auto"/>
                <w:szCs w:val="21"/>
                <w:highlight w:val="none"/>
              </w:rPr>
              <w:t>为2</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（合同签订之日起2年）</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2年期满招标人可视情况续签一年</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招标</w:t>
            </w:r>
            <w:r>
              <w:rPr>
                <w:rFonts w:hint="eastAsia" w:ascii="宋体" w:hAnsi="宋体" w:eastAsia="宋体" w:cs="宋体"/>
                <w:color w:val="auto"/>
                <w:szCs w:val="21"/>
                <w:highlight w:val="none"/>
                <w:lang w:val="zh-CN"/>
              </w:rPr>
              <w:t>人和</w:t>
            </w:r>
            <w:r>
              <w:rPr>
                <w:rFonts w:hint="eastAsia" w:ascii="宋体" w:hAnsi="宋体" w:eastAsia="宋体" w:cs="宋体"/>
                <w:color w:val="auto"/>
                <w:szCs w:val="21"/>
                <w:highlight w:val="none"/>
              </w:rPr>
              <w:t>招标</w:t>
            </w:r>
            <w:r>
              <w:rPr>
                <w:rFonts w:hint="eastAsia" w:ascii="宋体" w:hAnsi="宋体" w:eastAsia="宋体" w:cs="宋体"/>
                <w:color w:val="auto"/>
                <w:szCs w:val="21"/>
                <w:highlight w:val="none"/>
                <w:lang w:val="zh-CN"/>
              </w:rPr>
              <w:t>代理机构不承担供货量多少的责任。</w:t>
            </w:r>
          </w:p>
          <w:p w14:paraId="3921AB5A">
            <w:pPr>
              <w:snapToGrid w:val="0"/>
              <w:spacing w:line="500" w:lineRule="exact"/>
              <w:rPr>
                <w:rFonts w:ascii="宋体" w:hAnsi="宋体" w:cs="宋体"/>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投标人编制电子投标文本时如有需要可暂按照730日填报工期（服务期）；投标人编制电子投标文本时如有需要可暂按照</w:t>
            </w:r>
            <w:r>
              <w:rPr>
                <w:rFonts w:hint="eastAsia" w:ascii="宋体" w:hAnsi="宋体" w:cs="宋体"/>
                <w:b/>
                <w:bCs/>
                <w:color w:val="auto"/>
                <w:szCs w:val="21"/>
                <w:highlight w:val="none"/>
                <w:lang w:val="en-US" w:eastAsia="zh-CN"/>
              </w:rPr>
              <w:t>310</w:t>
            </w:r>
            <w:r>
              <w:rPr>
                <w:rFonts w:hint="eastAsia" w:ascii="宋体" w:hAnsi="宋体" w:eastAsia="宋体" w:cs="宋体"/>
                <w:b/>
                <w:bCs/>
                <w:color w:val="auto"/>
                <w:szCs w:val="21"/>
                <w:highlight w:val="none"/>
              </w:rPr>
              <w:t>万元填报投标报价。</w:t>
            </w:r>
          </w:p>
        </w:tc>
      </w:tr>
    </w:tbl>
    <w:p w14:paraId="2AB80FFF">
      <w:pPr>
        <w:pageBreakBefore/>
        <w:spacing w:before="312" w:beforeLines="100" w:after="312" w:afterLines="100" w:line="500" w:lineRule="exact"/>
        <w:jc w:val="center"/>
        <w:outlineLvl w:val="1"/>
        <w:rPr>
          <w:rFonts w:ascii="宋体"/>
          <w:b/>
          <w:color w:val="auto"/>
          <w:sz w:val="28"/>
          <w:szCs w:val="32"/>
          <w:highlight w:val="none"/>
        </w:rPr>
      </w:pPr>
      <w:bookmarkStart w:id="35" w:name="_Toc449028866"/>
      <w:bookmarkStart w:id="36" w:name="_Toc28397"/>
      <w:bookmarkStart w:id="37" w:name="_Toc58430315"/>
      <w:r>
        <w:rPr>
          <w:rFonts w:hint="eastAsia" w:ascii="宋体"/>
          <w:b/>
          <w:color w:val="auto"/>
          <w:sz w:val="28"/>
          <w:szCs w:val="28"/>
          <w:highlight w:val="none"/>
        </w:rPr>
        <w:t>二、投标人须知</w:t>
      </w:r>
      <w:bookmarkEnd w:id="35"/>
      <w:bookmarkEnd w:id="36"/>
      <w:bookmarkEnd w:id="37"/>
    </w:p>
    <w:p w14:paraId="641A5452">
      <w:pPr>
        <w:spacing w:before="156" w:beforeLines="50" w:after="156" w:afterLines="50" w:line="500" w:lineRule="exact"/>
        <w:jc w:val="center"/>
        <w:rPr>
          <w:rFonts w:ascii="宋体" w:hAnsi="宋体" w:cs="宋体"/>
          <w:color w:val="auto"/>
          <w:sz w:val="28"/>
          <w:szCs w:val="28"/>
          <w:highlight w:val="none"/>
        </w:rPr>
      </w:pPr>
      <w:bookmarkStart w:id="38" w:name="_Toc449028867"/>
      <w:r>
        <w:rPr>
          <w:rFonts w:hint="eastAsia" w:ascii="宋体" w:hAnsi="宋体" w:cs="宋体"/>
          <w:b/>
          <w:color w:val="auto"/>
          <w:sz w:val="28"/>
          <w:szCs w:val="28"/>
          <w:highlight w:val="none"/>
        </w:rPr>
        <w:t>（一）总  则</w:t>
      </w:r>
      <w:bookmarkEnd w:id="38"/>
    </w:p>
    <w:p w14:paraId="4523D574">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33B07B60">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691DAE9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4AC9E00A">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7360E16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62738E1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6E326D5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18207DE5">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42F5E0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7ADFB0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7025728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0A6C2AE">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0430220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采购内容：详见《采购内容与技术要求》。</w:t>
      </w:r>
    </w:p>
    <w:p w14:paraId="1FE1965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技术要求：详见《采购内容与技术要求》。</w:t>
      </w:r>
    </w:p>
    <w:p w14:paraId="0FEB5D4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5FF5649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AFA5745">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74C1E57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33EACA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10A7A37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785365BB">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538156A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3B3D61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2D66DF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3E2968D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37BF123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690111D4">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5DB5E26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2D6E96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9" w:name="_Toc247513962"/>
      <w:bookmarkStart w:id="40" w:name="_Toc247527563"/>
      <w:bookmarkStart w:id="41" w:name="_Toc152045539"/>
      <w:bookmarkStart w:id="42" w:name="_Toc296602429"/>
      <w:bookmarkStart w:id="43" w:name="_Toc247592876"/>
      <w:bookmarkStart w:id="44" w:name="_Toc152042315"/>
      <w:bookmarkStart w:id="45" w:name="_Toc144974507"/>
      <w:r>
        <w:rPr>
          <w:rFonts w:hint="eastAsia" w:ascii="宋体" w:hAnsi="宋体" w:cs="宋体"/>
          <w:b/>
          <w:color w:val="auto"/>
          <w:szCs w:val="21"/>
          <w:highlight w:val="none"/>
        </w:rPr>
        <w:t xml:space="preserve"> 踏勘现场</w:t>
      </w:r>
      <w:bookmarkEnd w:id="39"/>
      <w:bookmarkEnd w:id="40"/>
      <w:bookmarkEnd w:id="41"/>
      <w:bookmarkEnd w:id="42"/>
      <w:bookmarkEnd w:id="43"/>
      <w:bookmarkEnd w:id="44"/>
      <w:bookmarkEnd w:id="45"/>
    </w:p>
    <w:p w14:paraId="7A9E0EC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1ACD264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32A9A65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27568AA2">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6" w:name="_Toc152042316"/>
      <w:bookmarkStart w:id="47" w:name="_Toc144974508"/>
      <w:bookmarkStart w:id="48" w:name="_Toc247527564"/>
      <w:bookmarkStart w:id="49" w:name="_Toc296602430"/>
      <w:bookmarkStart w:id="50" w:name="_Toc247592877"/>
      <w:bookmarkStart w:id="51" w:name="_Toc152045540"/>
      <w:bookmarkStart w:id="52" w:name="_Toc247513963"/>
    </w:p>
    <w:p w14:paraId="3D432C6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6"/>
      <w:bookmarkEnd w:id="47"/>
      <w:bookmarkEnd w:id="48"/>
      <w:bookmarkEnd w:id="49"/>
      <w:bookmarkEnd w:id="50"/>
      <w:bookmarkEnd w:id="51"/>
      <w:bookmarkEnd w:id="52"/>
      <w:r>
        <w:rPr>
          <w:rFonts w:hint="eastAsia" w:ascii="宋体" w:hAnsi="宋体" w:cs="宋体"/>
          <w:b/>
          <w:color w:val="auto"/>
          <w:szCs w:val="21"/>
          <w:highlight w:val="none"/>
        </w:rPr>
        <w:t>（本项目不采用）</w:t>
      </w:r>
    </w:p>
    <w:p w14:paraId="677C24D9">
      <w:pP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56D0C05">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0CEC5FE9">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0B4226A9">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45E6EF8C">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6A5493A0">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2981B30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16DFBC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25BDE9C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12B78A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32180E50">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 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76D00E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7244206">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2FD5E135">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6E765E71">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043D726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2D4168E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36FF99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63149C7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1B4A94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5F276A23">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6E8AF74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2115626D">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175A6F01">
      <w:pPr>
        <w:spacing w:before="156" w:beforeLines="50" w:after="156" w:afterLines="50" w:line="500" w:lineRule="exact"/>
        <w:jc w:val="center"/>
        <w:rPr>
          <w:rFonts w:ascii="宋体" w:hAnsi="宋体" w:cs="宋体"/>
          <w:b/>
          <w:color w:val="auto"/>
          <w:sz w:val="28"/>
          <w:szCs w:val="28"/>
          <w:highlight w:val="none"/>
        </w:rPr>
      </w:pPr>
      <w:bookmarkStart w:id="53" w:name="_Toc449028868"/>
      <w:r>
        <w:rPr>
          <w:rFonts w:hint="eastAsia" w:ascii="宋体" w:hAnsi="宋体" w:cs="宋体"/>
          <w:b/>
          <w:color w:val="auto"/>
          <w:sz w:val="28"/>
          <w:szCs w:val="28"/>
          <w:highlight w:val="none"/>
        </w:rPr>
        <w:t>（二）</w:t>
      </w:r>
      <w:bookmarkEnd w:id="53"/>
      <w:r>
        <w:rPr>
          <w:rFonts w:hint="eastAsia" w:ascii="宋体" w:hAnsi="宋体" w:cs="宋体"/>
          <w:b/>
          <w:color w:val="auto"/>
          <w:sz w:val="28"/>
          <w:szCs w:val="28"/>
          <w:highlight w:val="none"/>
        </w:rPr>
        <w:t>招标文件</w:t>
      </w:r>
    </w:p>
    <w:p w14:paraId="3E301B3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3FA80646">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ascii="宋体"/>
          <w:color w:val="auto"/>
          <w:spacing w:val="-2"/>
          <w:szCs w:val="21"/>
          <w:highlight w:val="none"/>
        </w:rPr>
        <w:t>相关法律法规和规章及部、省、市级规范性文件的规定，编制本招标文件。</w:t>
      </w:r>
    </w:p>
    <w:p w14:paraId="59922CD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2E703F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5CFF919E">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2E2ADC5B">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4AD6A8E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26C09ECD">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采购内容与技术要求</w:t>
      </w:r>
    </w:p>
    <w:p w14:paraId="44C0EF5F">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4E20F926">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D4324A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0D7D8CD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51C615C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362190CA">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4684397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1BAEC179">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52B62C5C">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0CE18F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3289ED2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2E13A5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2377E7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75407D7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0363CB5E">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05D8C72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6D70E563">
      <w:pPr>
        <w:spacing w:line="500" w:lineRule="exact"/>
        <w:ind w:left="-420" w:leftChars="-200" w:right="-420" w:rightChars="-200" w:firstLine="843" w:firstLineChars="400"/>
        <w:rPr>
          <w:rFonts w:ascii="宋体" w:hAnsi="宋体" w:cs="宋体"/>
          <w:b/>
          <w:bCs/>
          <w:color w:val="auto"/>
          <w:szCs w:val="21"/>
          <w:highlight w:val="none"/>
        </w:rPr>
      </w:pPr>
      <w:bookmarkStart w:id="54" w:name="_Toc449028869"/>
      <w:r>
        <w:rPr>
          <w:rFonts w:hint="eastAsia" w:ascii="宋体" w:hAnsi="宋体" w:cs="宋体"/>
          <w:b/>
          <w:bCs/>
          <w:color w:val="auto"/>
          <w:szCs w:val="21"/>
          <w:highlight w:val="none"/>
        </w:rPr>
        <w:t>19. 样品（本项目不采用）</w:t>
      </w:r>
    </w:p>
    <w:p w14:paraId="6C21D6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5810E55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19520681">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4"/>
    </w:p>
    <w:p w14:paraId="716C67B0">
      <w:pPr>
        <w:spacing w:line="500" w:lineRule="exact"/>
        <w:ind w:firstLine="306" w:firstLineChars="145"/>
        <w:jc w:val="left"/>
        <w:rPr>
          <w:rFonts w:ascii="宋体" w:hAnsi="宋体" w:cs="宋体"/>
          <w:b/>
          <w:color w:val="auto"/>
          <w:szCs w:val="21"/>
          <w:highlight w:val="none"/>
        </w:rPr>
      </w:pPr>
      <w:r>
        <w:rPr>
          <w:rFonts w:hint="eastAsia" w:ascii="宋体" w:hAnsi="宋体" w:cs="宋体"/>
          <w:b/>
          <w:color w:val="auto"/>
          <w:szCs w:val="21"/>
          <w:highlight w:val="none"/>
        </w:rPr>
        <w:t>20. 投标的语言及度量衡单位</w:t>
      </w:r>
    </w:p>
    <w:p w14:paraId="6EE6241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7118CE8E">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0BFE46C2">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 投标文件的组成、上传说明</w:t>
      </w:r>
    </w:p>
    <w:p w14:paraId="2C1270DF">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65F238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4E8B6B38">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28D7987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6D19F19A">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66BD377F">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474F3B59">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7D4E14C8">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7C4F19C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62996F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170079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7E205290">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7099A543">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216628B4">
      <w:pPr>
        <w:spacing w:line="500" w:lineRule="exact"/>
        <w:ind w:firstLine="422" w:firstLineChars="200"/>
        <w:jc w:val="left"/>
        <w:rPr>
          <w:rFonts w:hint="default" w:ascii="宋体" w:hAnsi="宋体" w:eastAsia="宋体" w:cs="宋体"/>
          <w:color w:val="auto"/>
          <w:szCs w:val="21"/>
          <w:highlight w:val="none"/>
          <w:lang w:val="en-US" w:eastAsia="zh-CN"/>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273404D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货物）、利润、税金、政策性文件规定及合同包含的所有风险、责任、义务等，即为完成招标文件要求的服务（货物）内容所包含的一切应有费用，招标人后期不再追加费用，投标供应商自行考虑投标风险。</w:t>
      </w:r>
    </w:p>
    <w:p w14:paraId="75D8E8C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22.2投标报价表上应清楚地标明投标人拟提供货物的名称、型号、生产厂家、数量、单价和总价。</w:t>
      </w:r>
    </w:p>
    <w:p w14:paraId="530E0B5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22.3投标人只允许有一个方案、一个报价。</w:t>
      </w:r>
    </w:p>
    <w:p w14:paraId="2EABA3F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22.4</w:t>
      </w:r>
      <w:r>
        <w:rPr>
          <w:rFonts w:hint="eastAsia" w:ascii="宋体"/>
          <w:color w:val="auto"/>
          <w:szCs w:val="21"/>
          <w:highlight w:val="none"/>
        </w:rPr>
        <w:t>投标人应按“采购内容及技术要求”所列货物逐项进行单价报价，并最终按货物总量乘以货物单价报总价，不得采用总价下浮的方式进行报价。</w:t>
      </w:r>
    </w:p>
    <w:p w14:paraId="1FD63B8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22.5投标报价的价格是完成项目全部内容（包括后期的相关服务）交付验收的价格，其价格即为履行合同的固定价格。</w:t>
      </w:r>
    </w:p>
    <w:p w14:paraId="696ABF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22.6技术要求中规定的安装、调试和培训费用应包括在投标价格中。投标文件报价为含税价，采购人不再为此次招标支付任何费用。</w:t>
      </w:r>
    </w:p>
    <w:p w14:paraId="3C63E49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22.7投标报价应由法定代表人或被授权人签署。</w:t>
      </w:r>
    </w:p>
    <w:p w14:paraId="739AD4A8">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22.8投标人的报价不得高于本次招标最高限价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0CDFB09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22.9如投标文件中未列明全面实现投标货物功能而必须配置的配套或辅助设施及相应技术措施的费用，这些费用将被视为已包含在总投标价中。</w:t>
      </w:r>
    </w:p>
    <w:p w14:paraId="42B8D00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22.10总投标价中不得包含招标文件要求以外的内容，否则，在评标时不予核减，但在授予合同时，采购人有权将这部分价格从其中标价格中扣除。</w:t>
      </w:r>
    </w:p>
    <w:p w14:paraId="78852D8B">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44C298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22.12投标人不得对从第三方采购货物的随机备品、备件另行收费，否则在计算评标价时这部分费用将不予扣除，在授予合同时将从中标价格中扣除该部分费用。</w:t>
      </w:r>
    </w:p>
    <w:p w14:paraId="279818A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01ED3B6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1F09567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7A31F2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6E0F59A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68CFC9A">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15BCAECA">
      <w:pPr>
        <w:spacing w:line="500" w:lineRule="exact"/>
        <w:ind w:firstLine="420" w:firstLineChars="200"/>
        <w:jc w:val="left"/>
        <w:rPr>
          <w:rFonts w:ascii="宋体" w:hAnsi="宋体" w:cs="宋体"/>
          <w:color w:val="auto"/>
          <w:szCs w:val="21"/>
          <w:highlight w:val="none"/>
        </w:rPr>
      </w:pPr>
      <w:bookmarkStart w:id="55"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7DB099F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232743E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24.2投标人不按本章第24.11项要求提交投标保证金的，评标委员会将否决其投标。</w:t>
      </w:r>
    </w:p>
    <w:p w14:paraId="0AB6AD7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807B9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0B7C422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57792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5C940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2BC9BFEC">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5"/>
    </w:p>
    <w:p w14:paraId="5B262D85">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00C97B31">
      <w:pPr>
        <w:spacing w:line="500" w:lineRule="exact"/>
        <w:ind w:firstLine="420" w:firstLineChars="200"/>
        <w:jc w:val="left"/>
        <w:rPr>
          <w:rFonts w:ascii="宋体" w:hAnsi="宋体" w:cs="宋体"/>
          <w:color w:val="auto"/>
          <w:szCs w:val="21"/>
          <w:highlight w:val="none"/>
        </w:rPr>
      </w:pPr>
      <w:bookmarkStart w:id="56"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71C7351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5F3D974B">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10E065F1">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47218780">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7E4F8E2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2F3B6777">
      <w:pP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7B2640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5FAD1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766390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E66F8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381B757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6F2762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B4937C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077627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项（1）目所述的细微偏差，按照第四章“评标办法”的规定予以修正并要求投标人进行澄清；</w:t>
      </w:r>
    </w:p>
    <w:p w14:paraId="53554EE7">
      <w:pPr>
        <w:spacing w:before="156" w:beforeLines="50" w:after="156" w:afterLines="50" w:line="500" w:lineRule="exact"/>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5FC9DC0D">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6"/>
    </w:p>
    <w:p w14:paraId="0A5DA03C">
      <w:pP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0607E88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720656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363AB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004035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7D2864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62F1E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25B2576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3F26E8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7713C54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119F88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01E2DD0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（5）公布投标人质量目标、供货期及其他内容，并记录在案；</w:t>
      </w:r>
    </w:p>
    <w:p w14:paraId="5DE2B5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1666D8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E603FAF">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3F53E0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199A7564">
      <w:pP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2AE3FD4B">
      <w:pP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1E9D1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856E397">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3E491C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139FD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03859C12">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57C14C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D63AD2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46FE027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36E2BE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1B394F5">
      <w:pP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3210B1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20B6D7D0">
      <w:pPr>
        <w:spacing w:line="500" w:lineRule="exact"/>
        <w:ind w:firstLine="420" w:firstLineChars="200"/>
        <w:jc w:val="left"/>
        <w:rPr>
          <w:rFonts w:ascii="宋体" w:hAnsi="宋体" w:cs="宋体"/>
          <w:color w:val="auto"/>
          <w:szCs w:val="21"/>
          <w:highlight w:val="none"/>
        </w:rPr>
      </w:pPr>
      <w:bookmarkStart w:id="57"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189AF9D2">
      <w:pP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1928928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15EFC46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1C173C4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68606F30">
      <w:pPr>
        <w:tabs>
          <w:tab w:val="left" w:pos="720"/>
        </w:tabs>
        <w:spacing w:line="500" w:lineRule="exact"/>
        <w:ind w:firstLine="420" w:firstLineChars="200"/>
        <w:jc w:val="left"/>
        <w:rPr>
          <w:rFonts w:hint="default" w:ascii="宋体" w:eastAsia="宋体"/>
          <w:color w:val="auto"/>
          <w:szCs w:val="21"/>
          <w:highlight w:val="none"/>
          <w:lang w:val="en-US" w:eastAsia="zh-CN"/>
        </w:rPr>
      </w:pPr>
      <w:r>
        <w:rPr>
          <w:rFonts w:hint="eastAsia" w:ascii="宋体"/>
          <w:color w:val="auto"/>
          <w:szCs w:val="21"/>
          <w:highlight w:val="none"/>
        </w:rPr>
        <w:t>31.5报价合理性的判断</w:t>
      </w:r>
      <w:r>
        <w:rPr>
          <w:rFonts w:hint="eastAsia" w:ascii="宋体"/>
          <w:color w:val="auto"/>
          <w:szCs w:val="21"/>
          <w:highlight w:val="none"/>
          <w:lang w:val="en-US" w:eastAsia="zh-CN"/>
        </w:rPr>
        <w:t>(本项目不采用）</w:t>
      </w:r>
    </w:p>
    <w:p w14:paraId="101DF238">
      <w:pPr>
        <w:spacing w:line="500" w:lineRule="exact"/>
        <w:ind w:firstLine="420" w:firstLineChars="200"/>
        <w:jc w:val="left"/>
        <w:rPr>
          <w:rFonts w:ascii="宋体" w:hAnsi="宋体"/>
          <w:b w:val="0"/>
          <w:bCs w:val="0"/>
          <w:color w:val="auto"/>
          <w:szCs w:val="21"/>
          <w:highlight w:val="none"/>
        </w:rPr>
      </w:pPr>
      <w:r>
        <w:rPr>
          <w:rFonts w:hint="eastAsia" w:ascii="宋体" w:hAnsi="宋体"/>
          <w:b w:val="0"/>
          <w:bCs w:val="0"/>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5EA08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0BE2873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59451A1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72C61FF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75BF38A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685515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1D6A6CA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3D0E860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0B1DCBC0">
      <w:pP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608C7C50">
      <w:pP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1019DA5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501E367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32.1.1招标人</w:t>
      </w:r>
      <w:r>
        <w:rPr>
          <w:rFonts w:hint="eastAsia" w:ascii="宋体"/>
          <w:color w:val="auto"/>
          <w:szCs w:val="21"/>
          <w:highlight w:val="none"/>
          <w:lang w:val="en-US" w:eastAsia="zh-CN"/>
        </w:rPr>
        <w:t>根据第三章评标办法的规定</w:t>
      </w:r>
      <w:r>
        <w:rPr>
          <w:rFonts w:hint="eastAsia" w:ascii="宋体"/>
          <w:color w:val="auto"/>
          <w:szCs w:val="21"/>
          <w:highlight w:val="none"/>
        </w:rPr>
        <w:t>确定中标人。</w:t>
      </w:r>
      <w:r>
        <w:rPr>
          <w:rFonts w:hint="eastAsia" w:ascii="宋体"/>
          <w:color w:val="auto"/>
          <w:szCs w:val="21"/>
          <w:highlight w:val="none"/>
          <w:lang w:val="en-US" w:eastAsia="zh-CN"/>
        </w:rPr>
        <w:t>中标人</w:t>
      </w:r>
      <w:r>
        <w:rPr>
          <w:rFonts w:hint="eastAsia" w:ascii="宋体"/>
          <w:color w:val="auto"/>
          <w:szCs w:val="21"/>
          <w:highlight w:val="none"/>
        </w:rPr>
        <w:t>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C83975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46576F4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7E2D752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3DF222E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65AF9D1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2CFA01C6">
      <w:pP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5A9F20BE">
      <w:pP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3D15DDF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2005220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1）</w:t>
      </w:r>
      <w:r>
        <w:rPr>
          <w:rFonts w:hint="eastAsia" w:ascii="宋体"/>
          <w:color w:val="auto"/>
          <w:kern w:val="10"/>
          <w:szCs w:val="21"/>
          <w:highlight w:val="none"/>
        </w:rPr>
        <w:t xml:space="preserve">投标截止时间止，投标人少于三个的； </w:t>
      </w:r>
    </w:p>
    <w:p w14:paraId="1ED041F4">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2）</w:t>
      </w:r>
      <w:r>
        <w:rPr>
          <w:rFonts w:hint="eastAsia" w:ascii="宋体"/>
          <w:color w:val="auto"/>
          <w:kern w:val="10"/>
          <w:szCs w:val="21"/>
          <w:highlight w:val="none"/>
        </w:rPr>
        <w:t>符合专业条件的供应商或者对招标文件作实质响应的供应商不足三家的；</w:t>
      </w:r>
    </w:p>
    <w:p w14:paraId="4067591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3）</w:t>
      </w:r>
      <w:r>
        <w:rPr>
          <w:rFonts w:hint="eastAsia" w:ascii="宋体"/>
          <w:color w:val="auto"/>
          <w:kern w:val="10"/>
          <w:szCs w:val="21"/>
          <w:highlight w:val="none"/>
        </w:rPr>
        <w:t>出现影响招标公正的违法、违规行为的；</w:t>
      </w:r>
    </w:p>
    <w:p w14:paraId="74137B7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4）</w:t>
      </w:r>
      <w:r>
        <w:rPr>
          <w:rFonts w:hint="eastAsia" w:ascii="宋体"/>
          <w:color w:val="auto"/>
          <w:kern w:val="10"/>
          <w:szCs w:val="21"/>
          <w:highlight w:val="none"/>
        </w:rPr>
        <w:t>投标人的报价均脱离实际且无充分证据的</w:t>
      </w: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本项目不采用）</w:t>
      </w:r>
      <w:r>
        <w:rPr>
          <w:rFonts w:hint="eastAsia" w:ascii="宋体"/>
          <w:color w:val="auto"/>
          <w:kern w:val="10"/>
          <w:szCs w:val="21"/>
          <w:highlight w:val="none"/>
        </w:rPr>
        <w:t>；</w:t>
      </w:r>
    </w:p>
    <w:p w14:paraId="1E5345A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5）</w:t>
      </w:r>
      <w:r>
        <w:rPr>
          <w:rFonts w:hint="eastAsia" w:ascii="宋体"/>
          <w:color w:val="auto"/>
          <w:kern w:val="10"/>
          <w:szCs w:val="21"/>
          <w:highlight w:val="none"/>
        </w:rPr>
        <w:t>技术标暗标项目，所有投标人的技术标均能反映投标人信息的；</w:t>
      </w:r>
    </w:p>
    <w:p w14:paraId="6E8FE141">
      <w:pPr>
        <w:adjustRightInd w:val="0"/>
        <w:snapToGrid w:val="0"/>
        <w:spacing w:line="500" w:lineRule="exact"/>
        <w:ind w:firstLine="420" w:firstLineChars="200"/>
        <w:rPr>
          <w:rFonts w:hint="eastAsia" w:ascii="宋体" w:eastAsia="宋体"/>
          <w:color w:val="auto"/>
          <w:kern w:val="10"/>
          <w:szCs w:val="21"/>
          <w:highlight w:val="none"/>
          <w:lang w:eastAsia="zh-CN"/>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6）</w:t>
      </w:r>
      <w:r>
        <w:rPr>
          <w:rFonts w:hint="eastAsia" w:ascii="宋体"/>
          <w:color w:val="auto"/>
          <w:kern w:val="10"/>
          <w:szCs w:val="21"/>
          <w:highlight w:val="none"/>
        </w:rPr>
        <w:t>因重大变故，采购任务取消的</w:t>
      </w:r>
      <w:r>
        <w:rPr>
          <w:rFonts w:hint="eastAsia" w:ascii="宋体"/>
          <w:color w:val="auto"/>
          <w:kern w:val="10"/>
          <w:szCs w:val="21"/>
          <w:highlight w:val="none"/>
          <w:lang w:eastAsia="zh-CN"/>
        </w:rPr>
        <w:t>；</w:t>
      </w:r>
    </w:p>
    <w:p w14:paraId="36F44756">
      <w:pPr>
        <w:adjustRightInd w:val="0"/>
        <w:snapToGrid w:val="0"/>
        <w:spacing w:line="500" w:lineRule="exact"/>
        <w:ind w:firstLine="420" w:firstLineChars="200"/>
        <w:rPr>
          <w:rFonts w:hint="default" w:ascii="宋体" w:eastAsia="宋体"/>
          <w:color w:val="auto"/>
          <w:kern w:val="10"/>
          <w:szCs w:val="21"/>
          <w:highlight w:val="none"/>
          <w:lang w:val="en-US" w:eastAsia="zh-CN"/>
        </w:rPr>
      </w:pPr>
      <w:r>
        <w:rPr>
          <w:rFonts w:hint="eastAsia" w:ascii="宋体"/>
          <w:color w:val="auto"/>
          <w:kern w:val="10"/>
          <w:szCs w:val="21"/>
          <w:highlight w:val="none"/>
          <w:lang w:eastAsia="zh-CN"/>
        </w:rPr>
        <w:t>（</w:t>
      </w:r>
      <w:r>
        <w:rPr>
          <w:rFonts w:hint="eastAsia" w:ascii="宋体"/>
          <w:color w:val="auto"/>
          <w:kern w:val="10"/>
          <w:szCs w:val="21"/>
          <w:highlight w:val="none"/>
          <w:lang w:val="en-US" w:eastAsia="zh-CN"/>
        </w:rPr>
        <w:t>7）招标文件规定的其他情形。</w:t>
      </w:r>
    </w:p>
    <w:p w14:paraId="5EE0F09E">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0B41FD1E">
      <w:pPr>
        <w:tabs>
          <w:tab w:val="left" w:pos="720"/>
        </w:tabs>
        <w:spacing w:line="500" w:lineRule="exact"/>
        <w:ind w:firstLine="420" w:firstLineChars="200"/>
        <w:jc w:val="left"/>
        <w:rPr>
          <w:rFonts w:ascii="宋体"/>
          <w:color w:val="auto"/>
          <w:szCs w:val="21"/>
          <w:highlight w:val="none"/>
        </w:rPr>
      </w:pPr>
      <w:bookmarkStart w:id="58" w:name="_Toc449028872"/>
      <w:r>
        <w:rPr>
          <w:rFonts w:hint="eastAsia" w:ascii="宋体"/>
          <w:color w:val="auto"/>
          <w:szCs w:val="21"/>
          <w:highlight w:val="none"/>
        </w:rPr>
        <w:t>按照滁州市公管局相关规定执行。</w:t>
      </w:r>
      <w:bookmarkEnd w:id="58"/>
    </w:p>
    <w:p w14:paraId="16F3C947">
      <w:pP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7"/>
    </w:p>
    <w:p w14:paraId="0637C40B">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344F4EDE">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46607530">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68E7E6FF">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333A8394">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4F611FB3">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00403CB4">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9"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9"/>
      <w:r>
        <w:rPr>
          <w:rFonts w:hint="eastAsia" w:ascii="宋体" w:hAnsi="宋体" w:cs="宋体"/>
          <w:b/>
          <w:color w:val="auto"/>
          <w:szCs w:val="21"/>
          <w:highlight w:val="none"/>
        </w:rPr>
        <w:t>担保</w:t>
      </w:r>
    </w:p>
    <w:p w14:paraId="543C6E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4C4986A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4C0B4D1A">
      <w:pPr>
        <w:spacing w:before="312" w:beforeLines="100" w:after="312" w:afterLines="100" w:line="500" w:lineRule="exact"/>
        <w:jc w:val="center"/>
        <w:rPr>
          <w:rFonts w:ascii="宋体"/>
          <w:b/>
          <w:color w:val="auto"/>
          <w:sz w:val="28"/>
          <w:szCs w:val="28"/>
          <w:highlight w:val="none"/>
        </w:rPr>
      </w:pPr>
      <w:bookmarkStart w:id="60" w:name="_Toc449028874"/>
      <w:r>
        <w:rPr>
          <w:rFonts w:hint="eastAsia" w:ascii="宋体"/>
          <w:b/>
          <w:color w:val="auto"/>
          <w:sz w:val="28"/>
          <w:szCs w:val="28"/>
          <w:highlight w:val="none"/>
        </w:rPr>
        <w:t>（七）纪律和监督</w:t>
      </w:r>
      <w:bookmarkEnd w:id="60"/>
    </w:p>
    <w:p w14:paraId="1F901C9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09E4C285">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04095F8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79C573F2">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46C0FF31">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13BEBCBF">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3ED8255">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3025580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3E1E07E8">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19FB63ED">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1C883C8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27E08C67">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13D3B01F">
      <w:pPr>
        <w:spacing w:line="440" w:lineRule="exact"/>
        <w:ind w:firstLine="600" w:firstLineChars="200"/>
        <w:jc w:val="left"/>
        <w:rPr>
          <w:rFonts w:ascii="黑体" w:eastAsia="黑体"/>
          <w:color w:val="auto"/>
          <w:sz w:val="30"/>
          <w:szCs w:val="30"/>
          <w:highlight w:val="none"/>
        </w:rPr>
      </w:pPr>
    </w:p>
    <w:p w14:paraId="779260C8">
      <w:pPr>
        <w:spacing w:line="440" w:lineRule="exact"/>
        <w:ind w:firstLine="450" w:firstLineChars="150"/>
        <w:jc w:val="left"/>
        <w:rPr>
          <w:rFonts w:ascii="黑体" w:eastAsia="黑体"/>
          <w:color w:val="auto"/>
          <w:sz w:val="30"/>
          <w:szCs w:val="30"/>
          <w:highlight w:val="none"/>
        </w:rPr>
      </w:pPr>
    </w:p>
    <w:p w14:paraId="4925729A">
      <w:pPr>
        <w:pStyle w:val="2"/>
        <w:spacing w:line="280" w:lineRule="exact"/>
        <w:rPr>
          <w:rFonts w:ascii="宋体"/>
          <w:b w:val="0"/>
          <w:color w:val="auto"/>
          <w:szCs w:val="32"/>
          <w:highlight w:val="none"/>
        </w:rPr>
      </w:pPr>
      <w:r>
        <w:rPr>
          <w:rFonts w:ascii="宋体"/>
          <w:b w:val="0"/>
          <w:color w:val="auto"/>
          <w:szCs w:val="32"/>
          <w:highlight w:val="none"/>
        </w:rPr>
        <w:br w:type="page"/>
      </w:r>
      <w:bookmarkStart w:id="61" w:name="_Toc28871"/>
      <w:r>
        <w:rPr>
          <w:rFonts w:hint="eastAsia" w:ascii="宋体"/>
          <w:bCs w:val="0"/>
          <w:color w:val="auto"/>
          <w:szCs w:val="32"/>
          <w:highlight w:val="none"/>
        </w:rPr>
        <w:t>第三章 评标办法（综合评分法）</w:t>
      </w:r>
      <w:bookmarkEnd w:id="61"/>
    </w:p>
    <w:p w14:paraId="512131A4">
      <w:pPr>
        <w:spacing w:before="156" w:beforeLines="50" w:after="156" w:afterLines="50" w:line="500" w:lineRule="exact"/>
        <w:jc w:val="center"/>
        <w:outlineLvl w:val="1"/>
        <w:rPr>
          <w:rFonts w:ascii="宋体" w:hAnsi="宋体" w:cs="宋体"/>
          <w:b/>
          <w:color w:val="auto"/>
          <w:sz w:val="28"/>
          <w:szCs w:val="28"/>
          <w:highlight w:val="none"/>
        </w:rPr>
      </w:pPr>
      <w:bookmarkStart w:id="62" w:name="_Toc58430317"/>
      <w:bookmarkStart w:id="63" w:name="_Toc362983801"/>
      <w:bookmarkStart w:id="64" w:name="_Toc20697"/>
      <w:bookmarkStart w:id="65" w:name="_Toc449028877"/>
      <w:bookmarkStart w:id="66" w:name="_Toc267320058"/>
      <w:bookmarkStart w:id="67" w:name="_Toc363135205"/>
      <w:r>
        <w:rPr>
          <w:rFonts w:hint="eastAsia" w:ascii="宋体" w:hAnsi="宋体" w:cs="宋体"/>
          <w:b/>
          <w:color w:val="auto"/>
          <w:sz w:val="28"/>
          <w:szCs w:val="28"/>
          <w:highlight w:val="none"/>
        </w:rPr>
        <w:t>一、总则</w:t>
      </w:r>
      <w:bookmarkEnd w:id="62"/>
      <w:bookmarkEnd w:id="63"/>
      <w:bookmarkEnd w:id="64"/>
      <w:bookmarkEnd w:id="65"/>
    </w:p>
    <w:p w14:paraId="2A5769B8">
      <w:pP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2D48D88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5C36A51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73E8D7EA">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7841099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2ED2965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656CA1A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74D254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48E8DD4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36C2AEAC">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7B5785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5543D36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2.2.3招标人不接受投标人主动提出的澄清。</w:t>
      </w:r>
    </w:p>
    <w:p w14:paraId="56F55CA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2010394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.1按招标文件中规定的评标方法和标准，对资格性检查和符合性检查合格的投标文件进行资信、商务和技术评估，综合比较与评价。 </w:t>
      </w:r>
    </w:p>
    <w:p w14:paraId="082B99D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723DE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0FEA3449">
      <w:pP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68" w:name="_Toc449028878"/>
      <w:bookmarkStart w:id="69" w:name="_Toc362983802"/>
      <w:bookmarkStart w:id="70" w:name="_Toc58430318"/>
    </w:p>
    <w:p w14:paraId="51A634FF">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8"/>
      <w:bookmarkEnd w:id="69"/>
      <w:bookmarkEnd w:id="70"/>
    </w:p>
    <w:p w14:paraId="6D8CC56E">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79B6D8F0">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4305"/>
        <w:gridCol w:w="3176"/>
      </w:tblGrid>
      <w:tr w14:paraId="3C6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6CDAEED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30" w:type="dxa"/>
            <w:gridSpan w:val="2"/>
            <w:vAlign w:val="center"/>
          </w:tcPr>
          <w:p w14:paraId="4C73697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176" w:type="dxa"/>
            <w:vAlign w:val="center"/>
          </w:tcPr>
          <w:p w14:paraId="4F1DC8F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6E54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086AD63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5" w:type="dxa"/>
            <w:vAlign w:val="center"/>
          </w:tcPr>
          <w:p w14:paraId="0F37F91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4305" w:type="dxa"/>
            <w:vAlign w:val="center"/>
          </w:tcPr>
          <w:p w14:paraId="40EEE13F">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176" w:type="dxa"/>
            <w:vAlign w:val="center"/>
          </w:tcPr>
          <w:p w14:paraId="3E888FC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042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1C89C92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725" w:type="dxa"/>
            <w:vMerge w:val="restart"/>
            <w:vAlign w:val="center"/>
          </w:tcPr>
          <w:p w14:paraId="5FA5F034">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305" w:type="dxa"/>
            <w:vAlign w:val="center"/>
          </w:tcPr>
          <w:p w14:paraId="250B9627">
            <w:pPr>
              <w:spacing w:line="500" w:lineRule="exact"/>
              <w:rPr>
                <w:rFonts w:ascii="宋体" w:hAnsi="宋体" w:cs="宋体"/>
                <w:color w:val="auto"/>
                <w:szCs w:val="21"/>
                <w:highlight w:val="none"/>
              </w:rPr>
            </w:pPr>
            <w:r>
              <w:rPr>
                <w:rFonts w:hint="eastAsia" w:ascii="宋体" w:hAnsi="宋体" w:cs="宋体"/>
                <w:color w:val="auto"/>
                <w:szCs w:val="21"/>
                <w:highlight w:val="none"/>
              </w:rPr>
              <w:t>（2）具有独立承担民事责任能力及相应供货能力的</w:t>
            </w:r>
            <w:r>
              <w:rPr>
                <w:rFonts w:hint="eastAsia" w:ascii="宋体" w:hAnsi="宋体" w:cs="宋体"/>
                <w:color w:val="auto"/>
                <w:szCs w:val="21"/>
                <w:highlight w:val="none"/>
                <w:lang w:val="en-US" w:eastAsia="zh-CN"/>
              </w:rPr>
              <w:t>供水成套设备生产商或制造商</w:t>
            </w:r>
          </w:p>
        </w:tc>
        <w:tc>
          <w:tcPr>
            <w:tcW w:w="3176" w:type="dxa"/>
            <w:vAlign w:val="center"/>
          </w:tcPr>
          <w:p w14:paraId="08591DAD">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5AD86302">
            <w:pPr>
              <w:spacing w:line="500" w:lineRule="exact"/>
              <w:rPr>
                <w:rFonts w:ascii="宋体" w:hAnsi="宋体" w:cs="宋体"/>
                <w:color w:val="auto"/>
                <w:szCs w:val="21"/>
                <w:highlight w:val="none"/>
              </w:rPr>
            </w:pPr>
            <w:r>
              <w:rPr>
                <w:rFonts w:hint="eastAsia" w:ascii="宋体" w:hAnsi="宋体" w:cs="宋体"/>
                <w:color w:val="auto"/>
                <w:szCs w:val="21"/>
                <w:highlight w:val="none"/>
              </w:rPr>
              <w:t>投标人有效的营业执照（或“三证合一证书”）</w:t>
            </w:r>
          </w:p>
        </w:tc>
      </w:tr>
      <w:tr w14:paraId="063A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20" w:type="dxa"/>
            <w:vMerge w:val="continue"/>
            <w:vAlign w:val="center"/>
          </w:tcPr>
          <w:p w14:paraId="2FBB3EBC">
            <w:pPr>
              <w:spacing w:line="500" w:lineRule="exact"/>
              <w:jc w:val="center"/>
              <w:rPr>
                <w:rFonts w:ascii="宋体" w:hAnsi="宋体" w:cs="宋体"/>
                <w:color w:val="auto"/>
                <w:szCs w:val="21"/>
                <w:highlight w:val="none"/>
              </w:rPr>
            </w:pPr>
          </w:p>
        </w:tc>
        <w:tc>
          <w:tcPr>
            <w:tcW w:w="1725" w:type="dxa"/>
            <w:vMerge w:val="continue"/>
            <w:vAlign w:val="center"/>
          </w:tcPr>
          <w:p w14:paraId="011CCF2F">
            <w:pPr>
              <w:spacing w:line="500" w:lineRule="exact"/>
              <w:rPr>
                <w:rFonts w:ascii="宋体" w:hAnsi="宋体" w:cs="宋体"/>
                <w:color w:val="auto"/>
                <w:szCs w:val="21"/>
                <w:highlight w:val="none"/>
              </w:rPr>
            </w:pPr>
          </w:p>
        </w:tc>
        <w:tc>
          <w:tcPr>
            <w:tcW w:w="4305" w:type="dxa"/>
            <w:vAlign w:val="center"/>
          </w:tcPr>
          <w:p w14:paraId="5C46FEDD">
            <w:pPr>
              <w:spacing w:line="500" w:lineRule="exact"/>
              <w:rPr>
                <w:rFonts w:ascii="宋体" w:hAnsi="宋体" w:cs="宋体"/>
                <w:color w:val="auto"/>
                <w:szCs w:val="21"/>
                <w:highlight w:val="none"/>
              </w:rPr>
            </w:pPr>
            <w:r>
              <w:rPr>
                <w:rFonts w:hint="eastAsia" w:ascii="宋体" w:hAnsi="宋体" w:cs="宋体"/>
                <w:color w:val="auto"/>
                <w:szCs w:val="21"/>
                <w:highlight w:val="none"/>
              </w:rPr>
              <w:t>（3）具有地市级或以上级别卫生行政主管部门颁发的涉及饮用水卫生安全产品的卫生许可批件，产品须含叠压（或无负压）给水（或供水）设备</w:t>
            </w:r>
          </w:p>
        </w:tc>
        <w:tc>
          <w:tcPr>
            <w:tcW w:w="3176" w:type="dxa"/>
            <w:vAlign w:val="center"/>
          </w:tcPr>
          <w:p w14:paraId="69351E4D">
            <w:pPr>
              <w:spacing w:line="500" w:lineRule="exac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492B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72DA5FBC">
            <w:pPr>
              <w:spacing w:line="500" w:lineRule="exact"/>
              <w:jc w:val="center"/>
              <w:rPr>
                <w:rFonts w:ascii="宋体" w:hAnsi="宋体" w:cs="宋体"/>
                <w:color w:val="auto"/>
                <w:szCs w:val="21"/>
                <w:highlight w:val="none"/>
              </w:rPr>
            </w:pPr>
          </w:p>
        </w:tc>
        <w:tc>
          <w:tcPr>
            <w:tcW w:w="1725" w:type="dxa"/>
            <w:vMerge w:val="continue"/>
            <w:vAlign w:val="center"/>
          </w:tcPr>
          <w:p w14:paraId="60F3040E">
            <w:pPr>
              <w:spacing w:line="500" w:lineRule="exact"/>
              <w:rPr>
                <w:rFonts w:ascii="宋体" w:hAnsi="宋体" w:cs="宋体"/>
                <w:color w:val="auto"/>
                <w:szCs w:val="21"/>
                <w:highlight w:val="none"/>
              </w:rPr>
            </w:pPr>
          </w:p>
        </w:tc>
        <w:tc>
          <w:tcPr>
            <w:tcW w:w="4305" w:type="dxa"/>
            <w:vAlign w:val="center"/>
          </w:tcPr>
          <w:p w14:paraId="6ADF7C0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）诚信投标承诺书或公共信用信息报告（无违法违规证明版或核查版）</w:t>
            </w:r>
          </w:p>
        </w:tc>
        <w:tc>
          <w:tcPr>
            <w:tcW w:w="3176" w:type="dxa"/>
            <w:vAlign w:val="center"/>
          </w:tcPr>
          <w:p w14:paraId="246275A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123E2869">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38996DA5">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7BDB207C">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27D650B">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752B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9993AC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1BB32DA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5636289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5340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261A689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46BA2FFD">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502EC2B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1233601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46F2E478">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1352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764D7A21">
            <w:pPr>
              <w:spacing w:line="500" w:lineRule="exact"/>
              <w:jc w:val="left"/>
              <w:rPr>
                <w:rFonts w:ascii="宋体" w:hAnsi="宋体" w:cs="宋体"/>
                <w:color w:val="auto"/>
                <w:szCs w:val="21"/>
                <w:highlight w:val="none"/>
              </w:rPr>
            </w:pPr>
          </w:p>
        </w:tc>
        <w:tc>
          <w:tcPr>
            <w:tcW w:w="1318" w:type="dxa"/>
            <w:vMerge w:val="continue"/>
            <w:vAlign w:val="center"/>
          </w:tcPr>
          <w:p w14:paraId="441C4D06">
            <w:pPr>
              <w:spacing w:line="500" w:lineRule="exact"/>
              <w:jc w:val="left"/>
              <w:rPr>
                <w:rFonts w:ascii="宋体" w:hAnsi="宋体" w:cs="宋体"/>
                <w:color w:val="auto"/>
                <w:szCs w:val="21"/>
                <w:highlight w:val="none"/>
              </w:rPr>
            </w:pPr>
          </w:p>
        </w:tc>
        <w:tc>
          <w:tcPr>
            <w:tcW w:w="2931" w:type="dxa"/>
            <w:vAlign w:val="center"/>
          </w:tcPr>
          <w:p w14:paraId="4A99E96A">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0FB08359">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07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1EAC2E2">
            <w:pPr>
              <w:spacing w:line="500" w:lineRule="exact"/>
              <w:jc w:val="left"/>
              <w:rPr>
                <w:rFonts w:ascii="宋体" w:hAnsi="宋体" w:cs="宋体"/>
                <w:color w:val="auto"/>
                <w:szCs w:val="21"/>
                <w:highlight w:val="none"/>
              </w:rPr>
            </w:pPr>
          </w:p>
        </w:tc>
        <w:tc>
          <w:tcPr>
            <w:tcW w:w="1318" w:type="dxa"/>
            <w:vMerge w:val="continue"/>
            <w:vAlign w:val="center"/>
          </w:tcPr>
          <w:p w14:paraId="7B55FFD7">
            <w:pPr>
              <w:spacing w:line="500" w:lineRule="exact"/>
              <w:jc w:val="left"/>
              <w:rPr>
                <w:rFonts w:ascii="宋体" w:hAnsi="宋体" w:cs="宋体"/>
                <w:color w:val="auto"/>
                <w:szCs w:val="21"/>
                <w:highlight w:val="none"/>
              </w:rPr>
            </w:pPr>
          </w:p>
        </w:tc>
        <w:tc>
          <w:tcPr>
            <w:tcW w:w="2931" w:type="dxa"/>
            <w:vAlign w:val="center"/>
          </w:tcPr>
          <w:p w14:paraId="2FC44105">
            <w:pPr>
              <w:spacing w:line="5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（3）报价唯一</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本项目不采用）</w:t>
            </w:r>
          </w:p>
        </w:tc>
        <w:tc>
          <w:tcPr>
            <w:tcW w:w="4691" w:type="dxa"/>
            <w:vAlign w:val="center"/>
          </w:tcPr>
          <w:p w14:paraId="5836F0F4">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724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23FACB2B">
            <w:pPr>
              <w:spacing w:line="500" w:lineRule="exact"/>
              <w:jc w:val="left"/>
              <w:rPr>
                <w:rFonts w:ascii="宋体" w:hAnsi="宋体" w:cs="宋体"/>
                <w:color w:val="auto"/>
                <w:szCs w:val="21"/>
                <w:highlight w:val="none"/>
              </w:rPr>
            </w:pPr>
          </w:p>
        </w:tc>
        <w:tc>
          <w:tcPr>
            <w:tcW w:w="1318" w:type="dxa"/>
            <w:vMerge w:val="continue"/>
            <w:vAlign w:val="center"/>
          </w:tcPr>
          <w:p w14:paraId="6583FAB9">
            <w:pPr>
              <w:spacing w:line="500" w:lineRule="exact"/>
              <w:jc w:val="left"/>
              <w:rPr>
                <w:rFonts w:ascii="宋体" w:hAnsi="宋体" w:cs="宋体"/>
                <w:color w:val="auto"/>
                <w:szCs w:val="21"/>
                <w:highlight w:val="none"/>
              </w:rPr>
            </w:pPr>
          </w:p>
        </w:tc>
        <w:tc>
          <w:tcPr>
            <w:tcW w:w="2931" w:type="dxa"/>
            <w:vAlign w:val="center"/>
          </w:tcPr>
          <w:p w14:paraId="0EAC31B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03C2CD6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66C7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4A214BA0">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722171E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700ED12B">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6DB713D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234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64861DC6">
            <w:pPr>
              <w:spacing w:line="500" w:lineRule="exact"/>
              <w:jc w:val="left"/>
              <w:rPr>
                <w:rFonts w:ascii="宋体" w:hAnsi="宋体" w:cs="宋体"/>
                <w:color w:val="auto"/>
                <w:szCs w:val="21"/>
                <w:highlight w:val="none"/>
              </w:rPr>
            </w:pPr>
          </w:p>
        </w:tc>
        <w:tc>
          <w:tcPr>
            <w:tcW w:w="1318" w:type="dxa"/>
            <w:vMerge w:val="continue"/>
            <w:vAlign w:val="center"/>
          </w:tcPr>
          <w:p w14:paraId="50DA4CEC">
            <w:pPr>
              <w:spacing w:line="500" w:lineRule="exact"/>
              <w:jc w:val="left"/>
              <w:rPr>
                <w:rFonts w:ascii="宋体" w:hAnsi="宋体" w:cs="宋体"/>
                <w:color w:val="auto"/>
                <w:szCs w:val="21"/>
                <w:highlight w:val="none"/>
              </w:rPr>
            </w:pPr>
          </w:p>
        </w:tc>
        <w:tc>
          <w:tcPr>
            <w:tcW w:w="2931" w:type="dxa"/>
            <w:vAlign w:val="center"/>
          </w:tcPr>
          <w:p w14:paraId="1F54978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2318CAE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203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72B7DC3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1F44538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2E4E2EA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0E56B08C">
            <w:pPr>
              <w:spacing w:line="500" w:lineRule="exact"/>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r>
              <w:rPr>
                <w:rFonts w:hint="eastAsia"/>
                <w:color w:val="auto"/>
                <w:highlight w:val="none"/>
                <w:lang w:val="zh-CN"/>
              </w:rPr>
              <w:t>（除必须满足项外）</w:t>
            </w:r>
            <w:r>
              <w:rPr>
                <w:rFonts w:hint="eastAsia" w:ascii="宋体" w:hAnsi="宋体" w:cs="宋体"/>
                <w:color w:val="auto"/>
                <w:highlight w:val="none"/>
                <w:lang w:val="zh-CN"/>
              </w:rPr>
              <w:t>。</w:t>
            </w:r>
          </w:p>
        </w:tc>
      </w:tr>
      <w:tr w14:paraId="7144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35C235CD">
            <w:pPr>
              <w:spacing w:line="500" w:lineRule="exact"/>
              <w:jc w:val="left"/>
              <w:rPr>
                <w:rFonts w:ascii="宋体" w:hAnsi="宋体" w:cs="宋体"/>
                <w:color w:val="auto"/>
                <w:szCs w:val="21"/>
                <w:highlight w:val="none"/>
              </w:rPr>
            </w:pPr>
          </w:p>
        </w:tc>
        <w:tc>
          <w:tcPr>
            <w:tcW w:w="1318" w:type="dxa"/>
            <w:vMerge w:val="continue"/>
            <w:vAlign w:val="center"/>
          </w:tcPr>
          <w:p w14:paraId="71B07229">
            <w:pPr>
              <w:spacing w:line="500" w:lineRule="exact"/>
              <w:jc w:val="left"/>
              <w:rPr>
                <w:rFonts w:ascii="宋体" w:hAnsi="宋体" w:cs="宋体"/>
                <w:color w:val="auto"/>
                <w:szCs w:val="21"/>
                <w:highlight w:val="none"/>
              </w:rPr>
            </w:pPr>
          </w:p>
        </w:tc>
        <w:tc>
          <w:tcPr>
            <w:tcW w:w="2931" w:type="dxa"/>
            <w:vAlign w:val="center"/>
          </w:tcPr>
          <w:p w14:paraId="0CCC0804">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68A084F6">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7B8E1F03">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w:t>
      </w:r>
      <w:r>
        <w:rPr>
          <w:rFonts w:hint="eastAsia" w:ascii="宋体" w:hAnsi="宋体" w:cs="宋体"/>
          <w:b w:val="0"/>
          <w:bCs w:val="0"/>
          <w:color w:val="auto"/>
          <w:szCs w:val="21"/>
          <w:highlight w:val="none"/>
        </w:rPr>
        <w:t>传扫描件</w:t>
      </w:r>
      <w:r>
        <w:rPr>
          <w:rFonts w:hint="eastAsia" w:ascii="宋体" w:hAnsi="宋体" w:cs="宋体"/>
          <w:color w:val="auto"/>
          <w:szCs w:val="21"/>
          <w:highlight w:val="none"/>
        </w:rPr>
        <w:t>，以供审查。</w:t>
      </w:r>
    </w:p>
    <w:p w14:paraId="36F088EC">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164ED9C0">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059EDE82">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6BC8ADE2">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03D92F18">
      <w:pP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756039F1">
      <w:pP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64E50E4C">
      <w:pPr>
        <w:spacing w:before="156" w:beforeLines="50" w:after="156" w:afterLines="50"/>
        <w:jc w:val="center"/>
        <w:outlineLvl w:val="1"/>
        <w:rPr>
          <w:rFonts w:ascii="宋体"/>
          <w:b/>
          <w:color w:val="auto"/>
          <w:sz w:val="28"/>
          <w:szCs w:val="28"/>
          <w:highlight w:val="none"/>
        </w:rPr>
      </w:pPr>
      <w:bookmarkStart w:id="71" w:name="_Toc58430319"/>
      <w:bookmarkStart w:id="72" w:name="_Toc362983803"/>
      <w:bookmarkStart w:id="73" w:name="_Toc449028879"/>
      <w:bookmarkStart w:id="74" w:name="_Toc14002"/>
      <w:r>
        <w:rPr>
          <w:rFonts w:hint="eastAsia" w:ascii="宋体"/>
          <w:b/>
          <w:color w:val="auto"/>
          <w:sz w:val="28"/>
          <w:szCs w:val="28"/>
          <w:highlight w:val="none"/>
        </w:rPr>
        <w:t>三、投标文件的澄清和补正</w:t>
      </w:r>
      <w:bookmarkEnd w:id="71"/>
      <w:bookmarkEnd w:id="72"/>
      <w:bookmarkEnd w:id="73"/>
      <w:bookmarkEnd w:id="74"/>
    </w:p>
    <w:p w14:paraId="4954B7C1">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55EC0638">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78544B74">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1AF6DFCE">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65C6525">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45A64345">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6"/>
    <w:p w14:paraId="675FCDA9">
      <w:pPr>
        <w:spacing w:before="156" w:beforeLines="50" w:after="156" w:afterLines="50"/>
        <w:jc w:val="center"/>
        <w:outlineLvl w:val="1"/>
        <w:rPr>
          <w:rFonts w:ascii="宋体"/>
          <w:b/>
          <w:color w:val="auto"/>
          <w:sz w:val="28"/>
          <w:szCs w:val="28"/>
          <w:highlight w:val="none"/>
        </w:rPr>
      </w:pPr>
      <w:bookmarkStart w:id="75" w:name="_Toc3630"/>
      <w:bookmarkStart w:id="76" w:name="_Toc58430320"/>
      <w:bookmarkStart w:id="77" w:name="_Toc449028880"/>
      <w:bookmarkStart w:id="78" w:name="_Hlk101517174"/>
      <w:r>
        <w:rPr>
          <w:rFonts w:hint="eastAsia" w:ascii="宋体"/>
          <w:b/>
          <w:color w:val="auto"/>
          <w:sz w:val="28"/>
          <w:szCs w:val="28"/>
          <w:highlight w:val="none"/>
        </w:rPr>
        <w:t>四、比较与评价</w:t>
      </w:r>
      <w:bookmarkEnd w:id="75"/>
      <w:bookmarkEnd w:id="76"/>
      <w:bookmarkEnd w:id="77"/>
    </w:p>
    <w:p w14:paraId="79EB45B1">
      <w:pP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79"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507F3F37">
      <w:pPr>
        <w:spacing w:line="5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76</w:t>
      </w:r>
      <w:r>
        <w:rPr>
          <w:rFonts w:hint="eastAsia" w:ascii="宋体" w:hAnsi="宋体" w:cs="宋体"/>
          <w:b/>
          <w:bCs/>
          <w:color w:val="auto"/>
          <w:szCs w:val="21"/>
          <w:highlight w:val="none"/>
        </w:rPr>
        <w:t>分）</w:t>
      </w:r>
    </w:p>
    <w:tbl>
      <w:tblPr>
        <w:tblStyle w:val="35"/>
        <w:tblW w:w="9898"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05"/>
        <w:gridCol w:w="825"/>
        <w:gridCol w:w="6771"/>
      </w:tblGrid>
      <w:tr w14:paraId="5FAF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noWrap w:val="0"/>
            <w:vAlign w:val="center"/>
          </w:tcPr>
          <w:p w14:paraId="7B8EF7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05" w:type="dxa"/>
            <w:noWrap w:val="0"/>
            <w:vAlign w:val="center"/>
          </w:tcPr>
          <w:p w14:paraId="050D77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825" w:type="dxa"/>
            <w:noWrap w:val="0"/>
            <w:vAlign w:val="center"/>
          </w:tcPr>
          <w:p w14:paraId="469D2F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771" w:type="dxa"/>
            <w:noWrap w:val="0"/>
            <w:vAlign w:val="center"/>
          </w:tcPr>
          <w:p w14:paraId="2173FB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52A4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noWrap w:val="0"/>
            <w:vAlign w:val="center"/>
          </w:tcPr>
          <w:p w14:paraId="65B9E2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1605" w:type="dxa"/>
            <w:noWrap w:val="0"/>
            <w:vAlign w:val="center"/>
          </w:tcPr>
          <w:p w14:paraId="6BAF74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企业业绩</w:t>
            </w:r>
          </w:p>
        </w:tc>
        <w:tc>
          <w:tcPr>
            <w:tcW w:w="825" w:type="dxa"/>
            <w:noWrap w:val="0"/>
            <w:vAlign w:val="center"/>
          </w:tcPr>
          <w:p w14:paraId="373A0A7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771" w:type="dxa"/>
            <w:noWrap w:val="0"/>
            <w:vAlign w:val="center"/>
          </w:tcPr>
          <w:p w14:paraId="36BA163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投标人自20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月1日（业绩时间以合同签订时间为准）以来，具有供水成套设备业绩</w:t>
            </w:r>
            <w:r>
              <w:rPr>
                <w:rFonts w:hint="eastAsia" w:ascii="宋体" w:hAnsi="宋体" w:eastAsia="宋体" w:cs="宋体"/>
                <w:color w:val="auto"/>
                <w:sz w:val="21"/>
                <w:szCs w:val="21"/>
                <w:highlight w:val="none"/>
                <w:lang w:val="en-US" w:eastAsia="zh-CN"/>
              </w:rPr>
              <w:t>得3分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FE2245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投标人自20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月1日（业绩时间以合同签订时间为准）以来：</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供水成套设备（包含远程监控系统）业绩得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 </w:t>
            </w:r>
          </w:p>
          <w:p w14:paraId="2AF7E64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3.本项满分6分。</w:t>
            </w:r>
          </w:p>
          <w:p w14:paraId="7469057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6997D1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（1）投标人应按下列规定提供业绩证明资料扫描件： </w:t>
            </w:r>
          </w:p>
          <w:p w14:paraId="231D8A5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①中标通知书及合同； </w:t>
            </w:r>
          </w:p>
          <w:p w14:paraId="0851A7F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②须提供甲方联系人和固定联系方式</w:t>
            </w:r>
            <w:r>
              <w:rPr>
                <w:rFonts w:hint="eastAsia" w:ascii="宋体" w:hAnsi="宋体" w:eastAsia="宋体" w:cs="宋体"/>
                <w:color w:val="auto"/>
                <w:sz w:val="21"/>
                <w:szCs w:val="21"/>
                <w:highlight w:val="none"/>
                <w:lang w:val="en-US" w:eastAsia="zh-CN"/>
              </w:rPr>
              <w:t>(格式自拟）</w:t>
            </w:r>
            <w:r>
              <w:rPr>
                <w:rFonts w:hint="eastAsia" w:ascii="宋体" w:hAnsi="宋体" w:eastAsia="宋体" w:cs="宋体"/>
                <w:color w:val="auto"/>
                <w:sz w:val="21"/>
                <w:szCs w:val="21"/>
                <w:highlight w:val="none"/>
              </w:rPr>
              <w:t xml:space="preserve">，以便备查； </w:t>
            </w:r>
          </w:p>
          <w:p w14:paraId="183C26F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③已供货完毕并验收合格的相关证明文件（如验收证书或买方开具的证明等）； </w:t>
            </w:r>
          </w:p>
          <w:p w14:paraId="38EDDDE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（a）验收报告、合同买方证明须加盖业主单位或合同甲方公章(所提供的证明材料上已有合同买方公章的除外)，否则评标委员会不予认可； </w:t>
            </w:r>
          </w:p>
          <w:p w14:paraId="71DEF6D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（b）业绩合同可提供包含甲乙方、项目名称、合同总金额、合同签订时间、合同供货范围、合同签字盖章页等关键内容的关键页； </w:t>
            </w:r>
          </w:p>
          <w:p w14:paraId="4254114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（2）以上涉及到的材料扫描件信息应完整或能充分反映评审因素。如均未能明确反映出招标文件所要求的内容的（如合同签订时间、合同</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 xml:space="preserve">等），应另附买方（或合同甲方）出具的证明资料予以明确说明。 </w:t>
            </w:r>
          </w:p>
          <w:p w14:paraId="5C951A0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（3）建议附合同清单列表，便于评委查询。 </w:t>
            </w:r>
          </w:p>
          <w:p w14:paraId="72B921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）用于污水、排水工程的业绩不予认可。 </w:t>
            </w:r>
          </w:p>
          <w:p w14:paraId="0370583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（5）同一个业绩不重复计分。</w:t>
            </w:r>
          </w:p>
          <w:p w14:paraId="22D82BD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6）投标人投标时只须提供2个投标人业绩，若投标人提供业绩个数超过2个，则按照排列顺序从首个业绩开始评审至对应数量，超出部分业绩不进行评审。对应数量（2个投标人业绩）不符合招标文件要求，不得分的，不再补充评审超出部分业绩。如：提供2个投标人业绩即得满分的，按照投标文件排序评审第一和第二业绩，其余超出部分不再评审。</w:t>
            </w:r>
          </w:p>
        </w:tc>
      </w:tr>
      <w:tr w14:paraId="15A8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697" w:type="dxa"/>
            <w:noWrap w:val="0"/>
            <w:vAlign w:val="center"/>
          </w:tcPr>
          <w:p w14:paraId="6E1DAD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1605" w:type="dxa"/>
            <w:noWrap w:val="0"/>
            <w:vAlign w:val="center"/>
          </w:tcPr>
          <w:p w14:paraId="31D2F7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履约期 </w:t>
            </w:r>
          </w:p>
        </w:tc>
        <w:tc>
          <w:tcPr>
            <w:tcW w:w="825" w:type="dxa"/>
            <w:noWrap w:val="0"/>
            <w:vAlign w:val="center"/>
          </w:tcPr>
          <w:p w14:paraId="36B805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tc>
        <w:tc>
          <w:tcPr>
            <w:tcW w:w="6771" w:type="dxa"/>
            <w:noWrap w:val="0"/>
            <w:vAlign w:val="top"/>
          </w:tcPr>
          <w:p w14:paraId="584CA9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投标人在满足</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年基本履约期（履约期内须免费质保，下同）要求的前提下，承诺成套设备履约期每增加 1 年（不足 1 年的不计），得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C82C57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投标单位须自行承诺（格式自拟），不提供不得分，在合同履行过程中的所涉及到的履约期限均按自行承诺的期限执行。</w:t>
            </w:r>
          </w:p>
        </w:tc>
      </w:tr>
      <w:tr w14:paraId="4406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7" w:type="dxa"/>
            <w:noWrap w:val="0"/>
            <w:vAlign w:val="center"/>
          </w:tcPr>
          <w:p w14:paraId="0F1587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1605" w:type="dxa"/>
            <w:noWrap w:val="0"/>
            <w:vAlign w:val="center"/>
          </w:tcPr>
          <w:p w14:paraId="6DABB2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企业</w:t>
            </w:r>
            <w:r>
              <w:rPr>
                <w:rFonts w:hint="eastAsia" w:ascii="宋体" w:hAnsi="宋体" w:eastAsia="宋体" w:cs="宋体"/>
                <w:b/>
                <w:bCs/>
                <w:color w:val="auto"/>
                <w:sz w:val="21"/>
                <w:szCs w:val="21"/>
                <w:highlight w:val="none"/>
                <w:lang w:val="en-US" w:eastAsia="zh-CN"/>
              </w:rPr>
              <w:t>综合实力</w:t>
            </w:r>
          </w:p>
        </w:tc>
        <w:tc>
          <w:tcPr>
            <w:tcW w:w="825" w:type="dxa"/>
            <w:noWrap w:val="0"/>
            <w:vAlign w:val="center"/>
          </w:tcPr>
          <w:p w14:paraId="25E6803D">
            <w:pPr>
              <w:keepNext w:val="0"/>
              <w:keepLines w:val="0"/>
              <w:pageBreakBefore w:val="0"/>
              <w:widowControl w:val="0"/>
              <w:kinsoku/>
              <w:wordWrap/>
              <w:overflowPunct/>
              <w:topLinePunct w:val="0"/>
              <w:autoSpaceDE/>
              <w:autoSpaceDN/>
              <w:bidi w:val="0"/>
              <w:adjustRightInd/>
              <w:snapToGrid/>
              <w:spacing w:line="500" w:lineRule="exact"/>
              <w:ind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6分</w:t>
            </w:r>
          </w:p>
        </w:tc>
        <w:tc>
          <w:tcPr>
            <w:tcW w:w="6771" w:type="dxa"/>
            <w:noWrap w:val="0"/>
            <w:vAlign w:val="top"/>
          </w:tcPr>
          <w:p w14:paraId="0EBC5D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投标人具有两化融合管理体系评定证书，得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rPr>
              <w:t xml:space="preserve"> </w:t>
            </w:r>
          </w:p>
          <w:p w14:paraId="50894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投标文件中须提供</w:t>
            </w:r>
            <w:r>
              <w:rPr>
                <w:rFonts w:hint="eastAsia" w:ascii="宋体" w:hAnsi="宋体" w:eastAsia="宋体" w:cs="宋体"/>
                <w:b/>
                <w:bCs/>
                <w:color w:val="auto"/>
                <w:sz w:val="21"/>
                <w:szCs w:val="21"/>
                <w:highlight w:val="none"/>
                <w:lang w:val="en-US" w:eastAsia="zh-CN"/>
              </w:rPr>
              <w:t>有效</w:t>
            </w:r>
            <w:r>
              <w:rPr>
                <w:rFonts w:hint="eastAsia" w:ascii="宋体" w:hAnsi="宋体" w:eastAsia="宋体" w:cs="宋体"/>
                <w:b/>
                <w:bCs/>
                <w:color w:val="auto"/>
                <w:sz w:val="21"/>
                <w:szCs w:val="21"/>
                <w:highlight w:val="none"/>
              </w:rPr>
              <w:t xml:space="preserve">证书扫描件及投标人在两化融合管理体系评定管理平台的查询截图。 </w:t>
            </w:r>
          </w:p>
          <w:p w14:paraId="725CBD8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投标人所投变频给水设备或叠压（或无负压）给水设备具有国家认证认可监督管理委员会认可的认证机构颁发的节水产品认证证书得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满分3分</w:t>
            </w:r>
            <w:r>
              <w:rPr>
                <w:rFonts w:hint="eastAsia" w:ascii="宋体" w:hAnsi="宋体" w:eastAsia="宋体" w:cs="宋体"/>
                <w:color w:val="auto"/>
                <w:sz w:val="21"/>
                <w:szCs w:val="21"/>
                <w:highlight w:val="none"/>
              </w:rPr>
              <w:t>。</w:t>
            </w:r>
          </w:p>
          <w:p w14:paraId="35532C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投标文件中须同时提供</w:t>
            </w:r>
            <w:r>
              <w:rPr>
                <w:rFonts w:hint="eastAsia" w:ascii="宋体" w:hAnsi="宋体" w:eastAsia="宋体" w:cs="宋体"/>
                <w:b/>
                <w:bCs/>
                <w:color w:val="auto"/>
                <w:sz w:val="21"/>
                <w:szCs w:val="21"/>
                <w:highlight w:val="none"/>
                <w:lang w:val="en-US" w:eastAsia="zh-CN"/>
              </w:rPr>
              <w:t>有效证书</w:t>
            </w:r>
            <w:r>
              <w:rPr>
                <w:rFonts w:hint="eastAsia" w:ascii="宋体" w:hAnsi="宋体" w:eastAsia="宋体" w:cs="宋体"/>
                <w:b/>
                <w:bCs/>
                <w:color w:val="auto"/>
                <w:sz w:val="21"/>
                <w:szCs w:val="21"/>
                <w:highlight w:val="none"/>
              </w:rPr>
              <w:t>扫描件</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全国认证认可信息公共服务平台对该证书的查询截图</w:t>
            </w:r>
            <w:r>
              <w:rPr>
                <w:rFonts w:hint="eastAsia" w:ascii="宋体" w:hAnsi="宋体" w:eastAsia="宋体" w:cs="宋体"/>
                <w:color w:val="auto"/>
                <w:sz w:val="21"/>
                <w:szCs w:val="21"/>
                <w:highlight w:val="none"/>
              </w:rPr>
              <w:t>。</w:t>
            </w:r>
          </w:p>
        </w:tc>
      </w:tr>
      <w:tr w14:paraId="5FFF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noWrap w:val="0"/>
            <w:vAlign w:val="center"/>
          </w:tcPr>
          <w:p w14:paraId="77FAC5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4</w:t>
            </w:r>
          </w:p>
        </w:tc>
        <w:tc>
          <w:tcPr>
            <w:tcW w:w="1605" w:type="dxa"/>
            <w:noWrap w:val="0"/>
            <w:vAlign w:val="center"/>
          </w:tcPr>
          <w:p w14:paraId="0E8D2C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企业认证</w:t>
            </w:r>
          </w:p>
        </w:tc>
        <w:tc>
          <w:tcPr>
            <w:tcW w:w="825" w:type="dxa"/>
            <w:noWrap w:val="0"/>
            <w:vAlign w:val="center"/>
          </w:tcPr>
          <w:p w14:paraId="23DAA9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p>
        </w:tc>
        <w:tc>
          <w:tcPr>
            <w:tcW w:w="6771" w:type="dxa"/>
            <w:noWrap w:val="0"/>
            <w:vAlign w:val="top"/>
          </w:tcPr>
          <w:p w14:paraId="39D6CC3D">
            <w:pPr>
              <w:pStyle w:val="52"/>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投标人提供有效的质量管理体系认证证书的得2分，环境管理体系认证证书的得2分，职业健康安全管理体系认证证书的得2分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满分6分。</w:t>
            </w:r>
          </w:p>
          <w:p w14:paraId="50369825">
            <w:pPr>
              <w:pStyle w:val="52"/>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注：投标文件中须同时</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有效</w:t>
            </w:r>
            <w:r>
              <w:rPr>
                <w:rFonts w:hint="eastAsia" w:ascii="宋体" w:hAnsi="宋体" w:eastAsia="宋体" w:cs="宋体"/>
                <w:b/>
                <w:bCs/>
                <w:color w:val="auto"/>
                <w:sz w:val="21"/>
                <w:szCs w:val="21"/>
                <w:highlight w:val="none"/>
              </w:rPr>
              <w:t>证书扫描件</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全国认证认可信息公共服务平台官网证书信息查询截图</w:t>
            </w:r>
            <w:r>
              <w:rPr>
                <w:rFonts w:hint="eastAsia" w:ascii="宋体" w:hAnsi="宋体" w:eastAsia="宋体" w:cs="宋体"/>
                <w:b/>
                <w:bCs/>
                <w:color w:val="auto"/>
                <w:sz w:val="21"/>
                <w:szCs w:val="21"/>
                <w:highlight w:val="none"/>
                <w:lang w:eastAsia="zh-CN"/>
              </w:rPr>
              <w:t>。</w:t>
            </w:r>
          </w:p>
          <w:p w14:paraId="21F1D313">
            <w:pPr>
              <w:pStyle w:val="5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2.投标人具有二次供水设备运维服务认证证书的得3分，满分3分</w:t>
            </w:r>
          </w:p>
          <w:p w14:paraId="0D810555">
            <w:pPr>
              <w:pStyle w:val="52"/>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注：投标文件中须同时</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有效</w:t>
            </w:r>
            <w:r>
              <w:rPr>
                <w:rFonts w:hint="eastAsia" w:ascii="宋体" w:hAnsi="宋体" w:eastAsia="宋体" w:cs="宋体"/>
                <w:b/>
                <w:bCs/>
                <w:color w:val="auto"/>
                <w:sz w:val="21"/>
                <w:szCs w:val="21"/>
                <w:highlight w:val="none"/>
              </w:rPr>
              <w:t>证书扫描件</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全国认证认可信息公共服务平台官网证书信息查询截图</w:t>
            </w:r>
            <w:r>
              <w:rPr>
                <w:rFonts w:hint="eastAsia" w:ascii="宋体" w:hAnsi="宋体" w:eastAsia="宋体" w:cs="宋体"/>
                <w:b/>
                <w:bCs/>
                <w:color w:val="auto"/>
                <w:sz w:val="21"/>
                <w:szCs w:val="21"/>
                <w:highlight w:val="none"/>
                <w:lang w:eastAsia="zh-CN"/>
              </w:rPr>
              <w:t>。</w:t>
            </w:r>
          </w:p>
        </w:tc>
      </w:tr>
      <w:tr w14:paraId="3736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noWrap w:val="0"/>
            <w:vAlign w:val="center"/>
          </w:tcPr>
          <w:p w14:paraId="0999D2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5</w:t>
            </w:r>
          </w:p>
        </w:tc>
        <w:tc>
          <w:tcPr>
            <w:tcW w:w="1605" w:type="dxa"/>
            <w:noWrap w:val="0"/>
            <w:vAlign w:val="center"/>
          </w:tcPr>
          <w:p w14:paraId="5A472B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故障响应时间</w:t>
            </w:r>
          </w:p>
        </w:tc>
        <w:tc>
          <w:tcPr>
            <w:tcW w:w="825" w:type="dxa"/>
            <w:noWrap w:val="0"/>
            <w:vAlign w:val="center"/>
          </w:tcPr>
          <w:p w14:paraId="136BB1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2分</w:t>
            </w:r>
          </w:p>
        </w:tc>
        <w:tc>
          <w:tcPr>
            <w:tcW w:w="6771" w:type="dxa"/>
            <w:noWrap w:val="0"/>
            <w:vAlign w:val="center"/>
          </w:tcPr>
          <w:p w14:paraId="3E609E2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投标人自行承诺在所提供</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供水设备出现故障时，48小时内予以维修完毕，得0.5分；12小时内予以维修完毕，得1分；4小时内予以维修完毕，得2分。</w:t>
            </w:r>
          </w:p>
          <w:p w14:paraId="1A0A5A1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注：投标文件中须提供承诺函（格式自拟）。</w:t>
            </w:r>
          </w:p>
        </w:tc>
      </w:tr>
      <w:tr w14:paraId="163D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vMerge w:val="restart"/>
            <w:noWrap w:val="0"/>
            <w:vAlign w:val="center"/>
          </w:tcPr>
          <w:p w14:paraId="443607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6</w:t>
            </w:r>
          </w:p>
        </w:tc>
        <w:tc>
          <w:tcPr>
            <w:tcW w:w="1605" w:type="dxa"/>
            <w:vMerge w:val="restart"/>
            <w:noWrap w:val="0"/>
            <w:vAlign w:val="center"/>
          </w:tcPr>
          <w:p w14:paraId="41C2F6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设备技术参数</w:t>
            </w:r>
          </w:p>
        </w:tc>
        <w:tc>
          <w:tcPr>
            <w:tcW w:w="825" w:type="dxa"/>
            <w:vMerge w:val="restart"/>
            <w:noWrap w:val="0"/>
            <w:vAlign w:val="center"/>
          </w:tcPr>
          <w:p w14:paraId="6DBF5F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p>
        </w:tc>
        <w:tc>
          <w:tcPr>
            <w:tcW w:w="6771" w:type="dxa"/>
            <w:noWrap w:val="0"/>
            <w:vAlign w:val="center"/>
          </w:tcPr>
          <w:p w14:paraId="78D4BBDA">
            <w:pPr>
              <w:pStyle w:val="131"/>
              <w:keepNext w:val="0"/>
              <w:keepLines w:val="0"/>
              <w:pageBreakBefore w:val="0"/>
              <w:widowControl w:val="0"/>
              <w:kinsoku/>
              <w:wordWrap/>
              <w:overflowPunct/>
              <w:topLinePunct w:val="0"/>
              <w:autoSpaceDE/>
              <w:autoSpaceDN/>
              <w:bidi w:val="0"/>
              <w:adjustRightInd/>
              <w:snapToGrid/>
              <w:spacing w:line="500" w:lineRule="exact"/>
              <w:ind w:left="6" w:right="13" w:firstLine="23"/>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根据招标文件配置条款所投水泵效率：单台设计流量18m</w:t>
            </w:r>
            <w:r>
              <w:rPr>
                <w:rFonts w:hint="eastAsia" w:ascii="宋体" w:hAnsi="宋体" w:eastAsia="宋体" w:cs="宋体"/>
                <w:color w:val="auto"/>
                <w:kern w:val="2"/>
                <w:sz w:val="21"/>
                <w:szCs w:val="21"/>
                <w:highlight w:val="none"/>
                <w:vertAlign w:val="superscript"/>
                <w:lang w:val="en-US" w:eastAsia="zh-CN" w:bidi="ar-SA"/>
              </w:rPr>
              <w:t>3</w:t>
            </w:r>
            <w:r>
              <w:rPr>
                <w:rFonts w:hint="eastAsia" w:ascii="宋体" w:hAnsi="宋体" w:eastAsia="宋体" w:cs="宋体"/>
                <w:color w:val="auto"/>
                <w:kern w:val="2"/>
                <w:sz w:val="21"/>
                <w:szCs w:val="21"/>
                <w:highlight w:val="none"/>
                <w:lang w:val="en-US" w:eastAsia="zh-CN" w:bidi="ar-SA"/>
              </w:rPr>
              <w:t>/h，各扬程点（三组单台设计扬程分别为：60m、90m、120m）水泵效率均须不小于70%，在此基础上各扬程点效率每提高1%加1分，不足1%的部分不计，每个型号</w:t>
            </w:r>
            <w:r>
              <w:rPr>
                <w:rFonts w:hint="eastAsia" w:cs="宋体"/>
                <w:color w:val="auto"/>
                <w:kern w:val="2"/>
                <w:sz w:val="21"/>
                <w:szCs w:val="21"/>
                <w:highlight w:val="none"/>
                <w:lang w:val="en-US" w:eastAsia="zh-CN" w:bidi="ar-SA"/>
              </w:rPr>
              <w:t>满分</w:t>
            </w:r>
            <w:r>
              <w:rPr>
                <w:rFonts w:hint="eastAsia" w:ascii="宋体" w:hAnsi="宋体" w:eastAsia="宋体" w:cs="宋体"/>
                <w:color w:val="auto"/>
                <w:kern w:val="2"/>
                <w:sz w:val="21"/>
                <w:szCs w:val="21"/>
                <w:highlight w:val="none"/>
                <w:lang w:val="en-US" w:eastAsia="zh-CN" w:bidi="ar-SA"/>
              </w:rPr>
              <w:t>3分，本项</w:t>
            </w:r>
            <w:r>
              <w:rPr>
                <w:rFonts w:hint="eastAsia" w:cs="宋体"/>
                <w:color w:val="auto"/>
                <w:kern w:val="2"/>
                <w:sz w:val="21"/>
                <w:szCs w:val="21"/>
                <w:highlight w:val="none"/>
                <w:lang w:val="en-US" w:eastAsia="zh-CN" w:bidi="ar-SA"/>
              </w:rPr>
              <w:t>满分</w:t>
            </w:r>
            <w:r>
              <w:rPr>
                <w:rFonts w:hint="eastAsia" w:ascii="宋体" w:hAnsi="宋体" w:eastAsia="宋体" w:cs="宋体"/>
                <w:color w:val="auto"/>
                <w:kern w:val="2"/>
                <w:sz w:val="21"/>
                <w:szCs w:val="21"/>
                <w:highlight w:val="none"/>
                <w:lang w:val="en-US" w:eastAsia="zh-CN" w:bidi="ar-SA"/>
              </w:rPr>
              <w:t>9分。</w:t>
            </w:r>
          </w:p>
          <w:p w14:paraId="2244D74C">
            <w:pPr>
              <w:pStyle w:val="131"/>
              <w:keepNext w:val="0"/>
              <w:keepLines w:val="0"/>
              <w:pageBreakBefore w:val="0"/>
              <w:widowControl w:val="0"/>
              <w:kinsoku/>
              <w:wordWrap/>
              <w:overflowPunct/>
              <w:topLinePunct w:val="0"/>
              <w:autoSpaceDE/>
              <w:autoSpaceDN/>
              <w:bidi w:val="0"/>
              <w:adjustRightInd/>
              <w:snapToGrid/>
              <w:spacing w:line="500" w:lineRule="exact"/>
              <w:ind w:left="6" w:right="13" w:firstLine="23"/>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注：1.投标文件中须同时提供水泵样本手册，在投标文件中明确各点效率值；承诺中标后自愿按采购人要求进行第三方检测且满足要求（承诺函格式自拟）；提供202</w:t>
            </w:r>
            <w:r>
              <w:rPr>
                <w:rFonts w:hint="eastAsia"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年1</w:t>
            </w:r>
            <w:r>
              <w:rPr>
                <w:rFonts w:hint="eastAsia"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月1日以后送检的水泵检测报告，检测报告中需体现GB18613-2020电机能效中二级要求，否则不得分）。</w:t>
            </w:r>
          </w:p>
          <w:p w14:paraId="595F93A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中标后</w:t>
            </w:r>
            <w:r>
              <w:rPr>
                <w:rFonts w:hint="eastAsia" w:ascii="宋体" w:hAnsi="宋体" w:eastAsia="宋体" w:cs="宋体"/>
                <w:b/>
                <w:bCs/>
                <w:color w:val="auto"/>
                <w:sz w:val="21"/>
                <w:szCs w:val="21"/>
                <w:highlight w:val="none"/>
                <w:lang w:val="en-US" w:eastAsia="zh-CN"/>
              </w:rPr>
              <w:t>招标人</w:t>
            </w:r>
            <w:r>
              <w:rPr>
                <w:rFonts w:hint="eastAsia" w:ascii="宋体" w:hAnsi="宋体" w:eastAsia="宋体" w:cs="宋体"/>
                <w:b/>
                <w:bCs/>
                <w:color w:val="auto"/>
                <w:sz w:val="21"/>
                <w:szCs w:val="21"/>
                <w:highlight w:val="none"/>
              </w:rPr>
              <w:t>将对所</w:t>
            </w:r>
            <w:r>
              <w:rPr>
                <w:rFonts w:hint="eastAsia" w:ascii="宋体" w:hAnsi="宋体" w:eastAsia="宋体" w:cs="宋体"/>
                <w:b/>
                <w:bCs/>
                <w:color w:val="auto"/>
                <w:sz w:val="21"/>
                <w:szCs w:val="21"/>
                <w:highlight w:val="none"/>
                <w:lang w:val="en-US" w:eastAsia="zh-CN"/>
              </w:rPr>
              <w:t>提供</w:t>
            </w:r>
            <w:r>
              <w:rPr>
                <w:rFonts w:hint="eastAsia" w:ascii="宋体" w:hAnsi="宋体" w:eastAsia="宋体" w:cs="宋体"/>
                <w:b/>
                <w:bCs/>
                <w:color w:val="auto"/>
                <w:sz w:val="21"/>
                <w:szCs w:val="21"/>
                <w:highlight w:val="none"/>
              </w:rPr>
              <w:t>设备的第三方检测结果进行现场核验，如有虚假响应，即取消中标资格。</w:t>
            </w:r>
          </w:p>
        </w:tc>
      </w:tr>
      <w:tr w14:paraId="7541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vMerge w:val="continue"/>
            <w:noWrap w:val="0"/>
            <w:vAlign w:val="center"/>
          </w:tcPr>
          <w:p w14:paraId="43A8A7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1605" w:type="dxa"/>
            <w:vMerge w:val="continue"/>
            <w:noWrap w:val="0"/>
            <w:vAlign w:val="center"/>
          </w:tcPr>
          <w:p w14:paraId="5D9D7B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825" w:type="dxa"/>
            <w:vMerge w:val="continue"/>
            <w:noWrap w:val="0"/>
            <w:vAlign w:val="center"/>
          </w:tcPr>
          <w:p w14:paraId="50D272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771" w:type="dxa"/>
            <w:noWrap w:val="0"/>
            <w:vAlign w:val="center"/>
          </w:tcPr>
          <w:p w14:paraId="0DF75CF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供水成套设备通过中国质量认证中心的节能认证的，每个认证单元（不含水泵）证书得0.5分，满分3分</w:t>
            </w:r>
            <w:r>
              <w:rPr>
                <w:rFonts w:hint="eastAsia" w:ascii="宋体" w:hAnsi="宋体" w:eastAsia="宋体" w:cs="宋体"/>
                <w:color w:val="auto"/>
                <w:sz w:val="21"/>
                <w:szCs w:val="21"/>
                <w:highlight w:val="none"/>
                <w:lang w:eastAsia="zh-CN"/>
              </w:rPr>
              <w:t>。</w:t>
            </w:r>
          </w:p>
          <w:p w14:paraId="67C2624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投标文件中须</w:t>
            </w:r>
            <w:r>
              <w:rPr>
                <w:rFonts w:hint="eastAsia" w:ascii="宋体" w:hAnsi="宋体" w:eastAsia="宋体" w:cs="宋体"/>
                <w:b/>
                <w:bCs/>
                <w:color w:val="auto"/>
                <w:sz w:val="21"/>
                <w:szCs w:val="21"/>
                <w:highlight w:val="none"/>
                <w:lang w:val="en-US" w:eastAsia="zh-CN"/>
              </w:rPr>
              <w:t>同时</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有效</w:t>
            </w:r>
            <w:r>
              <w:rPr>
                <w:rFonts w:hint="eastAsia" w:ascii="宋体" w:hAnsi="宋体" w:eastAsia="宋体" w:cs="宋体"/>
                <w:b/>
                <w:bCs/>
                <w:color w:val="auto"/>
                <w:sz w:val="21"/>
                <w:szCs w:val="21"/>
                <w:highlight w:val="none"/>
              </w:rPr>
              <w:t>证书扫描件</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全国认证认可信息公共服务平台官网证书信息查询截图</w:t>
            </w:r>
            <w:r>
              <w:rPr>
                <w:rFonts w:hint="eastAsia" w:ascii="宋体" w:hAnsi="宋体" w:eastAsia="宋体" w:cs="宋体"/>
                <w:b/>
                <w:bCs/>
                <w:color w:val="auto"/>
                <w:sz w:val="21"/>
                <w:szCs w:val="21"/>
                <w:highlight w:val="none"/>
                <w:lang w:eastAsia="zh-CN"/>
              </w:rPr>
              <w:t>。</w:t>
            </w:r>
          </w:p>
        </w:tc>
      </w:tr>
      <w:tr w14:paraId="09F0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vMerge w:val="continue"/>
            <w:noWrap w:val="0"/>
            <w:vAlign w:val="center"/>
          </w:tcPr>
          <w:p w14:paraId="4152D0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1605" w:type="dxa"/>
            <w:vMerge w:val="continue"/>
            <w:noWrap w:val="0"/>
            <w:vAlign w:val="center"/>
          </w:tcPr>
          <w:p w14:paraId="748DE5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825" w:type="dxa"/>
            <w:vMerge w:val="continue"/>
            <w:noWrap w:val="0"/>
            <w:vAlign w:val="center"/>
          </w:tcPr>
          <w:p w14:paraId="639A2F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771" w:type="dxa"/>
            <w:noWrap w:val="0"/>
            <w:vAlign w:val="center"/>
          </w:tcPr>
          <w:p w14:paraId="444D05D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所投水泵通过中国质量认证中心的节能认证的得3分，</w:t>
            </w:r>
            <w:r>
              <w:rPr>
                <w:rFonts w:hint="eastAsia" w:ascii="宋体" w:hAnsi="宋体" w:eastAsia="宋体" w:cs="宋体"/>
                <w:color w:val="auto"/>
                <w:sz w:val="21"/>
                <w:szCs w:val="21"/>
                <w:highlight w:val="none"/>
                <w:lang w:val="en-US" w:eastAsia="zh-CN"/>
              </w:rPr>
              <w:t>满分3分</w:t>
            </w:r>
          </w:p>
          <w:p w14:paraId="0444C96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投标文件中须</w:t>
            </w:r>
            <w:r>
              <w:rPr>
                <w:rFonts w:hint="eastAsia" w:ascii="宋体" w:hAnsi="宋体" w:eastAsia="宋体" w:cs="宋体"/>
                <w:b/>
                <w:bCs/>
                <w:color w:val="auto"/>
                <w:sz w:val="21"/>
                <w:szCs w:val="21"/>
                <w:highlight w:val="none"/>
                <w:lang w:val="en-US" w:eastAsia="zh-CN"/>
              </w:rPr>
              <w:t>同时</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有效</w:t>
            </w:r>
            <w:r>
              <w:rPr>
                <w:rFonts w:hint="eastAsia" w:ascii="宋体" w:hAnsi="宋体" w:eastAsia="宋体" w:cs="宋体"/>
                <w:b/>
                <w:bCs/>
                <w:color w:val="auto"/>
                <w:sz w:val="21"/>
                <w:szCs w:val="21"/>
                <w:highlight w:val="none"/>
              </w:rPr>
              <w:t>证书</w:t>
            </w:r>
            <w:bookmarkStart w:id="132" w:name="_GoBack"/>
            <w:r>
              <w:rPr>
                <w:rFonts w:hint="eastAsia" w:ascii="宋体" w:hAnsi="宋体" w:eastAsia="宋体" w:cs="宋体"/>
                <w:b/>
                <w:bCs/>
                <w:color w:val="auto"/>
                <w:sz w:val="21"/>
                <w:szCs w:val="21"/>
                <w:highlight w:val="none"/>
              </w:rPr>
              <w:t>扫描件</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全国认证认可信息公共服务平台官网证书信息查询截图</w:t>
            </w:r>
            <w:r>
              <w:rPr>
                <w:rFonts w:hint="eastAsia" w:ascii="宋体" w:hAnsi="宋体" w:eastAsia="宋体" w:cs="宋体"/>
                <w:b/>
                <w:bCs/>
                <w:color w:val="auto"/>
                <w:sz w:val="21"/>
                <w:szCs w:val="21"/>
                <w:highlight w:val="none"/>
                <w:lang w:eastAsia="zh-CN"/>
              </w:rPr>
              <w:t>。</w:t>
            </w:r>
            <w:bookmarkEnd w:id="132"/>
          </w:p>
        </w:tc>
      </w:tr>
      <w:tr w14:paraId="5DEA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vMerge w:val="continue"/>
            <w:noWrap w:val="0"/>
            <w:vAlign w:val="center"/>
          </w:tcPr>
          <w:p w14:paraId="7EB42D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1605" w:type="dxa"/>
            <w:vMerge w:val="continue"/>
            <w:noWrap w:val="0"/>
            <w:vAlign w:val="center"/>
          </w:tcPr>
          <w:p w14:paraId="609610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825" w:type="dxa"/>
            <w:vMerge w:val="continue"/>
            <w:noWrap w:val="0"/>
            <w:vAlign w:val="center"/>
          </w:tcPr>
          <w:p w14:paraId="496D70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771" w:type="dxa"/>
            <w:noWrap w:val="0"/>
            <w:vAlign w:val="center"/>
          </w:tcPr>
          <w:p w14:paraId="050A5F6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设备配套水泵噪音满足国家标准规定的A级要求得1分，低于A级不得分；</w:t>
            </w:r>
          </w:p>
          <w:p w14:paraId="4ABBCE7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设备配套水泵振动满足国家标准规定的A级要求得1分，低于A级不得分；</w:t>
            </w:r>
          </w:p>
          <w:p w14:paraId="4FA8D25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本项满分2分。</w:t>
            </w:r>
          </w:p>
          <w:p w14:paraId="72691D8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投标文件中须提供具有CMA或CNAS标志的检测机构出具的检测报扫描件。</w:t>
            </w:r>
          </w:p>
        </w:tc>
      </w:tr>
      <w:tr w14:paraId="1657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vMerge w:val="continue"/>
            <w:noWrap w:val="0"/>
            <w:vAlign w:val="center"/>
          </w:tcPr>
          <w:p w14:paraId="5D8477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1605" w:type="dxa"/>
            <w:vMerge w:val="continue"/>
            <w:noWrap w:val="0"/>
            <w:vAlign w:val="center"/>
          </w:tcPr>
          <w:p w14:paraId="1415E2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825" w:type="dxa"/>
            <w:vMerge w:val="continue"/>
            <w:noWrap w:val="0"/>
            <w:vAlign w:val="center"/>
          </w:tcPr>
          <w:p w14:paraId="530486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771" w:type="dxa"/>
            <w:noWrap w:val="0"/>
            <w:vAlign w:val="center"/>
          </w:tcPr>
          <w:p w14:paraId="195E96E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投标人所投的开关柜（双电源配电柜和控制柜）满足下列1-2项任意1项要求的得3分，满分3分。</w:t>
            </w:r>
          </w:p>
          <w:p w14:paraId="41F843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sz w:val="21"/>
                <w:szCs w:val="21"/>
                <w:highlight w:val="none"/>
                <w:u w:val="none" w:color="auto"/>
                <w:lang w:val="en-US" w:eastAsia="zh-CN"/>
              </w:rPr>
            </w:pPr>
            <w:r>
              <w:rPr>
                <w:rFonts w:hint="eastAsia" w:ascii="宋体" w:hAnsi="宋体" w:eastAsia="宋体" w:cs="宋体"/>
                <w:b w:val="0"/>
                <w:bCs w:val="0"/>
                <w:color w:val="auto"/>
                <w:sz w:val="21"/>
                <w:szCs w:val="21"/>
                <w:highlight w:val="none"/>
                <w:u w:val="none" w:color="auto"/>
                <w:lang w:val="en-US" w:eastAsia="zh-CN"/>
              </w:rPr>
              <w:t>1.具有CCC认证证书</w:t>
            </w:r>
            <w:r>
              <w:rPr>
                <w:rFonts w:hint="eastAsia" w:ascii="宋体" w:hAnsi="宋体" w:cs="宋体"/>
                <w:b w:val="0"/>
                <w:bCs w:val="0"/>
                <w:color w:val="auto"/>
                <w:sz w:val="21"/>
                <w:szCs w:val="21"/>
                <w:highlight w:val="none"/>
                <w:u w:val="none" w:color="auto"/>
                <w:lang w:val="en-US" w:eastAsia="zh-CN"/>
              </w:rPr>
              <w:t>（或强制性认证产品符合性自我声明）</w:t>
            </w:r>
            <w:r>
              <w:rPr>
                <w:rFonts w:hint="eastAsia" w:ascii="宋体" w:hAnsi="宋体" w:eastAsia="宋体" w:cs="宋体"/>
                <w:b w:val="0"/>
                <w:bCs w:val="0"/>
                <w:color w:val="auto"/>
                <w:sz w:val="21"/>
                <w:szCs w:val="21"/>
                <w:highlight w:val="none"/>
                <w:u w:val="none" w:color="auto"/>
                <w:lang w:val="en-US" w:eastAsia="zh-CN"/>
              </w:rPr>
              <w:t>及带有CMA或 CNAS标志的检验机构出具的国家强制性产品认证试验报告；</w:t>
            </w:r>
          </w:p>
          <w:p w14:paraId="4D42D3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none" w:color="auto"/>
                <w:lang w:val="en-US" w:eastAsia="zh-CN"/>
              </w:rPr>
              <w:t>2.具有CQC认证证书及带有CMA或CNAS标志的检验机构出具的CQC产品型式试验报告</w:t>
            </w:r>
            <w:r>
              <w:rPr>
                <w:rFonts w:hint="eastAsia" w:ascii="宋体" w:hAnsi="宋体" w:cs="宋体"/>
                <w:b w:val="0"/>
                <w:bCs w:val="0"/>
                <w:color w:val="auto"/>
                <w:sz w:val="21"/>
                <w:szCs w:val="21"/>
                <w:highlight w:val="none"/>
                <w:u w:val="none" w:color="auto"/>
                <w:lang w:val="en-US" w:eastAsia="zh-CN"/>
              </w:rPr>
              <w:t>（</w:t>
            </w:r>
            <w:r>
              <w:rPr>
                <w:rFonts w:hint="eastAsia" w:ascii="宋体" w:hAnsi="宋体" w:eastAsia="宋体" w:cs="宋体"/>
                <w:b w:val="0"/>
                <w:bCs w:val="0"/>
                <w:color w:val="auto"/>
                <w:sz w:val="21"/>
                <w:szCs w:val="21"/>
                <w:highlight w:val="none"/>
                <w:u w:val="none" w:color="auto"/>
                <w:lang w:val="en-US" w:eastAsia="zh-CN"/>
              </w:rPr>
              <w:t>或CQC标志认证试验报告</w:t>
            </w:r>
            <w:r>
              <w:rPr>
                <w:rFonts w:hint="eastAsia" w:ascii="宋体" w:hAnsi="宋体" w:cs="宋体"/>
                <w:b w:val="0"/>
                <w:bCs w:val="0"/>
                <w:color w:val="auto"/>
                <w:sz w:val="21"/>
                <w:szCs w:val="21"/>
                <w:highlight w:val="none"/>
                <w:u w:val="none" w:color="auto"/>
                <w:lang w:val="en-US" w:eastAsia="zh-CN"/>
              </w:rPr>
              <w:t>）</w:t>
            </w:r>
            <w:r>
              <w:rPr>
                <w:rFonts w:hint="eastAsia" w:ascii="宋体" w:hAnsi="宋体" w:eastAsia="宋体" w:cs="宋体"/>
                <w:b w:val="0"/>
                <w:bCs w:val="0"/>
                <w:color w:val="auto"/>
                <w:sz w:val="21"/>
                <w:szCs w:val="21"/>
                <w:highlight w:val="none"/>
                <w:u w:val="none" w:color="auto"/>
                <w:lang w:val="en-US" w:eastAsia="zh-CN"/>
              </w:rPr>
              <w:t>。</w:t>
            </w:r>
          </w:p>
          <w:p w14:paraId="6FB2C22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注：1.投标文件中须同时提供有效证书</w:t>
            </w:r>
            <w:r>
              <w:rPr>
                <w:rFonts w:hint="eastAsia" w:ascii="宋体" w:hAnsi="宋体" w:cs="宋体"/>
                <w:b/>
                <w:bCs/>
                <w:color w:val="auto"/>
                <w:sz w:val="21"/>
                <w:szCs w:val="21"/>
                <w:highlight w:val="none"/>
                <w:lang w:val="en-US" w:eastAsia="zh-CN"/>
              </w:rPr>
              <w:t>（或声明）</w:t>
            </w:r>
            <w:r>
              <w:rPr>
                <w:rFonts w:hint="eastAsia" w:ascii="宋体" w:hAnsi="宋体" w:eastAsia="宋体" w:cs="宋体"/>
                <w:b/>
                <w:bCs/>
                <w:color w:val="auto"/>
                <w:sz w:val="21"/>
                <w:szCs w:val="21"/>
                <w:highlight w:val="none"/>
                <w:lang w:val="en-US" w:eastAsia="zh-CN"/>
              </w:rPr>
              <w:t>扫描件及试验报告扫描件。</w:t>
            </w:r>
          </w:p>
          <w:p w14:paraId="5404DFC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2.名称不同的</w:t>
            </w:r>
            <w:r>
              <w:rPr>
                <w:rFonts w:hint="eastAsia" w:ascii="宋体" w:hAnsi="宋体" w:eastAsia="宋体" w:cs="宋体"/>
                <w:b/>
                <w:bCs/>
                <w:color w:val="auto"/>
                <w:sz w:val="21"/>
                <w:szCs w:val="21"/>
                <w:highlight w:val="none"/>
                <w:u w:val="none" w:color="auto"/>
                <w:lang w:val="en-US" w:eastAsia="zh-CN"/>
              </w:rPr>
              <w:t>开关柜，只要实际功能满足双电源配电柜和控制柜技术要求的均为有效。</w:t>
            </w:r>
          </w:p>
        </w:tc>
      </w:tr>
      <w:tr w14:paraId="096A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vMerge w:val="continue"/>
            <w:noWrap w:val="0"/>
            <w:vAlign w:val="center"/>
          </w:tcPr>
          <w:p w14:paraId="3957D9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1605" w:type="dxa"/>
            <w:vMerge w:val="continue"/>
            <w:noWrap w:val="0"/>
            <w:vAlign w:val="center"/>
          </w:tcPr>
          <w:p w14:paraId="78EC88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825" w:type="dxa"/>
            <w:vMerge w:val="continue"/>
            <w:noWrap w:val="0"/>
            <w:vAlign w:val="center"/>
          </w:tcPr>
          <w:p w14:paraId="18AE7A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771" w:type="dxa"/>
            <w:noWrap w:val="0"/>
            <w:vAlign w:val="center"/>
          </w:tcPr>
          <w:p w14:paraId="796BA6B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投标人所投设备中的阀门</w:t>
            </w:r>
            <w:r>
              <w:rPr>
                <w:rFonts w:hint="eastAsia" w:ascii="宋体" w:hAnsi="宋体" w:cs="宋体"/>
                <w:color w:val="auto"/>
                <w:sz w:val="21"/>
                <w:szCs w:val="21"/>
                <w:highlight w:val="none"/>
                <w:lang w:val="en-US" w:eastAsia="zh-CN"/>
              </w:rPr>
              <w:t>和管材</w:t>
            </w:r>
            <w:r>
              <w:rPr>
                <w:rFonts w:hint="eastAsia" w:ascii="宋体" w:hAnsi="宋体" w:eastAsia="宋体" w:cs="宋体"/>
                <w:color w:val="auto"/>
                <w:sz w:val="21"/>
                <w:szCs w:val="21"/>
                <w:highlight w:val="none"/>
              </w:rPr>
              <w:t>具备具有CMA或CNAS标志的检测机构出具的盐雾试验报告（中性盐雾试验至少500小时以上或铜加速乙酸盐雾试验至少96小时</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以上，表面质量仍达到国标10级或以上标准），</w:t>
            </w:r>
            <w:r>
              <w:rPr>
                <w:rFonts w:hint="eastAsia" w:ascii="宋体" w:hAnsi="宋体" w:eastAsia="宋体" w:cs="宋体"/>
                <w:color w:val="auto"/>
                <w:sz w:val="21"/>
                <w:szCs w:val="21"/>
                <w:highlight w:val="none"/>
                <w:lang w:val="en-US" w:eastAsia="zh-CN"/>
              </w:rPr>
              <w:t>每提供一类产品（指</w:t>
            </w:r>
            <w:r>
              <w:rPr>
                <w:rFonts w:hint="eastAsia" w:ascii="宋体" w:hAnsi="宋体" w:eastAsia="宋体" w:cs="宋体"/>
                <w:color w:val="auto"/>
                <w:sz w:val="21"/>
                <w:szCs w:val="21"/>
                <w:highlight w:val="none"/>
              </w:rPr>
              <w:t>阀门</w:t>
            </w:r>
            <w:r>
              <w:rPr>
                <w:rFonts w:hint="eastAsia" w:ascii="宋体" w:hAnsi="宋体" w:cs="宋体"/>
                <w:color w:val="auto"/>
                <w:sz w:val="21"/>
                <w:szCs w:val="21"/>
                <w:highlight w:val="none"/>
                <w:lang w:val="en-US" w:eastAsia="zh-CN"/>
              </w:rPr>
              <w:t>和管材</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试验报告得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32653A3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注：1.投标文件中须提供</w:t>
            </w:r>
            <w:r>
              <w:rPr>
                <w:rFonts w:hint="eastAsia" w:ascii="宋体" w:hAnsi="宋体" w:eastAsia="宋体" w:cs="宋体"/>
                <w:b/>
                <w:bCs/>
                <w:color w:val="auto"/>
                <w:sz w:val="21"/>
                <w:szCs w:val="21"/>
                <w:highlight w:val="none"/>
              </w:rPr>
              <w:t>盐雾试验报告</w:t>
            </w:r>
            <w:r>
              <w:rPr>
                <w:rFonts w:hint="eastAsia" w:ascii="宋体" w:hAnsi="宋体" w:eastAsia="宋体" w:cs="宋体"/>
                <w:b/>
                <w:bCs/>
                <w:color w:val="auto"/>
                <w:sz w:val="21"/>
                <w:szCs w:val="21"/>
                <w:highlight w:val="none"/>
                <w:lang w:val="en-US" w:eastAsia="zh-CN"/>
              </w:rPr>
              <w:t>扫描件。</w:t>
            </w:r>
          </w:p>
          <w:p w14:paraId="6404C37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2.同类产品试验报告不重复计分，如同时提供阀门类的闸阀、蝶阀的盐雾试验报告只得</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分。</w:t>
            </w:r>
          </w:p>
        </w:tc>
      </w:tr>
      <w:tr w14:paraId="5201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vMerge w:val="continue"/>
            <w:noWrap w:val="0"/>
            <w:vAlign w:val="center"/>
          </w:tcPr>
          <w:p w14:paraId="63B4BF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1605" w:type="dxa"/>
            <w:vMerge w:val="continue"/>
            <w:noWrap w:val="0"/>
            <w:vAlign w:val="center"/>
          </w:tcPr>
          <w:p w14:paraId="078C06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825" w:type="dxa"/>
            <w:vMerge w:val="continue"/>
            <w:noWrap w:val="0"/>
            <w:vAlign w:val="center"/>
          </w:tcPr>
          <w:p w14:paraId="07AA59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771" w:type="dxa"/>
            <w:noWrap w:val="0"/>
            <w:vAlign w:val="top"/>
          </w:tcPr>
          <w:p w14:paraId="1F65012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成套供水设备应采用优秀的生产和加工工艺，保障设备的使用效果和使用寿命，在满足招标工艺技术要求下，</w:t>
            </w:r>
          </w:p>
          <w:p w14:paraId="6875D1C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①投标人采用激光切割工艺的得2分，投标人采用等离子切割工艺的得1分，满分2分。</w:t>
            </w:r>
          </w:p>
          <w:p w14:paraId="6303EE4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②投标人采用全自动机器焊接（含机器人焊接）的得2分，投标人采用手工氩弧焊的得1分，满分2分。</w:t>
            </w:r>
          </w:p>
          <w:p w14:paraId="4FD46D0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③投标人采用全自动机器流水线工艺的得2分，投标人采用手动流水线工艺的得1分，满分2分。</w:t>
            </w:r>
          </w:p>
          <w:p w14:paraId="474C593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投标文件中须</w:t>
            </w:r>
            <w:r>
              <w:rPr>
                <w:rFonts w:hint="eastAsia" w:ascii="宋体" w:hAnsi="宋体" w:eastAsia="宋体" w:cs="宋体"/>
                <w:b/>
                <w:bCs/>
                <w:color w:val="auto"/>
                <w:sz w:val="21"/>
                <w:szCs w:val="21"/>
                <w:highlight w:val="none"/>
                <w:lang w:val="en-US" w:eastAsia="zh-CN"/>
              </w:rPr>
              <w:t>同时</w:t>
            </w:r>
            <w:r>
              <w:rPr>
                <w:rFonts w:hint="eastAsia" w:ascii="宋体" w:hAnsi="宋体" w:eastAsia="宋体" w:cs="宋体"/>
                <w:b/>
                <w:bCs/>
                <w:color w:val="auto"/>
                <w:sz w:val="21"/>
                <w:szCs w:val="21"/>
                <w:highlight w:val="none"/>
              </w:rPr>
              <w:t>提供相应设备照片、设备采购合同和采购发票扫描件</w:t>
            </w:r>
            <w:r>
              <w:rPr>
                <w:rFonts w:hint="eastAsia" w:ascii="宋体" w:hAnsi="宋体" w:eastAsia="宋体" w:cs="宋体"/>
                <w:b/>
                <w:bCs/>
                <w:color w:val="auto"/>
                <w:sz w:val="21"/>
                <w:szCs w:val="21"/>
                <w:highlight w:val="none"/>
                <w:lang w:eastAsia="zh-CN"/>
              </w:rPr>
              <w:t>。</w:t>
            </w:r>
          </w:p>
          <w:p w14:paraId="1A901F8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中标后</w:t>
            </w:r>
            <w:r>
              <w:rPr>
                <w:rFonts w:hint="eastAsia" w:ascii="宋体" w:hAnsi="宋体" w:eastAsia="宋体" w:cs="宋体"/>
                <w:b/>
                <w:bCs/>
                <w:color w:val="auto"/>
                <w:sz w:val="21"/>
                <w:szCs w:val="21"/>
                <w:highlight w:val="none"/>
                <w:lang w:val="en-US" w:eastAsia="zh-CN"/>
              </w:rPr>
              <w:t>招标人</w:t>
            </w:r>
            <w:r>
              <w:rPr>
                <w:rFonts w:hint="eastAsia" w:ascii="宋体" w:hAnsi="宋体" w:eastAsia="宋体" w:cs="宋体"/>
                <w:b/>
                <w:bCs/>
                <w:color w:val="auto"/>
                <w:sz w:val="21"/>
                <w:szCs w:val="21"/>
                <w:highlight w:val="none"/>
              </w:rPr>
              <w:t>将对所承诺设备的生产和加工工艺进行现场核验，如有虚假，即取消中标资格。】</w:t>
            </w:r>
          </w:p>
        </w:tc>
      </w:tr>
      <w:tr w14:paraId="2A9F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vMerge w:val="continue"/>
            <w:noWrap w:val="0"/>
            <w:vAlign w:val="center"/>
          </w:tcPr>
          <w:p w14:paraId="7B56D7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1605" w:type="dxa"/>
            <w:vMerge w:val="continue"/>
            <w:noWrap w:val="0"/>
            <w:vAlign w:val="center"/>
          </w:tcPr>
          <w:p w14:paraId="2C5CCD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825" w:type="dxa"/>
            <w:vMerge w:val="continue"/>
            <w:noWrap w:val="0"/>
            <w:vAlign w:val="center"/>
          </w:tcPr>
          <w:p w14:paraId="18B4C2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771" w:type="dxa"/>
            <w:noWrap w:val="0"/>
            <w:vAlign w:val="top"/>
          </w:tcPr>
          <w:p w14:paraId="471C7A8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所投</w:t>
            </w:r>
            <w:r>
              <w:rPr>
                <w:rFonts w:hint="eastAsia" w:ascii="宋体" w:hAnsi="宋体" w:eastAsia="宋体" w:cs="宋体"/>
                <w:color w:val="auto"/>
                <w:sz w:val="21"/>
                <w:szCs w:val="21"/>
                <w:highlight w:val="none"/>
              </w:rPr>
              <w:t>成套供水设备具有三重（或以上）水锤保护防护功能的得4分；具有水锤防护功能的得2分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满分4分。</w:t>
            </w:r>
          </w:p>
          <w:p w14:paraId="160C38C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投标文件中须提供省级或以上第三方检测证明扫描件</w:t>
            </w:r>
            <w:r>
              <w:rPr>
                <w:rFonts w:hint="eastAsia" w:ascii="宋体" w:hAnsi="宋体" w:eastAsia="宋体" w:cs="宋体"/>
                <w:b/>
                <w:bCs/>
                <w:color w:val="auto"/>
                <w:sz w:val="21"/>
                <w:szCs w:val="21"/>
                <w:highlight w:val="none"/>
                <w:lang w:eastAsia="zh-CN"/>
              </w:rPr>
              <w:t>。</w:t>
            </w:r>
          </w:p>
        </w:tc>
      </w:tr>
      <w:tr w14:paraId="5D69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vMerge w:val="restart"/>
            <w:noWrap w:val="0"/>
            <w:vAlign w:val="center"/>
          </w:tcPr>
          <w:p w14:paraId="4F614F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7</w:t>
            </w:r>
          </w:p>
        </w:tc>
        <w:tc>
          <w:tcPr>
            <w:tcW w:w="1605" w:type="dxa"/>
            <w:vMerge w:val="restart"/>
            <w:noWrap w:val="0"/>
            <w:vAlign w:val="center"/>
          </w:tcPr>
          <w:p w14:paraId="5037C9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控制系统</w:t>
            </w:r>
          </w:p>
        </w:tc>
        <w:tc>
          <w:tcPr>
            <w:tcW w:w="825" w:type="dxa"/>
            <w:vMerge w:val="restart"/>
            <w:noWrap w:val="0"/>
            <w:vAlign w:val="center"/>
          </w:tcPr>
          <w:p w14:paraId="37D82BA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771" w:type="dxa"/>
            <w:noWrap w:val="0"/>
            <w:vAlign w:val="top"/>
          </w:tcPr>
          <w:p w14:paraId="608871C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具备供水故障诊断支持功能：能够对于供水故障进行辅助判断得4分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能够对于供水故障进行辅助判断并生成解决方案得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满分8分。</w:t>
            </w:r>
          </w:p>
          <w:p w14:paraId="5A0952F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投标文件中须提供系统功能截图，中标后进行复核</w:t>
            </w:r>
            <w:r>
              <w:rPr>
                <w:rFonts w:hint="eastAsia" w:ascii="宋体" w:hAnsi="宋体" w:eastAsia="宋体" w:cs="宋体"/>
                <w:b/>
                <w:bCs/>
                <w:color w:val="auto"/>
                <w:sz w:val="21"/>
                <w:szCs w:val="21"/>
                <w:highlight w:val="none"/>
                <w:lang w:eastAsia="zh-CN"/>
              </w:rPr>
              <w:t>。</w:t>
            </w:r>
          </w:p>
        </w:tc>
      </w:tr>
      <w:tr w14:paraId="3F2E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vMerge w:val="continue"/>
            <w:noWrap w:val="0"/>
            <w:vAlign w:val="center"/>
          </w:tcPr>
          <w:p w14:paraId="043611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1605" w:type="dxa"/>
            <w:vMerge w:val="continue"/>
            <w:noWrap w:val="0"/>
            <w:vAlign w:val="center"/>
          </w:tcPr>
          <w:p w14:paraId="68583E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825" w:type="dxa"/>
            <w:vMerge w:val="continue"/>
            <w:noWrap w:val="0"/>
            <w:vAlign w:val="center"/>
          </w:tcPr>
          <w:p w14:paraId="5A28BA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p>
        </w:tc>
        <w:tc>
          <w:tcPr>
            <w:tcW w:w="6771" w:type="dxa"/>
            <w:noWrap w:val="0"/>
            <w:vAlign w:val="center"/>
          </w:tcPr>
          <w:p w14:paraId="057BA05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I/O配置每增加8个点加1分，满分2分。</w:t>
            </w:r>
          </w:p>
          <w:p w14:paraId="6116D84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【投标文件中须提供相关材料证明】</w:t>
            </w:r>
          </w:p>
        </w:tc>
      </w:tr>
      <w:tr w14:paraId="02F0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noWrap w:val="0"/>
            <w:vAlign w:val="center"/>
          </w:tcPr>
          <w:p w14:paraId="727901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8</w:t>
            </w:r>
          </w:p>
        </w:tc>
        <w:tc>
          <w:tcPr>
            <w:tcW w:w="1605" w:type="dxa"/>
            <w:noWrap w:val="0"/>
            <w:vAlign w:val="center"/>
          </w:tcPr>
          <w:p w14:paraId="5839CE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水箱</w:t>
            </w:r>
          </w:p>
        </w:tc>
        <w:tc>
          <w:tcPr>
            <w:tcW w:w="825" w:type="dxa"/>
            <w:noWrap w:val="0"/>
            <w:vAlign w:val="center"/>
          </w:tcPr>
          <w:p w14:paraId="24C6AA1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2分</w:t>
            </w:r>
          </w:p>
        </w:tc>
        <w:tc>
          <w:tcPr>
            <w:tcW w:w="6771" w:type="dxa"/>
            <w:noWrap w:val="0"/>
            <w:vAlign w:val="center"/>
          </w:tcPr>
          <w:p w14:paraId="5F8517F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投标人是直接生产水箱的供应商的得2分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外协水箱的得1分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满分2分。</w:t>
            </w:r>
          </w:p>
          <w:p w14:paraId="1A0FBC8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注：直接生产的供应商在投标文件中须提供相关有效证明</w:t>
            </w:r>
            <w:r>
              <w:rPr>
                <w:rFonts w:hint="eastAsia" w:ascii="宋体" w:hAnsi="宋体" w:eastAsia="宋体" w:cs="宋体"/>
                <w:b/>
                <w:bCs/>
                <w:color w:val="auto"/>
                <w:sz w:val="21"/>
                <w:szCs w:val="21"/>
                <w:highlight w:val="none"/>
              </w:rPr>
              <w:t>材料扫描件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外协的供应商在投标文件须同时提供外协单位生产水箱的有效证明材料和投标人与外协单位签订的相关协议的扫描件。</w:t>
            </w:r>
          </w:p>
        </w:tc>
      </w:tr>
      <w:tr w14:paraId="3EFE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noWrap w:val="0"/>
            <w:vAlign w:val="center"/>
          </w:tcPr>
          <w:p w14:paraId="2C2A78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9</w:t>
            </w:r>
          </w:p>
        </w:tc>
        <w:tc>
          <w:tcPr>
            <w:tcW w:w="1605" w:type="dxa"/>
            <w:noWrap w:val="0"/>
            <w:vAlign w:val="center"/>
          </w:tcPr>
          <w:p w14:paraId="26C372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压力容器生产许可证</w:t>
            </w:r>
          </w:p>
        </w:tc>
        <w:tc>
          <w:tcPr>
            <w:tcW w:w="825" w:type="dxa"/>
            <w:noWrap w:val="0"/>
            <w:vAlign w:val="center"/>
          </w:tcPr>
          <w:p w14:paraId="5901B98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6771" w:type="dxa"/>
            <w:noWrap w:val="0"/>
            <w:vAlign w:val="center"/>
          </w:tcPr>
          <w:p w14:paraId="1B496EC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投标人具有压力容器生产许可证的</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color w:val="auto"/>
                <w:sz w:val="21"/>
                <w:szCs w:val="21"/>
                <w:highlight w:val="none"/>
              </w:rPr>
              <w:t>外协压力容器的得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满分3分</w:t>
            </w:r>
            <w:r>
              <w:rPr>
                <w:rFonts w:hint="eastAsia" w:ascii="宋体" w:hAnsi="宋体" w:eastAsia="宋体" w:cs="宋体"/>
                <w:color w:val="auto"/>
                <w:sz w:val="21"/>
                <w:szCs w:val="21"/>
                <w:highlight w:val="none"/>
              </w:rPr>
              <w:t>。</w:t>
            </w:r>
          </w:p>
          <w:p w14:paraId="3D463B2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注：直接生产的供应商在投标文件中须提供有效证书</w:t>
            </w:r>
            <w:r>
              <w:rPr>
                <w:rFonts w:hint="eastAsia" w:ascii="宋体" w:hAnsi="宋体" w:eastAsia="宋体" w:cs="宋体"/>
                <w:b/>
                <w:bCs/>
                <w:color w:val="auto"/>
                <w:sz w:val="21"/>
                <w:szCs w:val="21"/>
                <w:highlight w:val="none"/>
              </w:rPr>
              <w:t>扫描件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外协的供应商在投标文件须同时提供外协单位生有效证书和投标人与外协单位签订的相关协议的扫描件。</w:t>
            </w:r>
          </w:p>
        </w:tc>
      </w:tr>
      <w:bookmarkEnd w:id="78"/>
    </w:tbl>
    <w:p w14:paraId="405188AA">
      <w:pPr>
        <w:adjustRightInd w:val="0"/>
        <w:snapToGrid w:val="0"/>
        <w:spacing w:line="5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注：</w:t>
      </w:r>
      <w:r>
        <w:rPr>
          <w:rFonts w:hint="eastAsia" w:ascii="宋体" w:hAnsi="宋体" w:eastAsia="宋体" w:cs="宋体"/>
          <w:b/>
          <w:bCs/>
          <w:color w:val="auto"/>
          <w:sz w:val="21"/>
          <w:szCs w:val="21"/>
          <w:highlight w:val="none"/>
        </w:rPr>
        <w:t>评委资信分的算术平均值（保留至小数点后两位数）作为投标人</w:t>
      </w:r>
      <w:r>
        <w:rPr>
          <w:rFonts w:hint="eastAsia" w:ascii="宋体" w:hAnsi="宋体" w:eastAsia="宋体" w:cs="宋体"/>
          <w:b/>
          <w:bCs/>
          <w:color w:val="auto"/>
          <w:sz w:val="21"/>
          <w:szCs w:val="21"/>
          <w:highlight w:val="none"/>
          <w:lang w:val="en-US" w:eastAsia="zh-CN"/>
        </w:rPr>
        <w:t>的资信</w:t>
      </w:r>
      <w:r>
        <w:rPr>
          <w:rFonts w:hint="eastAsia" w:ascii="宋体" w:hAnsi="宋体" w:eastAsia="宋体" w:cs="宋体"/>
          <w:b/>
          <w:bCs/>
          <w:color w:val="auto"/>
          <w:sz w:val="21"/>
          <w:szCs w:val="21"/>
          <w:highlight w:val="none"/>
        </w:rPr>
        <w:t>得分</w:t>
      </w:r>
      <w:r>
        <w:rPr>
          <w:rFonts w:hint="eastAsia" w:ascii="宋体" w:hAnsi="宋体" w:eastAsia="宋体" w:cs="宋体"/>
          <w:b/>
          <w:bCs/>
          <w:color w:val="auto"/>
          <w:sz w:val="21"/>
          <w:szCs w:val="21"/>
          <w:highlight w:val="none"/>
          <w:lang w:eastAsia="zh-CN"/>
        </w:rPr>
        <w:t>。</w:t>
      </w:r>
    </w:p>
    <w:p w14:paraId="1D9ED517">
      <w:pP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24</w:t>
      </w:r>
      <w:r>
        <w:rPr>
          <w:rFonts w:hint="eastAsia" w:ascii="宋体" w:hAnsi="宋体" w:cs="宋体"/>
          <w:b/>
          <w:bCs/>
          <w:color w:val="auto"/>
          <w:szCs w:val="21"/>
          <w:highlight w:val="none"/>
        </w:rPr>
        <w:t>分）</w:t>
      </w:r>
    </w:p>
    <w:tbl>
      <w:tblPr>
        <w:tblStyle w:val="35"/>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7840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833BB3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5" w:type="dxa"/>
            <w:vAlign w:val="center"/>
          </w:tcPr>
          <w:p w14:paraId="34531DD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900" w:type="dxa"/>
            <w:vAlign w:val="center"/>
          </w:tcPr>
          <w:p w14:paraId="48885CC3">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350" w:type="dxa"/>
            <w:vAlign w:val="center"/>
          </w:tcPr>
          <w:p w14:paraId="4390ACB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3C2A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3A8C5B2">
            <w:pPr>
              <w:pStyle w:val="17"/>
              <w:spacing w:after="0"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45" w:type="dxa"/>
            <w:vAlign w:val="center"/>
          </w:tcPr>
          <w:p w14:paraId="7B583DC2">
            <w:pPr>
              <w:spacing w:line="44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管网压力保护方案</w:t>
            </w:r>
          </w:p>
        </w:tc>
        <w:tc>
          <w:tcPr>
            <w:tcW w:w="900" w:type="dxa"/>
            <w:vAlign w:val="center"/>
          </w:tcPr>
          <w:p w14:paraId="77AE2172">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分</w:t>
            </w:r>
          </w:p>
        </w:tc>
        <w:tc>
          <w:tcPr>
            <w:tcW w:w="7350" w:type="dxa"/>
            <w:vAlign w:val="center"/>
          </w:tcPr>
          <w:p w14:paraId="7E6DD3C1">
            <w:pPr>
              <w:spacing w:line="500" w:lineRule="exact"/>
              <w:jc w:val="left"/>
              <w:rPr>
                <w:rFonts w:ascii="宋体" w:hAnsi="宋体" w:cs="宋体"/>
                <w:color w:val="auto"/>
                <w:szCs w:val="21"/>
                <w:highlight w:val="none"/>
              </w:rPr>
            </w:pPr>
            <w:r>
              <w:rPr>
                <w:rFonts w:hint="eastAsia" w:ascii="宋体" w:hAnsi="宋体"/>
                <w:color w:val="auto"/>
                <w:szCs w:val="21"/>
                <w:highlight w:val="none"/>
              </w:rPr>
              <w:t>投标人所投的叠压（或无负压）成套设备具有对市政管网压力保护机制，不得对市政管网产生负压，根据保护机制的科学性、合理性、启动时间和运行方案进行综合评审。</w:t>
            </w:r>
            <w:r>
              <w:rPr>
                <w:rFonts w:hint="eastAsia" w:ascii="宋体" w:hAnsi="宋体" w:cs="宋体"/>
                <w:color w:val="auto"/>
                <w:highlight w:val="none"/>
                <w:lang w:val="zh-CN"/>
              </w:rPr>
              <w:t>综合</w:t>
            </w:r>
            <w:r>
              <w:rPr>
                <w:rFonts w:hint="eastAsia" w:ascii="宋体" w:hAnsi="宋体" w:cs="宋体"/>
                <w:color w:val="auto"/>
                <w:highlight w:val="none"/>
              </w:rPr>
              <w:t>评审</w:t>
            </w:r>
            <w:r>
              <w:rPr>
                <w:rFonts w:hint="eastAsia" w:ascii="宋体" w:hAnsi="宋体" w:cs="宋体"/>
                <w:color w:val="auto"/>
                <w:highlight w:val="none"/>
                <w:lang w:val="zh-CN"/>
              </w:rPr>
              <w:t>，</w:t>
            </w:r>
            <w:r>
              <w:rPr>
                <w:rFonts w:hint="eastAsia" w:ascii="宋体" w:hAnsi="宋体" w:cs="宋体"/>
                <w:color w:val="auto"/>
                <w:szCs w:val="21"/>
                <w:highlight w:val="none"/>
              </w:rPr>
              <w:t>优秀得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分，良好得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分，合格得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分，不合格或未提供的不得分。 </w:t>
            </w:r>
          </w:p>
        </w:tc>
      </w:tr>
      <w:tr w14:paraId="3FD1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316C2A0E">
            <w:pPr>
              <w:pStyle w:val="17"/>
              <w:spacing w:after="0"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245" w:type="dxa"/>
            <w:vAlign w:val="center"/>
          </w:tcPr>
          <w:p w14:paraId="752BB39E">
            <w:pPr>
              <w:spacing w:line="440" w:lineRule="exac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售后服务方案</w:t>
            </w:r>
          </w:p>
        </w:tc>
        <w:tc>
          <w:tcPr>
            <w:tcW w:w="900" w:type="dxa"/>
            <w:vAlign w:val="center"/>
          </w:tcPr>
          <w:p w14:paraId="4EF4951E">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分</w:t>
            </w:r>
          </w:p>
        </w:tc>
        <w:tc>
          <w:tcPr>
            <w:tcW w:w="7350" w:type="dxa"/>
            <w:vAlign w:val="center"/>
          </w:tcPr>
          <w:p w14:paraId="0F13D5EB">
            <w:pPr>
              <w:spacing w:line="500" w:lineRule="exact"/>
              <w:rPr>
                <w:rFonts w:ascii="宋体" w:hAnsi="宋体" w:cs="宋体"/>
                <w:color w:val="auto"/>
                <w:szCs w:val="21"/>
                <w:highlight w:val="none"/>
              </w:rPr>
            </w:pPr>
            <w:r>
              <w:rPr>
                <w:rFonts w:hint="eastAsia" w:ascii="宋体" w:hAnsi="宋体"/>
                <w:color w:val="auto"/>
                <w:szCs w:val="21"/>
                <w:highlight w:val="none"/>
              </w:rPr>
              <w:t>根据投标人的售后服务措施、售后服务计划、服务承诺及服务队伍建设规范，熟悉类似项目和维护经验等进行综合比较评审。综合评审，</w:t>
            </w:r>
            <w:r>
              <w:rPr>
                <w:rFonts w:hint="eastAsia" w:ascii="宋体" w:hAnsi="宋体" w:cs="宋体"/>
                <w:color w:val="auto"/>
                <w:szCs w:val="21"/>
                <w:highlight w:val="none"/>
              </w:rPr>
              <w:t>优秀得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分，良好得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分，一般得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分，合格得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分，不合格或未提供的不得分。</w:t>
            </w:r>
          </w:p>
        </w:tc>
      </w:tr>
      <w:tr w14:paraId="4614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92" w:type="dxa"/>
            <w:gridSpan w:val="4"/>
            <w:vAlign w:val="center"/>
          </w:tcPr>
          <w:p w14:paraId="227832E6">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注：1.该项由专家评委评审打分，取所有评委评分中分别去掉一个最高和最低评分后的平均值为最终得分，保留两位小数点，第三位四舍五入。</w:t>
            </w:r>
          </w:p>
          <w:p w14:paraId="13AC3092">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263588BB">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2.1 技术标暗标不设空白页。技术标投标文件封面不出现投标人、法定代表人签章内容，格式以系统设置为准。正文必须按招标文件要求的顺序进行排版；</w:t>
            </w:r>
          </w:p>
          <w:p w14:paraId="2637FE93">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114BAE7A">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646C8783">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3.技术标暗标文件的格式、制作不符合上述要求的，每一分项扣0.2分。技术标实行暗标的，对技术标（暗标）部分不予澄清、说明或者补正。</w:t>
            </w:r>
          </w:p>
          <w:p w14:paraId="713E0E7B">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rPr>
              <w:t>技术标的</w:t>
            </w:r>
            <w:r>
              <w:rPr>
                <w:rFonts w:hint="eastAsia" w:ascii="宋体" w:hAnsi="宋体" w:cs="宋体"/>
                <w:color w:val="auto"/>
                <w:kern w:val="0"/>
                <w:szCs w:val="21"/>
                <w:highlight w:val="none"/>
                <w:lang w:val="en-US" w:eastAsia="zh-CN"/>
              </w:rPr>
              <w:t>每个评分点</w:t>
            </w:r>
            <w:r>
              <w:rPr>
                <w:rFonts w:hint="eastAsia" w:ascii="宋体" w:hAnsi="宋体" w:cs="宋体"/>
                <w:color w:val="auto"/>
                <w:kern w:val="0"/>
                <w:szCs w:val="21"/>
                <w:highlight w:val="none"/>
              </w:rPr>
              <w:t>页数不多于</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页</w:t>
            </w:r>
            <w:r>
              <w:rPr>
                <w:rFonts w:hint="eastAsia" w:ascii="宋体" w:hAnsi="宋体" w:cs="宋体"/>
                <w:color w:val="auto"/>
                <w:kern w:val="0"/>
                <w:szCs w:val="21"/>
                <w:highlight w:val="none"/>
                <w:lang w:bidi="ar"/>
              </w:rPr>
              <w:t>。</w:t>
            </w:r>
            <w:r>
              <w:rPr>
                <w:rFonts w:hint="eastAsia" w:ascii="宋体" w:hAnsi="宋体"/>
                <w:color w:val="auto"/>
                <w:szCs w:val="21"/>
                <w:highlight w:val="none"/>
              </w:rPr>
              <w:t>具体篇幅(字数)要求及扣分标准（扣分值为0.2分）。偏离规定标准的，评标委员会应酌情扣分。</w:t>
            </w:r>
          </w:p>
          <w:p w14:paraId="4193321E">
            <w:pPr>
              <w:widowControl/>
              <w:spacing w:line="500" w:lineRule="exact"/>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w:t>
            </w:r>
            <w:r>
              <w:rPr>
                <w:rFonts w:hint="eastAsia" w:ascii="宋体" w:hAnsi="宋体" w:cs="宋体"/>
                <w:color w:val="auto"/>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4DAE828D">
            <w:pPr>
              <w:spacing w:line="500" w:lineRule="exact"/>
              <w:jc w:val="left"/>
              <w:rPr>
                <w:rFonts w:ascii="宋体" w:hAnsi="宋体" w:cs="宋体"/>
                <w:b/>
                <w:bCs/>
                <w:color w:val="auto"/>
                <w:szCs w:val="21"/>
                <w:highlight w:val="none"/>
              </w:rPr>
            </w:pPr>
            <w:r>
              <w:rPr>
                <w:rFonts w:hint="eastAsia" w:ascii="宋体" w:hAnsi="宋体" w:cs="宋体"/>
                <w:color w:val="auto"/>
                <w:kern w:val="0"/>
                <w:szCs w:val="21"/>
                <w:highlight w:val="none"/>
                <w:lang w:bidi="ar"/>
              </w:rPr>
              <w:t>6.</w:t>
            </w:r>
            <w:r>
              <w:rPr>
                <w:rFonts w:hint="eastAsia" w:ascii="宋体" w:hAnsi="宋体" w:cs="宋体"/>
                <w:color w:val="auto"/>
                <w:szCs w:val="21"/>
                <w:highlight w:val="none"/>
              </w:rPr>
              <w:t>如所有投标企业技术标都出现能反映企业信息等相关内容的，该项目流标。</w:t>
            </w:r>
          </w:p>
        </w:tc>
      </w:tr>
    </w:tbl>
    <w:p w14:paraId="15D9434A">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rPr>
          <w:rFonts w:hint="eastAsia" w:ascii="宋体" w:hAnsi="宋体" w:eastAsia="宋体" w:cs="宋体"/>
          <w:b/>
          <w:bCs/>
          <w:color w:val="auto"/>
          <w:sz w:val="21"/>
          <w:szCs w:val="21"/>
          <w:highlight w:val="none"/>
        </w:rPr>
      </w:pPr>
      <w:bookmarkStart w:id="80" w:name="_Toc23311"/>
      <w:bookmarkStart w:id="81" w:name="_Toc449028881"/>
      <w:bookmarkStart w:id="82" w:name="_Toc58430321"/>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评审结束后，将对有效投标人得分进行汇总排序。按照下表的规定有效投标人综合得分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资信分与技术分值之和）</w:t>
      </w:r>
      <w:r>
        <w:rPr>
          <w:rFonts w:hint="eastAsia" w:ascii="宋体" w:hAnsi="宋体" w:eastAsia="宋体" w:cs="宋体"/>
          <w:b/>
          <w:bCs/>
          <w:color w:val="auto"/>
          <w:sz w:val="21"/>
          <w:szCs w:val="21"/>
          <w:highlight w:val="none"/>
        </w:rPr>
        <w:t>由高到低</w:t>
      </w:r>
      <w:r>
        <w:rPr>
          <w:rFonts w:hint="eastAsia" w:ascii="宋体" w:hAnsi="宋体" w:eastAsia="宋体" w:cs="宋体"/>
          <w:b/>
          <w:bCs/>
          <w:color w:val="auto"/>
          <w:sz w:val="21"/>
          <w:szCs w:val="21"/>
          <w:highlight w:val="none"/>
          <w:lang w:val="en-US" w:eastAsia="zh-CN"/>
        </w:rPr>
        <w:t>确定</w:t>
      </w:r>
      <w:r>
        <w:rPr>
          <w:rFonts w:hint="eastAsia" w:ascii="宋体" w:hAnsi="宋体" w:eastAsia="宋体" w:cs="宋体"/>
          <w:b/>
          <w:bCs/>
          <w:color w:val="auto"/>
          <w:sz w:val="21"/>
          <w:szCs w:val="21"/>
          <w:highlight w:val="none"/>
        </w:rPr>
        <w:t>中标供应商。</w:t>
      </w:r>
    </w:p>
    <w:tbl>
      <w:tblPr>
        <w:tblStyle w:val="35"/>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4764"/>
      </w:tblGrid>
      <w:tr w14:paraId="7A16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984" w:type="dxa"/>
            <w:noWrap w:val="0"/>
            <w:vAlign w:val="center"/>
          </w:tcPr>
          <w:p w14:paraId="2051AED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有效投标人数量</w:t>
            </w:r>
          </w:p>
        </w:tc>
        <w:tc>
          <w:tcPr>
            <w:tcW w:w="4764" w:type="dxa"/>
            <w:noWrap w:val="0"/>
            <w:vAlign w:val="center"/>
          </w:tcPr>
          <w:p w14:paraId="0EFAA76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确定</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zh-CN"/>
              </w:rPr>
              <w:t>数量</w:t>
            </w:r>
          </w:p>
        </w:tc>
      </w:tr>
      <w:tr w14:paraId="7A87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984" w:type="dxa"/>
            <w:noWrap w:val="0"/>
            <w:vAlign w:val="center"/>
          </w:tcPr>
          <w:p w14:paraId="7EBBA3E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≥7家</w:t>
            </w:r>
          </w:p>
        </w:tc>
        <w:tc>
          <w:tcPr>
            <w:tcW w:w="4764" w:type="dxa"/>
            <w:noWrap w:val="0"/>
            <w:vAlign w:val="center"/>
          </w:tcPr>
          <w:p w14:paraId="31718D1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5名（排序7名候选人）</w:t>
            </w:r>
          </w:p>
        </w:tc>
      </w:tr>
      <w:tr w14:paraId="2C36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984" w:type="dxa"/>
            <w:noWrap w:val="0"/>
            <w:vAlign w:val="center"/>
          </w:tcPr>
          <w:p w14:paraId="5ED8ECE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6家</w:t>
            </w:r>
          </w:p>
        </w:tc>
        <w:tc>
          <w:tcPr>
            <w:tcW w:w="4764" w:type="dxa"/>
            <w:noWrap w:val="0"/>
            <w:vAlign w:val="center"/>
          </w:tcPr>
          <w:p w14:paraId="5743951D">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4名（排序6名候选人）</w:t>
            </w:r>
          </w:p>
        </w:tc>
      </w:tr>
      <w:tr w14:paraId="203F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984" w:type="dxa"/>
            <w:noWrap w:val="0"/>
            <w:vAlign w:val="center"/>
          </w:tcPr>
          <w:p w14:paraId="5AA06489">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5家</w:t>
            </w:r>
          </w:p>
        </w:tc>
        <w:tc>
          <w:tcPr>
            <w:tcW w:w="4764" w:type="dxa"/>
            <w:noWrap w:val="0"/>
            <w:vAlign w:val="center"/>
          </w:tcPr>
          <w:p w14:paraId="71BBA06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3名（</w:t>
            </w:r>
            <w:r>
              <w:rPr>
                <w:rFonts w:hint="eastAsia" w:ascii="宋体" w:hAnsi="宋体" w:eastAsia="宋体" w:cs="宋体"/>
                <w:color w:val="auto"/>
                <w:sz w:val="21"/>
                <w:szCs w:val="21"/>
                <w:highlight w:val="none"/>
                <w:lang w:val="en-US" w:eastAsia="zh-CN"/>
              </w:rPr>
              <w:t>推荐</w:t>
            </w:r>
            <w:r>
              <w:rPr>
                <w:rFonts w:hint="eastAsia" w:ascii="宋体" w:hAnsi="宋体" w:eastAsia="宋体" w:cs="宋体"/>
                <w:color w:val="auto"/>
                <w:sz w:val="21"/>
                <w:szCs w:val="21"/>
                <w:highlight w:val="none"/>
                <w:lang w:val="zh-CN"/>
              </w:rPr>
              <w:t>5名候选人）</w:t>
            </w:r>
          </w:p>
        </w:tc>
      </w:tr>
      <w:tr w14:paraId="4EF8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984" w:type="dxa"/>
            <w:noWrap w:val="0"/>
            <w:vAlign w:val="center"/>
          </w:tcPr>
          <w:p w14:paraId="09EC2E0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5家以下</w:t>
            </w:r>
          </w:p>
        </w:tc>
        <w:tc>
          <w:tcPr>
            <w:tcW w:w="4764" w:type="dxa"/>
            <w:noWrap w:val="0"/>
            <w:vAlign w:val="center"/>
          </w:tcPr>
          <w:p w14:paraId="7C66A91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流标</w:t>
            </w:r>
          </w:p>
        </w:tc>
      </w:tr>
    </w:tbl>
    <w:p w14:paraId="647BF181">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9"/>
      <w:bookmarkEnd w:id="80"/>
      <w:bookmarkEnd w:id="81"/>
      <w:bookmarkEnd w:id="82"/>
    </w:p>
    <w:p w14:paraId="6C62FC26">
      <w:pPr>
        <w:snapToGrid w:val="0"/>
        <w:spacing w:line="44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b/>
          <w:color w:val="auto"/>
          <w:szCs w:val="21"/>
          <w:highlight w:val="none"/>
        </w:rPr>
        <w:t>评标委员会按</w:t>
      </w:r>
      <w:r>
        <w:rPr>
          <w:rFonts w:hint="eastAsia" w:ascii="宋体" w:hAnsi="宋体" w:eastAsia="宋体" w:cs="宋体"/>
          <w:b/>
          <w:bCs/>
          <w:color w:val="auto"/>
          <w:sz w:val="21"/>
          <w:szCs w:val="21"/>
          <w:highlight w:val="none"/>
        </w:rPr>
        <w:t>综合得分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资信分与技术分值之和）</w:t>
      </w:r>
      <w:r>
        <w:rPr>
          <w:rFonts w:hint="eastAsia" w:ascii="宋体" w:hAnsi="宋体"/>
          <w:b/>
          <w:color w:val="auto"/>
          <w:szCs w:val="21"/>
          <w:highlight w:val="none"/>
        </w:rPr>
        <w:t>从高到低按顺序确定供应商。若出现综合得分相同的情况，以技术标得分高的</w:t>
      </w:r>
      <w:r>
        <w:rPr>
          <w:rFonts w:hint="eastAsia" w:ascii="宋体" w:hAnsi="宋体"/>
          <w:b/>
          <w:color w:val="auto"/>
          <w:szCs w:val="21"/>
          <w:highlight w:val="none"/>
          <w:lang w:val="en-US" w:eastAsia="zh-CN"/>
        </w:rPr>
        <w:t>优先</w:t>
      </w:r>
      <w:r>
        <w:rPr>
          <w:rFonts w:hint="eastAsia" w:ascii="宋体" w:hAnsi="宋体"/>
          <w:b/>
          <w:color w:val="auto"/>
          <w:szCs w:val="21"/>
          <w:highlight w:val="none"/>
        </w:rPr>
        <w:t xml:space="preserve">，若技术标得分也相等的，由招标人或评标委员会主任委员抽签确定排序。 </w:t>
      </w:r>
      <w:r>
        <w:rPr>
          <w:rFonts w:hint="eastAsia" w:ascii="宋体" w:hAnsi="宋体" w:cs="宋体"/>
          <w:color w:val="auto"/>
          <w:szCs w:val="21"/>
          <w:highlight w:val="none"/>
        </w:rPr>
        <w:t xml:space="preserve"> </w:t>
      </w:r>
    </w:p>
    <w:p w14:paraId="5E52D297">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6BB828D4">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5D4FE9C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58AE26C1">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154D0183">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63FDAE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5EF126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18436E5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72466F8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32AFCDB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690CEA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56351AE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4442BA5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68DC707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289C01F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7574FDA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071541A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1B9485C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7A8ABA9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FB1514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7B1284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6D1A39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7C4973B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398BCF3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32EC0C4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791BDF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52CB13BB">
      <w:pPr>
        <w:snapToGrid w:val="0"/>
        <w:spacing w:line="500" w:lineRule="exact"/>
        <w:ind w:right="-212" w:rightChars="-101"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(3)同一投标人提交两个以上不同的投标文件或者投标报价，但招标文件规定提交备选方案的除外；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本项目不采用）</w:t>
      </w:r>
    </w:p>
    <w:p w14:paraId="17C989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58FD56A4">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本项目不采用）</w:t>
      </w:r>
      <w:r>
        <w:rPr>
          <w:rFonts w:hint="eastAsia" w:ascii="宋体" w:hAnsi="宋体" w:cs="宋体"/>
          <w:color w:val="auto"/>
          <w:szCs w:val="21"/>
          <w:highlight w:val="none"/>
        </w:rPr>
        <w:t>；</w:t>
      </w:r>
    </w:p>
    <w:p w14:paraId="1B870A7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本项目不采用）</w:t>
      </w:r>
    </w:p>
    <w:p w14:paraId="6D1D488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26003E8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3D53EC8A">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7DB57E4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275FB2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0DFF3F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58EB06A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32C669F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本项目不采用）</w:t>
      </w:r>
    </w:p>
    <w:p w14:paraId="3E0EE1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03540B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6348D5D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（8）招标文件规定的其它无效投标情形。</w:t>
      </w:r>
    </w:p>
    <w:bookmarkEnd w:id="67"/>
    <w:p w14:paraId="1525D758">
      <w:pPr>
        <w:numPr>
          <w:ilvl w:val="0"/>
          <w:numId w:val="8"/>
        </w:numPr>
        <w:snapToGrid w:val="0"/>
        <w:spacing w:line="440" w:lineRule="exact"/>
        <w:ind w:left="-10" w:leftChars="-5" w:right="-334" w:rightChars="-159" w:firstLine="14"/>
        <w:jc w:val="center"/>
        <w:outlineLvl w:val="0"/>
        <w:rPr>
          <w:rFonts w:hAnsi="宋体"/>
          <w:b/>
          <w:bCs/>
          <w:color w:val="auto"/>
          <w:sz w:val="32"/>
          <w:szCs w:val="32"/>
          <w:highlight w:val="none"/>
        </w:rPr>
      </w:pPr>
      <w:bookmarkStart w:id="83" w:name="_Toc30417"/>
      <w:bookmarkStart w:id="84" w:name="_Toc449028945"/>
      <w:bookmarkStart w:id="85" w:name="_Toc22340"/>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83"/>
    </w:p>
    <w:p w14:paraId="5D442B64">
      <w:pPr>
        <w:rPr>
          <w:rFonts w:hint="eastAsia"/>
          <w:b/>
          <w:bCs/>
          <w:color w:val="auto"/>
          <w:highlight w:val="none"/>
        </w:rPr>
      </w:pPr>
    </w:p>
    <w:p w14:paraId="0F7F008C">
      <w:pPr>
        <w:spacing w:line="46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一、采购内容及相术参数要求</w:t>
      </w:r>
    </w:p>
    <w:p w14:paraId="57726B9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前注：</w:t>
      </w:r>
    </w:p>
    <w:p w14:paraId="7532690D">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1）本需求中提出的技术方案仅为参考，无明确限制，投标人可以进行优化，提供满足用户实际需要的更优（或者性能实质上不低于的）技术方案或者设备配置，且此方案或配置须经评委会审核认可；</w:t>
      </w:r>
    </w:p>
    <w:p w14:paraId="4E042A1A">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为鼓励不同品牌的充分竞争，如某设备的某技术参数或要求属于个别品牌专有，则该技术参数及要求不具有限制性，投标人可对该参数或要求进行适当调整，并应当说明调整的理由，且此调整须经评委会审核认可；</w:t>
      </w:r>
    </w:p>
    <w:p w14:paraId="111E14B5">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  </w:t>
      </w:r>
    </w:p>
    <w:p w14:paraId="138BE15A">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cs="宋体"/>
          <w:b/>
          <w:color w:val="auto"/>
          <w:szCs w:val="21"/>
          <w:highlight w:val="none"/>
          <w:lang w:val="en-US" w:eastAsia="zh-CN"/>
        </w:rPr>
        <w:t>4</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投标人应对投标内容所涉及的技术专利承担责任，并负责保护采购人的利益不受任何伤害。一切由于文字、商标和技术侵权引起的法律裁决、诉讼和有关费用均与采购人无关。</w:t>
      </w:r>
    </w:p>
    <w:p w14:paraId="35B06640">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5</w:t>
      </w:r>
      <w:r>
        <w:rPr>
          <w:rFonts w:hint="eastAsia" w:ascii="宋体" w:hAnsi="宋体" w:eastAsia="宋体" w:cs="宋体"/>
          <w:b/>
          <w:bCs w:val="0"/>
          <w:color w:val="auto"/>
          <w:szCs w:val="21"/>
          <w:highlight w:val="none"/>
          <w:lang w:val="en-US" w:eastAsia="zh-CN"/>
        </w:rPr>
        <w:t>）投标人须具有建筑机电安装工程专业承包</w:t>
      </w:r>
      <w:r>
        <w:rPr>
          <w:rFonts w:hint="eastAsia" w:ascii="宋体" w:hAnsi="宋体" w:cs="宋体"/>
          <w:b/>
          <w:bCs w:val="0"/>
          <w:color w:val="auto"/>
          <w:szCs w:val="21"/>
          <w:highlight w:val="none"/>
          <w:lang w:val="en-US" w:eastAsia="zh-CN"/>
        </w:rPr>
        <w:t>二</w:t>
      </w:r>
      <w:r>
        <w:rPr>
          <w:rFonts w:hint="eastAsia" w:ascii="宋体" w:hAnsi="宋体" w:eastAsia="宋体" w:cs="宋体"/>
          <w:b/>
          <w:bCs w:val="0"/>
          <w:color w:val="auto"/>
          <w:szCs w:val="21"/>
          <w:highlight w:val="none"/>
          <w:lang w:val="en-US" w:eastAsia="zh-CN"/>
        </w:rPr>
        <w:t>级及以上或机电工程施工总承包</w:t>
      </w:r>
      <w:r>
        <w:rPr>
          <w:rFonts w:hint="eastAsia" w:ascii="宋体" w:hAnsi="宋体" w:cs="宋体"/>
          <w:b/>
          <w:bCs w:val="0"/>
          <w:color w:val="auto"/>
          <w:szCs w:val="21"/>
          <w:highlight w:val="none"/>
          <w:lang w:val="en-US" w:eastAsia="zh-CN"/>
        </w:rPr>
        <w:t>二</w:t>
      </w:r>
      <w:r>
        <w:rPr>
          <w:rFonts w:hint="eastAsia" w:ascii="宋体" w:hAnsi="宋体" w:eastAsia="宋体" w:cs="宋体"/>
          <w:b/>
          <w:bCs w:val="0"/>
          <w:color w:val="auto"/>
          <w:szCs w:val="21"/>
          <w:highlight w:val="none"/>
          <w:lang w:val="en-US" w:eastAsia="zh-CN"/>
        </w:rPr>
        <w:t>级及以上资质，且同时具有有效的企业安全生产许可证，投标文件中须提供有效资质证书及安全生产许可证扫描件。否则按无效标处理。</w:t>
      </w:r>
    </w:p>
    <w:p w14:paraId="0FD07368">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6</w:t>
      </w:r>
      <w:r>
        <w:rPr>
          <w:rFonts w:hint="eastAsia" w:ascii="宋体" w:hAnsi="宋体" w:eastAsia="宋体" w:cs="宋体"/>
          <w:b/>
          <w:bCs w:val="0"/>
          <w:color w:val="auto"/>
          <w:szCs w:val="21"/>
          <w:highlight w:val="none"/>
          <w:lang w:val="en-US" w:eastAsia="zh-CN"/>
        </w:rPr>
        <w:t>）合同履行期间，针对每个单独实施的项目，投标人须根据项目规模及建造师相关规定标准，配置符合要求的机电工程专业注册建造师，且同时具有</w:t>
      </w:r>
      <w:r>
        <w:rPr>
          <w:rFonts w:hint="eastAsia" w:ascii="宋体" w:hAnsi="宋体" w:eastAsia="宋体" w:cs="宋体"/>
          <w:b/>
          <w:bCs w:val="0"/>
          <w:color w:val="auto"/>
          <w:sz w:val="21"/>
          <w:szCs w:val="21"/>
          <w:highlight w:val="none"/>
        </w:rPr>
        <w:t>有效的安全生产考核合格(B类)证书</w:t>
      </w:r>
      <w:r>
        <w:rPr>
          <w:rFonts w:hint="eastAsia" w:ascii="宋体" w:hAnsi="宋体" w:eastAsia="宋体" w:cs="宋体"/>
          <w:b/>
          <w:bCs w:val="0"/>
          <w:color w:val="auto"/>
          <w:sz w:val="21"/>
          <w:szCs w:val="21"/>
          <w:highlight w:val="none"/>
          <w:lang w:eastAsia="zh-CN"/>
        </w:rPr>
        <w:t>。</w:t>
      </w:r>
    </w:p>
    <w:p w14:paraId="06459541">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7</w:t>
      </w:r>
      <w:r>
        <w:rPr>
          <w:rFonts w:hint="eastAsia" w:ascii="宋体" w:hAnsi="宋体" w:eastAsia="宋体" w:cs="宋体"/>
          <w:b/>
          <w:bCs w:val="0"/>
          <w:color w:val="auto"/>
          <w:szCs w:val="21"/>
          <w:highlight w:val="none"/>
          <w:lang w:val="en-US" w:eastAsia="zh-CN"/>
        </w:rPr>
        <w:t>）</w:t>
      </w:r>
      <w:r>
        <w:rPr>
          <w:rFonts w:hint="eastAsia" w:ascii="宋体" w:hAnsi="宋体" w:eastAsia="宋体" w:cs="宋体"/>
          <w:b/>
          <w:bCs w:val="0"/>
          <w:color w:val="auto"/>
          <w:szCs w:val="21"/>
          <w:highlight w:val="none"/>
        </w:rPr>
        <w:t>投标人须承诺中标后使用供水企业统一设定控制系统的账号密码</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lang w:val="en-US" w:eastAsia="zh-CN"/>
        </w:rPr>
        <w:t>承诺函格式自拟，放入资信标文件内）</w:t>
      </w:r>
      <w:r>
        <w:rPr>
          <w:rFonts w:hint="eastAsia" w:ascii="宋体" w:hAnsi="宋体" w:eastAsia="宋体" w:cs="宋体"/>
          <w:b/>
          <w:bCs w:val="0"/>
          <w:color w:val="auto"/>
          <w:szCs w:val="21"/>
          <w:highlight w:val="none"/>
        </w:rPr>
        <w:t>。</w:t>
      </w:r>
    </w:p>
    <w:p w14:paraId="6018344A">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val="0"/>
          <w:color w:val="auto"/>
          <w:szCs w:val="21"/>
          <w:highlight w:val="none"/>
          <w:lang w:val="en-US" w:eastAsia="zh-CN"/>
        </w:rPr>
      </w:pPr>
      <w:r>
        <w:rPr>
          <w:rFonts w:hint="eastAsia" w:ascii="宋体" w:hAnsi="宋体" w:cs="宋体"/>
          <w:b/>
          <w:bCs w:val="0"/>
          <w:color w:val="auto"/>
          <w:szCs w:val="21"/>
          <w:highlight w:val="none"/>
          <w:lang w:val="en-US" w:eastAsia="zh-CN"/>
        </w:rPr>
        <w:t>8</w:t>
      </w:r>
      <w:r>
        <w:rPr>
          <w:rFonts w:hint="eastAsia" w:ascii="宋体" w:hAnsi="宋体" w:eastAsia="宋体" w:cs="宋体"/>
          <w:b/>
          <w:bCs w:val="0"/>
          <w:color w:val="auto"/>
          <w:szCs w:val="21"/>
          <w:highlight w:val="none"/>
          <w:lang w:val="en-US" w:eastAsia="zh-CN"/>
        </w:rPr>
        <w:t>）投标人</w:t>
      </w:r>
      <w:r>
        <w:rPr>
          <w:rFonts w:hint="eastAsia" w:ascii="宋体" w:hAnsi="宋体" w:eastAsia="宋体" w:cs="宋体"/>
          <w:b/>
          <w:bCs w:val="0"/>
          <w:color w:val="auto"/>
          <w:sz w:val="21"/>
          <w:szCs w:val="21"/>
          <w:highlight w:val="none"/>
        </w:rPr>
        <w:t>承诺响应《滁州市二次供水设备供应商综合评价管理办法》</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lang w:val="en-US" w:eastAsia="zh-CN"/>
        </w:rPr>
        <w:t>承诺函格式自拟，放入资信标文件内）</w:t>
      </w:r>
      <w:r>
        <w:rPr>
          <w:rFonts w:hint="eastAsia" w:ascii="宋体" w:hAnsi="宋体" w:eastAsia="宋体" w:cs="宋体"/>
          <w:b/>
          <w:bCs w:val="0"/>
          <w:color w:val="auto"/>
          <w:szCs w:val="21"/>
          <w:highlight w:val="none"/>
        </w:rPr>
        <w:t>。</w:t>
      </w:r>
    </w:p>
    <w:p w14:paraId="544F9C4D">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9</w:t>
      </w:r>
      <w:r>
        <w:rPr>
          <w:rFonts w:hint="eastAsia" w:ascii="宋体" w:hAnsi="宋体" w:eastAsia="宋体" w:cs="宋体"/>
          <w:b/>
          <w:color w:val="auto"/>
          <w:szCs w:val="21"/>
          <w:highlight w:val="none"/>
          <w:lang w:val="en-US" w:eastAsia="zh-CN"/>
        </w:rPr>
        <w:t>）下列技术要求中所有标★项必须完全响应，否则按无效标处理。</w:t>
      </w:r>
    </w:p>
    <w:p w14:paraId="4CBA515D">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10</w:t>
      </w:r>
      <w:r>
        <w:rPr>
          <w:rFonts w:hint="eastAsia" w:ascii="宋体" w:hAnsi="宋体" w:eastAsia="宋体" w:cs="宋体"/>
          <w:b/>
          <w:color w:val="auto"/>
          <w:szCs w:val="21"/>
          <w:highlight w:val="none"/>
          <w:lang w:val="en-US" w:eastAsia="zh-CN"/>
        </w:rPr>
        <w:t>）本章</w:t>
      </w:r>
      <w:r>
        <w:rPr>
          <w:rFonts w:hint="eastAsia" w:ascii="宋体" w:hAnsi="宋体" w:cs="宋体"/>
          <w:b/>
          <w:color w:val="auto"/>
          <w:szCs w:val="21"/>
          <w:highlight w:val="none"/>
          <w:lang w:val="en-US" w:eastAsia="zh-CN"/>
        </w:rPr>
        <w:t>中要求</w:t>
      </w:r>
      <w:r>
        <w:rPr>
          <w:rFonts w:hint="eastAsia" w:ascii="宋体" w:hAnsi="宋体" w:eastAsia="宋体" w:cs="宋体"/>
          <w:b/>
          <w:color w:val="auto"/>
          <w:szCs w:val="21"/>
          <w:highlight w:val="none"/>
          <w:lang w:val="en-US" w:eastAsia="zh-CN"/>
        </w:rPr>
        <w:t>提供的承诺函（格式自拟）及其他证明材料，均须上传至资信证明文件内，</w:t>
      </w:r>
      <w:r>
        <w:rPr>
          <w:rFonts w:hint="eastAsia" w:ascii="宋体" w:hAnsi="宋体" w:cs="宋体"/>
          <w:b/>
          <w:color w:val="auto"/>
          <w:szCs w:val="21"/>
          <w:highlight w:val="none"/>
          <w:lang w:val="en-US" w:eastAsia="zh-CN"/>
        </w:rPr>
        <w:t>没有</w:t>
      </w:r>
      <w:r>
        <w:rPr>
          <w:rFonts w:hint="eastAsia" w:ascii="宋体" w:hAnsi="宋体" w:eastAsia="宋体" w:cs="宋体"/>
          <w:b/>
          <w:color w:val="auto"/>
          <w:szCs w:val="21"/>
          <w:highlight w:val="none"/>
          <w:lang w:val="en-US" w:eastAsia="zh-CN"/>
        </w:rPr>
        <w:t>按要求提供的按无效标处理。</w:t>
      </w:r>
    </w:p>
    <w:p w14:paraId="4D2F17A8">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11</w:t>
      </w:r>
      <w:r>
        <w:rPr>
          <w:rFonts w:hint="eastAsia" w:ascii="宋体" w:hAnsi="宋体" w:eastAsia="宋体" w:cs="宋体"/>
          <w:b/>
          <w:color w:val="auto"/>
          <w:szCs w:val="21"/>
          <w:highlight w:val="none"/>
        </w:rPr>
        <w:t>）本文件中提及的国家、省、市相关规范、标准与现行最新规范、标准不一致的，按最新规范、标准执行。</w:t>
      </w:r>
    </w:p>
    <w:p w14:paraId="605E1C6C">
      <w:pPr>
        <w:keepNext w:val="0"/>
        <w:keepLines w:val="0"/>
        <w:pageBreakBefore w:val="0"/>
        <w:kinsoku/>
        <w:wordWrap/>
        <w:overflowPunct/>
        <w:topLinePunct w:val="0"/>
        <w:autoSpaceDE/>
        <w:autoSpaceDN/>
        <w:bidi w:val="0"/>
        <w:adjustRightInd/>
        <w:spacing w:line="50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w:t>
      </w:r>
      <w:r>
        <w:rPr>
          <w:rFonts w:hint="eastAsia" w:ascii="宋体" w:hAnsi="宋体" w:eastAsia="宋体" w:cs="宋体"/>
          <w:color w:val="auto"/>
          <w:szCs w:val="21"/>
          <w:highlight w:val="none"/>
        </w:rPr>
        <w:t>参考设备规格型号（制定投标技术方案参考设备），投标人根据参考设备配置成套系统设备和元件，制定成套设备供货方案，投标技术方案中必须注明成套系统中各种设备数量、型号、品牌、技术参数、材质等。本次招标供应商以二次供水泵房设计方案是水箱+变频加压成套设备为主，在今后实际备案、供货时中标供应商应严格按照投标技术方案选择的设备供货或品质不低于投标文件所选的品牌，并须经招标人审核认可。</w:t>
      </w:r>
    </w:p>
    <w:p w14:paraId="6EF92246">
      <w:pPr>
        <w:keepNext w:val="0"/>
        <w:keepLines w:val="0"/>
        <w:pageBreakBefore w:val="0"/>
        <w:kinsoku/>
        <w:wordWrap/>
        <w:overflowPunct/>
        <w:topLinePunct w:val="0"/>
        <w:autoSpaceDE/>
        <w:autoSpaceDN/>
        <w:bidi w:val="0"/>
        <w:adjustRightInd/>
        <w:spacing w:line="500" w:lineRule="exact"/>
        <w:ind w:left="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注：1、配置方案须为唯一的，如出现多种方案或有选择性的方案，按无效标处理。</w:t>
      </w:r>
    </w:p>
    <w:p w14:paraId="7464B4A6">
      <w:pPr>
        <w:keepNext w:val="0"/>
        <w:keepLines w:val="0"/>
        <w:pageBreakBefore w:val="0"/>
        <w:kinsoku/>
        <w:wordWrap/>
        <w:overflowPunct/>
        <w:topLinePunct w:val="0"/>
        <w:autoSpaceDE/>
        <w:autoSpaceDN/>
        <w:bidi w:val="0"/>
        <w:adjustRightInd/>
        <w:spacing w:line="50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color w:val="auto"/>
          <w:szCs w:val="21"/>
          <w:highlight w:val="none"/>
        </w:rPr>
        <w:t>定点期内，在实际的供货中，如二次供水泵房设计方案是水箱+变频加压方式等情况，除成套设备的参数性能、品牌等严格参照二次供水变频管网叠压（或无负压）供水成套设备定点供应商的标准外，水箱及附属设施、电动调节阀也必须由定点供应商供货，并且质量也由供应商负责（如供应商没有直接生产水箱能力的，也可以通过外协方式来完成），具体要求参照投标文件水箱部分要求。</w:t>
      </w:r>
    </w:p>
    <w:p w14:paraId="5FD4FCA0">
      <w:pPr>
        <w:keepNext w:val="0"/>
        <w:keepLines w:val="0"/>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定点供应商在投标时，要严格按照招标文件要求投标，投标时按水箱+变频加压成套设备模拟配置，包括水泵机组一套（3台，两用一备）、气压罐、变频控制柜、低压元件、控制系统、管道配件及控制阀门等设备。另外双电源配电柜、流量计及泵房线缆也在此次配置范围内。</w:t>
      </w:r>
    </w:p>
    <w:p w14:paraId="3EB4631E">
      <w:pPr>
        <w:keepNext w:val="0"/>
        <w:keepLines w:val="0"/>
        <w:pageBreakBefore w:val="0"/>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1、相关资料</w:t>
      </w:r>
    </w:p>
    <w:p w14:paraId="7236612D">
      <w:pPr>
        <w:keepNext w:val="0"/>
        <w:keepLines w:val="0"/>
        <w:pageBreakBefore w:val="0"/>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（1）具有</w:t>
      </w:r>
      <w:bookmarkStart w:id="86" w:name="OLE_LINK8"/>
      <w:r>
        <w:rPr>
          <w:rFonts w:hint="eastAsia" w:ascii="宋体" w:hAnsi="宋体" w:eastAsia="宋体" w:cs="宋体"/>
          <w:b/>
          <w:color w:val="auto"/>
          <w:szCs w:val="21"/>
          <w:highlight w:val="none"/>
        </w:rPr>
        <w:t>成套设备水质检测报告书</w:t>
      </w:r>
      <w:bookmarkEnd w:id="86"/>
      <w:r>
        <w:rPr>
          <w:rFonts w:hint="eastAsia" w:ascii="宋体" w:hAnsi="宋体" w:eastAsia="宋体" w:cs="宋体"/>
          <w:b/>
          <w:color w:val="auto"/>
          <w:szCs w:val="21"/>
          <w:highlight w:val="none"/>
        </w:rPr>
        <w:t>（具备CMA第三方机构出具）、成套设备质量检测报告书（具备CMA第三方机构出具）、配套气压罐厂家生产许可证及配套不锈钢板材厂家的</w:t>
      </w:r>
      <w:r>
        <w:rPr>
          <w:rFonts w:hint="eastAsia" w:ascii="宋体" w:hAnsi="宋体" w:eastAsia="宋体" w:cs="宋体"/>
          <w:b/>
          <w:color w:val="auto"/>
          <w:szCs w:val="21"/>
          <w:highlight w:val="none"/>
          <w:lang w:val="zh-CN"/>
        </w:rPr>
        <w:t>市级</w:t>
      </w:r>
      <w:r>
        <w:rPr>
          <w:rFonts w:hint="eastAsia" w:ascii="宋体" w:hAnsi="宋体" w:eastAsia="宋体" w:cs="宋体"/>
          <w:b/>
          <w:color w:val="auto"/>
          <w:szCs w:val="21"/>
          <w:highlight w:val="none"/>
        </w:rPr>
        <w:t>或</w:t>
      </w:r>
      <w:r>
        <w:rPr>
          <w:rFonts w:hint="eastAsia" w:ascii="宋体" w:hAnsi="宋体" w:eastAsia="宋体" w:cs="宋体"/>
          <w:b/>
          <w:color w:val="auto"/>
          <w:szCs w:val="21"/>
          <w:highlight w:val="none"/>
          <w:lang w:val="zh-CN"/>
        </w:rPr>
        <w:t>以上质检部门的检测报告</w:t>
      </w:r>
      <w:r>
        <w:rPr>
          <w:rFonts w:hint="eastAsia" w:ascii="宋体" w:hAnsi="宋体" w:eastAsia="宋体" w:cs="宋体"/>
          <w:b/>
          <w:color w:val="auto"/>
          <w:szCs w:val="21"/>
          <w:highlight w:val="none"/>
        </w:rPr>
        <w:t>。</w:t>
      </w:r>
    </w:p>
    <w:p w14:paraId="56692EED">
      <w:pPr>
        <w:keepNext w:val="0"/>
        <w:keepLines w:val="0"/>
        <w:pageBreakBefore w:val="0"/>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注：投标文件中须提供上述</w:t>
      </w:r>
      <w:r>
        <w:rPr>
          <w:rFonts w:hint="eastAsia" w:ascii="宋体" w:hAnsi="宋体" w:eastAsia="宋体" w:cs="宋体"/>
          <w:b/>
          <w:color w:val="auto"/>
          <w:szCs w:val="21"/>
          <w:highlight w:val="none"/>
          <w:lang w:val="en-US" w:eastAsia="zh-CN"/>
        </w:rPr>
        <w:t>对应材料</w:t>
      </w:r>
      <w:r>
        <w:rPr>
          <w:rFonts w:hint="eastAsia" w:ascii="宋体" w:hAnsi="宋体" w:eastAsia="宋体" w:cs="宋体"/>
          <w:b/>
          <w:color w:val="auto"/>
          <w:szCs w:val="21"/>
          <w:highlight w:val="none"/>
        </w:rPr>
        <w:t>扫描件，否则按无效投标处理。</w:t>
      </w:r>
    </w:p>
    <w:p w14:paraId="608C8DBB">
      <w:pPr>
        <w:keepNext w:val="0"/>
        <w:keepLines w:val="0"/>
        <w:pageBreakBefore w:val="0"/>
        <w:numPr>
          <w:ilvl w:val="0"/>
          <w:numId w:val="9"/>
        </w:numPr>
        <w:kinsoku/>
        <w:wordWrap/>
        <w:overflowPunct/>
        <w:topLinePunct w:val="0"/>
        <w:autoSpaceDE/>
        <w:autoSpaceDN/>
        <w:bidi w:val="0"/>
        <w:adjustRightInd/>
        <w:spacing w:line="500" w:lineRule="exact"/>
        <w:ind w:left="180" w:firstLine="24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本次招标产品成套变频给水设备、成套叠压（无负压）给水设备产品生产质量执行下列最新标准：</w:t>
      </w:r>
    </w:p>
    <w:p w14:paraId="6ED33414">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《无负压管网增压稳流给水设备》GB/T26003</w:t>
      </w:r>
    </w:p>
    <w:p w14:paraId="46D917A4">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《罐式叠压给水设备》GB/T24912</w:t>
      </w:r>
    </w:p>
    <w:p w14:paraId="0A496A9B">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《箱式叠压给水设备》GB/T24603</w:t>
      </w:r>
    </w:p>
    <w:p w14:paraId="6DFF8BB7">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《离心泵技术条件（III 类）》GB/T5657</w:t>
      </w:r>
    </w:p>
    <w:p w14:paraId="3A6038B5">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《水泵流量的测定方法》GB/T3214</w:t>
      </w:r>
    </w:p>
    <w:p w14:paraId="677404D5">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《压力容器》GB</w:t>
      </w:r>
      <w:r>
        <w:rPr>
          <w:rFonts w:hint="eastAsia" w:ascii="宋体" w:hAnsi="宋体" w:cs="宋体"/>
          <w:color w:val="auto"/>
          <w:szCs w:val="21"/>
          <w:highlight w:val="none"/>
          <w:lang w:val="en-US" w:eastAsia="zh-CN"/>
        </w:rPr>
        <w:t>/T</w:t>
      </w:r>
      <w:r>
        <w:rPr>
          <w:rFonts w:hint="eastAsia" w:ascii="宋体" w:hAnsi="宋体" w:eastAsia="宋体" w:cs="宋体"/>
          <w:color w:val="auto"/>
          <w:szCs w:val="21"/>
          <w:highlight w:val="none"/>
        </w:rPr>
        <w:t>150</w:t>
      </w:r>
    </w:p>
    <w:p w14:paraId="32164276">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《旋转电机定额和性能》GB</w:t>
      </w:r>
      <w:r>
        <w:rPr>
          <w:rFonts w:hint="eastAsia" w:ascii="宋体" w:hAnsi="宋体" w:eastAsia="宋体" w:cs="宋体"/>
          <w:color w:val="auto"/>
          <w:szCs w:val="21"/>
          <w:highlight w:val="none"/>
          <w:lang w:val="en-US" w:eastAsia="zh-CN"/>
        </w:rPr>
        <w:t>/T</w:t>
      </w:r>
      <w:r>
        <w:rPr>
          <w:rFonts w:hint="eastAsia" w:ascii="宋体" w:hAnsi="宋体" w:eastAsia="宋体" w:cs="宋体"/>
          <w:color w:val="auto"/>
          <w:szCs w:val="21"/>
          <w:highlight w:val="none"/>
        </w:rPr>
        <w:t>755</w:t>
      </w:r>
    </w:p>
    <w:p w14:paraId="0D604231">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《电气控制设备》GB/T3797</w:t>
      </w:r>
    </w:p>
    <w:p w14:paraId="5906E4E6">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《外壳防护等级》GB4208</w:t>
      </w:r>
    </w:p>
    <w:p w14:paraId="16C442D1">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流体输送用不锈钢焊接钢管》GB/T12771最新标准，其他配件执行相应国家最新标准要求；产品卫生性能须符合《生活饮用水输配水设备及防护材料的安全性评价标准》GB/T17219最新标准要求；以及招标人（甲方）的安防系统、控制系统等细化设计标准。</w:t>
      </w:r>
    </w:p>
    <w:p w14:paraId="4C230178">
      <w:pPr>
        <w:keepNext w:val="0"/>
        <w:keepLines w:val="0"/>
        <w:pageBreakBefore w:val="0"/>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2、水泵机组</w:t>
      </w:r>
    </w:p>
    <w:p w14:paraId="377A0969">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（1）离心水泵：系统要求：单台设计流量18m</w:t>
      </w:r>
      <w:r>
        <w:rPr>
          <w:rFonts w:hint="eastAsia" w:ascii="宋体" w:hAnsi="宋体" w:eastAsia="宋体" w:cs="宋体"/>
          <w:color w:val="auto"/>
          <w:szCs w:val="21"/>
          <w:highlight w:val="none"/>
          <w:vertAlign w:val="superscript"/>
        </w:rPr>
        <w:t>3</w:t>
      </w:r>
      <w:r>
        <w:rPr>
          <w:rFonts w:hint="eastAsia" w:ascii="宋体" w:hAnsi="宋体" w:eastAsia="宋体" w:cs="宋体"/>
          <w:color w:val="auto"/>
          <w:szCs w:val="21"/>
          <w:highlight w:val="none"/>
        </w:rPr>
        <w:t>/h，单台设计扬程 60m、90m、120m，</w:t>
      </w:r>
      <w:r>
        <w:rPr>
          <w:rFonts w:hint="eastAsia" w:ascii="宋体" w:hAnsi="宋体" w:eastAsia="宋体" w:cs="宋体"/>
          <w:b/>
          <w:color w:val="auto"/>
          <w:szCs w:val="21"/>
          <w:highlight w:val="none"/>
        </w:rPr>
        <w:t>投标人须在投标文件中明确注明水泵品牌及型号</w:t>
      </w:r>
      <w:r>
        <w:rPr>
          <w:rFonts w:hint="eastAsia" w:ascii="宋体" w:hAnsi="宋体" w:eastAsia="宋体" w:cs="宋体"/>
          <w:color w:val="auto"/>
          <w:szCs w:val="21"/>
          <w:highlight w:val="none"/>
        </w:rPr>
        <w:t>。</w:t>
      </w:r>
    </w:p>
    <w:p w14:paraId="17FEF8DA">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（2）投标人所投水泵产品应通过节能认证；各扬程点</w:t>
      </w:r>
      <w:r>
        <w:rPr>
          <w:rFonts w:hint="eastAsia" w:ascii="宋体" w:hAnsi="宋体" w:eastAsia="宋体" w:cs="宋体"/>
          <w:b/>
          <w:color w:val="auto"/>
          <w:szCs w:val="21"/>
          <w:highlight w:val="none"/>
        </w:rPr>
        <w:t>水泵效率</w:t>
      </w:r>
      <w:r>
        <w:rPr>
          <w:rFonts w:hint="eastAsia" w:ascii="宋体" w:hAnsi="宋体" w:eastAsia="宋体" w:cs="宋体"/>
          <w:b/>
          <w:color w:val="auto"/>
          <w:szCs w:val="21"/>
          <w:highlight w:val="none"/>
          <w:lang w:val="en-US" w:eastAsia="zh-CN"/>
        </w:rPr>
        <w:t>不小于</w:t>
      </w:r>
      <w:r>
        <w:rPr>
          <w:rFonts w:hint="eastAsia" w:ascii="宋体" w:hAnsi="宋体" w:eastAsia="宋体" w:cs="宋体"/>
          <w:b/>
          <w:color w:val="auto"/>
          <w:szCs w:val="21"/>
          <w:highlight w:val="none"/>
        </w:rPr>
        <w:t>70%，</w:t>
      </w:r>
      <w:r>
        <w:rPr>
          <w:rFonts w:hint="eastAsia" w:ascii="宋体" w:hAnsi="宋体" w:eastAsia="宋体" w:cs="宋体"/>
          <w:color w:val="auto"/>
          <w:szCs w:val="21"/>
          <w:highlight w:val="none"/>
        </w:rPr>
        <w:t>且须在投标文件中明确所提供型号的泵在各点的效率值；水泵效率符合现行标准《清水离心泵能效限定值及节能评价值》GB19762规定的节能评价值标准。</w:t>
      </w:r>
      <w:r>
        <w:rPr>
          <w:rFonts w:hint="eastAsia" w:ascii="宋体" w:hAnsi="宋体" w:eastAsia="宋体" w:cs="宋体"/>
          <w:b/>
          <w:bCs/>
          <w:color w:val="auto"/>
          <w:szCs w:val="21"/>
          <w:highlight w:val="none"/>
        </w:rPr>
        <w:t>考虑到效能，水泵推荐品牌：赛莱默(Xylem)、格兰富(grundfos)、威乐（wilo）。</w:t>
      </w:r>
      <w:r>
        <w:rPr>
          <w:rFonts w:hint="eastAsia" w:ascii="宋体" w:hAnsi="宋体" w:eastAsia="宋体" w:cs="宋体"/>
          <w:color w:val="auto"/>
          <w:szCs w:val="21"/>
          <w:highlight w:val="none"/>
        </w:rPr>
        <w:t>（3）材质及加工工艺：水泵腔体、叶轮、外筒等</w:t>
      </w:r>
      <w:r>
        <w:rPr>
          <w:rFonts w:hint="eastAsia" w:ascii="宋体" w:hAnsi="宋体" w:eastAsia="宋体" w:cs="宋体"/>
          <w:color w:val="auto"/>
          <w:szCs w:val="21"/>
          <w:highlight w:val="none"/>
          <w:lang w:val="en-US" w:eastAsia="zh-CN"/>
        </w:rPr>
        <w:t>所有</w:t>
      </w:r>
      <w:r>
        <w:rPr>
          <w:rFonts w:hint="eastAsia" w:ascii="宋体" w:hAnsi="宋体" w:eastAsia="宋体" w:cs="宋体"/>
          <w:color w:val="auto"/>
          <w:szCs w:val="21"/>
          <w:highlight w:val="none"/>
        </w:rPr>
        <w:t>过水部件采用食品级304（06Cr19Ni10）不锈钢材质</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水泵进、出水接口采用圆形法兰连接。</w:t>
      </w:r>
      <w:r>
        <w:rPr>
          <w:rFonts w:hint="eastAsia" w:ascii="宋体" w:hAnsi="宋体" w:eastAsia="宋体" w:cs="宋体"/>
          <w:b/>
          <w:color w:val="auto"/>
          <w:szCs w:val="21"/>
          <w:highlight w:val="none"/>
        </w:rPr>
        <w:t>水泵叶轮采用激光一次性整体焊接。</w:t>
      </w:r>
    </w:p>
    <w:p w14:paraId="08579530">
      <w:pPr>
        <w:keepNext w:val="0"/>
        <w:keepLines w:val="0"/>
        <w:pageBreakBefore w:val="0"/>
        <w:kinsoku/>
        <w:wordWrap/>
        <w:overflowPunct/>
        <w:topLinePunct w:val="0"/>
        <w:autoSpaceDE/>
        <w:autoSpaceDN/>
        <w:bidi w:val="0"/>
        <w:adjustRightInd/>
        <w:spacing w:line="5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（4）二次供水设施选用的水泵噪声应符合现行标准《泵的噪声测量与评价方法》JB/T 8098中的B级或以上要求；</w:t>
      </w:r>
      <w:r>
        <w:rPr>
          <w:rFonts w:hint="eastAsia" w:ascii="宋体" w:hAnsi="宋体" w:eastAsia="宋体" w:cs="宋体"/>
          <w:color w:val="auto"/>
          <w:spacing w:val="2"/>
          <w:highlight w:val="none"/>
        </w:rPr>
        <w:t>水泵振动应符合现行标准《泵的振动测</w:t>
      </w:r>
      <w:r>
        <w:rPr>
          <w:rFonts w:hint="eastAsia" w:ascii="宋体" w:hAnsi="宋体" w:eastAsia="宋体" w:cs="宋体"/>
          <w:color w:val="auto"/>
          <w:spacing w:val="1"/>
          <w:highlight w:val="none"/>
        </w:rPr>
        <w:t>量与评价</w:t>
      </w:r>
      <w:r>
        <w:rPr>
          <w:rFonts w:hint="eastAsia" w:ascii="宋体" w:hAnsi="宋体" w:eastAsia="宋体" w:cs="宋体"/>
          <w:color w:val="auto"/>
          <w:spacing w:val="-1"/>
          <w:highlight w:val="none"/>
        </w:rPr>
        <w:t>方法》GB/T 29531 最新标准中的</w:t>
      </w:r>
      <w:r>
        <w:rPr>
          <w:rFonts w:hint="eastAsia" w:ascii="宋体" w:hAnsi="宋体" w:eastAsia="宋体" w:cs="宋体"/>
          <w:color w:val="auto"/>
          <w:spacing w:val="-44"/>
          <w:highlight w:val="none"/>
        </w:rPr>
        <w:t xml:space="preserve"> </w:t>
      </w:r>
      <w:r>
        <w:rPr>
          <w:rFonts w:hint="eastAsia" w:ascii="宋体" w:hAnsi="宋体" w:eastAsia="宋体" w:cs="宋体"/>
          <w:color w:val="auto"/>
          <w:spacing w:val="-1"/>
          <w:highlight w:val="none"/>
        </w:rPr>
        <w:t>B 级或以上要求。</w:t>
      </w:r>
    </w:p>
    <w:p w14:paraId="693B98C8">
      <w:pPr>
        <w:keepNext w:val="0"/>
        <w:keepLines w:val="0"/>
        <w:pageBreakBefore w:val="0"/>
        <w:kinsoku/>
        <w:wordWrap/>
        <w:overflowPunct/>
        <w:topLinePunct w:val="0"/>
        <w:autoSpaceDE/>
        <w:autoSpaceDN/>
        <w:bidi w:val="0"/>
        <w:adjustRightInd/>
        <w:spacing w:line="5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（5）水泵机组的吸水管、出水管设置软接头等减振装置。橡胶软连接符合《环境保护产品技术要求  可曲挠橡胶接头》HJ/T 391的规定，采用法兰与管道连接；其</w:t>
      </w:r>
      <w:r>
        <w:rPr>
          <w:rFonts w:hint="eastAsia" w:ascii="宋体" w:hAnsi="宋体" w:eastAsia="宋体" w:cs="宋体"/>
          <w:color w:val="auto"/>
          <w:szCs w:val="21"/>
          <w:highlight w:val="none"/>
          <w:shd w:val="clear" w:color="auto" w:fill="FFFFFF"/>
        </w:rPr>
        <w:t>工作压力等级根据实际选用</w:t>
      </w:r>
      <w:r>
        <w:rPr>
          <w:rFonts w:hint="eastAsia" w:ascii="宋体" w:hAnsi="宋体" w:eastAsia="宋体" w:cs="宋体"/>
          <w:color w:val="auto"/>
          <w:szCs w:val="21"/>
          <w:highlight w:val="none"/>
        </w:rPr>
        <w:t>。水泵机组应设置橡胶隔振垫，橡胶隔震垫应符合《仪器、设备用橡胶隔震垫》GB/T 20029的规定。</w:t>
      </w:r>
    </w:p>
    <w:p w14:paraId="0C84F920">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（6）成套设备基座采用不低于热浸镀锌、涂塑、304不锈钢板包面等防腐措施，且必须符合国家相关标准。成套设备基座与水泵铸造基板物理隔离。成套设备使用的螺栓、螺钉和螺母等紧固件应采用不锈钢材质。</w:t>
      </w:r>
    </w:p>
    <w:p w14:paraId="79195ED2">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（7）水泵安装应符合现行国家标准《压缩机、风机、泵安装工程施工及验收规范》GB50275的规定。</w:t>
      </w:r>
    </w:p>
    <w:p w14:paraId="246FC785">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3、配套电机：（单泵流量控制）</w:t>
      </w:r>
    </w:p>
    <w:p w14:paraId="1CC7D6F9">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（1）电机基本参数 </w:t>
      </w:r>
    </w:p>
    <w:p w14:paraId="6F60627A">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 380V/50Hz</w:t>
      </w:r>
    </w:p>
    <w:p w14:paraId="347ED55D">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效率 二级能效及以上</w:t>
      </w:r>
    </w:p>
    <w:p w14:paraId="4231C10F">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额定转速 6 级电机≤980r/min；4 级电机≤1480r/min；2 级电机≤2950r/min</w:t>
      </w:r>
    </w:p>
    <w:p w14:paraId="2AA58205">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绝缘等级 F 级及以上</w:t>
      </w:r>
    </w:p>
    <w:p w14:paraId="31AFF3CA">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 IP55</w:t>
      </w:r>
    </w:p>
    <w:p w14:paraId="081CA462">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电气标准 IEC</w:t>
      </w:r>
    </w:p>
    <w:p w14:paraId="4BB9C93E">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（2）每台水泵配一台电机，功率与水泵配套，转速与水泵配套；电机冷却方式为风冷；电机运行方式为 S1（工作状态 24 小时连续运行）。</w:t>
      </w:r>
    </w:p>
    <w:p w14:paraId="26CAD733">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（3）水泵电动机能效不低于现行标准《中小型三相异步电动机能效限定值及节能评价值》GB18613-2020二级要求。</w:t>
      </w:r>
      <w:r>
        <w:rPr>
          <w:rFonts w:hint="eastAsia" w:ascii="宋体" w:hAnsi="宋体" w:eastAsia="宋体" w:cs="宋体"/>
          <w:b/>
          <w:bCs/>
          <w:color w:val="auto"/>
          <w:szCs w:val="21"/>
          <w:highlight w:val="none"/>
        </w:rPr>
        <w:t>投标文件中须提供第三方检测机构出具的能源效率检测报告扫描件（检测报告封面须具有 CMA 或 CNAS 标志），在中国能效标识网备案可查，且需有中国能效标识标签。</w:t>
      </w:r>
      <w:r>
        <w:rPr>
          <w:rFonts w:hint="eastAsia" w:ascii="宋体" w:hAnsi="宋体" w:eastAsia="宋体" w:cs="宋体"/>
          <w:b/>
          <w:bCs/>
          <w:color w:val="auto"/>
          <w:szCs w:val="21"/>
          <w:highlight w:val="none"/>
          <w:lang w:val="en-US" w:eastAsia="zh-CN"/>
        </w:rPr>
        <w:t>否则按无效标处理。</w:t>
      </w:r>
      <w:r>
        <w:rPr>
          <w:rFonts w:hint="eastAsia" w:ascii="宋体" w:hAnsi="宋体" w:eastAsia="宋体" w:cs="宋体"/>
          <w:b/>
          <w:bCs/>
          <w:color w:val="auto"/>
          <w:szCs w:val="21"/>
          <w:highlight w:val="none"/>
        </w:rPr>
        <w:t xml:space="preserve"> </w:t>
      </w:r>
    </w:p>
    <w:p w14:paraId="2C999C25">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（4）电机外壳采取烤漆工艺，电机应做减振处理，应有可靠的接地，应标注电机的旋转方向。</w:t>
      </w:r>
    </w:p>
    <w:p w14:paraId="7F3B3AC1">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综合考虑以上因素，</w:t>
      </w:r>
      <w:r>
        <w:rPr>
          <w:rFonts w:hint="eastAsia" w:ascii="宋体" w:hAnsi="宋体" w:eastAsia="宋体" w:cs="宋体"/>
          <w:b/>
          <w:bCs/>
          <w:color w:val="auto"/>
          <w:szCs w:val="21"/>
          <w:highlight w:val="none"/>
        </w:rPr>
        <w:t>推荐电机品牌：ABB、</w:t>
      </w:r>
      <w:r>
        <w:rPr>
          <w:rFonts w:hint="eastAsia" w:ascii="宋体" w:hAnsi="宋体" w:eastAsia="宋体" w:cs="宋体"/>
          <w:b/>
          <w:bCs/>
          <w:color w:val="auto"/>
          <w:szCs w:val="21"/>
          <w:highlight w:val="none"/>
          <w:lang w:val="en-US" w:eastAsia="zh-CN"/>
        </w:rPr>
        <w:t>茵梦达</w:t>
      </w:r>
      <w:r>
        <w:rPr>
          <w:rFonts w:hint="eastAsia" w:ascii="宋体" w:hAnsi="宋体" w:eastAsia="宋体" w:cs="宋体"/>
          <w:b/>
          <w:bCs/>
          <w:color w:val="auto"/>
          <w:szCs w:val="21"/>
          <w:highlight w:val="none"/>
        </w:rPr>
        <w:t>、万高（WEG）</w:t>
      </w:r>
      <w:r>
        <w:rPr>
          <w:rFonts w:hint="eastAsia" w:ascii="宋体" w:hAnsi="宋体" w:eastAsia="宋体" w:cs="宋体"/>
          <w:b/>
          <w:bCs/>
          <w:color w:val="auto"/>
          <w:szCs w:val="21"/>
          <w:highlight w:val="none"/>
          <w:lang w:val="en-US" w:eastAsia="zh-CN"/>
        </w:rPr>
        <w:t>或水泵同品牌电机</w:t>
      </w:r>
      <w:r>
        <w:rPr>
          <w:rFonts w:hint="eastAsia" w:ascii="宋体" w:hAnsi="宋体" w:eastAsia="宋体" w:cs="宋体"/>
          <w:b/>
          <w:bCs/>
          <w:color w:val="auto"/>
          <w:szCs w:val="21"/>
          <w:highlight w:val="none"/>
        </w:rPr>
        <w:t>，投标人必须在投标文件中明确说明所选品牌。</w:t>
      </w:r>
    </w:p>
    <w:p w14:paraId="5D88044C">
      <w:pPr>
        <w:keepNext w:val="0"/>
        <w:keepLines w:val="0"/>
        <w:pageBreakBefore w:val="0"/>
        <w:numPr>
          <w:ilvl w:val="0"/>
          <w:numId w:val="10"/>
        </w:numPr>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机组管路及配件、稳流补偿器、气压罐 ：</w:t>
      </w:r>
    </w:p>
    <w:p w14:paraId="34906DF2">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叠压（无负压）给水设备配置：稳流补偿器出水口至水泵进水总管应配置蝶阀；水泵进水总管至水泵进水口段应配置：蝶阀、橡胶软连接、偏心异径管;水泵出水口至出水总管段应配置：异径管、弯头、压力表、橡胶软连接、消声止回阀、闸阀。出水总管上应安装压力变送器及电接点压力表及取水阀门；进水管路应配置压力变送器，下部应配置液位开关及排水阀门。</w:t>
      </w:r>
    </w:p>
    <w:p w14:paraId="5DDA59F4">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水箱变频给水设备按进水总管至水泵进水口应配置：蝶阀、橡胶软连接、偏心异径管；水泵出水口至出水总管应配置：异径管、弯头、压力表、橡胶软连接、止回阀、闸阀；出水总管上应安装压力变送器及电接点压力表及取水阀门。（配置紫外线消毒器可以采用不锈钢法兰式涡轮蝶阀）</w:t>
      </w:r>
    </w:p>
    <w:p w14:paraId="17946C8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阀门等配件配置材料：管道、阀门及其他配件应采用食品级304（06Cr19Ni10）或质量更高的不锈钢材质（阀门过水断面必须为食品级 304（06Cr19Ni10）不锈钢），且应符合《生活饮用水输配水设备及防护材料的安全性评价标准》GB/T 17219。管路配用的阀门等配件均应采用标准件。投标人须在投标文件中明确所投阀门品牌。管路配用的阀门等配件均应采用标准件。</w:t>
      </w:r>
    </w:p>
    <w:p w14:paraId="5ED39F4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（3）阀门连接长度、性能、材质、标志等要求：</w:t>
      </w:r>
    </w:p>
    <w:p w14:paraId="4634449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①壳体内外须应光洁、无气孔、无沙眼、无疏松等现象（经酸洗钝化处理）。</w:t>
      </w:r>
    </w:p>
    <w:p w14:paraId="4652F188">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②阀门的非金属密封材料：阀体与阀盖的密封垫片、阀杆填料等密封件须采用无毒的材料（如四氟乙烯、橡胶等），《生活饮用水输配水设备及防护材料的安全性评价标准》GB/T 17219 最新标准要求。</w:t>
      </w:r>
    </w:p>
    <w:p w14:paraId="2359A66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③阀门的铭牌标志内容应符合现行国家标准《通用阀门标志》GB/T 12220 的规定，应有：制造企业名称、产品型号、公称压力、公称尺寸、阀体材质、制造批号等内容。</w:t>
      </w:r>
    </w:p>
    <w:p w14:paraId="0DD1D26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④闸阀应符合《钢制阀门一般要求》GB/T 12224 最新标准的规定；结构长度应符合 GB/T12221最新标准的规定。</w:t>
      </w:r>
    </w:p>
    <w:p w14:paraId="70D62E86">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⑤球阀应符合《石油、石化及相关工业用的钢制球阀》GB/T 12237 最新标准的规定；</w:t>
      </w:r>
    </w:p>
    <w:p w14:paraId="69F13213">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⑥蝶阀应符合《法兰和对夹连接弹性密封蝶阀》GB/T 12238 最新标准的规定；</w:t>
      </w:r>
    </w:p>
    <w:p w14:paraId="792AAD18">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⑦消声止回阀（轴流式）应符合《轴流式止回阀》GB/T 21387 的规定，结构形式为圆盘形，结构长度为圆盘形短。</w:t>
      </w:r>
    </w:p>
    <w:p w14:paraId="0F52DA01">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⑧阀门其它未特殊说明部分，必须符合《钢制阀门一般要求》GB／T12224 最新标准的规定。</w:t>
      </w:r>
    </w:p>
    <w:p w14:paraId="61B36585">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⑨阀门的强度试验和密封试验的检验结果须符合《工业阀门压力试验》GB/T 13927 最新标准的规定。推荐品牌：</w:t>
      </w:r>
      <w:r>
        <w:rPr>
          <w:rFonts w:hint="eastAsia" w:ascii="宋体" w:hAnsi="宋体" w:eastAsia="宋体" w:cs="宋体"/>
          <w:b/>
          <w:color w:val="auto"/>
          <w:szCs w:val="21"/>
          <w:highlight w:val="none"/>
        </w:rPr>
        <w:t>中亚、良精、</w:t>
      </w:r>
      <w:r>
        <w:rPr>
          <w:rFonts w:hint="eastAsia" w:ascii="宋体" w:hAnsi="宋体" w:cs="宋体"/>
          <w:b/>
          <w:color w:val="auto"/>
          <w:szCs w:val="21"/>
          <w:highlight w:val="none"/>
          <w:lang w:val="en-US" w:eastAsia="zh-CN"/>
        </w:rPr>
        <w:t>正茂</w:t>
      </w:r>
      <w:r>
        <w:rPr>
          <w:rFonts w:hint="eastAsia" w:ascii="宋体" w:hAnsi="宋体" w:eastAsia="宋体" w:cs="宋体"/>
          <w:b/>
          <w:color w:val="auto"/>
          <w:szCs w:val="21"/>
          <w:highlight w:val="none"/>
        </w:rPr>
        <w:t>、沪工、</w:t>
      </w:r>
      <w:r>
        <w:rPr>
          <w:rFonts w:hint="eastAsia" w:ascii="宋体" w:hAnsi="宋体" w:eastAsia="宋体" w:cs="宋体"/>
          <w:b/>
          <w:color w:val="auto"/>
          <w:szCs w:val="21"/>
          <w:highlight w:val="none"/>
          <w:lang w:val="en-US" w:eastAsia="zh-CN"/>
        </w:rPr>
        <w:t>开维喜</w:t>
      </w:r>
      <w:r>
        <w:rPr>
          <w:rFonts w:hint="eastAsia" w:ascii="宋体" w:hAnsi="宋体" w:eastAsia="宋体" w:cs="宋体"/>
          <w:b/>
          <w:color w:val="auto"/>
          <w:szCs w:val="21"/>
          <w:highlight w:val="none"/>
        </w:rPr>
        <w:t>；</w:t>
      </w:r>
    </w:p>
    <w:p w14:paraId="62429823">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（4）阀门结构要求：</w:t>
      </w:r>
    </w:p>
    <w:p w14:paraId="1373008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①闸阀的结构和阀杆直径按《石油、天然气工业用螺栓连接阀盖的钢制闸阀》GB/T 12234 最新标准的规定；流道各处直径不得小于 GB/T12234 最新标准的要求。</w:t>
      </w:r>
    </w:p>
    <w:p w14:paraId="5D15A534">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③蝶阀的结构按《法兰和对夹连接弹性密封蝶阀》GB/T 12238 最新标准的规定。阀门其它未特殊说明部分，必须符合《钢制阀门一般要求》GB／T12224 最新标准要求。</w:t>
      </w:r>
    </w:p>
    <w:p w14:paraId="66550062">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（5）配套的不锈钢管及管件技术要求：</w:t>
      </w:r>
    </w:p>
    <w:p w14:paraId="451117E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①所投产品卫生标准须符合《生活饮用水输配水设备及防护材料的安全性评价标准》GB/T17219 的规定。</w:t>
      </w:r>
    </w:p>
    <w:p w14:paraId="5408BCC3">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②不锈钢管材应符合《流体输送用不锈钢焊接钢管》（GB/T12771）最新标准，不锈钢材料为食品级 S30408（06Cr19Ni10）及以上等级材料,其管壁厚度≥4mm。</w:t>
      </w:r>
      <w:r>
        <w:rPr>
          <w:rFonts w:hint="eastAsia" w:ascii="宋体" w:hAnsi="宋体" w:eastAsia="宋体" w:cs="宋体"/>
          <w:b/>
          <w:bCs/>
          <w:color w:val="auto"/>
          <w:szCs w:val="21"/>
          <w:highlight w:val="none"/>
        </w:rPr>
        <w:t>投标人须明确采用的品牌。</w:t>
      </w:r>
    </w:p>
    <w:p w14:paraId="3C6EE0F6">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③管材内外须采用酸洗钝化处理，且不锈钢管路表面处理工艺采用抛丸亚光，所有管件必须经过固溶处理，且不得采用氨分解气体保护的固溶处理，宜采用全氢气体保护或真空固溶处理。管件焊接组件须进行内外表面的气体保护焊接，防止焊缝处氧化而降低耐腐蚀性能。</w:t>
      </w:r>
      <w:r>
        <w:rPr>
          <w:rFonts w:hint="eastAsia" w:ascii="宋体" w:hAnsi="宋体" w:eastAsia="宋体" w:cs="宋体"/>
          <w:b/>
          <w:bCs/>
          <w:color w:val="auto"/>
          <w:szCs w:val="21"/>
          <w:highlight w:val="none"/>
          <w:lang w:val="zh-CN"/>
        </w:rPr>
        <w:t>推荐品牌：安凯特、共同、美亚、</w:t>
      </w:r>
      <w:r>
        <w:rPr>
          <w:rFonts w:hint="eastAsia" w:ascii="宋体" w:hAnsi="宋体" w:eastAsia="宋体" w:cs="宋体"/>
          <w:b/>
          <w:bCs/>
          <w:color w:val="auto"/>
          <w:szCs w:val="21"/>
          <w:highlight w:val="none"/>
          <w:lang w:val="en-US" w:eastAsia="zh-CN"/>
        </w:rPr>
        <w:t>康帕斯</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正康</w:t>
      </w:r>
      <w:r>
        <w:rPr>
          <w:rFonts w:hint="eastAsia" w:ascii="宋体" w:hAnsi="宋体" w:eastAsia="宋体" w:cs="宋体"/>
          <w:b/>
          <w:bCs/>
          <w:color w:val="auto"/>
          <w:szCs w:val="21"/>
          <w:highlight w:val="none"/>
          <w:lang w:val="zh-CN"/>
        </w:rPr>
        <w:t>。</w:t>
      </w:r>
    </w:p>
    <w:p w14:paraId="44C8952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④管路连接：管路焊接不允许在现场进行，应在工厂内焊接完成；应预留与现场设备连接的法兰接头。管道与设备、阀门的连接方式采用法兰连接，应最大限度地降低法兰使用的数量，法兰尺寸应 GB/T9119 系列标准。</w:t>
      </w:r>
    </w:p>
    <w:p w14:paraId="279F4CAB">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（6）稳流补偿罐板材选用食品级 S30408（06Cr19Ni10）不锈钢材质，表面处理工艺采用抛丸亚光或不低于此工艺处理，与水接触配件材质选用食品级 S30408（06Cr19Ni10）不锈钢；稳流补偿罐壁厚度≥4mm。进水口应设置在稳流补偿罐的上部，稳流补偿罐在最低点处应设置排水阀门，口径不低于 DN40。</w:t>
      </w:r>
    </w:p>
    <w:p w14:paraId="438E18B7">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（7）气压罐：采用隔膜式，材质选用食品级 304(国标)不锈钢，选用食品级橡胶，压力罐顶部设置压力表。压力表与气压罐体连接处使用紫铜缓冲管。气压罐应设置检修阀（球阀）。气压罐铭牌应注明：设计压力、容积、生产日期、制造许可证编号。气压罐与管道连接应设置检修S30408明杆闸阀。气压罐底部须设置排水阀门，口径不低DN40。</w:t>
      </w:r>
    </w:p>
    <w:p w14:paraId="49FA6B34">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rPr>
        <w:t>5、控制系统（硬件部分）：</w:t>
      </w:r>
    </w:p>
    <w:p w14:paraId="218AC2D5">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（1）低压元器件：</w:t>
      </w:r>
      <w:r>
        <w:rPr>
          <w:rFonts w:hint="eastAsia" w:ascii="宋体" w:hAnsi="宋体" w:eastAsia="宋体" w:cs="宋体"/>
          <w:color w:val="auto"/>
          <w:szCs w:val="21"/>
          <w:highlight w:val="none"/>
        </w:rPr>
        <w:t>应注明数量、品牌、型号,采用清单列表。不得少于下述数量：</w:t>
      </w:r>
      <w:r>
        <w:rPr>
          <w:rFonts w:hint="eastAsia" w:ascii="宋体" w:hAnsi="宋体" w:eastAsia="宋体" w:cs="宋体"/>
          <w:b/>
          <w:bCs/>
          <w:color w:val="auto"/>
          <w:szCs w:val="21"/>
          <w:highlight w:val="none"/>
        </w:rPr>
        <w:t>变频控制柜1台、变频器3台</w:t>
      </w:r>
      <w:r>
        <w:rPr>
          <w:rFonts w:hint="eastAsia" w:ascii="宋体" w:hAnsi="宋体" w:eastAsia="宋体" w:cs="宋体"/>
          <w:color w:val="auto"/>
          <w:szCs w:val="21"/>
          <w:highlight w:val="none"/>
        </w:rPr>
        <w:t>，空开按实际需要配置（包括总空开（带隔离功能）、变频器、流量计、电动调节阀、触摸屏、开关电源、PLC等），接触器3只（变频器与空开间设接触器，变频器不工作时，断开变频器电源）。PLC 1台，触摸屏1台，开关电源1台，缺相（相序）保护器1只。压力变送器2只、电接点压力表2只。单相电压变送器、电压表各3只、流量计（按各区出水管数量配置），电力参数检测仪表1只、10安多孔插座（两眼+三眼）1只。其它未说明部分供货商可按需要配置，所有低压元器件容量按设备负荷配置。</w:t>
      </w:r>
    </w:p>
    <w:p w14:paraId="7A4B0A3B">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（2）可编程控制器：</w:t>
      </w:r>
    </w:p>
    <w:p w14:paraId="400FF87B">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依据《滁州市市二次供水管理办法》中关于新建住宅二次供水设施应移交供水企业统一管理的规定，为加强新建居民住宅二次供水设施管理，确保二次供水成套设备安全运行，实现二次供水泵房统一平台下的远程监控。</w:t>
      </w:r>
      <w:r>
        <w:rPr>
          <w:rFonts w:hint="eastAsia" w:ascii="宋体" w:hAnsi="宋体" w:eastAsia="宋体" w:cs="宋体"/>
          <w:b/>
          <w:color w:val="auto"/>
          <w:szCs w:val="21"/>
          <w:highlight w:val="none"/>
        </w:rPr>
        <w:t>因此，可编程控制器要求</w:t>
      </w:r>
      <w:r>
        <w:rPr>
          <w:rFonts w:hint="eastAsia" w:ascii="宋体" w:hAnsi="宋体" w:eastAsia="宋体" w:cs="宋体"/>
          <w:b/>
          <w:bCs/>
          <w:color w:val="auto"/>
          <w:szCs w:val="21"/>
          <w:highlight w:val="none"/>
        </w:rPr>
        <w:t>采</w:t>
      </w:r>
      <w:r>
        <w:rPr>
          <w:rFonts w:hint="eastAsia" w:ascii="宋体" w:hAnsi="宋体" w:eastAsia="宋体" w:cs="宋体"/>
          <w:b/>
          <w:color w:val="auto"/>
          <w:szCs w:val="21"/>
          <w:highlight w:val="none"/>
        </w:rPr>
        <w:t>用</w:t>
      </w:r>
      <w:r>
        <w:rPr>
          <w:rFonts w:hint="eastAsia" w:ascii="宋体" w:hAnsi="宋体" w:eastAsia="宋体" w:cs="宋体"/>
          <w:b/>
          <w:color w:val="auto"/>
          <w:szCs w:val="21"/>
          <w:highlight w:val="none"/>
          <w:lang w:val="en-US" w:eastAsia="zh-CN"/>
        </w:rPr>
        <w:t>不低于：</w:t>
      </w:r>
      <w:r>
        <w:rPr>
          <w:rFonts w:hint="eastAsia" w:ascii="宋体" w:hAnsi="宋体" w:eastAsia="宋体" w:cs="宋体"/>
          <w:b/>
          <w:color w:val="auto"/>
          <w:szCs w:val="21"/>
          <w:highlight w:val="none"/>
        </w:rPr>
        <w:t>西门子S7-200</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SMART系列或施耐德Quantum系列、罗克韦尔MicroLogix系列其中任一系列</w:t>
      </w:r>
      <w:r>
        <w:rPr>
          <w:rFonts w:hint="eastAsia" w:ascii="宋体" w:hAnsi="宋体" w:eastAsia="宋体" w:cs="宋体"/>
          <w:b/>
          <w:bCs/>
          <w:color w:val="auto"/>
          <w:szCs w:val="21"/>
          <w:highlight w:val="none"/>
        </w:rPr>
        <w:t>控制器及配套的I/O模块。</w:t>
      </w:r>
      <w:r>
        <w:rPr>
          <w:rFonts w:hint="eastAsia" w:ascii="宋体" w:hAnsi="宋体" w:eastAsia="宋体" w:cs="宋体"/>
          <w:b/>
          <w:color w:val="auto"/>
          <w:szCs w:val="21"/>
          <w:highlight w:val="none"/>
        </w:rPr>
        <w:t>投标人必须在投标文件中明确说明所选的可编程控制器品牌。</w:t>
      </w:r>
      <w:r>
        <w:rPr>
          <w:rFonts w:hint="eastAsia" w:ascii="宋体" w:hAnsi="宋体" w:eastAsia="宋体" w:cs="宋体"/>
          <w:b/>
          <w:color w:val="auto"/>
          <w:szCs w:val="21"/>
          <w:highlight w:val="none"/>
          <w:lang w:val="en-US" w:eastAsia="zh-CN"/>
        </w:rPr>
        <w:t xml:space="preserve"> </w:t>
      </w:r>
    </w:p>
    <w:p w14:paraId="468412DC">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①可编程控制器PLC的输入/输出点数在满足招标文件技术及功能要求的基础上，应有预留量,预留量不少于4个AI点，</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个AO点，</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个DI点，</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个DO点；用户程序区容量不低于24KB，数据存储区容量不低于16KB，开关量（0/1）运算执行时间不高于0.15μs。</w:t>
      </w:r>
    </w:p>
    <w:p w14:paraId="3A3F1992">
      <w:pPr>
        <w:keepNext w:val="0"/>
        <w:keepLines w:val="0"/>
        <w:pageBreakBefore w:val="0"/>
        <w:kinsoku/>
        <w:wordWrap/>
        <w:overflowPunct/>
        <w:topLinePunct w:val="0"/>
        <w:autoSpaceDE/>
        <w:autoSpaceDN/>
        <w:bidi w:val="0"/>
        <w:adjustRightInd/>
        <w:snapToGrid w:val="0"/>
        <w:spacing w:line="500" w:lineRule="exact"/>
        <w:ind w:left="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②PLC本体集成以太网口，可实现多台PLC及HMI设备通过交换机组网。</w:t>
      </w:r>
    </w:p>
    <w:p w14:paraId="54134C0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③PLC本体自带Micro  SD卡插槽，可实现固件升级、程序传输。</w:t>
      </w:r>
    </w:p>
    <w:p w14:paraId="564B9A6C">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④为了便于集成及安装，PLC本体与模块间需插针式连接。</w:t>
      </w:r>
    </w:p>
    <w:p w14:paraId="6EF72C99">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⑤PLC本体能支持信号板扩展，从而实现精准的配置。</w:t>
      </w:r>
    </w:p>
    <w:p w14:paraId="03C21E40">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⑥每个PLC的输入/输出点数量应满足本招标文件功能及二次供水泵站远程监控通讯协议列表要求。</w:t>
      </w:r>
    </w:p>
    <w:p w14:paraId="66C3FD22">
      <w:pPr>
        <w:pStyle w:val="16"/>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⑦PLC输入：无水故障、变频故障、超压保护、相序保护、手动变频、报警确认、门禁信号、积水坑液位开关、进线三相电压、进线三相电流、进线有功电量（如采用电量变送器）、变频器工作频率、进水电动</w:t>
      </w:r>
      <w:r>
        <w:rPr>
          <w:rFonts w:hint="eastAsia" w:ascii="宋体" w:hAnsi="宋体" w:eastAsia="宋体" w:cs="宋体"/>
          <w:color w:val="auto"/>
          <w:szCs w:val="21"/>
          <w:highlight w:val="none"/>
          <w:lang w:val="en-US" w:eastAsia="zh-CN"/>
        </w:rPr>
        <w:t>阀开关状态、流量</w:t>
      </w:r>
      <w:r>
        <w:rPr>
          <w:rFonts w:hint="eastAsia" w:ascii="宋体" w:hAnsi="宋体" w:eastAsia="宋体" w:cs="宋体"/>
          <w:color w:val="auto"/>
          <w:szCs w:val="21"/>
          <w:highlight w:val="none"/>
        </w:rPr>
        <w:t>调节阀开启度、出水累计流量、出水瞬时流量、1#泵空开跳闸（随泵台数的增加而增加）、压力传感器信号、液位信号、水泵运行信号、水泵手自动信号。</w:t>
      </w:r>
    </w:p>
    <w:p w14:paraId="1346CC11">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⑧PLC输出：故障报警、无水输出、高水位输出、进水电动阀开关、照明开关1#泵停止、1#泵变频。</w:t>
      </w:r>
    </w:p>
    <w:p w14:paraId="5E9E0AC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每个PLC至少预留一个以太网接口，用于二次供水泵站远程监控，将用户指定的数据按照地址分配原则写入指定PLC存储区，详见通讯协议附件。由于所有供水分区远程监控数据是经由低区PLC通过光纤进行通讯，投标人在投标时应充分考虑各供水分区通讯接口类型及数量。</w:t>
      </w:r>
    </w:p>
    <w:p w14:paraId="6F289C9B">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每个泵房须配置网关、带通信功能的温湿度计，用于后期接入二供平台。承诺后期免费协助数据接入二次供水管理平台，并在投标文件中提供承诺函。</w:t>
      </w:r>
    </w:p>
    <w:p w14:paraId="06994575">
      <w:pPr>
        <w:keepNext w:val="0"/>
        <w:keepLines w:val="0"/>
        <w:pageBreakBefore w:val="0"/>
        <w:numPr>
          <w:ilvl w:val="0"/>
          <w:numId w:val="11"/>
        </w:numPr>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触摸屏：</w:t>
      </w:r>
    </w:p>
    <w:p w14:paraId="509FDEE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宜采用不小于10寸彩色触摸屏，屏幕显示清晰，多行数据显示，能自动黑屏屏保，和PLC通讯良好；按键需能快速、简单、准确；防护等级IP65；带USB接口。</w:t>
      </w:r>
      <w:r>
        <w:rPr>
          <w:rFonts w:hint="eastAsia" w:ascii="宋体" w:hAnsi="宋体" w:eastAsia="宋体" w:cs="宋体"/>
          <w:b/>
          <w:color w:val="auto"/>
          <w:szCs w:val="21"/>
          <w:highlight w:val="none"/>
        </w:rPr>
        <w:t>要求</w:t>
      </w:r>
      <w:r>
        <w:rPr>
          <w:rFonts w:hint="eastAsia" w:ascii="宋体" w:hAnsi="宋体" w:eastAsia="宋体" w:cs="宋体"/>
          <w:b/>
          <w:bCs/>
          <w:color w:val="auto"/>
          <w:szCs w:val="21"/>
          <w:highlight w:val="none"/>
        </w:rPr>
        <w:t>采</w:t>
      </w:r>
      <w:r>
        <w:rPr>
          <w:rFonts w:hint="eastAsia" w:ascii="宋体" w:hAnsi="宋体" w:eastAsia="宋体" w:cs="宋体"/>
          <w:b/>
          <w:color w:val="auto"/>
          <w:szCs w:val="21"/>
          <w:highlight w:val="none"/>
        </w:rPr>
        <w:t>用与PLC同一品牌产品。</w:t>
      </w:r>
    </w:p>
    <w:p w14:paraId="0E4C0EC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①显示清晰，与PLC通信良好。</w:t>
      </w:r>
    </w:p>
    <w:p w14:paraId="6FEC8622">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②显示内容：</w:t>
      </w:r>
      <w:r>
        <w:rPr>
          <w:rFonts w:hint="eastAsia" w:ascii="宋体" w:hAnsi="宋体" w:eastAsia="宋体" w:cs="宋体"/>
          <w:color w:val="auto"/>
          <w:szCs w:val="21"/>
          <w:highlight w:val="none"/>
          <w:lang w:val="en-US" w:eastAsia="zh-CN"/>
        </w:rPr>
        <w:t>电压、电流及电量数据，</w:t>
      </w:r>
      <w:r>
        <w:rPr>
          <w:rFonts w:hint="eastAsia" w:ascii="宋体" w:hAnsi="宋体" w:eastAsia="宋体" w:cs="宋体"/>
          <w:color w:val="auto"/>
          <w:szCs w:val="21"/>
          <w:highlight w:val="none"/>
        </w:rPr>
        <w:t>各台水泵的状态（变频、休息、故障），设定压力，供水压力及其波动曲线（应有最少48小时持续性供水压力曲线图），水箱的液位，电动阀的状态及开度，出口流量计瞬时流量、累计流量，错峰供水状况，可以分时段设定压力，设置参数（定时轮换、定点轮换、轮换时间、PID参数调整、水泵机组所用参数设定），故障检测、记录与分析，系统帮助与说明。设备参数设置，必须有密码保护；且用户名和密码必须统一</w:t>
      </w:r>
      <w:r>
        <w:rPr>
          <w:rFonts w:hint="eastAsia" w:ascii="宋体" w:hAnsi="宋体" w:eastAsia="宋体" w:cs="宋体"/>
          <w:b/>
          <w:color w:val="auto"/>
          <w:szCs w:val="21"/>
          <w:highlight w:val="none"/>
        </w:rPr>
        <w:t>（承诺中标后使用供水企业统一设定控制系统的账号密码）</w:t>
      </w:r>
      <w:r>
        <w:rPr>
          <w:rFonts w:hint="eastAsia" w:ascii="宋体" w:hAnsi="宋体" w:eastAsia="宋体" w:cs="宋体"/>
          <w:color w:val="auto"/>
          <w:szCs w:val="21"/>
          <w:highlight w:val="none"/>
        </w:rPr>
        <w:t>；应分别设定管理员和普通巡检人员的权限；设定参数之后，应有保存功能。</w:t>
      </w:r>
    </w:p>
    <w:p w14:paraId="08528906">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③具有自动存储功能，现场能查询以下归档数据：包括电压、电流、电量、 每台水泵状态（变频、休息、故障）、设定压力（精度为 0.01Mpa 及以上）、供水压力、水箱液位、电动阀开度、瞬时流量、累计流量及吨水电耗；每个归档数 据可存储条目不低于 10000 条,存储格式为带有 ANSI  字符集的 CSV 、RDB 、 TXT ，须至少支持 TCP/IP 、Modbus 等通讯方式。</w:t>
      </w:r>
    </w:p>
    <w:p w14:paraId="6186292A">
      <w:pPr>
        <w:keepNext w:val="0"/>
        <w:keepLines w:val="0"/>
        <w:pageBreakBefore w:val="0"/>
        <w:numPr>
          <w:ilvl w:val="0"/>
          <w:numId w:val="11"/>
        </w:numPr>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变频器：</w:t>
      </w:r>
    </w:p>
    <w:p w14:paraId="031A7C54">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采用专用型水泵控制变频器（当年主流型号），具有符合国际标准和认证(CE、UL等) 的要求，并具备多泵控制功能。为保证变频调速系统安全可靠运转，投标人提供的变频器应为国内外知名品牌产品，</w:t>
      </w:r>
      <w:r>
        <w:rPr>
          <w:rFonts w:hint="eastAsia" w:ascii="宋体" w:hAnsi="宋体" w:eastAsia="宋体" w:cs="宋体"/>
          <w:b/>
          <w:color w:val="auto"/>
          <w:szCs w:val="21"/>
          <w:highlight w:val="none"/>
        </w:rPr>
        <w:t>如西门子、AB、ABB品牌产品，投标人必须在投标文件中明确说明所选的变频器品牌。</w:t>
      </w:r>
      <w:r>
        <w:rPr>
          <w:rFonts w:hint="eastAsia" w:ascii="宋体" w:hAnsi="宋体" w:eastAsia="宋体" w:cs="宋体"/>
          <w:color w:val="auto"/>
          <w:szCs w:val="21"/>
          <w:highlight w:val="none"/>
        </w:rPr>
        <w:t>内置（或外置）电抗器、EMC滤波器，具备磁通电流控制和多点U/f控制等性能特性，对水泵具有缺相，过电压（欠电压）短路等保护。</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台变频器配置一台水泵，且能做到自动切换，备泵也按主泵配置计入。</w:t>
      </w:r>
      <w:r>
        <w:rPr>
          <w:rFonts w:hint="eastAsia" w:ascii="宋体" w:hAnsi="宋体" w:eastAsia="宋体" w:cs="宋体"/>
          <w:b/>
          <w:color w:val="auto"/>
          <w:szCs w:val="21"/>
          <w:highlight w:val="none"/>
        </w:rPr>
        <w:t>所有变频器必须设置独立断路器。（如今后在实际设计有辅泵，辅泵必须采用单独变频器）。</w:t>
      </w:r>
      <w:r>
        <w:rPr>
          <w:rFonts w:hint="eastAsia" w:ascii="宋体" w:hAnsi="宋体" w:eastAsia="宋体" w:cs="宋体"/>
          <w:color w:val="auto"/>
          <w:szCs w:val="21"/>
          <w:highlight w:val="none"/>
        </w:rPr>
        <w:t>第1台泵变频启动到额定频率，设备出口压力仍未稳定达到设定值时，变频启动第二台泵，依次类推。</w:t>
      </w:r>
      <w:r>
        <w:rPr>
          <w:rFonts w:hint="eastAsia" w:ascii="宋体" w:hAnsi="宋体" w:eastAsia="宋体" w:cs="宋体"/>
          <w:color w:val="auto"/>
          <w:szCs w:val="21"/>
          <w:highlight w:val="none"/>
          <w:lang w:val="en-US" w:eastAsia="zh-CN"/>
        </w:rPr>
        <w:t>变频器面板须为中文界面。</w:t>
      </w:r>
    </w:p>
    <w:p w14:paraId="2E9F7907">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（5）电气元件：</w:t>
      </w:r>
    </w:p>
    <w:p w14:paraId="72DDC0EE">
      <w:pPr>
        <w:keepNext w:val="0"/>
        <w:keepLines w:val="0"/>
        <w:pageBreakBefore w:val="0"/>
        <w:kinsoku/>
        <w:wordWrap/>
        <w:overflowPunct/>
        <w:topLinePunct w:val="0"/>
        <w:autoSpaceDE/>
        <w:autoSpaceDN/>
        <w:bidi w:val="0"/>
        <w:adjustRightInd/>
        <w:spacing w:line="500" w:lineRule="exact"/>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主要低压电气元件如接触器、空气开关、开关电源、相序保护装置、电力变送器等电气元件选用施耐德、ABB、西门子产品</w:t>
      </w:r>
      <w:r>
        <w:rPr>
          <w:rFonts w:hint="eastAsia" w:ascii="宋体" w:hAnsi="宋体" w:eastAsia="宋体" w:cs="宋体"/>
          <w:b/>
          <w:color w:val="auto"/>
          <w:szCs w:val="21"/>
          <w:highlight w:val="none"/>
        </w:rPr>
        <w:t>，投标人必须在投标文件中明确说明所选品牌。</w:t>
      </w:r>
      <w:r>
        <w:rPr>
          <w:rFonts w:hint="eastAsia" w:ascii="宋体" w:hAnsi="宋体" w:eastAsia="宋体" w:cs="宋体"/>
          <w:color w:val="auto"/>
          <w:szCs w:val="21"/>
          <w:highlight w:val="none"/>
        </w:rPr>
        <w:t>每台控制柜应配置总柜断路器（带隔离功能），主要用电设备（变频器、水泵、开关电源、可编程控制逻辑器PLC</w:t>
      </w:r>
      <w:r>
        <w:rPr>
          <w:rFonts w:hint="eastAsia" w:ascii="宋体" w:hAnsi="宋体" w:eastAsia="宋体" w:cs="宋体"/>
          <w:color w:val="auto"/>
          <w:szCs w:val="21"/>
          <w:highlight w:val="none"/>
          <w:lang w:eastAsia="zh-CN"/>
        </w:rPr>
        <w:t>、</w:t>
      </w:r>
      <w:r>
        <w:rPr>
          <w:rFonts w:hint="eastAsia" w:ascii="宋体" w:hAnsi="宋体" w:eastAsia="宋体" w:cs="宋体"/>
          <w:color w:val="auto"/>
          <w:spacing w:val="-2"/>
          <w:highlight w:val="none"/>
        </w:rPr>
        <w:t>流量计、电动控制阀、电动调节阀等</w:t>
      </w:r>
      <w:r>
        <w:rPr>
          <w:rFonts w:hint="eastAsia" w:ascii="宋体" w:hAnsi="宋体" w:eastAsia="宋体" w:cs="宋体"/>
          <w:color w:val="auto"/>
          <w:szCs w:val="21"/>
          <w:highlight w:val="none"/>
        </w:rPr>
        <w:t>）应独立配置断路器，另每个变频控制柜中须配备 10 安多孔插座（两眼+三眼）1 只。如没明确规定的电器元件和仪表使用不低于上述品牌同等档次的产品。所有电气元件应有标识，断路器标明控制的用电设备。</w:t>
      </w:r>
    </w:p>
    <w:p w14:paraId="5B725487">
      <w:pPr>
        <w:keepNext w:val="0"/>
        <w:keepLines w:val="0"/>
        <w:pageBreakBefore w:val="0"/>
        <w:numPr>
          <w:ilvl w:val="0"/>
          <w:numId w:val="12"/>
        </w:numPr>
        <w:kinsoku/>
        <w:wordWrap/>
        <w:overflowPunct/>
        <w:topLinePunct w:val="0"/>
        <w:autoSpaceDE/>
        <w:autoSpaceDN/>
        <w:bidi w:val="0"/>
        <w:adjustRightInd/>
        <w:spacing w:line="500" w:lineRule="exact"/>
        <w:ind w:firstLine="48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传感器及变送器：</w:t>
      </w:r>
    </w:p>
    <w:p w14:paraId="36017CC1">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①压力变送器：用于</w:t>
      </w:r>
      <w:r>
        <w:rPr>
          <w:rFonts w:hint="eastAsia" w:ascii="宋体" w:hAnsi="宋体" w:eastAsia="宋体" w:cs="宋体"/>
          <w:color w:val="auto"/>
          <w:szCs w:val="21"/>
          <w:highlight w:val="none"/>
          <w:lang w:val="en-US" w:eastAsia="zh-CN"/>
        </w:rPr>
        <w:t>进、</w:t>
      </w:r>
      <w:r>
        <w:rPr>
          <w:rFonts w:hint="eastAsia" w:ascii="宋体" w:hAnsi="宋体" w:eastAsia="宋体" w:cs="宋体"/>
          <w:color w:val="auto"/>
          <w:szCs w:val="21"/>
          <w:highlight w:val="none"/>
        </w:rPr>
        <w:t>出水总管压力测量。量程根据二次供水泵房实际工艺状况选取，输出4-20mA，</w:t>
      </w:r>
      <w:r>
        <w:rPr>
          <w:rFonts w:hint="eastAsia" w:ascii="宋体" w:hAnsi="宋体" w:eastAsia="宋体" w:cs="宋体"/>
          <w:b/>
          <w:color w:val="auto"/>
          <w:szCs w:val="21"/>
          <w:highlight w:val="none"/>
        </w:rPr>
        <w:t>压力变送器装三通旋塞，</w:t>
      </w:r>
      <w:r>
        <w:rPr>
          <w:rFonts w:hint="eastAsia" w:ascii="宋体" w:hAnsi="宋体" w:eastAsia="宋体" w:cs="宋体"/>
          <w:color w:val="auto"/>
          <w:szCs w:val="21"/>
          <w:highlight w:val="none"/>
        </w:rPr>
        <w:t>并装DN15快阀。</w:t>
      </w:r>
      <w:r>
        <w:rPr>
          <w:rFonts w:hint="eastAsia" w:ascii="宋体" w:hAnsi="宋体" w:eastAsia="宋体" w:cs="宋体"/>
          <w:b/>
          <w:color w:val="auto"/>
          <w:szCs w:val="21"/>
          <w:highlight w:val="none"/>
        </w:rPr>
        <w:t>选用HUBA、霍尼韦尔、E+h产品或不低于上述质量的品牌产品，投标人必须在投标文件中明确说明所选品牌。</w:t>
      </w:r>
    </w:p>
    <w:p w14:paraId="3D4FF037">
      <w:pPr>
        <w:pStyle w:val="17"/>
        <w:keepNext w:val="0"/>
        <w:keepLines w:val="0"/>
        <w:pageBreakBefore w:val="0"/>
        <w:kinsoku/>
        <w:wordWrap/>
        <w:overflowPunct/>
        <w:topLinePunct w:val="0"/>
        <w:autoSpaceDE/>
        <w:autoSpaceDN/>
        <w:bidi w:val="0"/>
        <w:adjustRightInd/>
        <w:spacing w:after="0" w:line="500" w:lineRule="exact"/>
        <w:ind w:left="29" w:right="52" w:firstLine="474"/>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②电接点压力表：采用耐振式电接点压力表，用于出水总管压力偏离测量，设高、低限，干节点输出</w:t>
      </w:r>
      <w:r>
        <w:rPr>
          <w:rFonts w:hint="eastAsia" w:ascii="宋体" w:hAnsi="宋体" w:eastAsia="宋体" w:cs="宋体"/>
          <w:color w:val="auto"/>
          <w:szCs w:val="21"/>
          <w:highlight w:val="none"/>
          <w:lang w:eastAsia="zh-CN"/>
        </w:rPr>
        <w:t>；</w:t>
      </w:r>
      <w:r>
        <w:rPr>
          <w:rFonts w:hint="eastAsia" w:ascii="宋体" w:hAnsi="宋体" w:eastAsia="宋体" w:cs="宋体"/>
          <w:color w:val="auto"/>
          <w:spacing w:val="-4"/>
          <w:highlight w:val="none"/>
        </w:rPr>
        <w:t>无负压式进出水均须安装。外壳防护等级不低</w:t>
      </w:r>
      <w:r>
        <w:rPr>
          <w:rFonts w:hint="eastAsia" w:ascii="宋体" w:hAnsi="宋体" w:eastAsia="宋体" w:cs="宋体"/>
          <w:color w:val="auto"/>
          <w:spacing w:val="-5"/>
          <w:highlight w:val="none"/>
        </w:rPr>
        <w:t>于</w:t>
      </w:r>
      <w:r>
        <w:rPr>
          <w:rFonts w:hint="eastAsia" w:ascii="宋体" w:hAnsi="宋体" w:eastAsia="宋体" w:cs="宋体"/>
          <w:color w:val="auto"/>
          <w:spacing w:val="-54"/>
          <w:highlight w:val="none"/>
        </w:rPr>
        <w:t xml:space="preserve"> </w:t>
      </w:r>
      <w:r>
        <w:rPr>
          <w:rFonts w:hint="eastAsia" w:ascii="宋体" w:hAnsi="宋体" w:eastAsia="宋体" w:cs="宋体"/>
          <w:color w:val="auto"/>
          <w:spacing w:val="-5"/>
          <w:highlight w:val="none"/>
        </w:rPr>
        <w:t>IP65</w:t>
      </w:r>
      <w:r>
        <w:rPr>
          <w:rFonts w:hint="eastAsia" w:ascii="宋体" w:hAnsi="宋体" w:eastAsia="宋体" w:cs="宋体"/>
          <w:color w:val="auto"/>
          <w:highlight w:val="none"/>
        </w:rPr>
        <w:t xml:space="preserve"> </w:t>
      </w:r>
      <w:r>
        <w:rPr>
          <w:rFonts w:hint="eastAsia" w:ascii="宋体" w:hAnsi="宋体" w:eastAsia="宋体" w:cs="宋体"/>
          <w:color w:val="auto"/>
          <w:spacing w:val="-3"/>
          <w:highlight w:val="none"/>
        </w:rPr>
        <w:t>（防水防尘）</w:t>
      </w:r>
      <w:r>
        <w:rPr>
          <w:rFonts w:hint="eastAsia" w:ascii="宋体" w:hAnsi="宋体" w:eastAsia="宋体" w:cs="宋体"/>
          <w:b/>
          <w:bCs/>
          <w:color w:val="auto"/>
          <w:spacing w:val="-3"/>
          <w:highlight w:val="none"/>
        </w:rPr>
        <w:t>。</w:t>
      </w:r>
    </w:p>
    <w:p w14:paraId="63ABFEC5">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③液位开关(仅水箱式)：用于检测水箱式二次供水泵房水泵停机水位，干节点输出。24V电源配置交流隔离变压器。安装位置：比水箱出水管最高点高10cm。</w:t>
      </w:r>
    </w:p>
    <w:p w14:paraId="72FD98EE">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④一体式超声波液位计(仅水箱式)：用于检测二次供水泵房水箱水位，量程0-5M，输出4--20mA，带RS485接口；外壳防护等级：IP67；测量精度0.25%，盲区≯0.25米，带液晶显示屏，显示至小数点后两位（精确到厘米）。安装必须符合仪表的安装要求，与水箱箱体以法兰连接，且应尽可能避开水箱内设施，如：人梯、拉筋等；</w:t>
      </w:r>
      <w:r>
        <w:rPr>
          <w:rFonts w:hint="eastAsia" w:ascii="宋体" w:hAnsi="宋体" w:eastAsia="宋体" w:cs="宋体"/>
          <w:color w:val="auto"/>
          <w:spacing w:val="5"/>
          <w:szCs w:val="21"/>
          <w:highlight w:val="none"/>
        </w:rPr>
        <w:t>仪表距水箱壁必须保持一定的距离；仪表的安装尽可能</w:t>
      </w:r>
      <w:r>
        <w:rPr>
          <w:rFonts w:hint="eastAsia" w:ascii="宋体" w:hAnsi="宋体" w:eastAsia="宋体" w:cs="宋体"/>
          <w:color w:val="auto"/>
          <w:spacing w:val="6"/>
          <w:szCs w:val="21"/>
          <w:highlight w:val="none"/>
        </w:rPr>
        <w:t>使换能器的发射方向与液面垂直</w:t>
      </w:r>
      <w:r>
        <w:rPr>
          <w:rFonts w:hint="eastAsia" w:ascii="宋体" w:hAnsi="宋体" w:eastAsia="宋体" w:cs="宋体"/>
          <w:color w:val="auto"/>
          <w:szCs w:val="21"/>
          <w:highlight w:val="none"/>
        </w:rPr>
        <w:t>。超声波液位计必须有可靠接地。按水箱个数配置，依次接入低区至高区</w:t>
      </w:r>
      <w:r>
        <w:rPr>
          <w:rFonts w:hint="eastAsia" w:ascii="宋体" w:hAnsi="宋体" w:eastAsia="宋体" w:cs="宋体"/>
          <w:b/>
          <w:bCs/>
          <w:color w:val="auto"/>
          <w:szCs w:val="21"/>
          <w:highlight w:val="none"/>
        </w:rPr>
        <w:t>。推荐品牌：西门子、弗莱、E+h产品品牌产品，投标人必须在投标文件中明确说明所选品牌。</w:t>
      </w:r>
    </w:p>
    <w:p w14:paraId="4524D5E2">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⑤地面积水浮球：用于检测二次供水泵房积水坑水位，干节点输出；工作电源宜采用24V以下交流电源。</w:t>
      </w:r>
    </w:p>
    <w:p w14:paraId="20C9EF6B">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⑥电力参数测量仪表：用于检测二次供水泵房各供水分区电压、电流及电量数据。</w:t>
      </w:r>
    </w:p>
    <w:p w14:paraId="759807E6">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盘面安装，LED显示3相4线，精度1.0可检测电压，电流，功率，频率，功率因数，需量，电能通讯：标准2线制RS485接口，Modbus RTU协议</w:t>
      </w:r>
    </w:p>
    <w:p w14:paraId="4000C022">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推荐品牌：施耐德、西门子、AB。(投标人所投产品参数不得低于招标文件要求。)</w:t>
      </w:r>
    </w:p>
    <w:p w14:paraId="457307F1">
      <w:pPr>
        <w:keepNext w:val="0"/>
        <w:keepLines w:val="0"/>
        <w:pageBreakBefore w:val="0"/>
        <w:widowControl/>
        <w:kinsoku/>
        <w:wordWrap/>
        <w:overflowPunct/>
        <w:topLinePunct w:val="0"/>
        <w:autoSpaceDE/>
        <w:autoSpaceDN/>
        <w:bidi w:val="0"/>
        <w:adjustRightInd/>
        <w:snapToGrid w:val="0"/>
        <w:spacing w:line="500" w:lineRule="exact"/>
        <w:ind w:firstLine="420" w:firstLineChars="200"/>
        <w:contextualSpacing/>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⑦一体型管道式电磁流量计：用于检测二次供水泵房各区出水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进水</w:t>
      </w:r>
      <w:r>
        <w:rPr>
          <w:rFonts w:hint="eastAsia" w:ascii="宋体" w:hAnsi="宋体" w:eastAsia="宋体" w:cs="宋体"/>
          <w:color w:val="auto"/>
          <w:szCs w:val="21"/>
          <w:highlight w:val="none"/>
        </w:rPr>
        <w:t>流量，外壳为不锈钢，食品级不锈钢法兰连接，食品级聚四氟乙烯或</w:t>
      </w:r>
      <w:r>
        <w:rPr>
          <w:rFonts w:hint="eastAsia" w:ascii="宋体" w:hAnsi="宋体" w:eastAsia="宋体" w:cs="宋体"/>
          <w:color w:val="auto"/>
          <w:kern w:val="0"/>
          <w:szCs w:val="21"/>
          <w:highlight w:val="none"/>
        </w:rPr>
        <w:t>氯丁橡胶</w:t>
      </w:r>
      <w:r>
        <w:rPr>
          <w:rFonts w:hint="eastAsia" w:ascii="宋体" w:hAnsi="宋体" w:eastAsia="宋体" w:cs="宋体"/>
          <w:color w:val="auto"/>
          <w:szCs w:val="21"/>
          <w:highlight w:val="none"/>
        </w:rPr>
        <w:t>衬里，哈氏合金或</w:t>
      </w:r>
      <w:r>
        <w:rPr>
          <w:rFonts w:hint="eastAsia" w:ascii="宋体" w:hAnsi="宋体" w:eastAsia="宋体" w:cs="宋体"/>
          <w:color w:val="auto"/>
          <w:kern w:val="0"/>
          <w:szCs w:val="21"/>
          <w:highlight w:val="none"/>
        </w:rPr>
        <w:t>不锈钢316L</w:t>
      </w:r>
      <w:r>
        <w:rPr>
          <w:rFonts w:hint="eastAsia" w:ascii="宋体" w:hAnsi="宋体" w:eastAsia="宋体" w:cs="宋体"/>
          <w:color w:val="auto"/>
          <w:szCs w:val="21"/>
          <w:highlight w:val="none"/>
        </w:rPr>
        <w:t>电极，电源220V，量程及压力等级根据二次供水泵房实际工艺状况选取，测量精度0.5级，重复性：±0.1%；输出：4～20mA电流信号，脉冲输出，频率可调，RS485 Modbus；传感器防护等级IP68，传感器必须单独接地，在传感器的出口和入口要安装接地环，</w:t>
      </w:r>
      <w:r>
        <w:rPr>
          <w:rFonts w:hint="eastAsia" w:ascii="宋体" w:hAnsi="宋体" w:eastAsia="宋体" w:cs="宋体"/>
          <w:color w:val="auto"/>
          <w:szCs w:val="21"/>
          <w:highlight w:val="none"/>
          <w:shd w:val="clear" w:color="auto" w:fill="FFFFFF"/>
        </w:rPr>
        <w:t>接地电阻10Ω以下</w:t>
      </w:r>
      <w:r>
        <w:rPr>
          <w:rFonts w:hint="eastAsia" w:ascii="宋体" w:hAnsi="宋体" w:eastAsia="宋体" w:cs="宋体"/>
          <w:color w:val="auto"/>
          <w:szCs w:val="21"/>
          <w:highlight w:val="none"/>
        </w:rPr>
        <w:t>。显示要求：LCD显示，可自定义计量单位，字母/数字、瞬时流量、累计流量、故障显示。</w:t>
      </w:r>
    </w:p>
    <w:p w14:paraId="5DE2F3A1">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推荐品牌：安信、肯特</w:t>
      </w:r>
      <w:r>
        <w:rPr>
          <w:rFonts w:hint="eastAsia" w:ascii="宋体" w:hAnsi="宋体" w:eastAsia="宋体" w:cs="宋体"/>
          <w:bCs/>
          <w:color w:val="auto"/>
          <w:szCs w:val="21"/>
          <w:highlight w:val="none"/>
        </w:rPr>
        <w:t>、</w:t>
      </w:r>
      <w:r>
        <w:rPr>
          <w:rFonts w:hint="eastAsia" w:ascii="宋体" w:hAnsi="宋体" w:eastAsia="宋体" w:cs="宋体"/>
          <w:b/>
          <w:bCs/>
          <w:color w:val="auto"/>
          <w:szCs w:val="21"/>
          <w:highlight w:val="none"/>
        </w:rPr>
        <w:t>锐铼、</w:t>
      </w:r>
      <w:r>
        <w:rPr>
          <w:rFonts w:hint="eastAsia" w:ascii="宋体" w:hAnsi="宋体" w:cs="宋体"/>
          <w:b/>
          <w:bCs/>
          <w:color w:val="auto"/>
          <w:szCs w:val="21"/>
          <w:highlight w:val="none"/>
          <w:lang w:val="en-US" w:eastAsia="zh-CN"/>
        </w:rPr>
        <w:t>科隆、同硕</w:t>
      </w:r>
      <w:r>
        <w:rPr>
          <w:rFonts w:hint="eastAsia" w:ascii="宋体" w:hAnsi="宋体" w:eastAsia="宋体" w:cs="宋体"/>
          <w:b/>
          <w:color w:val="auto"/>
          <w:szCs w:val="21"/>
          <w:highlight w:val="none"/>
        </w:rPr>
        <w:t>，投标人必须在投标文件中明确说明所选品牌</w:t>
      </w:r>
      <w:r>
        <w:rPr>
          <w:rFonts w:hint="eastAsia" w:ascii="宋体" w:hAnsi="宋体" w:eastAsia="宋体" w:cs="宋体"/>
          <w:b/>
          <w:bCs/>
          <w:color w:val="auto"/>
          <w:szCs w:val="21"/>
          <w:highlight w:val="none"/>
        </w:rPr>
        <w:t>。(投标人所投产品参数不得低于招标文件要求。)</w:t>
      </w:r>
    </w:p>
    <w:p w14:paraId="0DBB1AC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注1：电压电流检测是将每台控制柜进线的三相电压、电流、电量采集至PLC，采用电力仪表通讯方式进行数据采集，但信号必须进入控制系统中。</w:t>
      </w:r>
    </w:p>
    <w:p w14:paraId="78E0513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2：投标人负责安装液位开关(集水坑)并将信号接入至二次供水控制器中；由于集水坑液位开关信号为二次供水泵站公共信号，投标人在实施过程中根据现场情况将信号接入低区二次供水控制器中，并在图纸中予以说明。</w:t>
      </w:r>
    </w:p>
    <w:p w14:paraId="0764496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注3：水箱式二次供水成套设备中，用于检测水箱液位变化的液位开关及超声波液位计均需提供。</w:t>
      </w:r>
    </w:p>
    <w:p w14:paraId="2B6A804B">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注4：用于二次供水各分区出水总管压力检测的压力变送器及电接点压力表均需提供。</w:t>
      </w:r>
    </w:p>
    <w:p w14:paraId="45C2CDEC">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紫外线消毒器</w:t>
      </w:r>
      <w:r>
        <w:rPr>
          <w:rFonts w:hint="eastAsia" w:ascii="宋体" w:hAnsi="宋体" w:cs="宋体"/>
          <w:b/>
          <w:bCs/>
          <w:color w:val="auto"/>
          <w:szCs w:val="21"/>
          <w:highlight w:val="none"/>
          <w:lang w:eastAsia="zh-CN"/>
        </w:rPr>
        <w:t>：</w:t>
      </w:r>
    </w:p>
    <w:p w14:paraId="38EFCA1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a、技术标准：</w:t>
      </w:r>
    </w:p>
    <w:p w14:paraId="0D13CFDB">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应符合国家有关技术条件的规定，水泵所用材料的化学成分、机械性能及泵的噪声、振动等应符合国家有关标准或者部颁标准。</w:t>
      </w:r>
    </w:p>
    <w:p w14:paraId="6833ED1A">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GB／T 28235-2011 紫外线空气消毒器安全与卫生标准</w:t>
      </w:r>
    </w:p>
    <w:p w14:paraId="6A062644">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QB／T 1172-1999 紫外线消毒器</w:t>
      </w:r>
    </w:p>
    <w:p w14:paraId="145D4F86">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CJ/T 204-2000</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生活饮用水紫外线消毒器</w:t>
      </w:r>
    </w:p>
    <w:p w14:paraId="6D8FF52A">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GB/T 19837-2019  城市给排水紫外线消毒设备</w:t>
      </w:r>
    </w:p>
    <w:p w14:paraId="79CDB74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国标图集 14S104 二次供水消毒设备选用与安装标准</w:t>
      </w:r>
    </w:p>
    <w:p w14:paraId="113EA257">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b、技术要求：</w:t>
      </w:r>
    </w:p>
    <w:p w14:paraId="2D1270F5">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1）消毒器的设计应符合GB8988《电网电源供电的家用和类似一般用途的电子及有关设备的安全要求》要求，必须采用防紫外辐射和防腐蚀材料。</w:t>
      </w:r>
    </w:p>
    <w:p w14:paraId="350FC434">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2）灯管的布置应使受紫外线照射面上的紫外线强度分布均匀；</w:t>
      </w:r>
    </w:p>
    <w:p w14:paraId="4ED5EC5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3）同一型号消毒器的零部件应保证其互换性。</w:t>
      </w:r>
    </w:p>
    <w:p w14:paraId="5C5CE7A5">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4）消毒器受紫外线照射面应做抛光处理。</w:t>
      </w:r>
    </w:p>
    <w:p w14:paraId="6A205DF7">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5）承压简体的工作压力不应小于0.60MPa。试验压力不应小于0.90MPa。</w:t>
      </w:r>
    </w:p>
    <w:p w14:paraId="006B3E8C">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6）消毒器应设有灯管点燃指示、点燃累计时间指示或紫外线辐照强度的相对指示。</w:t>
      </w:r>
    </w:p>
    <w:p w14:paraId="76F0BD77">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7）灯管应用石英玻璃套管与水隔开，石英套管257.7mm紫外线的透过率应大于85％。</w:t>
      </w:r>
    </w:p>
    <w:p w14:paraId="0BFAAEA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8）紫外线系统内的紫外灯管和其石英护套设计为浸没在水中。紫外灯管应该与水流方向平行布置以最小化水头损失。</w:t>
      </w:r>
    </w:p>
    <w:p w14:paraId="4B735B06">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9)紫外消毒设备的筒体金属部分应采用304L不锈钢或更高材质。</w:t>
      </w:r>
    </w:p>
    <w:p w14:paraId="5F44B95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10)消毒器在额定消毒水量下工作的水头损失应小于0.005MPa。</w:t>
      </w:r>
    </w:p>
    <w:p w14:paraId="1B6225B3">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11)消毒器上应设有进出水管、泄水管、取样管。在消毒器不便安放泄水管时，也可以在与消毒器等同处的连接管路上安装；</w:t>
      </w:r>
    </w:p>
    <w:p w14:paraId="0FB9F38A">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12)消毒器选用的低压电器应符合相应产品的技术要求；</w:t>
      </w:r>
    </w:p>
    <w:p w14:paraId="411ADCDB">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13)按本标准的使用条件，在额定消毒水量下工作，出水的细菌学指标应符合GB5749《</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"https://baike.so.com/doc/5399558-5637074.html" \t "_blank"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生活饮用水卫生标准</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》要求；</w:t>
      </w:r>
    </w:p>
    <w:p w14:paraId="17D833C9">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14)消毒器材料应符合GB/T17219《生活饮用水输配水设备及防护材料的安全性评价标准》要求;</w:t>
      </w:r>
    </w:p>
    <w:p w14:paraId="15379428">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15)按本标准的使用条件，在额定消毒水量下工作，出水的细菌学指标应符合GB5749《</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"https://baike.so.com/doc/5399558-5637074.html" \t "_blank"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生活饮用水卫生标准</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》要求；</w:t>
      </w:r>
    </w:p>
    <w:p w14:paraId="2869BA17">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16）消毒器设备应符合GB/T 19837-2019 《城市给排水紫外线消毒设备》标定规定要求，</w:t>
      </w:r>
    </w:p>
    <w:p w14:paraId="1F7E63E2">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17）每台设备应在规定的位置上固定标牌，内容包括：制造厂名、设备名称、产品型号或标记、商标、制造日期或产品批号（编号）、消毒水量、电源电压、电耗、结构质量等。</w:t>
      </w:r>
    </w:p>
    <w:p w14:paraId="413C6442">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投标人所投紫外线消毒器需提供市级及以上卫生许可批件的扫描件；需提供市级及以上CMA或CNAS标志的第三方检测机构出具的检测报告的扫描件。</w:t>
      </w:r>
    </w:p>
    <w:p w14:paraId="155099FA">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⑧电动执行器：外壳防护等级IP67；电机独立转轴设计，工作电压为AC380V/50HZ;电机必须带有热敏开关作电机过热保护；电动机绝缘等级为F级。传动齿轮：电动执行器传动齿轮采用三行星齿轮传动系统，效率不小于95%。电动执行机构在开/关位置和开/关方向中设有过力矩微动开关为银触点的DPDT开关，防护等级为IP67。电动执行器能提供机械位置指示，无论手动、电动都能指示阀门的开度。电动执行器内部需要有防冷凝加热器。执行器配置手轮，附带手动离合切换装置（为保护设备和人身安全），通电状态下电机优先。在故障时通过手轮开关阀门，手轮上具有“开/关”箭头指示和文字标示。 电动时“手/自动”切换开关无需人为切换，自行转电动状态。控制器具有“现场-关-远程”转换开关。 控制面板包括“开”、“停”、“关”控制按扭，采用非侵入触摸设计。 控制面板包括开”、“停”、“关”、“电源”、“故障”指示灯。 电子控制器具有电机正反转接触器。 电子控制器内置变压器。 电子控制器主控板为微处理器CPU芯片，可改变内部控制程序来改变其设定。接收PLC系统的“4～20毫安控制信号”。提供给PLC系统信号有“开/关/故障反馈信号AC220V接点” 并带“4～20毫安信号。能与高水位报警信号联动，超过设定报警水位延时60s即关闭电动调节阀，并依次接入低区至高区控制柜。</w:t>
      </w:r>
      <w:r>
        <w:rPr>
          <w:rFonts w:hint="eastAsia" w:ascii="宋体" w:hAnsi="宋体" w:eastAsia="宋体" w:cs="宋体"/>
          <w:b/>
          <w:bCs/>
          <w:color w:val="auto"/>
          <w:szCs w:val="21"/>
          <w:highlight w:val="none"/>
        </w:rPr>
        <w:t xml:space="preserve">推荐品牌：奥玛，西门子，英国罗托克(ROTORK)，投标人必须在投标文件中明确说明所选品牌。(投标人所投产品参数不得低于招标文件要求。) </w:t>
      </w:r>
    </w:p>
    <w:p w14:paraId="154EE3F8">
      <w:pPr>
        <w:keepNext w:val="0"/>
        <w:keepLines w:val="0"/>
        <w:pageBreakBefore w:val="0"/>
        <w:numPr>
          <w:ilvl w:val="0"/>
          <w:numId w:val="12"/>
        </w:numPr>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控制柜（每套设备应独立设置控制柜）</w:t>
      </w:r>
    </w:p>
    <w:p w14:paraId="1F078F75">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控制柜应符合现行国家标准《电气控制设备》GB/T 3797-2005的规定；同一泵房控制柜大小一致，柜体的外形尺寸符合《高度进制为20mm的面板、架和柜的基本尺寸系列》GB/T 3047.1的规定，并能满足电器元件的安装间距。</w:t>
      </w:r>
    </w:p>
    <w:p w14:paraId="71C968DF">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①控制柜靠墙安装，柜顶上装有散热风扇，可强制散热。钢板壁厚≥2㎜，表面静电喷涂处理。柜体内设有排风散热风扇与自动启闭装置联动。柜体内设有照明装置，并与柜门启闭装置联动，便于检修。防护等级达到GB4028中IP55以上，</w:t>
      </w:r>
      <w:r>
        <w:rPr>
          <w:rFonts w:hint="eastAsia" w:ascii="宋体" w:hAnsi="宋体" w:eastAsia="宋体" w:cs="宋体"/>
          <w:b/>
          <w:color w:val="auto"/>
          <w:szCs w:val="21"/>
          <w:highlight w:val="none"/>
        </w:rPr>
        <w:t>投标文件中须提供第三方检测机构出具的检测报告彩色扫描件（检测报告封面须具有 CMA 或 CNAS 标志）</w:t>
      </w:r>
      <w:r>
        <w:rPr>
          <w:rFonts w:hint="eastAsia" w:ascii="宋体" w:hAnsi="宋体" w:eastAsia="宋体" w:cs="宋体"/>
          <w:color w:val="auto"/>
          <w:szCs w:val="21"/>
          <w:highlight w:val="none"/>
        </w:rPr>
        <w:t>， 所有线缆从底部进入控制柜。柜体顶部加装吊环,柜门装设加强筋并配锁。控制柜面板：设置三相进线电流表（数字式）、三相进线电压表（数字式），水泵工作状态显示灯，故障显示灯，手/自动转换开关，手动开、停水泵按钮及触摸屏、故障声光报警指示灯显示，指示灯及按钮按GB2682-81《电工成套装置中指示灯和按钮的颜色》的规定选择。</w:t>
      </w:r>
    </w:p>
    <w:p w14:paraId="60DFBFDF">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②电气间隙与爬电距离：设备中带电电路之间以及带电零部件或接地零部件的电气间隙和爬地距离应符合GB/T 3797-2005中4.7的规定。</w:t>
      </w:r>
    </w:p>
    <w:p w14:paraId="49F7A3E4">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③绝缘电组与介电强度：设备中带电回路之间及带电回路和地之间的绝缘电阻应符合GB/T 3797-2005中4.8.1的规定；介电强度应符合GB/T 3797-2005中4.8.2和4.8.3的规定。</w:t>
      </w:r>
    </w:p>
    <w:p w14:paraId="4EF86572">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④安全接地及防雷：设备的金属构体上应设置接地点，与接地点相连接的保护导线的截面，应与设备导体截面积相同，</w:t>
      </w:r>
      <w:r>
        <w:rPr>
          <w:rFonts w:hint="eastAsia" w:ascii="宋体" w:hAnsi="宋体" w:eastAsia="宋体" w:cs="宋体"/>
          <w:color w:val="auto"/>
          <w:szCs w:val="21"/>
          <w:highlight w:val="none"/>
          <w:u w:val="single"/>
        </w:rPr>
        <w:t>按30*4mm接地铜排以上配置</w:t>
      </w:r>
      <w:r>
        <w:rPr>
          <w:rFonts w:hint="eastAsia" w:ascii="宋体" w:hAnsi="宋体" w:eastAsia="宋体" w:cs="宋体"/>
          <w:color w:val="auto"/>
          <w:szCs w:val="21"/>
          <w:highlight w:val="none"/>
        </w:rPr>
        <w:t>。与接地点连接的导线必须是黄、绿双色线。不能明显表明的接地点，应在附近标注明显的接地符号。主接地点与设备任何有关的、因绝缘损坏可能带电的金属之间的电阻不应超过0.1Ω，连接接地线的螺钉和接线点不得作其他机械紧固用。控制柜应有可靠的防雷措施。</w:t>
      </w:r>
    </w:p>
    <w:p w14:paraId="4100255A">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⑤控制柜在5.9m/s(0.6G)震动下可正常工作。抗电磁干扰性能符合IEC255-22标准规定。</w:t>
      </w:r>
    </w:p>
    <w:p w14:paraId="7A314F08">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⑥控制柜的内部结构布置必须严格按系统图、国家标准及地方规范执行；内部接线应排列整齐、清晰和美观，绑扎成束或敷于专用塑料槽内卡在安装架上；配线应考虑足够的余量。</w:t>
      </w:r>
    </w:p>
    <w:p w14:paraId="204D9284">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⑦控制柜门内侧必须贴有电气原理图，采用塑封防水密封。</w:t>
      </w:r>
    </w:p>
    <w:p w14:paraId="2E6969B8">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⑧中性线母排和接地母排的电流容量必须经过计算且足够大；箱内电器元件的上方标志该元件的文字符号，各电路的导线端头应标志相应的文字符号。所有的文字符号应与提供的线路图、系统图上的文字符号一致。所使用的图形和符号应符合相应的国家标准。</w:t>
      </w:r>
    </w:p>
    <w:p w14:paraId="742DC064">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⑨柜门、盖、覆板必须与保护电路可靠连接；柜内保护导体颜色符合规定；支撑固定导体的绝缘子外表不得有裂纹或缺损；二次配线应使用铜芯绝缘软线。其截面应不小于：电流回路2.5mm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，控制回路1.0mm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导线。本工程采用TN-S系统供电，PE、N线端子采用方铜端子。控制柜内的铜母线应有彩色分相标志，按下表规定布置。</w:t>
      </w:r>
    </w:p>
    <w:tbl>
      <w:tblPr>
        <w:tblStyle w:val="35"/>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996"/>
        <w:gridCol w:w="1581"/>
        <w:gridCol w:w="1629"/>
        <w:gridCol w:w="1582"/>
      </w:tblGrid>
      <w:tr w14:paraId="30BE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2" w:type="dxa"/>
            <w:vMerge w:val="restart"/>
            <w:noWrap w:val="0"/>
            <w:vAlign w:val="center"/>
          </w:tcPr>
          <w:p w14:paraId="1D96A894">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相别</w:t>
            </w:r>
          </w:p>
        </w:tc>
        <w:tc>
          <w:tcPr>
            <w:tcW w:w="996" w:type="dxa"/>
            <w:vMerge w:val="restart"/>
            <w:noWrap w:val="0"/>
            <w:vAlign w:val="center"/>
          </w:tcPr>
          <w:p w14:paraId="033B5946">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色标</w:t>
            </w:r>
          </w:p>
        </w:tc>
        <w:tc>
          <w:tcPr>
            <w:tcW w:w="4792" w:type="dxa"/>
            <w:gridSpan w:val="3"/>
            <w:noWrap w:val="0"/>
            <w:vAlign w:val="center"/>
          </w:tcPr>
          <w:p w14:paraId="2D0B5F38">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母线安装位置</w:t>
            </w:r>
          </w:p>
        </w:tc>
      </w:tr>
      <w:tr w14:paraId="73CD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1342" w:type="dxa"/>
            <w:vMerge w:val="continue"/>
            <w:noWrap w:val="0"/>
            <w:vAlign w:val="center"/>
          </w:tcPr>
          <w:p w14:paraId="49771E6F">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p>
        </w:tc>
        <w:tc>
          <w:tcPr>
            <w:tcW w:w="996" w:type="dxa"/>
            <w:vMerge w:val="continue"/>
            <w:noWrap w:val="0"/>
            <w:vAlign w:val="center"/>
          </w:tcPr>
          <w:p w14:paraId="5520EB54">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p>
        </w:tc>
        <w:tc>
          <w:tcPr>
            <w:tcW w:w="1581" w:type="dxa"/>
            <w:noWrap w:val="0"/>
            <w:vAlign w:val="center"/>
          </w:tcPr>
          <w:p w14:paraId="140EF405">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垂直安装</w:t>
            </w:r>
          </w:p>
        </w:tc>
        <w:tc>
          <w:tcPr>
            <w:tcW w:w="1629" w:type="dxa"/>
            <w:noWrap w:val="0"/>
            <w:vAlign w:val="center"/>
          </w:tcPr>
          <w:p w14:paraId="45B65688">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水平安装</w:t>
            </w:r>
          </w:p>
        </w:tc>
        <w:tc>
          <w:tcPr>
            <w:tcW w:w="1582" w:type="dxa"/>
            <w:noWrap w:val="0"/>
            <w:vAlign w:val="center"/>
          </w:tcPr>
          <w:p w14:paraId="5C58B5FF">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引下线</w:t>
            </w:r>
          </w:p>
        </w:tc>
      </w:tr>
      <w:tr w14:paraId="6235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noWrap w:val="0"/>
            <w:vAlign w:val="center"/>
          </w:tcPr>
          <w:p w14:paraId="22278985">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L1</w:t>
            </w:r>
          </w:p>
        </w:tc>
        <w:tc>
          <w:tcPr>
            <w:tcW w:w="996" w:type="dxa"/>
            <w:noWrap w:val="0"/>
            <w:vAlign w:val="center"/>
          </w:tcPr>
          <w:p w14:paraId="4079A985">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w:t>
            </w:r>
          </w:p>
        </w:tc>
        <w:tc>
          <w:tcPr>
            <w:tcW w:w="1581" w:type="dxa"/>
            <w:noWrap w:val="0"/>
            <w:vAlign w:val="center"/>
          </w:tcPr>
          <w:p w14:paraId="2D21C508">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w:t>
            </w:r>
          </w:p>
        </w:tc>
        <w:tc>
          <w:tcPr>
            <w:tcW w:w="1629" w:type="dxa"/>
            <w:noWrap w:val="0"/>
            <w:vAlign w:val="center"/>
          </w:tcPr>
          <w:p w14:paraId="12123590">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后（内）</w:t>
            </w:r>
          </w:p>
        </w:tc>
        <w:tc>
          <w:tcPr>
            <w:tcW w:w="1582" w:type="dxa"/>
            <w:noWrap w:val="0"/>
            <w:vAlign w:val="center"/>
          </w:tcPr>
          <w:p w14:paraId="019BF55B">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左</w:t>
            </w:r>
          </w:p>
        </w:tc>
      </w:tr>
      <w:tr w14:paraId="0C5F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noWrap w:val="0"/>
            <w:vAlign w:val="center"/>
          </w:tcPr>
          <w:p w14:paraId="0C9474BE">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L2</w:t>
            </w:r>
          </w:p>
        </w:tc>
        <w:tc>
          <w:tcPr>
            <w:tcW w:w="996" w:type="dxa"/>
            <w:noWrap w:val="0"/>
            <w:vAlign w:val="center"/>
          </w:tcPr>
          <w:p w14:paraId="7F1C560F">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w:t>
            </w:r>
          </w:p>
        </w:tc>
        <w:tc>
          <w:tcPr>
            <w:tcW w:w="1581" w:type="dxa"/>
            <w:noWrap w:val="0"/>
            <w:vAlign w:val="center"/>
          </w:tcPr>
          <w:p w14:paraId="6671232C">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w:t>
            </w:r>
          </w:p>
        </w:tc>
        <w:tc>
          <w:tcPr>
            <w:tcW w:w="1629" w:type="dxa"/>
            <w:noWrap w:val="0"/>
            <w:vAlign w:val="center"/>
          </w:tcPr>
          <w:p w14:paraId="31259091">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w:t>
            </w:r>
          </w:p>
        </w:tc>
        <w:tc>
          <w:tcPr>
            <w:tcW w:w="1582" w:type="dxa"/>
            <w:noWrap w:val="0"/>
            <w:vAlign w:val="center"/>
          </w:tcPr>
          <w:p w14:paraId="15348A1D">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w:t>
            </w:r>
          </w:p>
        </w:tc>
      </w:tr>
      <w:tr w14:paraId="4DA1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noWrap w:val="0"/>
            <w:vAlign w:val="center"/>
          </w:tcPr>
          <w:p w14:paraId="53E2CAE3">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L3</w:t>
            </w:r>
          </w:p>
        </w:tc>
        <w:tc>
          <w:tcPr>
            <w:tcW w:w="996" w:type="dxa"/>
            <w:noWrap w:val="0"/>
            <w:vAlign w:val="center"/>
          </w:tcPr>
          <w:p w14:paraId="12759824">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红</w:t>
            </w:r>
          </w:p>
        </w:tc>
        <w:tc>
          <w:tcPr>
            <w:tcW w:w="1581" w:type="dxa"/>
            <w:noWrap w:val="0"/>
            <w:vAlign w:val="center"/>
          </w:tcPr>
          <w:p w14:paraId="7FCE87AB">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w:t>
            </w:r>
          </w:p>
        </w:tc>
        <w:tc>
          <w:tcPr>
            <w:tcW w:w="1629" w:type="dxa"/>
            <w:noWrap w:val="0"/>
            <w:vAlign w:val="center"/>
          </w:tcPr>
          <w:p w14:paraId="3845D958">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前（外）</w:t>
            </w:r>
          </w:p>
        </w:tc>
        <w:tc>
          <w:tcPr>
            <w:tcW w:w="1582" w:type="dxa"/>
            <w:noWrap w:val="0"/>
            <w:vAlign w:val="center"/>
          </w:tcPr>
          <w:p w14:paraId="6EEC1156">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右</w:t>
            </w:r>
          </w:p>
        </w:tc>
      </w:tr>
      <w:tr w14:paraId="37F4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noWrap w:val="0"/>
            <w:vAlign w:val="center"/>
          </w:tcPr>
          <w:p w14:paraId="324175D3">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N</w:t>
            </w:r>
          </w:p>
        </w:tc>
        <w:tc>
          <w:tcPr>
            <w:tcW w:w="996" w:type="dxa"/>
            <w:noWrap w:val="0"/>
            <w:vAlign w:val="center"/>
          </w:tcPr>
          <w:p w14:paraId="35428CC4">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淡蓝</w:t>
            </w:r>
          </w:p>
        </w:tc>
        <w:tc>
          <w:tcPr>
            <w:tcW w:w="1581" w:type="dxa"/>
            <w:noWrap w:val="0"/>
            <w:vAlign w:val="center"/>
          </w:tcPr>
          <w:p w14:paraId="7EEA68AF">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最下</w:t>
            </w:r>
          </w:p>
        </w:tc>
        <w:tc>
          <w:tcPr>
            <w:tcW w:w="1629" w:type="dxa"/>
            <w:noWrap w:val="0"/>
            <w:vAlign w:val="center"/>
          </w:tcPr>
          <w:p w14:paraId="532381CC">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最外</w:t>
            </w:r>
          </w:p>
        </w:tc>
        <w:tc>
          <w:tcPr>
            <w:tcW w:w="1582" w:type="dxa"/>
            <w:noWrap w:val="0"/>
            <w:vAlign w:val="center"/>
          </w:tcPr>
          <w:p w14:paraId="05EAEDCD">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最右</w:t>
            </w:r>
          </w:p>
        </w:tc>
      </w:tr>
      <w:tr w14:paraId="53F5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noWrap w:val="0"/>
            <w:vAlign w:val="center"/>
          </w:tcPr>
          <w:p w14:paraId="2993614D">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PE</w:t>
            </w:r>
          </w:p>
        </w:tc>
        <w:tc>
          <w:tcPr>
            <w:tcW w:w="996" w:type="dxa"/>
            <w:noWrap w:val="0"/>
            <w:vAlign w:val="center"/>
          </w:tcPr>
          <w:p w14:paraId="07BF4B41">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绿/黄</w:t>
            </w:r>
          </w:p>
        </w:tc>
        <w:tc>
          <w:tcPr>
            <w:tcW w:w="1581" w:type="dxa"/>
            <w:noWrap w:val="0"/>
            <w:vAlign w:val="center"/>
          </w:tcPr>
          <w:p w14:paraId="3E9B62C5">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p>
        </w:tc>
        <w:tc>
          <w:tcPr>
            <w:tcW w:w="1629" w:type="dxa"/>
            <w:noWrap w:val="0"/>
            <w:vAlign w:val="center"/>
          </w:tcPr>
          <w:p w14:paraId="44F07FF9">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p>
        </w:tc>
        <w:tc>
          <w:tcPr>
            <w:tcW w:w="1582" w:type="dxa"/>
            <w:noWrap w:val="0"/>
            <w:vAlign w:val="center"/>
          </w:tcPr>
          <w:p w14:paraId="4B770951">
            <w:pPr>
              <w:keepNext w:val="0"/>
              <w:keepLines w:val="0"/>
              <w:pageBreakBefore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auto"/>
                <w:szCs w:val="21"/>
                <w:highlight w:val="none"/>
              </w:rPr>
            </w:pPr>
          </w:p>
        </w:tc>
      </w:tr>
    </w:tbl>
    <w:p w14:paraId="7A3C90D4">
      <w:pPr>
        <w:keepNext w:val="0"/>
        <w:keepLines w:val="0"/>
        <w:pageBreakBefore w:val="0"/>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⑩为了有效地防止控制柜内因环境潮湿产生水珠而影响电器寿命，控制柜需具有加热去湿功能：加热元件采用具有自动调节并限制温度功能的热敏电阻，热敏电阻的散热体采用阳极氧化铝合金。加热去湿控制器采用具有温湿度检测功能的自动加热去湿控制器。加热元件及加热去湿控制器采用导轨式安装。 </w:t>
      </w:r>
      <w:bookmarkStart w:id="87" w:name="OLE_LINK14"/>
      <w:bookmarkStart w:id="88" w:name="OLE_LINK15"/>
    </w:p>
    <w:p w14:paraId="61548C5E">
      <w:pPr>
        <w:keepNext w:val="0"/>
        <w:keepLines w:val="0"/>
        <w:pageBreakBefore w:val="0"/>
        <w:kinsoku/>
        <w:wordWrap/>
        <w:overflowPunct/>
        <w:topLinePunct w:val="0"/>
        <w:autoSpaceDE/>
        <w:autoSpaceDN/>
        <w:bidi w:val="0"/>
        <w:adjustRightInd/>
        <w:spacing w:line="500" w:lineRule="exact"/>
        <w:ind w:firstLine="422" w:firstLineChars="200"/>
        <w:jc w:val="left"/>
        <w:textAlignment w:val="auto"/>
        <w:rPr>
          <w:rFonts w:hint="eastAsia" w:ascii="宋体" w:hAnsi="宋体" w:eastAsia="宋体" w:cs="宋体"/>
          <w:b/>
          <w:color w:val="auto"/>
          <w:kern w:val="36"/>
          <w:szCs w:val="21"/>
          <w:highlight w:val="none"/>
        </w:rPr>
      </w:pPr>
      <w:r>
        <w:rPr>
          <w:rFonts w:hint="eastAsia" w:ascii="宋体" w:hAnsi="宋体" w:eastAsia="宋体" w:cs="宋体"/>
          <w:b/>
          <w:color w:val="auto"/>
          <w:kern w:val="36"/>
          <w:szCs w:val="21"/>
          <w:highlight w:val="none"/>
        </w:rPr>
        <w:t>（8）双电源配电柜技术要求：</w:t>
      </w:r>
    </w:p>
    <w:p w14:paraId="50C6985C">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kern w:val="36"/>
          <w:szCs w:val="21"/>
          <w:highlight w:val="none"/>
        </w:rPr>
      </w:pPr>
      <w:r>
        <w:rPr>
          <w:rFonts w:hint="eastAsia" w:ascii="宋体" w:hAnsi="宋体" w:eastAsia="宋体" w:cs="宋体"/>
          <w:color w:val="auto"/>
          <w:kern w:val="36"/>
          <w:szCs w:val="21"/>
          <w:highlight w:val="none"/>
        </w:rPr>
        <w:t>泵房采用双路电源供电并在末端设自动切换装置。</w:t>
      </w:r>
    </w:p>
    <w:p w14:paraId="7D1788F1">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①双电源进线需采取三相五线制（接地电阻小于4欧姆）。</w:t>
      </w:r>
    </w:p>
    <w:p w14:paraId="0EE8C634">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kern w:val="36"/>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kern w:val="36"/>
          <w:szCs w:val="21"/>
          <w:highlight w:val="none"/>
        </w:rPr>
        <w:t>低压元器件：应注明数量、品牌、型号,采用清单列表。不得少于下述数量：双电源配电柜1台，双电源转换开关1只，进线隔离开关2只，进线空开（3p）2只，分区控制柜电源空开（3p）按分区数配置。其它未说明部分供货商可按需要配置。</w:t>
      </w:r>
    </w:p>
    <w:p w14:paraId="1B483894">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kern w:val="36"/>
          <w:szCs w:val="21"/>
          <w:highlight w:val="none"/>
        </w:rPr>
      </w:pPr>
      <w:r>
        <w:rPr>
          <w:rFonts w:hint="eastAsia" w:ascii="宋体" w:hAnsi="宋体" w:eastAsia="宋体" w:cs="宋体"/>
          <w:color w:val="auto"/>
          <w:kern w:val="36"/>
          <w:szCs w:val="21"/>
          <w:highlight w:val="none"/>
        </w:rPr>
        <w:t>③</w:t>
      </w:r>
      <w:r>
        <w:rPr>
          <w:rFonts w:hint="eastAsia" w:ascii="宋体" w:hAnsi="宋体" w:eastAsia="宋体" w:cs="宋体"/>
          <w:b/>
          <w:bCs/>
          <w:color w:val="auto"/>
          <w:kern w:val="36"/>
          <w:szCs w:val="21"/>
          <w:highlight w:val="none"/>
        </w:rPr>
        <w:t>配电柜防护等级达到 IP55 及以上等级，投标文件中须提供第三方检测机构出具的检测报告彩色扫描件（检测报告封面须具有 CMA 或 CNAS 标志），</w:t>
      </w:r>
      <w:r>
        <w:rPr>
          <w:rFonts w:hint="eastAsia" w:ascii="宋体" w:hAnsi="宋体" w:eastAsia="宋体" w:cs="宋体"/>
          <w:color w:val="auto"/>
          <w:kern w:val="36"/>
          <w:szCs w:val="21"/>
          <w:highlight w:val="none"/>
        </w:rPr>
        <w:t>所有线缆从底部进入双电源配电柜。</w:t>
      </w:r>
    </w:p>
    <w:p w14:paraId="6FB24929">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kern w:val="36"/>
          <w:szCs w:val="21"/>
          <w:highlight w:val="none"/>
        </w:rPr>
      </w:pPr>
      <w:r>
        <w:rPr>
          <w:rFonts w:hint="eastAsia" w:ascii="宋体" w:hAnsi="宋体" w:eastAsia="宋体" w:cs="宋体"/>
          <w:color w:val="auto"/>
          <w:kern w:val="36"/>
          <w:szCs w:val="21"/>
          <w:highlight w:val="none"/>
        </w:rPr>
        <w:t>④双电源转换开关应符合 IEC60947-1 或 GB/T14048.1 最新标准技术要求，且具备 15s 以上延时功能。</w:t>
      </w:r>
    </w:p>
    <w:p w14:paraId="2CA2E388">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宋体" w:hAnsi="宋体" w:eastAsia="宋体" w:cs="宋体"/>
          <w:b/>
          <w:bCs/>
          <w:color w:val="auto"/>
          <w:kern w:val="36"/>
          <w:szCs w:val="21"/>
          <w:highlight w:val="none"/>
        </w:rPr>
      </w:pPr>
      <w:r>
        <w:rPr>
          <w:rFonts w:hint="eastAsia" w:ascii="宋体" w:hAnsi="宋体" w:eastAsia="宋体" w:cs="宋体"/>
          <w:color w:val="auto"/>
          <w:kern w:val="36"/>
          <w:szCs w:val="21"/>
          <w:highlight w:val="none"/>
        </w:rPr>
        <w:t>⑤</w:t>
      </w:r>
      <w:r>
        <w:rPr>
          <w:rFonts w:hint="eastAsia" w:ascii="宋体" w:hAnsi="宋体" w:eastAsia="宋体" w:cs="宋体"/>
          <w:b/>
          <w:bCs/>
          <w:color w:val="auto"/>
          <w:kern w:val="36"/>
          <w:szCs w:val="21"/>
          <w:highlight w:val="none"/>
        </w:rPr>
        <w:t>双电源转换开关推荐品牌：西门子、ABB、施耐德，投标人必须在投标文件中明确说明所选品牌。</w:t>
      </w:r>
    </w:p>
    <w:p w14:paraId="4EBC99AB">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(9)电力电缆、控制电缆及信号电缆：</w:t>
      </w:r>
    </w:p>
    <w:p w14:paraId="144CCE00">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泵房内所有电力电缆及控制</w:t>
      </w:r>
      <w:bookmarkStart w:id="89" w:name="OLE_LINK16"/>
      <w:r>
        <w:rPr>
          <w:rFonts w:hint="eastAsia" w:ascii="宋体" w:hAnsi="宋体" w:eastAsia="宋体" w:cs="宋体"/>
          <w:color w:val="auto"/>
          <w:szCs w:val="21"/>
          <w:highlight w:val="none"/>
        </w:rPr>
        <w:t>信号</w:t>
      </w:r>
      <w:bookmarkEnd w:id="89"/>
      <w:r>
        <w:rPr>
          <w:rFonts w:hint="eastAsia" w:ascii="宋体" w:hAnsi="宋体" w:eastAsia="宋体" w:cs="宋体"/>
          <w:color w:val="auto"/>
          <w:szCs w:val="21"/>
          <w:highlight w:val="none"/>
        </w:rPr>
        <w:t>电缆均由供应商负责。电力电缆和控制信号电缆的选择与敷设应满足以下要求（未尽事宜参见现行标准GB 50217及GB50054的规定）：</w:t>
      </w:r>
    </w:p>
    <w:p w14:paraId="05E7FD32">
      <w:pPr>
        <w:keepNext w:val="0"/>
        <w:keepLines w:val="0"/>
        <w:pageBreakBefore w:val="0"/>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1)动力电缆的要求</w:t>
      </w:r>
    </w:p>
    <w:p w14:paraId="5E971EE8">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①动力连接线不得采用电线联接，应采用多芯电缆联接；</w:t>
      </w:r>
    </w:p>
    <w:p w14:paraId="5126285A">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②动力电缆应采用铜芯电缆；</w:t>
      </w:r>
    </w:p>
    <w:p w14:paraId="08816BB0">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③动力电缆的截面积应按电机长期工作工况选择，并应考虑变频谐波电流的影响；</w:t>
      </w:r>
    </w:p>
    <w:p w14:paraId="1A878A08">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④动力电缆最小载面积应满足短路热稳定校验；</w:t>
      </w:r>
    </w:p>
    <w:p w14:paraId="2025F706">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⑤动力电缆绝缘耐压不得低于0.6/1kV；</w:t>
      </w:r>
    </w:p>
    <w:p w14:paraId="5D2F6FB5">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⑥动力电缆中间不得有接头；</w:t>
      </w:r>
    </w:p>
    <w:p w14:paraId="10BABBE2">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⑦电机电缆宜使用变频电缆（铠装电缆或屏蔽电缆）；</w:t>
      </w:r>
    </w:p>
    <w:p w14:paraId="7B6EC4CE">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⑧电机电缆长度不得超过变频器厂家规定的最长使用长度。</w:t>
      </w:r>
    </w:p>
    <w:p w14:paraId="12EC4C30">
      <w:pPr>
        <w:keepNext w:val="0"/>
        <w:keepLines w:val="0"/>
        <w:pageBreakBefore w:val="0"/>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2)控制电缆的要求</w:t>
      </w:r>
    </w:p>
    <w:p w14:paraId="479D5103">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①控制电缆应采用铜芯电缆；</w:t>
      </w:r>
    </w:p>
    <w:p w14:paraId="698B0147">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②不同电压等级的信号、控制回路不应合用一根电缆;</w:t>
      </w:r>
    </w:p>
    <w:p w14:paraId="71F3E38F">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③弱电回路每一对往返导线，应属于同一根电缆；</w:t>
      </w:r>
    </w:p>
    <w:p w14:paraId="7EA0DC99">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④开关量信号宜选用总屏蔽电缆；</w:t>
      </w:r>
    </w:p>
    <w:p w14:paraId="3BB257D6">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⑤模拟量信号宜选用对绞线芯分屏蔽复合总屏蔽电缆；</w:t>
      </w:r>
    </w:p>
    <w:p w14:paraId="5A4CA917">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⑥强电控制回路导体载面积不应小于1.5mm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,弱电控制回路导体载面积不应小于1.0mm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w:t>
      </w:r>
    </w:p>
    <w:p w14:paraId="174BEE33">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⑦控制及信号电缆宜选用450/750V额定电压等级电缆；</w:t>
      </w:r>
    </w:p>
    <w:p w14:paraId="2C827F1E">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⑧控制、信号电缆中间不得有接头。</w:t>
      </w:r>
    </w:p>
    <w:p w14:paraId="0A132E15">
      <w:pPr>
        <w:keepNext w:val="0"/>
        <w:keepLines w:val="0"/>
        <w:pageBreakBefore w:val="0"/>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3)电缆敷设的要求</w:t>
      </w:r>
    </w:p>
    <w:p w14:paraId="2171CAF3">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①满足安全要求条件下，应保证电缆路径最短；</w:t>
      </w:r>
    </w:p>
    <w:p w14:paraId="2993ED78">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②应便于敷设、维护；</w:t>
      </w:r>
    </w:p>
    <w:p w14:paraId="0B9CF891">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③应避免电缆遭受机械性外力、过热、腐蚀等危害；</w:t>
      </w:r>
    </w:p>
    <w:p w14:paraId="0F852CC7">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④电缆的允许弯曲半径，应满足相关规范的要求；</w:t>
      </w:r>
    </w:p>
    <w:p w14:paraId="3724060F">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⑤动力电缆及控制、信号电缆应采用封闭式电缆桥架或穿管敷设；</w:t>
      </w:r>
    </w:p>
    <w:p w14:paraId="512765FA">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⑥穿管敷设时，管的内径不宜小于电缆外径的1.5倍；</w:t>
      </w:r>
    </w:p>
    <w:p w14:paraId="5B92FA9F">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⑦电缆的敷设不得影响设备和管道维护。</w:t>
      </w:r>
    </w:p>
    <w:p w14:paraId="06220669">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⑧电力电缆与非电力电缆应分开布置，其间距应满足规范要求。</w:t>
      </w:r>
    </w:p>
    <w:bookmarkEnd w:id="87"/>
    <w:bookmarkEnd w:id="88"/>
    <w:p w14:paraId="318ED79C">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6、系统运行模式：</w:t>
      </w:r>
    </w:p>
    <w:p w14:paraId="0A870CF8">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(1)二次供水设备应具有手动、自动和远程控制功能，手动、自动可以通过控制柜上安装的转换开关进行选择。</w:t>
      </w:r>
    </w:p>
    <w:p w14:paraId="729EB3DD">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(2)手动模式：由电气柜控制面板按钮工频启/停机组，大功率（&gt;=18.5kw）机组应设置软启动或变频启动设备。</w:t>
      </w:r>
    </w:p>
    <w:p w14:paraId="2A55DE44">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(3)自动模式：可将一天分为多个时间段，用户可根据供水量设置不同的工作压力，根据压力信号控制供水机组运行频率，自动投入和退出机组，发生故障自动切换到备用泵。</w:t>
      </w:r>
    </w:p>
    <w:p w14:paraId="13327C7C">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（4）远程控制：可以在远程监控平台远程控制水泵的启停，调节进水电动阀的开度（任意角度）。远程控制状态下具有本地复位功能。远程起停水泵时，能保证恒压供水。</w:t>
      </w:r>
    </w:p>
    <w:p w14:paraId="7EAF987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 xml:space="preserve"> </w:t>
      </w:r>
      <w:r>
        <w:rPr>
          <w:rFonts w:hint="eastAsia" w:ascii="宋体" w:hAnsi="宋体" w:eastAsia="宋体" w:cs="宋体"/>
          <w:color w:val="auto"/>
          <w:szCs w:val="21"/>
          <w:highlight w:val="none"/>
        </w:rPr>
        <w:t>(5)强制启动主泵/辅泵：当水泵机组有主泵和辅泵组成，用户可以设定时段在用水高峰期强制启动主泵。在夜间小流量可以设定时段强制启动辅泵，避免水泵频繁切换。</w:t>
      </w:r>
    </w:p>
    <w:p w14:paraId="29E4313F">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7、控制功能</w:t>
      </w:r>
    </w:p>
    <w:p w14:paraId="2B27ABD1">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(1)自动恒压：根据工程实际情况，可现场设定设备出水压力，采用控制算法根据出水压力与设定压力相比较，自动调节保持出水压力恒定，恒定压力控制精度≤±0.01Mpa 。系统根据供水流量的变化增加或减少水泵台数。在切换过程中保持供水压力平稳。</w:t>
      </w:r>
    </w:p>
    <w:p w14:paraId="78CBC86C">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(2)自动轮换功能：系统可以选择定时轮换与定点轮换方式，用户可设置轮换时间。系统自动累计各水泵的运行时间，每次均优先启动运行时间最短的水泵。人机界面屏可以显示轮换倒计时。（备用泵也进行轮换）</w:t>
      </w:r>
    </w:p>
    <w:p w14:paraId="0E681DF1">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自动休眠：当设备在用水低峰期运行，实际用水量很小时，控制系统对检测到的信号进行处理，并迅速调整运行状态，直至设备小流量停机，实现停机零损耗。设备停止运行，通过气压罐维持压力，提高节能效果，保证用水需求，在流量加大时可以自动恢复运行状态。</w:t>
      </w:r>
    </w:p>
    <w:p w14:paraId="0D0DD4C5">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状态显示：通过触摸屏可查看当前供水压力、设定压力及压力波动曲线、频率、水箱液位(仅水箱式)、流量等运行信息及各台水泵的运行状态（变频、故障、停止）和工作时间。触摸屏可设置液位量程，量程设置应与液位变送器匹配，设置量程精度到厘米，无水停机信号不能使用液位变送器信号。</w:t>
      </w:r>
    </w:p>
    <w:p w14:paraId="73698533">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(5)数据记录：自动累计水泵运行时间，显示格式为“从XXXX年XX月XX日，水泵累计运行XX小时XX分钟XX秒”；</w:t>
      </w:r>
    </w:p>
    <w:p w14:paraId="491693A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故障报警与处理：出现过流、过载、缺相、欠压、超压、无水、变频故障等不适合设备工作的情况时，设备能自动切转换到保护状态，以保护设备不受到损坏。同时设备自动跳过故障回路或水泵，投入其他回路或水泵，避免设备不必要的停机影响到用户用水，同时发出报警信号。</w:t>
      </w:r>
    </w:p>
    <w:p w14:paraId="3E1F1EB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变频故障自动复位：变频器报警后，自动复位到设定次数，且复位间隔时间递增。如果变频器复位达到设定次数后仍然不成功，则自动停机保护。当变频器故障无法复位或断电情况下，应能切换至其他变频器工作。</w:t>
      </w:r>
    </w:p>
    <w:p w14:paraId="384972F4">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无水/超压自动复位：无水/超压故障发生后，系统进入停机状态，当故障恢复后系统自动启动。管网叠压设备至少有2套独立的缺水（负压）保护机构，当发生缺水（或负压）的状态下应能自动报警及停机保护，当进水恢复正常时，设备恢复正常运行。</w:t>
      </w:r>
    </w:p>
    <w:p w14:paraId="270764EA">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(9)故障记录与存储：应具有故障报警和报警记忆功能，故障报警应及时准确。自动记录故障发生/恢复时间，故障类别。并提示用户处理方法，声光报警。</w:t>
      </w:r>
    </w:p>
    <w:p w14:paraId="64B7E30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(10)巡检功能：系统控制机组/进水电动阀定期自动巡检，巡检时间的长短可以自动调节，此功能可防止水泵/电动阀长期不运行而锈蚀的情况发生。</w:t>
      </w:r>
    </w:p>
    <w:p w14:paraId="233E18F7">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（11）管网爆管失压自动停机功能:当供水设备自动运行时，所有水泵满负荷运行，仍然满足不了供水压力需求，能自动停机并报警；待管理人员现场人为确认报警后，方能再次开机供水。</w:t>
      </w:r>
    </w:p>
    <w:p w14:paraId="26D5B34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（12）错峰供水功能（针对水箱加变频系统）：当水箱总容积大于50m</w:t>
      </w:r>
      <w:r>
        <w:rPr>
          <w:rFonts w:hint="eastAsia" w:ascii="宋体" w:hAnsi="宋体" w:eastAsia="宋体" w:cs="宋体"/>
          <w:color w:val="auto"/>
          <w:szCs w:val="21"/>
          <w:highlight w:val="none"/>
          <w:vertAlign w:val="superscript"/>
        </w:rPr>
        <w:t>3</w:t>
      </w:r>
      <w:r>
        <w:rPr>
          <w:rFonts w:hint="eastAsia" w:ascii="宋体" w:hAnsi="宋体" w:eastAsia="宋体" w:cs="宋体"/>
          <w:color w:val="auto"/>
          <w:szCs w:val="21"/>
          <w:highlight w:val="none"/>
        </w:rPr>
        <w:t>时需增设错峰供水功能，并按电动调节阀数量设置，依次接入低区至高区控制柜，在触摸屏上可选择启用或不启用错峰供水模式。</w:t>
      </w:r>
    </w:p>
    <w:p w14:paraId="2C8F968E">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利用出口流量计记录的数据，进行数据分析，用前一天的数据分析得出的结果，自动设定第二天该小区用水高峰期的时间段。在高峰期到来时关闭进水电动阀，利用水箱的调节容积为用户供水；在高峰期时间内若水箱调节容积不足时再结合水箱的不同液位，控制进口电动调节阀的启闭角度（至下限水位时，电动阀全开；下限水位设定为无水停机水位上5cm）；低峰期电动阀全开为水箱补水。</w:t>
      </w:r>
    </w:p>
    <w:p w14:paraId="7E7798B1">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①本地操作：在触摸屏上可以对电动调节阀进行手动/自动切换。登陆管理员账号后，切换至手动运行时，可手动输入需要的阀门开度。自动运行时则根据程序自动判断运行。</w:t>
      </w:r>
    </w:p>
    <w:p w14:paraId="59200149">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②远程操作：在远程监控平台可以对电动调节阀进行手动/自动切换。登陆管理员账号后，可切换至手动运行，手动输入需要的阀门开度。自动运行时则根据程序自动判断运行。</w:t>
      </w:r>
    </w:p>
    <w:p w14:paraId="268F92CA">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(13)参数设定：</w:t>
      </w:r>
    </w:p>
    <w:p w14:paraId="5DDC4344">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①供水压力分时段设定。</w:t>
      </w:r>
    </w:p>
    <w:p w14:paraId="47899DB4">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②PID参数。</w:t>
      </w:r>
    </w:p>
    <w:p w14:paraId="5132A417">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③轮换参数（定时轮换/定点轮换、轮换时间）。</w:t>
      </w:r>
    </w:p>
    <w:p w14:paraId="3545E8F3">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④休眠参数(是否保压停机、退出停机压差)。</w:t>
      </w:r>
    </w:p>
    <w:p w14:paraId="25672ECC">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⑤延时时间（进入辅泵、退出辅泵、进入保压停机、退出保压停机、无水、变频、超压故障判断延时）。</w:t>
      </w:r>
    </w:p>
    <w:p w14:paraId="71764911">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⑥频率设定（启动变频、最高输出频率、进入保压停机频率、退出保压停机频率、进入辅泵频率、退出辅泵频率）。</w:t>
      </w:r>
    </w:p>
    <w:p w14:paraId="0BDD0A94">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⑦错峰供水参数（开阀水位、最高水位、最低水位）</w:t>
      </w:r>
    </w:p>
    <w:p w14:paraId="6003E18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⑧系统时钟设置。</w:t>
      </w:r>
    </w:p>
    <w:p w14:paraId="21832755">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(14)定点供应商需在二次供水泵站内安装用于检测泵房集水坑液位高低的液位开关，并将该液位开关信号接入控制系统中，当出现该信号报警时，应通过现场控制器将二次供水泵房进水电动阀关闭。</w:t>
      </w:r>
    </w:p>
    <w:p w14:paraId="56E1FF6F">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8、水箱及附属设施技术要求</w:t>
      </w:r>
    </w:p>
    <w:p w14:paraId="12F95B58">
      <w:pPr>
        <w:keepNext w:val="0"/>
        <w:keepLines w:val="0"/>
        <w:pageBreakBefore w:val="0"/>
        <w:kinsoku/>
        <w:wordWrap/>
        <w:overflowPunct/>
        <w:topLinePunct w:val="0"/>
        <w:autoSpaceDE/>
        <w:autoSpaceDN/>
        <w:bidi w:val="0"/>
        <w:adjustRightInd/>
        <w:snapToGrid w:val="0"/>
        <w:spacing w:line="500" w:lineRule="exact"/>
        <w:ind w:firstLine="352" w:firstLineChars="147"/>
        <w:textAlignment w:val="auto"/>
        <w:rPr>
          <w:rFonts w:hint="eastAsia" w:ascii="宋体" w:hAnsi="宋体" w:eastAsia="宋体" w:cs="宋体"/>
          <w:bCs/>
          <w:color w:val="auto"/>
          <w:szCs w:val="21"/>
          <w:highlight w:val="none"/>
        </w:rPr>
      </w:pPr>
      <w:r>
        <w:rPr>
          <w:rFonts w:hint="eastAsia" w:ascii="宋体" w:hAnsi="宋体" w:eastAsia="宋体" w:cs="宋体"/>
          <w:color w:val="auto"/>
          <w:spacing w:val="15"/>
          <w:szCs w:val="21"/>
          <w:highlight w:val="none"/>
          <w:shd w:val="clear" w:color="auto" w:fill="FFFFFF"/>
        </w:rPr>
        <w:t>水箱须包含</w:t>
      </w:r>
      <w:r>
        <w:rPr>
          <w:rFonts w:hint="eastAsia" w:ascii="宋体" w:hAnsi="宋体" w:eastAsia="宋体" w:cs="宋体"/>
          <w:bCs/>
          <w:color w:val="auto"/>
          <w:szCs w:val="21"/>
          <w:highlight w:val="none"/>
        </w:rPr>
        <w:t>以下附属设施：不锈钢遥控浮球阀、不锈钢溢流管、不锈钢放空管、不锈钢人孔、不锈钢爬梯、水箱呼吸器、消毒器等。组合式不锈钢板给水箱（含消毒器）的技术要求：</w:t>
      </w:r>
    </w:p>
    <w:p w14:paraId="4D7942B4">
      <w:pPr>
        <w:keepNext w:val="0"/>
        <w:keepLines w:val="0"/>
        <w:pageBreakBefore w:val="0"/>
        <w:kinsoku/>
        <w:wordWrap/>
        <w:overflowPunct/>
        <w:topLinePunct w:val="0"/>
        <w:autoSpaceDE/>
        <w:autoSpaceDN/>
        <w:bidi w:val="0"/>
        <w:adjustRightInd/>
        <w:snapToGrid w:val="0"/>
        <w:spacing w:line="500" w:lineRule="exact"/>
        <w:ind w:firstLine="310" w:firstLineChars="147"/>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（1）不锈钢给水箱厂家资质要求</w:t>
      </w:r>
    </w:p>
    <w:p w14:paraId="25581CB5">
      <w:pPr>
        <w:keepNext w:val="0"/>
        <w:keepLines w:val="0"/>
        <w:pageBreakBefore w:val="0"/>
        <w:kinsoku/>
        <w:wordWrap/>
        <w:overflowPunct/>
        <w:topLinePunct w:val="0"/>
        <w:autoSpaceDE/>
        <w:autoSpaceDN/>
        <w:bidi w:val="0"/>
        <w:adjustRightInd/>
        <w:snapToGrid w:val="0"/>
        <w:spacing w:line="500" w:lineRule="exact"/>
        <w:ind w:firstLine="310" w:firstLineChars="147"/>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①营业执照；</w:t>
      </w:r>
    </w:p>
    <w:p w14:paraId="05CDAC29">
      <w:pPr>
        <w:keepNext w:val="0"/>
        <w:keepLines w:val="0"/>
        <w:pageBreakBefore w:val="0"/>
        <w:kinsoku/>
        <w:wordWrap/>
        <w:overflowPunct/>
        <w:topLinePunct w:val="0"/>
        <w:autoSpaceDE/>
        <w:autoSpaceDN/>
        <w:bidi w:val="0"/>
        <w:adjustRightInd/>
        <w:snapToGrid w:val="0"/>
        <w:spacing w:line="500" w:lineRule="exact"/>
        <w:ind w:firstLine="310" w:firstLineChars="147"/>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②不锈钢给水箱必须具备市级以上卫生行政主管部门颁发的卫生许可批件；水箱配套的消毒器须具备具备市级及以上卫生部门颁发的卫生许可批件”。</w:t>
      </w:r>
    </w:p>
    <w:p w14:paraId="4EA058D7">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注：投标文件中须提供上述证书彩色扫描件，否则按无效投标处理。</w:t>
      </w:r>
    </w:p>
    <w:p w14:paraId="4F41BAD2">
      <w:pPr>
        <w:keepNext w:val="0"/>
        <w:keepLines w:val="0"/>
        <w:pageBreakBefore w:val="0"/>
        <w:kinsoku/>
        <w:wordWrap/>
        <w:overflowPunct/>
        <w:topLinePunct w:val="0"/>
        <w:autoSpaceDE/>
        <w:autoSpaceDN/>
        <w:bidi w:val="0"/>
        <w:adjustRightInd/>
        <w:snapToGrid w:val="0"/>
        <w:spacing w:line="5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（2）组合式不锈钢板给水箱（含消毒器）的材质、安装等技术要求</w:t>
      </w:r>
    </w:p>
    <w:p w14:paraId="23D1660A">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①</w:t>
      </w:r>
      <w:r>
        <w:rPr>
          <w:rFonts w:hint="eastAsia" w:ascii="宋体" w:hAnsi="宋体" w:eastAsia="宋体" w:cs="宋体"/>
          <w:color w:val="auto"/>
          <w:szCs w:val="21"/>
          <w:highlight w:val="none"/>
        </w:rPr>
        <w:t>水箱材质要求：不低于食品级304（06Cr19Ni10），产品各项卫生指标须达到《生活饮用水卫生规范》相关标准。</w:t>
      </w:r>
    </w:p>
    <w:p w14:paraId="276C3CA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②水箱参照国标图集 12S101《矩形给水箱》中“组合式不锈钢板给水箱(Ⅲ) ” （P16-P18）执行</w:t>
      </w:r>
    </w:p>
    <w:p w14:paraId="3D02F04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且须满足侧开孔要求；板厚公差参照GB/T3280《不锈钢冷轧钢板和钢带》中普通精度标准执行；水箱高度若是非标，则板厚参照上一个等级执行（如2.5m高水箱，板厚参照3.0m高）。</w:t>
      </w:r>
    </w:p>
    <w:p w14:paraId="7BC9FE32">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③水箱基础及型钢底架参照国标图集 12S101《矩形给水箱》中“组合式不 锈钢板给水箱 (Ⅲ) ”（P16-P18）执行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水箱型钢底架采用10#热浸镀锌槽钢，其镀层应符合GB/T 13912的规定，外涂环氧树脂防腐。</w:t>
      </w:r>
    </w:p>
    <w:p w14:paraId="182F159E">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④水箱底板铺设：底板原则上采用整板拼装，不得采用小块拼装，水箱底板拼装要求缝隙均匀，减少板间错边。</w:t>
      </w:r>
    </w:p>
    <w:p w14:paraId="21247543">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⑤侧板组装：组装侧板先点焊一周，不能单边叠加，组装侧板防止错边和拼缝不均。四角平齐防止台阶和较大裂口，整个水箱外观拼缝横平竖直十字交叉明显。</w:t>
      </w:r>
    </w:p>
    <w:p w14:paraId="3ADF76FA">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⑥顶板：顶板拼装后要注意完整焊接，不能间断焊。</w:t>
      </w:r>
    </w:p>
    <w:p w14:paraId="31115E55">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拉筋：水箱内拉筋厚度应不小于其连接的壁板厚度，拉筋宜做成槽钢型，安装前去除毛刺，拉筋两端与板连接处应设置放射辅筋；筋板为40×30mm的不锈钢边料折成。在水箱模块逐渐拼合成水箱过程中，每一块水箱模块的四角焊缝处，都与水箱内对面水箱模块的角缝予以可靠焊接，筋板交叉处互相错开，但不弯折，保证水箱的整体强度。</w:t>
      </w:r>
    </w:p>
    <w:p w14:paraId="71441C57">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w:t>
      </w:r>
      <w:r>
        <w:rPr>
          <w:rFonts w:hint="eastAsia" w:ascii="宋体" w:hAnsi="宋体" w:eastAsia="宋体" w:cs="宋体"/>
          <w:color w:val="auto"/>
          <w:szCs w:val="21"/>
          <w:highlight w:val="none"/>
          <w:lang w:val="en-US" w:eastAsia="zh-CN"/>
        </w:rPr>
        <w:t>水箱人孔顶开时需加装密封圈防止生物进入；</w:t>
      </w:r>
      <w:r>
        <w:rPr>
          <w:rFonts w:hint="eastAsia" w:ascii="宋体" w:hAnsi="宋体" w:eastAsia="宋体" w:cs="宋体"/>
          <w:color w:val="auto"/>
          <w:szCs w:val="21"/>
          <w:highlight w:val="none"/>
        </w:rPr>
        <w:t>水箱人孔侧开，但必须保证水箱易打开、不漏水、不变形；且要求在保证质量的情况下提供省级或以上质量技术监督部门出具的检测报告（泵房移交时提供）。不锈钢水箱须有“三防”功能（防溢流、防破坏、防生物进入）。</w:t>
      </w:r>
    </w:p>
    <w:p w14:paraId="5006771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⑨水箱焊接：常规焊缝满焊；水箱内纵向柱筋不要求与顶板、底板焊接，只与内部横向拉筋焊接，采用上、下点焊。不锈钢焊丝要求为食品级304以上（不含304），水箱内部焊缝需做酸洗钝化处理。</w:t>
      </w:r>
    </w:p>
    <w:p w14:paraId="3AC22410">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⑩水箱安装完成后应做满水试验。</w:t>
      </w:r>
    </w:p>
    <w:p w14:paraId="3462A41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⑪水箱配套的消毒器安装要求：宜参照国标图集14SS104《二次供水消毒设备》中“水箱紫外线消毒器”，并且所配消毒器应符合《生活饮用水输配水设备及防护材料的卫生安全评价标准》GB/T17219。</w:t>
      </w:r>
    </w:p>
    <w:p w14:paraId="3271C06F">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⑫人梯（内、外）的材料需确保人在攀梯时的承受强度，保证宽度≥400mm，焊接与制作美观、光洁、牢固并做酸洗钝化处理保证安全。</w:t>
      </w:r>
    </w:p>
    <w:p w14:paraId="591D17FA">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⑬水箱液位指示选用磁浮子液位计，垂直安装，主导管、浮子、排污阀及法兰材质均选用食品级304或以上不锈钢。</w:t>
      </w:r>
    </w:p>
    <w:p w14:paraId="6E6DB7D5">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⑭遥控浮球阀及水箱附件材质不低于食品级304（06Cr19Ni10）；遥控浮球阀须满足《水力控制阀》CJ/T 219-2005的要求。为便于设置高水位报警信号，水箱遥控浮球阀浮球浮起最高位置应低于水箱溢流孔溢流位置10cm以上。</w:t>
      </w:r>
      <w:r>
        <w:rPr>
          <w:rFonts w:hint="eastAsia" w:ascii="宋体" w:hAnsi="宋体" w:eastAsia="宋体" w:cs="宋体"/>
          <w:b/>
          <w:color w:val="auto"/>
          <w:szCs w:val="21"/>
          <w:highlight w:val="none"/>
        </w:rPr>
        <w:t>投标人必须在投标文件中明确说明所选品牌。</w:t>
      </w:r>
      <w:r>
        <w:rPr>
          <w:rFonts w:hint="eastAsia" w:ascii="宋体" w:hAnsi="宋体" w:eastAsia="宋体" w:cs="宋体"/>
          <w:color w:val="auto"/>
          <w:szCs w:val="21"/>
          <w:highlight w:val="none"/>
        </w:rPr>
        <w:cr/>
      </w:r>
      <w:r>
        <w:rPr>
          <w:rFonts w:hint="eastAsia" w:ascii="宋体" w:hAnsi="宋体" w:eastAsia="宋体" w:cs="宋体"/>
          <w:color w:val="auto"/>
          <w:szCs w:val="21"/>
          <w:highlight w:val="none"/>
        </w:rPr>
        <w:t xml:space="preserve">    ⑮未尽事宜参照国标图集12S101《矩形给水箱》和《滁州市自来水住宅小区供水工程验收手册》要求。</w:t>
      </w:r>
    </w:p>
    <w:p w14:paraId="1DE2C7E8">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9.排水系统 </w:t>
      </w:r>
    </w:p>
    <w:p w14:paraId="7B9C8F5B">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（1）排污泵应采用双浮球控制（浮球应采用 24V 电压）， 应有手动和自动功能。自动条件下，高水位时启动 1 台排污泵，超高水位时启动 2 台；手动条件下，两台泵分别能独立启动。 </w:t>
      </w:r>
    </w:p>
    <w:p w14:paraId="4C76CC3C">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（2）控制柜防护等级应达到 IP55 以上防护灰尘并控制全方位防护喷水，所有线缆从底部进入控制柜，控制柜门内侧必须贴有电气原理图，采用塑封防水密封。 </w:t>
      </w:r>
    </w:p>
    <w:p w14:paraId="333D6605">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（3）柜内电气元器件包括空气开关、交流接触器、24V 直流电源、中间继电器、热继电器，配置标准不得低于变频控制柜内电气元器件的标准。 </w:t>
      </w:r>
    </w:p>
    <w:p w14:paraId="4022330D">
      <w:pPr>
        <w:keepNext w:val="0"/>
        <w:keepLines w:val="0"/>
        <w:pageBreakBefore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（4）排污泵须满足《潜水排污泵》CJ/T 472-2015 和图集 08S305《小型潜水排污泵选用及安装》要求。</w:t>
      </w:r>
    </w:p>
    <w:p w14:paraId="15838363">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10、远程监控</w:t>
      </w:r>
    </w:p>
    <w:p w14:paraId="3B4A9071">
      <w:pPr>
        <w:keepNext w:val="0"/>
        <w:keepLines w:val="0"/>
        <w:pageBreakBefore w:val="0"/>
        <w:kinsoku/>
        <w:wordWrap/>
        <w:overflowPunct/>
        <w:topLinePunct w:val="0"/>
        <w:autoSpaceDE/>
        <w:autoSpaceDN/>
        <w:bidi w:val="0"/>
        <w:adjustRightInd/>
        <w:snapToGrid w:val="0"/>
        <w:spacing w:line="500" w:lineRule="exact"/>
        <w:ind w:firstLine="4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定点供应商在建设二次泵站的同时，</w:t>
      </w:r>
      <w:r>
        <w:rPr>
          <w:rFonts w:hint="eastAsia" w:ascii="宋体" w:hAnsi="宋体" w:eastAsia="宋体" w:cs="宋体"/>
          <w:b/>
          <w:color w:val="auto"/>
          <w:szCs w:val="21"/>
          <w:highlight w:val="none"/>
        </w:rPr>
        <w:t>应同时负责实施二次供水泵站远程监控，承诺二次供水泵站工艺参数等具备传输至二次供水管理中心监控平台（待建）</w:t>
      </w:r>
      <w:r>
        <w:rPr>
          <w:rFonts w:hint="eastAsia" w:ascii="宋体" w:hAnsi="宋体" w:eastAsia="宋体" w:cs="宋体"/>
          <w:color w:val="auto"/>
          <w:szCs w:val="21"/>
          <w:highlight w:val="none"/>
        </w:rPr>
        <w:t>；需保证现场数据的准确率为100%。主要内容包含如下：</w:t>
      </w:r>
    </w:p>
    <w:p w14:paraId="2850596F">
      <w:pPr>
        <w:keepNext w:val="0"/>
        <w:keepLines w:val="0"/>
        <w:pageBreakBefore w:val="0"/>
        <w:kinsoku/>
        <w:wordWrap/>
        <w:overflowPunct/>
        <w:topLinePunct w:val="0"/>
        <w:autoSpaceDE/>
        <w:autoSpaceDN/>
        <w:bidi w:val="0"/>
        <w:adjustRightInd/>
        <w:snapToGrid w:val="0"/>
        <w:spacing w:line="500" w:lineRule="exact"/>
        <w:ind w:firstLine="4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二次供水泵站各分区控制器提供以太网接口，将用户指定数据按照地址分配原则写入指定PLC存储区，详见通讯协议附件。用户可通过PC/PLC、上位机等实现集中控制（设定控制器控制运行、每台泵的起停、进水电动阀的调节、相关功能码参数的修改、控制器工作状态及故障信息的监控等）。 </w:t>
      </w:r>
    </w:p>
    <w:p w14:paraId="545FCD29">
      <w:pPr>
        <w:keepNext w:val="0"/>
        <w:keepLines w:val="0"/>
        <w:pageBreakBefore w:val="0"/>
        <w:kinsoku/>
        <w:wordWrap/>
        <w:overflowPunct/>
        <w:topLinePunct w:val="0"/>
        <w:autoSpaceDE/>
        <w:autoSpaceDN/>
        <w:bidi w:val="0"/>
        <w:adjustRightInd/>
        <w:snapToGrid w:val="0"/>
        <w:spacing w:line="500" w:lineRule="exact"/>
        <w:ind w:firstLine="4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（2）定点供应商需根据本招标文件中《可编程控制器通讯协议》的要求，提供所有二次供水泵站各分区工艺参数配套采集仪表，并将数据及信号接入各分区控制系统中。</w:t>
      </w:r>
    </w:p>
    <w:p w14:paraId="2CB996D2">
      <w:pPr>
        <w:keepNext w:val="0"/>
        <w:keepLines w:val="0"/>
        <w:pageBreakBefore w:val="0"/>
        <w:kinsoku/>
        <w:wordWrap/>
        <w:overflowPunct/>
        <w:topLinePunct w:val="0"/>
        <w:autoSpaceDE/>
        <w:autoSpaceDN/>
        <w:bidi w:val="0"/>
        <w:adjustRightInd/>
        <w:snapToGrid w:val="0"/>
        <w:spacing w:line="500" w:lineRule="exact"/>
        <w:ind w:firstLine="49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（3）通信协议具体实施时应符合采购单位实际需求，各入围供应商不得有任何异议。</w:t>
      </w:r>
    </w:p>
    <w:p w14:paraId="0A537419">
      <w:pPr>
        <w:keepNext w:val="0"/>
        <w:keepLines w:val="0"/>
        <w:pageBreakBefore w:val="0"/>
        <w:kinsoku/>
        <w:wordWrap/>
        <w:overflowPunct/>
        <w:topLinePunct w:val="0"/>
        <w:autoSpaceDE/>
        <w:autoSpaceDN/>
        <w:bidi w:val="0"/>
        <w:adjustRightInd/>
        <w:snapToGrid w:val="0"/>
        <w:spacing w:line="500" w:lineRule="exact"/>
        <w:ind w:firstLine="422" w:firstLineChars="200"/>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11、投标文件中应提交资料</w:t>
      </w:r>
      <w:r>
        <w:rPr>
          <w:rFonts w:hint="eastAsia" w:ascii="宋体" w:hAnsi="宋体" w:eastAsia="宋体" w:cs="宋体"/>
          <w:b/>
          <w:color w:val="auto"/>
          <w:szCs w:val="21"/>
          <w:highlight w:val="none"/>
          <w:lang w:val="zh-CN"/>
        </w:rPr>
        <w:t>：</w:t>
      </w:r>
    </w:p>
    <w:p w14:paraId="7CFA2540">
      <w:pPr>
        <w:keepNext w:val="0"/>
        <w:keepLines w:val="0"/>
        <w:pageBreakBefore w:val="0"/>
        <w:kinsoku/>
        <w:wordWrap/>
        <w:overflowPunct/>
        <w:topLinePunct w:val="0"/>
        <w:autoSpaceDE/>
        <w:autoSpaceDN/>
        <w:bidi w:val="0"/>
        <w:adjustRightInd/>
        <w:snapToGrid w:val="0"/>
        <w:spacing w:line="500" w:lineRule="exact"/>
        <w:ind w:firstLine="42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提供控制系统原理图。</w:t>
      </w:r>
    </w:p>
    <w:p w14:paraId="3E7C5FB3">
      <w:pPr>
        <w:keepNext w:val="0"/>
        <w:keepLines w:val="0"/>
        <w:pageBreakBefore w:val="0"/>
        <w:kinsoku/>
        <w:wordWrap/>
        <w:overflowPunct/>
        <w:topLinePunct w:val="0"/>
        <w:autoSpaceDE/>
        <w:autoSpaceDN/>
        <w:bidi w:val="0"/>
        <w:adjustRightInd/>
        <w:snapToGrid w:val="0"/>
        <w:spacing w:line="500" w:lineRule="exact"/>
        <w:ind w:firstLine="42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提供控制系统源程序。</w:t>
      </w:r>
    </w:p>
    <w:p w14:paraId="01EBE0ED">
      <w:pPr>
        <w:keepNext w:val="0"/>
        <w:keepLines w:val="0"/>
        <w:pageBreakBefore w:val="0"/>
        <w:kinsoku/>
        <w:wordWrap/>
        <w:overflowPunct/>
        <w:topLinePunct w:val="0"/>
        <w:autoSpaceDE/>
        <w:autoSpaceDN/>
        <w:bidi w:val="0"/>
        <w:adjustRightInd/>
        <w:snapToGrid w:val="0"/>
        <w:spacing w:line="500" w:lineRule="exact"/>
        <w:ind w:firstLine="42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技术需求中要求提交的其他资料。</w:t>
      </w:r>
    </w:p>
    <w:p w14:paraId="31EABB50">
      <w:pPr>
        <w:keepNext w:val="0"/>
        <w:keepLines w:val="0"/>
        <w:pageBreakBefore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合同签订前应提交资料：</w:t>
      </w:r>
    </w:p>
    <w:p w14:paraId="38C6FA83">
      <w:pPr>
        <w:keepNext w:val="0"/>
        <w:keepLines w:val="0"/>
        <w:pageBreakBefore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(1)提供控制系统主要设备、线缆、附件的品牌、规格型号、技术参数明细列表。</w:t>
      </w:r>
    </w:p>
    <w:p w14:paraId="1702024E">
      <w:pPr>
        <w:keepNext w:val="0"/>
        <w:keepLines w:val="0"/>
        <w:pageBreakBefore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(2)提供控制系统功能说明文档。</w:t>
      </w:r>
    </w:p>
    <w:p w14:paraId="7F45070B">
      <w:pPr>
        <w:keepNext w:val="0"/>
        <w:keepLines w:val="0"/>
        <w:pageBreakBefore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(3)提供控制系统接线图，包含柜内、柜外接线图。</w:t>
      </w:r>
    </w:p>
    <w:p w14:paraId="2B13B901">
      <w:pPr>
        <w:keepNext w:val="0"/>
        <w:keepLines w:val="0"/>
        <w:pageBreakBefore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(4)提供电气控制柜及水泵电机的使用说明书。</w:t>
      </w:r>
    </w:p>
    <w:p w14:paraId="319EE4C4">
      <w:pPr>
        <w:keepNext w:val="0"/>
        <w:keepLines w:val="0"/>
        <w:pageBreakBefore w:val="0"/>
        <w:kinsoku/>
        <w:wordWrap/>
        <w:overflowPunct/>
        <w:topLinePunct w:val="0"/>
        <w:autoSpaceDE/>
        <w:autoSpaceDN/>
        <w:bidi w:val="0"/>
        <w:adjustRightInd/>
        <w:snapToGrid w:val="0"/>
        <w:spacing w:line="5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(5)提供电气控制原理、接线图以及变频器、电力、显示仪表灯等设备的使用手册。</w:t>
      </w:r>
    </w:p>
    <w:p w14:paraId="4AED0977">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二、商务要求</w:t>
      </w:r>
    </w:p>
    <w:p w14:paraId="59579973">
      <w:pPr>
        <w:keepNext w:val="0"/>
        <w:keepLines w:val="0"/>
        <w:pageBreakBefore w:val="0"/>
        <w:tabs>
          <w:tab w:val="left" w:pos="2127"/>
        </w:tabs>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（一）货物的生产、安装、维修、检验、验收等按照以下原则执行：有国家标准的执行国家标准；无国家标准的执行行业标准；无行业标准的执行地方标准；无地方标准的执行企业标准。</w:t>
      </w:r>
    </w:p>
    <w:p w14:paraId="71B75718">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必须由详实的相关证明材料支撑。</w:t>
      </w:r>
    </w:p>
    <w:p w14:paraId="42904727">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（三）</w:t>
      </w:r>
      <w:r>
        <w:rPr>
          <w:rFonts w:hint="eastAsia" w:ascii="宋体" w:hAnsi="宋体" w:eastAsia="宋体" w:cs="宋体"/>
          <w:b/>
          <w:color w:val="auto"/>
          <w:szCs w:val="21"/>
          <w:highlight w:val="none"/>
        </w:rPr>
        <w:t>供货时</w:t>
      </w:r>
      <w:r>
        <w:rPr>
          <w:rFonts w:hint="eastAsia" w:ascii="宋体" w:hAnsi="宋体" w:eastAsia="宋体" w:cs="宋体"/>
          <w:bCs/>
          <w:color w:val="auto"/>
          <w:szCs w:val="21"/>
          <w:highlight w:val="none"/>
        </w:rPr>
        <w:t>所有货物</w:t>
      </w:r>
      <w:r>
        <w:rPr>
          <w:rFonts w:hint="eastAsia" w:ascii="宋体" w:hAnsi="宋体" w:eastAsia="宋体" w:cs="宋体"/>
          <w:color w:val="auto"/>
          <w:szCs w:val="21"/>
          <w:highlight w:val="none"/>
        </w:rPr>
        <w:t>（包括零部件）</w:t>
      </w:r>
      <w:r>
        <w:rPr>
          <w:rFonts w:hint="eastAsia" w:ascii="宋体" w:hAnsi="宋体" w:eastAsia="宋体" w:cs="宋体"/>
          <w:bCs/>
          <w:color w:val="auto"/>
          <w:szCs w:val="21"/>
          <w:highlight w:val="none"/>
        </w:rPr>
        <w:t>须为</w:t>
      </w:r>
      <w:r>
        <w:rPr>
          <w:rFonts w:hint="eastAsia" w:ascii="宋体" w:hAnsi="宋体" w:eastAsia="宋体" w:cs="宋体"/>
          <w:color w:val="auto"/>
          <w:szCs w:val="21"/>
          <w:highlight w:val="none"/>
        </w:rPr>
        <w:t>全新的、未使用过的</w:t>
      </w:r>
      <w:r>
        <w:rPr>
          <w:rFonts w:hint="eastAsia" w:ascii="宋体" w:hAnsi="宋体" w:eastAsia="宋体" w:cs="宋体"/>
          <w:bCs/>
          <w:color w:val="auto"/>
          <w:szCs w:val="21"/>
          <w:highlight w:val="none"/>
        </w:rPr>
        <w:t>原装正品，</w:t>
      </w:r>
      <w:r>
        <w:rPr>
          <w:rFonts w:hint="eastAsia" w:ascii="宋体" w:hAnsi="宋体" w:eastAsia="宋体" w:cs="宋体"/>
          <w:color w:val="auto"/>
          <w:szCs w:val="21"/>
          <w:highlight w:val="none"/>
        </w:rPr>
        <w:t>并完全符合国家质量标准，</w:t>
      </w:r>
      <w:r>
        <w:rPr>
          <w:rFonts w:hint="eastAsia" w:ascii="宋体" w:hAnsi="宋体" w:eastAsia="宋体" w:cs="宋体"/>
          <w:bCs/>
          <w:color w:val="auto"/>
          <w:szCs w:val="21"/>
          <w:highlight w:val="none"/>
        </w:rPr>
        <w:t>提供厂家出具的合格证书、有国家强制性认证要求的产品须提供相应证书，</w:t>
      </w:r>
      <w:r>
        <w:rPr>
          <w:rFonts w:hint="eastAsia" w:ascii="宋体" w:hAnsi="宋体" w:eastAsia="宋体" w:cs="宋体"/>
          <w:color w:val="auto"/>
          <w:szCs w:val="21"/>
          <w:highlight w:val="none"/>
        </w:rPr>
        <w:t xml:space="preserve">货物的技术参数及配置情况必须由投标人提供国家相关检测机构出具的检验报告、生产厂家公开发布的印刷资料等技术资料予以支持。没有技术资料支持的技术参数及配置不能视为响应。 </w:t>
      </w:r>
      <w:r>
        <w:rPr>
          <w:rFonts w:hint="eastAsia" w:ascii="宋体" w:hAnsi="宋体" w:eastAsia="宋体" w:cs="宋体"/>
          <w:b/>
          <w:color w:val="auto"/>
          <w:szCs w:val="21"/>
          <w:highlight w:val="none"/>
        </w:rPr>
        <w:t>(厂家出具的合格证书供货时提供)</w:t>
      </w:r>
    </w:p>
    <w:p w14:paraId="18390A41">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（四）技术支持</w:t>
      </w:r>
    </w:p>
    <w:p w14:paraId="6CDEECDC">
      <w:pPr>
        <w:keepNext w:val="0"/>
        <w:keepLines w:val="0"/>
        <w:pageBreakBefore w:val="0"/>
        <w:kinsoku/>
        <w:wordWrap/>
        <w:overflowPunct/>
        <w:topLinePunct w:val="0"/>
        <w:autoSpaceDE/>
        <w:autoSpaceDN/>
        <w:bidi w:val="0"/>
        <w:adjustRightInd/>
        <w:spacing w:line="50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1、中标供应商应向采购人提供全方位、及时而有效的技术支持和服务。</w:t>
      </w:r>
    </w:p>
    <w:p w14:paraId="4C9331DA">
      <w:pPr>
        <w:keepNext w:val="0"/>
        <w:keepLines w:val="0"/>
        <w:pageBreakBefore w:val="0"/>
        <w:kinsoku/>
        <w:wordWrap/>
        <w:overflowPunct/>
        <w:topLinePunct w:val="0"/>
        <w:autoSpaceDE/>
        <w:autoSpaceDN/>
        <w:bidi w:val="0"/>
        <w:adjustRightInd/>
        <w:spacing w:line="50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2、中标供应商负责供货、安装、调试。</w:t>
      </w:r>
    </w:p>
    <w:p w14:paraId="5EFB4529">
      <w:pPr>
        <w:keepNext w:val="0"/>
        <w:keepLines w:val="0"/>
        <w:pageBreakBefore w:val="0"/>
        <w:kinsoku/>
        <w:wordWrap/>
        <w:overflowPunct/>
        <w:topLinePunct w:val="0"/>
        <w:autoSpaceDE/>
        <w:autoSpaceDN/>
        <w:bidi w:val="0"/>
        <w:adjustRightInd/>
        <w:spacing w:line="50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供应商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296503E5">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（五）质保及售后服务：</w:t>
      </w:r>
    </w:p>
    <w:p w14:paraId="4583180B">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1、中标供应商须提供必须满足技术参数中要求的年限的免费质保服务所有质保费用均</w:t>
      </w:r>
      <w:r>
        <w:rPr>
          <w:rFonts w:hint="eastAsia" w:ascii="宋体" w:hAnsi="宋体" w:cs="宋体"/>
          <w:color w:val="auto"/>
          <w:szCs w:val="21"/>
          <w:highlight w:val="none"/>
          <w:lang w:val="en-US" w:eastAsia="zh-CN"/>
        </w:rPr>
        <w:t>不单独计算</w:t>
      </w:r>
      <w:r>
        <w:rPr>
          <w:rFonts w:hint="eastAsia" w:ascii="宋体" w:hAnsi="宋体" w:eastAsia="宋体" w:cs="宋体"/>
          <w:color w:val="auto"/>
          <w:szCs w:val="21"/>
          <w:highlight w:val="none"/>
        </w:rPr>
        <w:t>，履约期满后，应提供优先的有偿售后服务及按不高于投标文件中主要配件、易损件清单所报价格供应原厂零配件等。软件终身免费升级服务。</w:t>
      </w:r>
    </w:p>
    <w:p w14:paraId="03FB31C6">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中标供应商须设有维修服务电话，负责解答用户在货物使用中遇到的问题，及时提出解决问题的建议和操作方法。</w:t>
      </w:r>
    </w:p>
    <w:p w14:paraId="3707A35C">
      <w:pPr>
        <w:keepNext w:val="0"/>
        <w:keepLines w:val="0"/>
        <w:pageBreakBefore w:val="0"/>
        <w:kinsoku/>
        <w:wordWrap/>
        <w:overflowPunct/>
        <w:topLinePunct w:val="0"/>
        <w:autoSpaceDE/>
        <w:autoSpaceDN/>
        <w:bidi w:val="0"/>
        <w:adjustRightInd/>
        <w:snapToGrid w:val="0"/>
        <w:spacing w:line="500" w:lineRule="exact"/>
        <w:ind w:firstLine="64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3、售后服务及维修维护：①供应商售后响应时间</w:t>
      </w:r>
      <w:r>
        <w:rPr>
          <w:rFonts w:hint="eastAsia" w:ascii="宋体" w:hAnsi="宋体" w:eastAsia="宋体" w:cs="宋体"/>
          <w:color w:val="auto"/>
          <w:szCs w:val="21"/>
          <w:highlight w:val="none"/>
          <w:lang w:val="en-US" w:eastAsia="zh-CN"/>
        </w:rPr>
        <w:t>须在40min</w:t>
      </w:r>
      <w:r>
        <w:rPr>
          <w:rFonts w:hint="eastAsia" w:ascii="宋体" w:hAnsi="宋体" w:eastAsia="宋体" w:cs="宋体"/>
          <w:color w:val="auto"/>
          <w:szCs w:val="21"/>
          <w:highlight w:val="none"/>
        </w:rPr>
        <w:t>内到达现场。供货期：供货期必须满足招标文件要求，若中标供应商供货不及时或服务未按招标文件规定执行，采购人有权取消中标供应商供方资格、没收其履约保证金、上报滁州市公共资源交易监督管理局处理。维修费用，以及保修期内由于工程质量问题造成的损害赔偿。</w:t>
      </w:r>
    </w:p>
    <w:p w14:paraId="4C0D38B0">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标供应商质保期内每月至少一次现场巡检及保养，并作好记录，以保证设备正常运行。质保期满后要求永久性地进行免费的每半年一次的现场巡检保养；维修或产品出现故障时，中标供应商提供的零部件价格不得高于市场同类产品。</w:t>
      </w:r>
    </w:p>
    <w:p w14:paraId="3088E5DE">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③中标后1个月内须设有专门的易损件及备品备件仓库</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须满足在2小时内提供</w:t>
      </w:r>
      <w:r>
        <w:rPr>
          <w:rFonts w:hint="eastAsia" w:ascii="宋体" w:hAnsi="宋体" w:eastAsia="宋体" w:cs="宋体"/>
          <w:color w:val="auto"/>
          <w:szCs w:val="21"/>
          <w:highlight w:val="none"/>
        </w:rPr>
        <w:t>易损件及备品备件。投标时须提供清单（不低于自来水公司最低配置，详见附件6），自来水公司将不定期抽查核对备品备件库存，若不符将在每月的供应商评价时给予扣分。</w:t>
      </w:r>
    </w:p>
    <w:p w14:paraId="5D468B5C">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④中标供应商对配套的控制软件主动实施终身免费升级。泵房移交时，需提供控制系统源程序。</w:t>
      </w:r>
    </w:p>
    <w:p w14:paraId="1C7FFF81">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⑤全部监管具体详见附件3《二次供水成套设备定点供应商库内管理细则》、附件4《二次供水设备供应商综合评价管理办法》、附件5《二次供水设备供应商指标考评细则》。</w:t>
      </w:r>
    </w:p>
    <w:p w14:paraId="2CE6C5A2">
      <w:pPr>
        <w:keepNext w:val="0"/>
        <w:keepLines w:val="0"/>
        <w:pageBreakBefore w:val="0"/>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⑥要求投标人中标1个月内须为本项目配备不少于4人的维修技术人员，其中给排水、机电、电气自动化及电工专业各一人，</w:t>
      </w:r>
      <w:r>
        <w:rPr>
          <w:rFonts w:hint="eastAsia" w:ascii="宋体" w:hAnsi="宋体" w:eastAsia="宋体" w:cs="宋体"/>
          <w:b/>
          <w:color w:val="auto"/>
          <w:szCs w:val="21"/>
          <w:highlight w:val="none"/>
          <w:lang w:val="en-US" w:eastAsia="zh-CN"/>
        </w:rPr>
        <w:t>中标后</w:t>
      </w:r>
      <w:r>
        <w:rPr>
          <w:rFonts w:hint="eastAsia" w:ascii="宋体" w:hAnsi="宋体" w:eastAsia="宋体" w:cs="宋体"/>
          <w:b/>
          <w:color w:val="auto"/>
          <w:szCs w:val="21"/>
          <w:highlight w:val="none"/>
        </w:rPr>
        <w:t>须提供维修技术人员名单、相关证书及联系方式，电气自动化维修技术人员须具有中级或以上职称，机电专业人员须具备中级或以上职称，电工专业维修技术人员须具有执业资格证书。定点期内如维修人员调整须及时书面告知采购人，并提供调整后人员的相关证书给采购人审核。对于维修技术人员，自来水公司将不定期抽查，第一次抽查不合格的，通知中标供应商整改，给以通报处理并上报滁州市公共资源交易中心；第二次抽查不合格的，采购人有权取消该中标供应商合格供方资格，并没收其履约保证金。</w:t>
      </w:r>
    </w:p>
    <w:p w14:paraId="05F1A8FD">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培训：定点供应商应免费对自来水告诉相关专业人员进行专门培训，并提供培训资料。培训的时间安排和培训内容应由自来水公司确认，且每批次培训课时不低于40小时；培训发生的全部费用及在培训期间货物出现任何损坏均由中标供应商承担。培训内容包括但不限于：工程现场设备软硬件培训，远程监控系统相关培训，常见故障的判断及排查培训。</w:t>
      </w:r>
    </w:p>
    <w:p w14:paraId="388E2957">
      <w:pPr>
        <w:keepNext w:val="0"/>
        <w:keepLines w:val="0"/>
        <w:pageBreakBefore w:val="0"/>
        <w:kinsoku/>
        <w:wordWrap/>
        <w:overflowPunct/>
        <w:topLinePunct w:val="0"/>
        <w:autoSpaceDE/>
        <w:autoSpaceDN/>
        <w:bidi w:val="0"/>
        <w:adjustRightInd/>
        <w:spacing w:line="5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质保服务：基本履约期（履约期内须免费质保，下同）为</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年，履约期从签订《二次供水设施管理维护协议》生效之日起计算，具体期限以中标人自行承诺的期限为准，承诺履约期满后一周内双方无异议则退还履约保证金。</w:t>
      </w:r>
    </w:p>
    <w:p w14:paraId="252DE8C1">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（七）交货期: 按采购人要求</w:t>
      </w:r>
    </w:p>
    <w:p w14:paraId="22B61FEB">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（八）交货地点：采购人指定地点 </w:t>
      </w:r>
    </w:p>
    <w:p w14:paraId="04297F8C">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（九）验收：</w:t>
      </w:r>
    </w:p>
    <w:p w14:paraId="1A0CCBA8">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和相关部门按照国家规定标准验收，没有国家标准的按行业标准验收，无行业标准的按地方或企业标准验收，中标供应商予以配合。涉及安全、消防、环保等其他需要由质检或行业主管部门验收的项目，采购人须约请相关部门和专家参加项目验收。</w:t>
      </w:r>
    </w:p>
    <w:p w14:paraId="60E689F7">
      <w:pPr>
        <w:keepNext w:val="0"/>
        <w:keepLines w:val="0"/>
        <w:pageBreakBefore w:val="0"/>
        <w:kinsoku/>
        <w:wordWrap/>
        <w:overflowPunct/>
        <w:topLinePunct w:val="0"/>
        <w:autoSpaceDE/>
        <w:autoSpaceDN/>
        <w:bidi w:val="0"/>
        <w:adjustRightInd/>
        <w:spacing w:line="500" w:lineRule="exact"/>
        <w:ind w:firstLine="315" w:firstLine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7F46BF28">
      <w:pPr>
        <w:pStyle w:val="52"/>
        <w:rPr>
          <w:rFonts w:hint="eastAsia" w:ascii="宋体" w:hAnsi="宋体" w:cs="宋体"/>
          <w:color w:val="auto"/>
          <w:szCs w:val="21"/>
          <w:highlight w:val="none"/>
        </w:rPr>
      </w:pPr>
    </w:p>
    <w:p w14:paraId="73D7DCAD">
      <w:pPr>
        <w:pStyle w:val="52"/>
        <w:ind w:left="0" w:leftChars="0" w:firstLine="0" w:firstLineChars="0"/>
        <w:rPr>
          <w:rFonts w:hint="eastAsia" w:ascii="宋体" w:hAnsi="宋体" w:cs="宋体"/>
          <w:color w:val="auto"/>
          <w:szCs w:val="21"/>
          <w:highlight w:val="none"/>
        </w:rPr>
      </w:pPr>
    </w:p>
    <w:p w14:paraId="716A60DA">
      <w:pPr>
        <w:pStyle w:val="4"/>
        <w:spacing w:line="440" w:lineRule="exact"/>
        <w:rPr>
          <w:rFonts w:hAnsi="宋体"/>
          <w:b w:val="0"/>
          <w:bCs w:val="0"/>
          <w:color w:val="auto"/>
          <w:sz w:val="24"/>
          <w:szCs w:val="24"/>
          <w:highlight w:val="none"/>
        </w:rPr>
      </w:pPr>
      <w:r>
        <w:rPr>
          <w:rFonts w:hint="eastAsia" w:hAnsi="宋体"/>
          <w:bCs w:val="0"/>
          <w:color w:val="auto"/>
          <w:sz w:val="24"/>
          <w:szCs w:val="24"/>
          <w:highlight w:val="none"/>
        </w:rPr>
        <w:t>附件1：</w:t>
      </w:r>
      <w:r>
        <w:rPr>
          <w:rFonts w:hint="eastAsia" w:hAnsi="宋体"/>
          <w:b w:val="0"/>
          <w:bCs w:val="0"/>
          <w:color w:val="auto"/>
          <w:sz w:val="24"/>
          <w:szCs w:val="24"/>
          <w:highlight w:val="none"/>
        </w:rPr>
        <w:t xml:space="preserve">可编程控制器通讯协议 </w:t>
      </w:r>
    </w:p>
    <w:p w14:paraId="7DAD00B4">
      <w:pPr>
        <w:autoSpaceDE w:val="0"/>
        <w:autoSpaceDN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二次供水泵站各分区PLC经由现场工业交换机通过专线与滁州市自来水有限公司中心机房连接，通过读取现场PLC数据实现二次供水泵站远程监控。二次供水成套设备供应商将所需数据按照本协议要求写入PLC指定存储区。</w:t>
      </w:r>
    </w:p>
    <w:p w14:paraId="473A6E22">
      <w:pPr>
        <w:spacing w:line="440" w:lineRule="exact"/>
        <w:ind w:firstLine="435"/>
        <w:rPr>
          <w:rFonts w:hint="eastAsia" w:ascii="宋体" w:hAnsi="宋体"/>
          <w:color w:val="auto"/>
          <w:sz w:val="24"/>
          <w:highlight w:val="none"/>
        </w:rPr>
      </w:pPr>
      <w:r>
        <w:rPr>
          <w:rFonts w:hint="eastAsia" w:ascii="宋体" w:hAnsi="宋体"/>
          <w:color w:val="auto"/>
          <w:sz w:val="24"/>
          <w:highlight w:val="none"/>
        </w:rPr>
        <w:t>由于每个泵站分区数量的不同，供应商应将所有分区的所需数据写入低区控制器指定存储区，低区数据起始数据为“泵前压力 VD1000”，结束数据为“远程进水电动阀调节VD1090”；中区数据起始数据为“泵前压力 VD1100”， 结束数据为“远程进水电动阀调节VD1190”；高区数据起始数据为“泵前压力 VD1200”， 结束数据为“远程进水电动阀调节VD1290”，以此类推直至所有分区。</w:t>
      </w:r>
    </w:p>
    <w:p w14:paraId="0B811DC1">
      <w:pPr>
        <w:spacing w:line="440" w:lineRule="exact"/>
        <w:ind w:firstLine="437"/>
        <w:jc w:val="center"/>
        <w:rPr>
          <w:rFonts w:hint="eastAsia" w:ascii="宋体" w:hAnsi="宋体"/>
          <w:color w:val="auto"/>
          <w:sz w:val="24"/>
          <w:highlight w:val="none"/>
        </w:rPr>
      </w:pPr>
      <w:r>
        <w:rPr>
          <w:rFonts w:hint="eastAsia" w:ascii="宋体" w:hAnsi="宋体"/>
          <w:color w:val="auto"/>
          <w:sz w:val="24"/>
          <w:highlight w:val="none"/>
        </w:rPr>
        <w:t>各分区PLC远程监控数据地址分配表</w:t>
      </w:r>
    </w:p>
    <w:p w14:paraId="2C8379CE">
      <w:pPr>
        <w:spacing w:line="440" w:lineRule="exact"/>
        <w:ind w:firstLine="435"/>
        <w:rPr>
          <w:rFonts w:hint="eastAsia" w:ascii="宋体" w:hAnsi="宋体"/>
          <w:color w:val="auto"/>
          <w:szCs w:val="21"/>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1980"/>
        <w:gridCol w:w="2160"/>
        <w:gridCol w:w="1949"/>
      </w:tblGrid>
      <w:tr w14:paraId="32FB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E5B66CD">
            <w:pPr>
              <w:spacing w:line="440" w:lineRule="exact"/>
              <w:rPr>
                <w:rFonts w:hint="eastAsia" w:ascii="宋体" w:hAnsi="宋体"/>
                <w:color w:val="auto"/>
                <w:sz w:val="24"/>
                <w:highlight w:val="none"/>
              </w:rPr>
            </w:pPr>
            <w:r>
              <w:rPr>
                <w:rFonts w:hint="eastAsia" w:ascii="宋体" w:hAnsi="宋体"/>
                <w:color w:val="auto"/>
                <w:sz w:val="24"/>
                <w:highlight w:val="none"/>
              </w:rPr>
              <w:t>序号</w:t>
            </w:r>
          </w:p>
        </w:tc>
        <w:tc>
          <w:tcPr>
            <w:tcW w:w="2160" w:type="dxa"/>
            <w:noWrap w:val="0"/>
            <w:vAlign w:val="top"/>
          </w:tcPr>
          <w:p w14:paraId="11E8FF38">
            <w:pPr>
              <w:spacing w:line="440" w:lineRule="exact"/>
              <w:rPr>
                <w:rFonts w:hint="eastAsia" w:ascii="宋体" w:hAnsi="宋体"/>
                <w:color w:val="auto"/>
                <w:sz w:val="24"/>
                <w:highlight w:val="none"/>
              </w:rPr>
            </w:pPr>
            <w:r>
              <w:rPr>
                <w:rFonts w:hint="eastAsia" w:ascii="宋体" w:hAnsi="宋体"/>
                <w:color w:val="auto"/>
                <w:sz w:val="24"/>
                <w:highlight w:val="none"/>
              </w:rPr>
              <w:t>参数名称</w:t>
            </w:r>
          </w:p>
        </w:tc>
        <w:tc>
          <w:tcPr>
            <w:tcW w:w="1980" w:type="dxa"/>
            <w:noWrap w:val="0"/>
            <w:vAlign w:val="top"/>
          </w:tcPr>
          <w:p w14:paraId="46CA9431">
            <w:pPr>
              <w:spacing w:line="440" w:lineRule="exact"/>
              <w:rPr>
                <w:rFonts w:hint="eastAsia" w:ascii="宋体" w:hAnsi="宋体"/>
                <w:color w:val="auto"/>
                <w:sz w:val="24"/>
                <w:highlight w:val="none"/>
              </w:rPr>
            </w:pPr>
            <w:r>
              <w:rPr>
                <w:rFonts w:hint="eastAsia" w:ascii="宋体" w:hAnsi="宋体"/>
                <w:color w:val="auto"/>
                <w:sz w:val="24"/>
                <w:highlight w:val="none"/>
              </w:rPr>
              <w:t>内存地址</w:t>
            </w:r>
          </w:p>
        </w:tc>
        <w:tc>
          <w:tcPr>
            <w:tcW w:w="2160" w:type="dxa"/>
            <w:noWrap w:val="0"/>
            <w:vAlign w:val="top"/>
          </w:tcPr>
          <w:p w14:paraId="7F0DD0FC">
            <w:pPr>
              <w:spacing w:line="440" w:lineRule="exact"/>
              <w:rPr>
                <w:rFonts w:hint="eastAsia" w:ascii="宋体" w:hAnsi="宋体"/>
                <w:color w:val="auto"/>
                <w:sz w:val="24"/>
                <w:highlight w:val="none"/>
              </w:rPr>
            </w:pPr>
            <w:r>
              <w:rPr>
                <w:rFonts w:hint="eastAsia" w:ascii="宋体" w:hAnsi="宋体"/>
                <w:color w:val="auto"/>
                <w:sz w:val="24"/>
                <w:highlight w:val="none"/>
              </w:rPr>
              <w:t>读写方式/单位/小数点保留位数</w:t>
            </w:r>
          </w:p>
        </w:tc>
        <w:tc>
          <w:tcPr>
            <w:tcW w:w="1949" w:type="dxa"/>
            <w:noWrap w:val="0"/>
            <w:vAlign w:val="top"/>
          </w:tcPr>
          <w:p w14:paraId="7B1C8B4E">
            <w:pPr>
              <w:spacing w:line="440" w:lineRule="exact"/>
              <w:rPr>
                <w:rFonts w:hint="eastAsia" w:ascii="宋体" w:hAnsi="宋体"/>
                <w:color w:val="auto"/>
                <w:sz w:val="24"/>
                <w:highlight w:val="none"/>
              </w:rPr>
            </w:pPr>
            <w:r>
              <w:rPr>
                <w:rFonts w:hint="eastAsia" w:ascii="宋体" w:hAnsi="宋体"/>
                <w:color w:val="auto"/>
                <w:sz w:val="24"/>
                <w:highlight w:val="none"/>
              </w:rPr>
              <w:t>备注</w:t>
            </w:r>
          </w:p>
        </w:tc>
      </w:tr>
      <w:tr w14:paraId="639C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88BE26A">
            <w:pPr>
              <w:spacing w:line="440" w:lineRule="exact"/>
              <w:rPr>
                <w:rFonts w:hint="eastAsia" w:ascii="宋体" w:hAnsi="宋体"/>
                <w:color w:val="auto"/>
                <w:sz w:val="24"/>
                <w:highlight w:val="none"/>
              </w:rPr>
            </w:pPr>
            <w:r>
              <w:rPr>
                <w:rFonts w:hint="eastAsia" w:ascii="宋体" w:hAnsi="宋体"/>
                <w:color w:val="auto"/>
                <w:sz w:val="24"/>
                <w:highlight w:val="none"/>
              </w:rPr>
              <w:t>1</w:t>
            </w:r>
          </w:p>
        </w:tc>
        <w:tc>
          <w:tcPr>
            <w:tcW w:w="2160" w:type="dxa"/>
            <w:noWrap w:val="0"/>
            <w:vAlign w:val="top"/>
          </w:tcPr>
          <w:p w14:paraId="4518C95B">
            <w:pPr>
              <w:spacing w:line="440" w:lineRule="exact"/>
              <w:rPr>
                <w:rFonts w:hint="eastAsia" w:ascii="宋体" w:hAnsi="宋体"/>
                <w:color w:val="auto"/>
                <w:sz w:val="24"/>
                <w:highlight w:val="none"/>
              </w:rPr>
            </w:pPr>
            <w:r>
              <w:rPr>
                <w:rFonts w:hint="eastAsia" w:ascii="宋体" w:hAnsi="宋体"/>
                <w:color w:val="auto"/>
                <w:sz w:val="24"/>
                <w:highlight w:val="none"/>
              </w:rPr>
              <w:t>泵前压力</w:t>
            </w:r>
          </w:p>
        </w:tc>
        <w:tc>
          <w:tcPr>
            <w:tcW w:w="1980" w:type="dxa"/>
            <w:noWrap w:val="0"/>
            <w:vAlign w:val="top"/>
          </w:tcPr>
          <w:p w14:paraId="2BBBB06A">
            <w:pPr>
              <w:spacing w:line="440" w:lineRule="exact"/>
              <w:rPr>
                <w:rFonts w:hint="eastAsia" w:ascii="宋体" w:hAnsi="宋体"/>
                <w:color w:val="auto"/>
                <w:sz w:val="24"/>
                <w:highlight w:val="none"/>
              </w:rPr>
            </w:pPr>
            <w:r>
              <w:rPr>
                <w:rFonts w:hint="eastAsia" w:ascii="宋体" w:hAnsi="宋体"/>
                <w:color w:val="auto"/>
                <w:sz w:val="24"/>
                <w:highlight w:val="none"/>
              </w:rPr>
              <w:t>VD1000（real）</w:t>
            </w:r>
          </w:p>
        </w:tc>
        <w:tc>
          <w:tcPr>
            <w:tcW w:w="2160" w:type="dxa"/>
            <w:noWrap w:val="0"/>
            <w:vAlign w:val="top"/>
          </w:tcPr>
          <w:p w14:paraId="017A8AF5">
            <w:pPr>
              <w:spacing w:line="440" w:lineRule="exact"/>
              <w:rPr>
                <w:rFonts w:hint="eastAsia" w:ascii="宋体" w:hAnsi="宋体"/>
                <w:color w:val="auto"/>
                <w:sz w:val="24"/>
                <w:highlight w:val="none"/>
              </w:rPr>
            </w:pPr>
            <w:r>
              <w:rPr>
                <w:rFonts w:hint="eastAsia" w:ascii="宋体" w:hAnsi="宋体"/>
                <w:color w:val="auto"/>
                <w:sz w:val="24"/>
                <w:highlight w:val="none"/>
              </w:rPr>
              <w:t>R/O；Mpa；3位</w:t>
            </w:r>
          </w:p>
        </w:tc>
        <w:tc>
          <w:tcPr>
            <w:tcW w:w="1949" w:type="dxa"/>
            <w:noWrap w:val="0"/>
            <w:vAlign w:val="top"/>
          </w:tcPr>
          <w:p w14:paraId="18BE82C1">
            <w:pPr>
              <w:spacing w:line="440" w:lineRule="exact"/>
              <w:rPr>
                <w:rFonts w:hint="eastAsia" w:ascii="宋体" w:hAnsi="宋体"/>
                <w:color w:val="auto"/>
                <w:sz w:val="24"/>
                <w:highlight w:val="none"/>
              </w:rPr>
            </w:pPr>
          </w:p>
        </w:tc>
      </w:tr>
      <w:tr w14:paraId="28C8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E28537D">
            <w:pPr>
              <w:spacing w:line="440" w:lineRule="exact"/>
              <w:rPr>
                <w:rFonts w:hint="eastAsia" w:ascii="宋体" w:hAnsi="宋体"/>
                <w:color w:val="auto"/>
                <w:sz w:val="24"/>
                <w:highlight w:val="none"/>
              </w:rPr>
            </w:pPr>
            <w:r>
              <w:rPr>
                <w:rFonts w:hint="eastAsia" w:ascii="宋体" w:hAnsi="宋体"/>
                <w:color w:val="auto"/>
                <w:sz w:val="24"/>
                <w:highlight w:val="none"/>
              </w:rPr>
              <w:t>2</w:t>
            </w:r>
          </w:p>
        </w:tc>
        <w:tc>
          <w:tcPr>
            <w:tcW w:w="2160" w:type="dxa"/>
            <w:noWrap w:val="0"/>
            <w:vAlign w:val="top"/>
          </w:tcPr>
          <w:p w14:paraId="5A0CF2F5">
            <w:pPr>
              <w:spacing w:line="440" w:lineRule="exact"/>
              <w:rPr>
                <w:rFonts w:hint="eastAsia" w:ascii="宋体" w:hAnsi="宋体"/>
                <w:color w:val="auto"/>
                <w:sz w:val="24"/>
                <w:highlight w:val="none"/>
              </w:rPr>
            </w:pPr>
            <w:r>
              <w:rPr>
                <w:rFonts w:hint="eastAsia" w:ascii="宋体" w:hAnsi="宋体"/>
                <w:color w:val="auto"/>
                <w:sz w:val="24"/>
                <w:highlight w:val="none"/>
              </w:rPr>
              <w:t>泵后压力</w:t>
            </w:r>
          </w:p>
        </w:tc>
        <w:tc>
          <w:tcPr>
            <w:tcW w:w="1980" w:type="dxa"/>
            <w:noWrap w:val="0"/>
            <w:vAlign w:val="top"/>
          </w:tcPr>
          <w:p w14:paraId="7AC2676C">
            <w:pPr>
              <w:spacing w:line="440" w:lineRule="exact"/>
              <w:rPr>
                <w:rFonts w:hint="eastAsia" w:ascii="宋体" w:hAnsi="宋体"/>
                <w:color w:val="auto"/>
                <w:sz w:val="24"/>
                <w:highlight w:val="none"/>
              </w:rPr>
            </w:pPr>
            <w:r>
              <w:rPr>
                <w:rFonts w:hint="eastAsia" w:ascii="宋体" w:hAnsi="宋体"/>
                <w:color w:val="auto"/>
                <w:sz w:val="24"/>
                <w:highlight w:val="none"/>
              </w:rPr>
              <w:t>VD1004（real）</w:t>
            </w:r>
          </w:p>
        </w:tc>
        <w:tc>
          <w:tcPr>
            <w:tcW w:w="2160" w:type="dxa"/>
            <w:noWrap w:val="0"/>
            <w:vAlign w:val="top"/>
          </w:tcPr>
          <w:p w14:paraId="7AFF4FF7">
            <w:pPr>
              <w:spacing w:line="440" w:lineRule="exact"/>
              <w:rPr>
                <w:rFonts w:hint="eastAsia" w:ascii="宋体" w:hAnsi="宋体"/>
                <w:color w:val="auto"/>
                <w:sz w:val="24"/>
                <w:highlight w:val="none"/>
              </w:rPr>
            </w:pPr>
            <w:r>
              <w:rPr>
                <w:rFonts w:hint="eastAsia" w:ascii="宋体" w:hAnsi="宋体"/>
                <w:color w:val="auto"/>
                <w:sz w:val="24"/>
                <w:highlight w:val="none"/>
              </w:rPr>
              <w:t>R/O；Mpa；3位</w:t>
            </w:r>
          </w:p>
        </w:tc>
        <w:tc>
          <w:tcPr>
            <w:tcW w:w="1949" w:type="dxa"/>
            <w:noWrap w:val="0"/>
            <w:vAlign w:val="top"/>
          </w:tcPr>
          <w:p w14:paraId="023FFDC1">
            <w:pPr>
              <w:spacing w:line="440" w:lineRule="exact"/>
              <w:rPr>
                <w:rFonts w:hint="eastAsia" w:ascii="宋体" w:hAnsi="宋体"/>
                <w:color w:val="auto"/>
                <w:sz w:val="24"/>
                <w:highlight w:val="none"/>
              </w:rPr>
            </w:pPr>
          </w:p>
        </w:tc>
      </w:tr>
      <w:tr w14:paraId="4A18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4EDDB5D">
            <w:pPr>
              <w:spacing w:line="440" w:lineRule="exact"/>
              <w:rPr>
                <w:rFonts w:hint="eastAsia" w:ascii="宋体" w:hAnsi="宋体"/>
                <w:color w:val="auto"/>
                <w:sz w:val="24"/>
                <w:highlight w:val="none"/>
              </w:rPr>
            </w:pPr>
            <w:r>
              <w:rPr>
                <w:rFonts w:hint="eastAsia" w:ascii="宋体" w:hAnsi="宋体"/>
                <w:color w:val="auto"/>
                <w:sz w:val="24"/>
                <w:highlight w:val="none"/>
              </w:rPr>
              <w:t>3</w:t>
            </w:r>
          </w:p>
        </w:tc>
        <w:tc>
          <w:tcPr>
            <w:tcW w:w="2160" w:type="dxa"/>
            <w:noWrap w:val="0"/>
            <w:vAlign w:val="top"/>
          </w:tcPr>
          <w:p w14:paraId="0F739E83">
            <w:pPr>
              <w:spacing w:line="440" w:lineRule="exact"/>
              <w:rPr>
                <w:rFonts w:hint="eastAsia" w:ascii="宋体" w:hAnsi="宋体"/>
                <w:color w:val="auto"/>
                <w:sz w:val="24"/>
                <w:highlight w:val="none"/>
              </w:rPr>
            </w:pPr>
            <w:r>
              <w:rPr>
                <w:rFonts w:hint="eastAsia" w:ascii="宋体" w:hAnsi="宋体"/>
                <w:color w:val="auto"/>
                <w:sz w:val="24"/>
                <w:highlight w:val="none"/>
              </w:rPr>
              <w:t>水箱水位</w:t>
            </w:r>
          </w:p>
        </w:tc>
        <w:tc>
          <w:tcPr>
            <w:tcW w:w="1980" w:type="dxa"/>
            <w:noWrap w:val="0"/>
            <w:vAlign w:val="top"/>
          </w:tcPr>
          <w:p w14:paraId="4AC9FD4B">
            <w:pPr>
              <w:spacing w:line="440" w:lineRule="exact"/>
              <w:rPr>
                <w:rFonts w:hint="eastAsia" w:ascii="宋体" w:hAnsi="宋体"/>
                <w:color w:val="auto"/>
                <w:sz w:val="24"/>
                <w:highlight w:val="none"/>
              </w:rPr>
            </w:pPr>
            <w:r>
              <w:rPr>
                <w:rFonts w:hint="eastAsia" w:ascii="宋体" w:hAnsi="宋体"/>
                <w:color w:val="auto"/>
                <w:sz w:val="24"/>
                <w:highlight w:val="none"/>
              </w:rPr>
              <w:t>VD1008（real）</w:t>
            </w:r>
          </w:p>
        </w:tc>
        <w:tc>
          <w:tcPr>
            <w:tcW w:w="2160" w:type="dxa"/>
            <w:noWrap w:val="0"/>
            <w:vAlign w:val="top"/>
          </w:tcPr>
          <w:p w14:paraId="3B95AA95">
            <w:pPr>
              <w:spacing w:line="440" w:lineRule="exact"/>
              <w:rPr>
                <w:rFonts w:hint="eastAsia" w:ascii="宋体" w:hAnsi="宋体"/>
                <w:color w:val="auto"/>
                <w:sz w:val="24"/>
                <w:highlight w:val="none"/>
              </w:rPr>
            </w:pPr>
            <w:r>
              <w:rPr>
                <w:rFonts w:hint="eastAsia" w:ascii="宋体" w:hAnsi="宋体"/>
                <w:color w:val="auto"/>
                <w:sz w:val="24"/>
                <w:highlight w:val="none"/>
              </w:rPr>
              <w:t>R/O；米；3位</w:t>
            </w:r>
          </w:p>
        </w:tc>
        <w:tc>
          <w:tcPr>
            <w:tcW w:w="1949" w:type="dxa"/>
            <w:noWrap w:val="0"/>
            <w:vAlign w:val="top"/>
          </w:tcPr>
          <w:p w14:paraId="76C911EA">
            <w:pPr>
              <w:spacing w:line="440" w:lineRule="exact"/>
              <w:rPr>
                <w:rFonts w:hint="eastAsia" w:ascii="宋体" w:hAnsi="宋体"/>
                <w:color w:val="auto"/>
                <w:sz w:val="24"/>
                <w:highlight w:val="none"/>
              </w:rPr>
            </w:pPr>
            <w:r>
              <w:rPr>
                <w:rFonts w:hint="eastAsia" w:ascii="宋体" w:hAnsi="宋体"/>
                <w:color w:val="auto"/>
                <w:sz w:val="24"/>
                <w:highlight w:val="none"/>
              </w:rPr>
              <w:t>仅水箱式</w:t>
            </w:r>
          </w:p>
        </w:tc>
      </w:tr>
      <w:tr w14:paraId="3B21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51092D04">
            <w:pPr>
              <w:spacing w:line="440" w:lineRule="exact"/>
              <w:rPr>
                <w:rFonts w:hint="eastAsia" w:ascii="宋体" w:hAnsi="宋体"/>
                <w:color w:val="auto"/>
                <w:sz w:val="24"/>
                <w:highlight w:val="none"/>
              </w:rPr>
            </w:pPr>
            <w:r>
              <w:rPr>
                <w:rFonts w:hint="eastAsia" w:ascii="宋体" w:hAnsi="宋体"/>
                <w:color w:val="auto"/>
                <w:sz w:val="24"/>
                <w:highlight w:val="none"/>
              </w:rPr>
              <w:t>4</w:t>
            </w:r>
          </w:p>
        </w:tc>
        <w:tc>
          <w:tcPr>
            <w:tcW w:w="2160" w:type="dxa"/>
            <w:noWrap w:val="0"/>
            <w:vAlign w:val="top"/>
          </w:tcPr>
          <w:p w14:paraId="4640AFA6">
            <w:pPr>
              <w:spacing w:line="440" w:lineRule="exact"/>
              <w:rPr>
                <w:rFonts w:hint="eastAsia" w:ascii="宋体" w:hAnsi="宋体"/>
                <w:color w:val="auto"/>
                <w:sz w:val="24"/>
                <w:highlight w:val="none"/>
              </w:rPr>
            </w:pPr>
            <w:r>
              <w:rPr>
                <w:rFonts w:hint="eastAsia" w:ascii="宋体" w:hAnsi="宋体"/>
                <w:color w:val="auto"/>
                <w:sz w:val="24"/>
                <w:highlight w:val="none"/>
              </w:rPr>
              <w:t>电机电流Ia</w:t>
            </w:r>
          </w:p>
        </w:tc>
        <w:tc>
          <w:tcPr>
            <w:tcW w:w="1980" w:type="dxa"/>
            <w:noWrap w:val="0"/>
            <w:vAlign w:val="top"/>
          </w:tcPr>
          <w:p w14:paraId="6B09CAC3">
            <w:pPr>
              <w:spacing w:line="440" w:lineRule="exact"/>
              <w:rPr>
                <w:rFonts w:hint="eastAsia" w:ascii="宋体" w:hAnsi="宋体"/>
                <w:color w:val="auto"/>
                <w:sz w:val="24"/>
                <w:highlight w:val="none"/>
              </w:rPr>
            </w:pPr>
            <w:r>
              <w:rPr>
                <w:rFonts w:hint="eastAsia" w:ascii="宋体" w:hAnsi="宋体"/>
                <w:color w:val="auto"/>
                <w:sz w:val="24"/>
                <w:highlight w:val="none"/>
              </w:rPr>
              <w:t>VD1012（real）</w:t>
            </w:r>
          </w:p>
        </w:tc>
        <w:tc>
          <w:tcPr>
            <w:tcW w:w="2160" w:type="dxa"/>
            <w:noWrap w:val="0"/>
            <w:vAlign w:val="top"/>
          </w:tcPr>
          <w:p w14:paraId="2AD2BB37">
            <w:pPr>
              <w:spacing w:line="440" w:lineRule="exact"/>
              <w:rPr>
                <w:rFonts w:hint="eastAsia" w:ascii="宋体" w:hAnsi="宋体"/>
                <w:color w:val="auto"/>
                <w:sz w:val="24"/>
                <w:highlight w:val="none"/>
              </w:rPr>
            </w:pPr>
            <w:r>
              <w:rPr>
                <w:rFonts w:hint="eastAsia" w:ascii="宋体" w:hAnsi="宋体"/>
                <w:color w:val="auto"/>
                <w:sz w:val="24"/>
                <w:highlight w:val="none"/>
              </w:rPr>
              <w:t>R/O；A；1位</w:t>
            </w:r>
          </w:p>
        </w:tc>
        <w:tc>
          <w:tcPr>
            <w:tcW w:w="1949" w:type="dxa"/>
            <w:noWrap w:val="0"/>
            <w:vAlign w:val="top"/>
          </w:tcPr>
          <w:p w14:paraId="7E0CD2FE">
            <w:pPr>
              <w:spacing w:line="440" w:lineRule="exact"/>
              <w:rPr>
                <w:rFonts w:hint="eastAsia" w:ascii="宋体" w:hAnsi="宋体"/>
                <w:color w:val="auto"/>
                <w:sz w:val="24"/>
                <w:highlight w:val="none"/>
              </w:rPr>
            </w:pPr>
          </w:p>
        </w:tc>
      </w:tr>
      <w:tr w14:paraId="62EE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5DC4D2B">
            <w:pPr>
              <w:spacing w:line="440" w:lineRule="exact"/>
              <w:rPr>
                <w:rFonts w:hint="eastAsia" w:ascii="宋体" w:hAnsi="宋体"/>
                <w:color w:val="auto"/>
                <w:sz w:val="24"/>
                <w:highlight w:val="none"/>
              </w:rPr>
            </w:pPr>
            <w:r>
              <w:rPr>
                <w:rFonts w:hint="eastAsia" w:ascii="宋体" w:hAnsi="宋体"/>
                <w:color w:val="auto"/>
                <w:sz w:val="24"/>
                <w:highlight w:val="none"/>
              </w:rPr>
              <w:t>5</w:t>
            </w:r>
          </w:p>
        </w:tc>
        <w:tc>
          <w:tcPr>
            <w:tcW w:w="2160" w:type="dxa"/>
            <w:noWrap w:val="0"/>
            <w:vAlign w:val="top"/>
          </w:tcPr>
          <w:p w14:paraId="4382DC6D">
            <w:pPr>
              <w:spacing w:line="440" w:lineRule="exact"/>
              <w:rPr>
                <w:rFonts w:hint="eastAsia" w:ascii="宋体" w:hAnsi="宋体"/>
                <w:color w:val="auto"/>
                <w:sz w:val="24"/>
                <w:highlight w:val="none"/>
              </w:rPr>
            </w:pPr>
            <w:r>
              <w:rPr>
                <w:rFonts w:hint="eastAsia" w:ascii="宋体" w:hAnsi="宋体"/>
                <w:color w:val="auto"/>
                <w:sz w:val="24"/>
                <w:highlight w:val="none"/>
              </w:rPr>
              <w:t>电机电流Ib</w:t>
            </w:r>
          </w:p>
        </w:tc>
        <w:tc>
          <w:tcPr>
            <w:tcW w:w="1980" w:type="dxa"/>
            <w:noWrap w:val="0"/>
            <w:vAlign w:val="top"/>
          </w:tcPr>
          <w:p w14:paraId="23A22960">
            <w:pPr>
              <w:spacing w:line="440" w:lineRule="exact"/>
              <w:rPr>
                <w:rFonts w:hint="eastAsia" w:ascii="宋体" w:hAnsi="宋体"/>
                <w:color w:val="auto"/>
                <w:sz w:val="24"/>
                <w:highlight w:val="none"/>
              </w:rPr>
            </w:pPr>
            <w:r>
              <w:rPr>
                <w:rFonts w:hint="eastAsia" w:ascii="宋体" w:hAnsi="宋体"/>
                <w:color w:val="auto"/>
                <w:sz w:val="24"/>
                <w:highlight w:val="none"/>
              </w:rPr>
              <w:t>VD1016（real）</w:t>
            </w:r>
          </w:p>
        </w:tc>
        <w:tc>
          <w:tcPr>
            <w:tcW w:w="2160" w:type="dxa"/>
            <w:noWrap w:val="0"/>
            <w:vAlign w:val="top"/>
          </w:tcPr>
          <w:p w14:paraId="4032B776">
            <w:pPr>
              <w:spacing w:line="440" w:lineRule="exact"/>
              <w:rPr>
                <w:rFonts w:hint="eastAsia" w:ascii="宋体" w:hAnsi="宋体"/>
                <w:color w:val="auto"/>
                <w:sz w:val="24"/>
                <w:highlight w:val="none"/>
              </w:rPr>
            </w:pPr>
            <w:r>
              <w:rPr>
                <w:rFonts w:hint="eastAsia" w:ascii="宋体" w:hAnsi="宋体"/>
                <w:color w:val="auto"/>
                <w:sz w:val="24"/>
                <w:highlight w:val="none"/>
              </w:rPr>
              <w:t>R/O；A；1位</w:t>
            </w:r>
          </w:p>
        </w:tc>
        <w:tc>
          <w:tcPr>
            <w:tcW w:w="1949" w:type="dxa"/>
            <w:noWrap w:val="0"/>
            <w:vAlign w:val="top"/>
          </w:tcPr>
          <w:p w14:paraId="2CD8A734">
            <w:pPr>
              <w:spacing w:line="440" w:lineRule="exact"/>
              <w:rPr>
                <w:rFonts w:hint="eastAsia" w:ascii="宋体" w:hAnsi="宋体"/>
                <w:color w:val="auto"/>
                <w:sz w:val="24"/>
                <w:highlight w:val="none"/>
              </w:rPr>
            </w:pPr>
          </w:p>
        </w:tc>
      </w:tr>
      <w:tr w14:paraId="245A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228C491">
            <w:pPr>
              <w:spacing w:line="440" w:lineRule="exact"/>
              <w:rPr>
                <w:rFonts w:hint="eastAsia" w:ascii="宋体" w:hAnsi="宋体"/>
                <w:color w:val="auto"/>
                <w:sz w:val="24"/>
                <w:highlight w:val="none"/>
              </w:rPr>
            </w:pPr>
            <w:r>
              <w:rPr>
                <w:rFonts w:hint="eastAsia" w:ascii="宋体" w:hAnsi="宋体"/>
                <w:color w:val="auto"/>
                <w:sz w:val="24"/>
                <w:highlight w:val="none"/>
              </w:rPr>
              <w:t>6</w:t>
            </w:r>
          </w:p>
        </w:tc>
        <w:tc>
          <w:tcPr>
            <w:tcW w:w="2160" w:type="dxa"/>
            <w:noWrap w:val="0"/>
            <w:vAlign w:val="top"/>
          </w:tcPr>
          <w:p w14:paraId="0C1C4A6A">
            <w:pPr>
              <w:spacing w:line="440" w:lineRule="exact"/>
              <w:rPr>
                <w:rFonts w:hint="eastAsia" w:ascii="宋体" w:hAnsi="宋体"/>
                <w:color w:val="auto"/>
                <w:sz w:val="24"/>
                <w:highlight w:val="none"/>
              </w:rPr>
            </w:pPr>
            <w:r>
              <w:rPr>
                <w:rFonts w:hint="eastAsia" w:ascii="宋体" w:hAnsi="宋体"/>
                <w:color w:val="auto"/>
                <w:sz w:val="24"/>
                <w:highlight w:val="none"/>
              </w:rPr>
              <w:t>电机电流Ic</w:t>
            </w:r>
          </w:p>
        </w:tc>
        <w:tc>
          <w:tcPr>
            <w:tcW w:w="1980" w:type="dxa"/>
            <w:noWrap w:val="0"/>
            <w:vAlign w:val="top"/>
          </w:tcPr>
          <w:p w14:paraId="11AA2E69">
            <w:pPr>
              <w:spacing w:line="440" w:lineRule="exact"/>
              <w:rPr>
                <w:rFonts w:hint="eastAsia" w:ascii="宋体" w:hAnsi="宋体"/>
                <w:color w:val="auto"/>
                <w:sz w:val="24"/>
                <w:highlight w:val="none"/>
              </w:rPr>
            </w:pPr>
            <w:r>
              <w:rPr>
                <w:rFonts w:hint="eastAsia" w:ascii="宋体" w:hAnsi="宋体"/>
                <w:color w:val="auto"/>
                <w:sz w:val="24"/>
                <w:highlight w:val="none"/>
              </w:rPr>
              <w:t>VD1020（real）</w:t>
            </w:r>
          </w:p>
        </w:tc>
        <w:tc>
          <w:tcPr>
            <w:tcW w:w="2160" w:type="dxa"/>
            <w:noWrap w:val="0"/>
            <w:vAlign w:val="top"/>
          </w:tcPr>
          <w:p w14:paraId="4A69CC68">
            <w:pPr>
              <w:spacing w:line="440" w:lineRule="exact"/>
              <w:rPr>
                <w:rFonts w:hint="eastAsia" w:ascii="宋体" w:hAnsi="宋体"/>
                <w:color w:val="auto"/>
                <w:sz w:val="24"/>
                <w:highlight w:val="none"/>
              </w:rPr>
            </w:pPr>
            <w:r>
              <w:rPr>
                <w:rFonts w:hint="eastAsia" w:ascii="宋体" w:hAnsi="宋体"/>
                <w:color w:val="auto"/>
                <w:sz w:val="24"/>
                <w:highlight w:val="none"/>
              </w:rPr>
              <w:t>R/O；A；1位</w:t>
            </w:r>
          </w:p>
        </w:tc>
        <w:tc>
          <w:tcPr>
            <w:tcW w:w="1949" w:type="dxa"/>
            <w:noWrap w:val="0"/>
            <w:vAlign w:val="top"/>
          </w:tcPr>
          <w:p w14:paraId="437E406B">
            <w:pPr>
              <w:spacing w:line="440" w:lineRule="exact"/>
              <w:rPr>
                <w:rFonts w:hint="eastAsia" w:ascii="宋体" w:hAnsi="宋体"/>
                <w:color w:val="auto"/>
                <w:sz w:val="24"/>
                <w:highlight w:val="none"/>
              </w:rPr>
            </w:pPr>
          </w:p>
        </w:tc>
      </w:tr>
      <w:tr w14:paraId="7E2C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BE02636">
            <w:pPr>
              <w:spacing w:line="440" w:lineRule="exact"/>
              <w:rPr>
                <w:rFonts w:hint="eastAsia" w:ascii="宋体" w:hAnsi="宋体"/>
                <w:color w:val="auto"/>
                <w:sz w:val="24"/>
                <w:highlight w:val="none"/>
              </w:rPr>
            </w:pPr>
            <w:r>
              <w:rPr>
                <w:rFonts w:hint="eastAsia" w:ascii="宋体" w:hAnsi="宋体"/>
                <w:color w:val="auto"/>
                <w:sz w:val="24"/>
                <w:highlight w:val="none"/>
              </w:rPr>
              <w:t>7</w:t>
            </w:r>
          </w:p>
        </w:tc>
        <w:tc>
          <w:tcPr>
            <w:tcW w:w="2160" w:type="dxa"/>
            <w:noWrap w:val="0"/>
            <w:vAlign w:val="top"/>
          </w:tcPr>
          <w:p w14:paraId="15E05FFF">
            <w:pPr>
              <w:spacing w:line="440" w:lineRule="exact"/>
              <w:rPr>
                <w:rFonts w:hint="eastAsia" w:ascii="宋体" w:hAnsi="宋体"/>
                <w:color w:val="auto"/>
                <w:sz w:val="24"/>
                <w:highlight w:val="none"/>
              </w:rPr>
            </w:pPr>
            <w:r>
              <w:rPr>
                <w:rFonts w:hint="eastAsia" w:ascii="宋体" w:hAnsi="宋体"/>
                <w:color w:val="auto"/>
                <w:sz w:val="24"/>
                <w:highlight w:val="none"/>
              </w:rPr>
              <w:t>电机电压Ua</w:t>
            </w:r>
          </w:p>
        </w:tc>
        <w:tc>
          <w:tcPr>
            <w:tcW w:w="1980" w:type="dxa"/>
            <w:noWrap w:val="0"/>
            <w:vAlign w:val="top"/>
          </w:tcPr>
          <w:p w14:paraId="13282854">
            <w:pPr>
              <w:spacing w:line="440" w:lineRule="exact"/>
              <w:rPr>
                <w:rFonts w:hint="eastAsia" w:ascii="宋体" w:hAnsi="宋体"/>
                <w:color w:val="auto"/>
                <w:sz w:val="24"/>
                <w:highlight w:val="none"/>
              </w:rPr>
            </w:pPr>
            <w:r>
              <w:rPr>
                <w:rFonts w:hint="eastAsia" w:ascii="宋体" w:hAnsi="宋体"/>
                <w:color w:val="auto"/>
                <w:sz w:val="24"/>
                <w:highlight w:val="none"/>
              </w:rPr>
              <w:t>VD1024（real）</w:t>
            </w:r>
          </w:p>
        </w:tc>
        <w:tc>
          <w:tcPr>
            <w:tcW w:w="2160" w:type="dxa"/>
            <w:noWrap w:val="0"/>
            <w:vAlign w:val="top"/>
          </w:tcPr>
          <w:p w14:paraId="21F91708">
            <w:pPr>
              <w:spacing w:line="440" w:lineRule="exact"/>
              <w:rPr>
                <w:rFonts w:hint="eastAsia" w:ascii="宋体" w:hAnsi="宋体"/>
                <w:color w:val="auto"/>
                <w:sz w:val="24"/>
                <w:highlight w:val="none"/>
              </w:rPr>
            </w:pPr>
            <w:r>
              <w:rPr>
                <w:rFonts w:hint="eastAsia" w:ascii="宋体" w:hAnsi="宋体"/>
                <w:color w:val="auto"/>
                <w:sz w:val="24"/>
                <w:highlight w:val="none"/>
              </w:rPr>
              <w:t>R/O；V；1位</w:t>
            </w:r>
          </w:p>
        </w:tc>
        <w:tc>
          <w:tcPr>
            <w:tcW w:w="1949" w:type="dxa"/>
            <w:noWrap w:val="0"/>
            <w:vAlign w:val="top"/>
          </w:tcPr>
          <w:p w14:paraId="09B65C2D">
            <w:pPr>
              <w:spacing w:line="440" w:lineRule="exact"/>
              <w:rPr>
                <w:rFonts w:hint="eastAsia" w:ascii="宋体" w:hAnsi="宋体"/>
                <w:color w:val="auto"/>
                <w:sz w:val="24"/>
                <w:highlight w:val="none"/>
              </w:rPr>
            </w:pPr>
          </w:p>
        </w:tc>
      </w:tr>
      <w:tr w14:paraId="57A9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55AD2655">
            <w:pPr>
              <w:spacing w:line="440" w:lineRule="exact"/>
              <w:rPr>
                <w:rFonts w:hint="eastAsia" w:ascii="宋体" w:hAnsi="宋体"/>
                <w:color w:val="auto"/>
                <w:sz w:val="24"/>
                <w:highlight w:val="none"/>
              </w:rPr>
            </w:pPr>
            <w:r>
              <w:rPr>
                <w:rFonts w:hint="eastAsia" w:ascii="宋体" w:hAnsi="宋体"/>
                <w:color w:val="auto"/>
                <w:sz w:val="24"/>
                <w:highlight w:val="none"/>
              </w:rPr>
              <w:t>8</w:t>
            </w:r>
          </w:p>
        </w:tc>
        <w:tc>
          <w:tcPr>
            <w:tcW w:w="2160" w:type="dxa"/>
            <w:noWrap w:val="0"/>
            <w:vAlign w:val="top"/>
          </w:tcPr>
          <w:p w14:paraId="05FA2F6C">
            <w:pPr>
              <w:spacing w:line="440" w:lineRule="exact"/>
              <w:rPr>
                <w:rFonts w:hint="eastAsia" w:ascii="宋体" w:hAnsi="宋体"/>
                <w:color w:val="auto"/>
                <w:sz w:val="24"/>
                <w:highlight w:val="none"/>
              </w:rPr>
            </w:pPr>
            <w:r>
              <w:rPr>
                <w:rFonts w:hint="eastAsia" w:ascii="宋体" w:hAnsi="宋体"/>
                <w:color w:val="auto"/>
                <w:sz w:val="24"/>
                <w:highlight w:val="none"/>
              </w:rPr>
              <w:t>电机电压Ub</w:t>
            </w:r>
          </w:p>
        </w:tc>
        <w:tc>
          <w:tcPr>
            <w:tcW w:w="1980" w:type="dxa"/>
            <w:noWrap w:val="0"/>
            <w:vAlign w:val="top"/>
          </w:tcPr>
          <w:p w14:paraId="770B2A73">
            <w:pPr>
              <w:spacing w:line="440" w:lineRule="exact"/>
              <w:rPr>
                <w:rFonts w:hint="eastAsia" w:ascii="宋体" w:hAnsi="宋体"/>
                <w:color w:val="auto"/>
                <w:sz w:val="24"/>
                <w:highlight w:val="none"/>
              </w:rPr>
            </w:pPr>
            <w:r>
              <w:rPr>
                <w:rFonts w:hint="eastAsia" w:ascii="宋体" w:hAnsi="宋体"/>
                <w:color w:val="auto"/>
                <w:sz w:val="24"/>
                <w:highlight w:val="none"/>
              </w:rPr>
              <w:t>VD1028（real）</w:t>
            </w:r>
          </w:p>
        </w:tc>
        <w:tc>
          <w:tcPr>
            <w:tcW w:w="2160" w:type="dxa"/>
            <w:noWrap w:val="0"/>
            <w:vAlign w:val="top"/>
          </w:tcPr>
          <w:p w14:paraId="63D6987A">
            <w:pPr>
              <w:spacing w:line="440" w:lineRule="exact"/>
              <w:rPr>
                <w:rFonts w:hint="eastAsia" w:ascii="宋体" w:hAnsi="宋体"/>
                <w:color w:val="auto"/>
                <w:sz w:val="24"/>
                <w:highlight w:val="none"/>
              </w:rPr>
            </w:pPr>
            <w:r>
              <w:rPr>
                <w:rFonts w:hint="eastAsia" w:ascii="宋体" w:hAnsi="宋体"/>
                <w:color w:val="auto"/>
                <w:sz w:val="24"/>
                <w:highlight w:val="none"/>
              </w:rPr>
              <w:t>R/O；V；1位</w:t>
            </w:r>
          </w:p>
        </w:tc>
        <w:tc>
          <w:tcPr>
            <w:tcW w:w="1949" w:type="dxa"/>
            <w:noWrap w:val="0"/>
            <w:vAlign w:val="top"/>
          </w:tcPr>
          <w:p w14:paraId="5FBB959A">
            <w:pPr>
              <w:spacing w:line="440" w:lineRule="exact"/>
              <w:rPr>
                <w:rFonts w:hint="eastAsia" w:ascii="宋体" w:hAnsi="宋体"/>
                <w:color w:val="auto"/>
                <w:sz w:val="24"/>
                <w:highlight w:val="none"/>
              </w:rPr>
            </w:pPr>
          </w:p>
        </w:tc>
      </w:tr>
      <w:tr w14:paraId="501B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24BE76C">
            <w:pPr>
              <w:spacing w:line="440" w:lineRule="exact"/>
              <w:rPr>
                <w:rFonts w:hint="eastAsia" w:ascii="宋体" w:hAnsi="宋体"/>
                <w:color w:val="auto"/>
                <w:sz w:val="24"/>
                <w:highlight w:val="none"/>
              </w:rPr>
            </w:pPr>
            <w:r>
              <w:rPr>
                <w:rFonts w:hint="eastAsia" w:ascii="宋体" w:hAnsi="宋体"/>
                <w:color w:val="auto"/>
                <w:sz w:val="24"/>
                <w:highlight w:val="none"/>
              </w:rPr>
              <w:t>9</w:t>
            </w:r>
          </w:p>
        </w:tc>
        <w:tc>
          <w:tcPr>
            <w:tcW w:w="2160" w:type="dxa"/>
            <w:noWrap w:val="0"/>
            <w:vAlign w:val="top"/>
          </w:tcPr>
          <w:p w14:paraId="1EF313E0">
            <w:pPr>
              <w:spacing w:line="440" w:lineRule="exact"/>
              <w:rPr>
                <w:rFonts w:hint="eastAsia" w:ascii="宋体" w:hAnsi="宋体"/>
                <w:color w:val="auto"/>
                <w:sz w:val="24"/>
                <w:highlight w:val="none"/>
              </w:rPr>
            </w:pPr>
            <w:r>
              <w:rPr>
                <w:rFonts w:hint="eastAsia" w:ascii="宋体" w:hAnsi="宋体"/>
                <w:color w:val="auto"/>
                <w:sz w:val="24"/>
                <w:highlight w:val="none"/>
              </w:rPr>
              <w:t>电机电压Uc</w:t>
            </w:r>
          </w:p>
        </w:tc>
        <w:tc>
          <w:tcPr>
            <w:tcW w:w="1980" w:type="dxa"/>
            <w:noWrap w:val="0"/>
            <w:vAlign w:val="top"/>
          </w:tcPr>
          <w:p w14:paraId="46E74182">
            <w:pPr>
              <w:spacing w:line="440" w:lineRule="exact"/>
              <w:rPr>
                <w:rFonts w:hint="eastAsia" w:ascii="宋体" w:hAnsi="宋体"/>
                <w:color w:val="auto"/>
                <w:sz w:val="24"/>
                <w:highlight w:val="none"/>
              </w:rPr>
            </w:pPr>
            <w:r>
              <w:rPr>
                <w:rFonts w:hint="eastAsia" w:ascii="宋体" w:hAnsi="宋体"/>
                <w:color w:val="auto"/>
                <w:sz w:val="24"/>
                <w:highlight w:val="none"/>
              </w:rPr>
              <w:t>VD1032（real）</w:t>
            </w:r>
          </w:p>
        </w:tc>
        <w:tc>
          <w:tcPr>
            <w:tcW w:w="2160" w:type="dxa"/>
            <w:noWrap w:val="0"/>
            <w:vAlign w:val="top"/>
          </w:tcPr>
          <w:p w14:paraId="650CD307">
            <w:pPr>
              <w:spacing w:line="440" w:lineRule="exact"/>
              <w:rPr>
                <w:rFonts w:hint="eastAsia" w:ascii="宋体" w:hAnsi="宋体"/>
                <w:color w:val="auto"/>
                <w:sz w:val="24"/>
                <w:highlight w:val="none"/>
              </w:rPr>
            </w:pPr>
            <w:r>
              <w:rPr>
                <w:rFonts w:hint="eastAsia" w:ascii="宋体" w:hAnsi="宋体"/>
                <w:color w:val="auto"/>
                <w:sz w:val="24"/>
                <w:highlight w:val="none"/>
              </w:rPr>
              <w:t>R/O；V；1位</w:t>
            </w:r>
          </w:p>
        </w:tc>
        <w:tc>
          <w:tcPr>
            <w:tcW w:w="1949" w:type="dxa"/>
            <w:noWrap w:val="0"/>
            <w:vAlign w:val="top"/>
          </w:tcPr>
          <w:p w14:paraId="53A15560">
            <w:pPr>
              <w:spacing w:line="440" w:lineRule="exact"/>
              <w:rPr>
                <w:rFonts w:hint="eastAsia" w:ascii="宋体" w:hAnsi="宋体"/>
                <w:color w:val="auto"/>
                <w:sz w:val="24"/>
                <w:highlight w:val="none"/>
              </w:rPr>
            </w:pPr>
          </w:p>
        </w:tc>
      </w:tr>
      <w:tr w14:paraId="510E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F9806D8">
            <w:pPr>
              <w:spacing w:line="440" w:lineRule="exact"/>
              <w:rPr>
                <w:rFonts w:hint="eastAsia" w:ascii="宋体" w:hAnsi="宋体"/>
                <w:color w:val="auto"/>
                <w:sz w:val="24"/>
                <w:highlight w:val="none"/>
              </w:rPr>
            </w:pPr>
            <w:r>
              <w:rPr>
                <w:rFonts w:hint="eastAsia" w:ascii="宋体" w:hAnsi="宋体"/>
                <w:color w:val="auto"/>
                <w:sz w:val="24"/>
                <w:highlight w:val="none"/>
              </w:rPr>
              <w:t>10</w:t>
            </w:r>
          </w:p>
        </w:tc>
        <w:tc>
          <w:tcPr>
            <w:tcW w:w="2160" w:type="dxa"/>
            <w:noWrap w:val="0"/>
            <w:vAlign w:val="top"/>
          </w:tcPr>
          <w:p w14:paraId="1BE5D577">
            <w:pPr>
              <w:spacing w:line="440" w:lineRule="exact"/>
              <w:rPr>
                <w:rFonts w:hint="eastAsia" w:ascii="宋体" w:hAnsi="宋体"/>
                <w:color w:val="auto"/>
                <w:sz w:val="24"/>
                <w:highlight w:val="none"/>
              </w:rPr>
            </w:pPr>
            <w:r>
              <w:rPr>
                <w:rFonts w:hint="eastAsia" w:ascii="宋体" w:hAnsi="宋体"/>
                <w:color w:val="auto"/>
                <w:sz w:val="24"/>
                <w:highlight w:val="none"/>
              </w:rPr>
              <w:t>1#主泵变频器频率</w:t>
            </w:r>
          </w:p>
        </w:tc>
        <w:tc>
          <w:tcPr>
            <w:tcW w:w="1980" w:type="dxa"/>
            <w:noWrap w:val="0"/>
            <w:vAlign w:val="top"/>
          </w:tcPr>
          <w:p w14:paraId="1A2336E4">
            <w:pPr>
              <w:spacing w:line="440" w:lineRule="exact"/>
              <w:rPr>
                <w:rFonts w:hint="eastAsia" w:ascii="宋体" w:hAnsi="宋体"/>
                <w:color w:val="auto"/>
                <w:sz w:val="24"/>
                <w:highlight w:val="none"/>
              </w:rPr>
            </w:pPr>
            <w:r>
              <w:rPr>
                <w:rFonts w:hint="eastAsia" w:ascii="宋体" w:hAnsi="宋体"/>
                <w:color w:val="auto"/>
                <w:sz w:val="24"/>
                <w:highlight w:val="none"/>
              </w:rPr>
              <w:t>VD1036（real）</w:t>
            </w:r>
          </w:p>
        </w:tc>
        <w:tc>
          <w:tcPr>
            <w:tcW w:w="2160" w:type="dxa"/>
            <w:noWrap w:val="0"/>
            <w:vAlign w:val="top"/>
          </w:tcPr>
          <w:p w14:paraId="65CD0DBD">
            <w:pPr>
              <w:spacing w:line="440" w:lineRule="exact"/>
              <w:rPr>
                <w:rFonts w:hint="eastAsia" w:ascii="宋体" w:hAnsi="宋体"/>
                <w:color w:val="auto"/>
                <w:sz w:val="24"/>
                <w:highlight w:val="none"/>
              </w:rPr>
            </w:pPr>
            <w:r>
              <w:rPr>
                <w:rFonts w:hint="eastAsia" w:ascii="宋体" w:hAnsi="宋体"/>
                <w:color w:val="auto"/>
                <w:sz w:val="24"/>
                <w:highlight w:val="none"/>
              </w:rPr>
              <w:t>R/O；Hz；2位</w:t>
            </w:r>
          </w:p>
        </w:tc>
        <w:tc>
          <w:tcPr>
            <w:tcW w:w="1949" w:type="dxa"/>
            <w:noWrap w:val="0"/>
            <w:vAlign w:val="top"/>
          </w:tcPr>
          <w:p w14:paraId="11161DAB">
            <w:pPr>
              <w:spacing w:line="440" w:lineRule="exact"/>
              <w:rPr>
                <w:rFonts w:hint="eastAsia" w:ascii="宋体" w:hAnsi="宋体"/>
                <w:color w:val="auto"/>
                <w:sz w:val="24"/>
                <w:highlight w:val="none"/>
              </w:rPr>
            </w:pPr>
          </w:p>
        </w:tc>
      </w:tr>
      <w:tr w14:paraId="675F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3BB4E3C9">
            <w:pPr>
              <w:spacing w:line="440" w:lineRule="exact"/>
              <w:rPr>
                <w:rFonts w:hint="eastAsia" w:ascii="宋体" w:hAnsi="宋体"/>
                <w:color w:val="auto"/>
                <w:sz w:val="24"/>
                <w:highlight w:val="none"/>
              </w:rPr>
            </w:pPr>
            <w:r>
              <w:rPr>
                <w:rFonts w:hint="eastAsia" w:ascii="宋体" w:hAnsi="宋体"/>
                <w:color w:val="auto"/>
                <w:sz w:val="24"/>
                <w:highlight w:val="none"/>
              </w:rPr>
              <w:t>11</w:t>
            </w:r>
          </w:p>
        </w:tc>
        <w:tc>
          <w:tcPr>
            <w:tcW w:w="2160" w:type="dxa"/>
            <w:noWrap w:val="0"/>
            <w:vAlign w:val="top"/>
          </w:tcPr>
          <w:p w14:paraId="45A747E9">
            <w:pPr>
              <w:spacing w:line="440" w:lineRule="exact"/>
              <w:rPr>
                <w:rFonts w:hint="eastAsia" w:ascii="宋体" w:hAnsi="宋体"/>
                <w:color w:val="auto"/>
                <w:sz w:val="24"/>
                <w:highlight w:val="none"/>
              </w:rPr>
            </w:pPr>
            <w:r>
              <w:rPr>
                <w:rFonts w:hint="eastAsia" w:ascii="宋体" w:hAnsi="宋体"/>
                <w:color w:val="auto"/>
                <w:sz w:val="24"/>
                <w:highlight w:val="none"/>
              </w:rPr>
              <w:t>2#主泵变频器频率</w:t>
            </w:r>
          </w:p>
        </w:tc>
        <w:tc>
          <w:tcPr>
            <w:tcW w:w="1980" w:type="dxa"/>
            <w:noWrap w:val="0"/>
            <w:vAlign w:val="top"/>
          </w:tcPr>
          <w:p w14:paraId="7B105B48">
            <w:pPr>
              <w:spacing w:line="440" w:lineRule="exact"/>
              <w:rPr>
                <w:rFonts w:hint="eastAsia" w:ascii="宋体" w:hAnsi="宋体"/>
                <w:color w:val="auto"/>
                <w:sz w:val="24"/>
                <w:highlight w:val="none"/>
              </w:rPr>
            </w:pPr>
            <w:r>
              <w:rPr>
                <w:rFonts w:hint="eastAsia" w:ascii="宋体" w:hAnsi="宋体"/>
                <w:color w:val="auto"/>
                <w:sz w:val="24"/>
                <w:highlight w:val="none"/>
              </w:rPr>
              <w:t>VD1040（real）</w:t>
            </w:r>
          </w:p>
        </w:tc>
        <w:tc>
          <w:tcPr>
            <w:tcW w:w="2160" w:type="dxa"/>
            <w:noWrap w:val="0"/>
            <w:vAlign w:val="top"/>
          </w:tcPr>
          <w:p w14:paraId="7F6783A8">
            <w:pPr>
              <w:spacing w:line="440" w:lineRule="exact"/>
              <w:rPr>
                <w:rFonts w:hint="eastAsia" w:ascii="宋体" w:hAnsi="宋体"/>
                <w:color w:val="auto"/>
                <w:sz w:val="24"/>
                <w:highlight w:val="none"/>
              </w:rPr>
            </w:pPr>
            <w:r>
              <w:rPr>
                <w:rFonts w:hint="eastAsia" w:ascii="宋体" w:hAnsi="宋体"/>
                <w:color w:val="auto"/>
                <w:sz w:val="24"/>
                <w:highlight w:val="none"/>
              </w:rPr>
              <w:t>R/O；Hz；2位</w:t>
            </w:r>
          </w:p>
        </w:tc>
        <w:tc>
          <w:tcPr>
            <w:tcW w:w="1949" w:type="dxa"/>
            <w:noWrap w:val="0"/>
            <w:vAlign w:val="top"/>
          </w:tcPr>
          <w:p w14:paraId="3DDC9C70">
            <w:pPr>
              <w:spacing w:line="440" w:lineRule="exact"/>
              <w:rPr>
                <w:rFonts w:hint="eastAsia" w:ascii="宋体" w:hAnsi="宋体"/>
                <w:color w:val="auto"/>
                <w:sz w:val="24"/>
                <w:highlight w:val="none"/>
              </w:rPr>
            </w:pPr>
          </w:p>
        </w:tc>
      </w:tr>
      <w:tr w14:paraId="2C3F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7390A65">
            <w:pPr>
              <w:spacing w:line="440" w:lineRule="exact"/>
              <w:rPr>
                <w:rFonts w:hint="eastAsia" w:ascii="宋体" w:hAnsi="宋体"/>
                <w:color w:val="auto"/>
                <w:sz w:val="24"/>
                <w:highlight w:val="none"/>
              </w:rPr>
            </w:pPr>
            <w:r>
              <w:rPr>
                <w:rFonts w:hint="eastAsia" w:ascii="宋体" w:hAnsi="宋体"/>
                <w:color w:val="auto"/>
                <w:sz w:val="24"/>
                <w:highlight w:val="none"/>
              </w:rPr>
              <w:t>12</w:t>
            </w:r>
          </w:p>
        </w:tc>
        <w:tc>
          <w:tcPr>
            <w:tcW w:w="2160" w:type="dxa"/>
            <w:noWrap w:val="0"/>
            <w:vAlign w:val="top"/>
          </w:tcPr>
          <w:p w14:paraId="7BAA1380">
            <w:pPr>
              <w:spacing w:line="440" w:lineRule="exact"/>
              <w:rPr>
                <w:rFonts w:hint="eastAsia" w:ascii="宋体" w:hAnsi="宋体"/>
                <w:color w:val="auto"/>
                <w:sz w:val="24"/>
                <w:highlight w:val="none"/>
              </w:rPr>
            </w:pPr>
            <w:r>
              <w:rPr>
                <w:rFonts w:hint="eastAsia" w:ascii="宋体" w:hAnsi="宋体"/>
                <w:color w:val="auto"/>
                <w:sz w:val="24"/>
                <w:highlight w:val="none"/>
              </w:rPr>
              <w:t>3#主泵变频器频率</w:t>
            </w:r>
          </w:p>
        </w:tc>
        <w:tc>
          <w:tcPr>
            <w:tcW w:w="1980" w:type="dxa"/>
            <w:noWrap w:val="0"/>
            <w:vAlign w:val="top"/>
          </w:tcPr>
          <w:p w14:paraId="57698F5F">
            <w:pPr>
              <w:spacing w:line="440" w:lineRule="exact"/>
              <w:rPr>
                <w:rFonts w:hint="eastAsia" w:ascii="宋体" w:hAnsi="宋体"/>
                <w:color w:val="auto"/>
                <w:sz w:val="24"/>
                <w:highlight w:val="none"/>
              </w:rPr>
            </w:pPr>
            <w:r>
              <w:rPr>
                <w:rFonts w:hint="eastAsia" w:ascii="宋体" w:hAnsi="宋体"/>
                <w:color w:val="auto"/>
                <w:sz w:val="24"/>
                <w:highlight w:val="none"/>
              </w:rPr>
              <w:t>VD1044（real）</w:t>
            </w:r>
          </w:p>
        </w:tc>
        <w:tc>
          <w:tcPr>
            <w:tcW w:w="2160" w:type="dxa"/>
            <w:noWrap w:val="0"/>
            <w:vAlign w:val="top"/>
          </w:tcPr>
          <w:p w14:paraId="7C180BCC">
            <w:pPr>
              <w:spacing w:line="440" w:lineRule="exact"/>
              <w:rPr>
                <w:rFonts w:hint="eastAsia" w:ascii="宋体" w:hAnsi="宋体"/>
                <w:color w:val="auto"/>
                <w:sz w:val="24"/>
                <w:highlight w:val="none"/>
              </w:rPr>
            </w:pPr>
            <w:r>
              <w:rPr>
                <w:rFonts w:hint="eastAsia" w:ascii="宋体" w:hAnsi="宋体"/>
                <w:color w:val="auto"/>
                <w:sz w:val="24"/>
                <w:highlight w:val="none"/>
              </w:rPr>
              <w:t>R/O；Hz；2位</w:t>
            </w:r>
          </w:p>
        </w:tc>
        <w:tc>
          <w:tcPr>
            <w:tcW w:w="1949" w:type="dxa"/>
            <w:noWrap w:val="0"/>
            <w:vAlign w:val="top"/>
          </w:tcPr>
          <w:p w14:paraId="29B7CE48">
            <w:pPr>
              <w:spacing w:line="440" w:lineRule="exact"/>
              <w:rPr>
                <w:rFonts w:hint="eastAsia" w:ascii="宋体" w:hAnsi="宋体"/>
                <w:color w:val="auto"/>
                <w:sz w:val="24"/>
                <w:highlight w:val="none"/>
              </w:rPr>
            </w:pPr>
          </w:p>
        </w:tc>
      </w:tr>
      <w:tr w14:paraId="12F9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A95CD87">
            <w:pPr>
              <w:spacing w:line="440" w:lineRule="exact"/>
              <w:rPr>
                <w:rFonts w:hint="eastAsia" w:ascii="宋体" w:hAnsi="宋体"/>
                <w:color w:val="auto"/>
                <w:sz w:val="24"/>
                <w:highlight w:val="none"/>
              </w:rPr>
            </w:pPr>
            <w:r>
              <w:rPr>
                <w:rFonts w:hint="eastAsia" w:ascii="宋体" w:hAnsi="宋体"/>
                <w:color w:val="auto"/>
                <w:sz w:val="24"/>
                <w:highlight w:val="none"/>
              </w:rPr>
              <w:t>13</w:t>
            </w:r>
          </w:p>
        </w:tc>
        <w:tc>
          <w:tcPr>
            <w:tcW w:w="2160" w:type="dxa"/>
            <w:noWrap w:val="0"/>
            <w:vAlign w:val="top"/>
          </w:tcPr>
          <w:p w14:paraId="0B0E47EF">
            <w:pPr>
              <w:spacing w:line="440" w:lineRule="exact"/>
              <w:rPr>
                <w:rFonts w:hint="eastAsia" w:ascii="宋体" w:hAnsi="宋体"/>
                <w:color w:val="auto"/>
                <w:sz w:val="24"/>
                <w:highlight w:val="none"/>
              </w:rPr>
            </w:pPr>
            <w:r>
              <w:rPr>
                <w:rFonts w:hint="eastAsia" w:ascii="宋体" w:hAnsi="宋体"/>
                <w:color w:val="auto"/>
                <w:sz w:val="24"/>
                <w:highlight w:val="none"/>
              </w:rPr>
              <w:t>4#主泵变频器频率</w:t>
            </w:r>
          </w:p>
        </w:tc>
        <w:tc>
          <w:tcPr>
            <w:tcW w:w="1980" w:type="dxa"/>
            <w:noWrap w:val="0"/>
            <w:vAlign w:val="top"/>
          </w:tcPr>
          <w:p w14:paraId="724C9376">
            <w:pPr>
              <w:spacing w:line="440" w:lineRule="exact"/>
              <w:rPr>
                <w:rFonts w:hint="eastAsia" w:ascii="宋体" w:hAnsi="宋体"/>
                <w:color w:val="auto"/>
                <w:sz w:val="24"/>
                <w:highlight w:val="none"/>
              </w:rPr>
            </w:pPr>
            <w:r>
              <w:rPr>
                <w:rFonts w:hint="eastAsia" w:ascii="宋体" w:hAnsi="宋体"/>
                <w:color w:val="auto"/>
                <w:sz w:val="24"/>
                <w:highlight w:val="none"/>
              </w:rPr>
              <w:t>VD1048（real）</w:t>
            </w:r>
          </w:p>
        </w:tc>
        <w:tc>
          <w:tcPr>
            <w:tcW w:w="2160" w:type="dxa"/>
            <w:noWrap w:val="0"/>
            <w:vAlign w:val="top"/>
          </w:tcPr>
          <w:p w14:paraId="0606EFE8">
            <w:pPr>
              <w:spacing w:line="440" w:lineRule="exact"/>
              <w:rPr>
                <w:rFonts w:hint="eastAsia" w:ascii="宋体" w:hAnsi="宋体"/>
                <w:color w:val="auto"/>
                <w:sz w:val="24"/>
                <w:highlight w:val="none"/>
              </w:rPr>
            </w:pPr>
            <w:r>
              <w:rPr>
                <w:rFonts w:hint="eastAsia" w:ascii="宋体" w:hAnsi="宋体"/>
                <w:color w:val="auto"/>
                <w:sz w:val="24"/>
                <w:highlight w:val="none"/>
              </w:rPr>
              <w:t>R/O；Hz；2位</w:t>
            </w:r>
          </w:p>
        </w:tc>
        <w:tc>
          <w:tcPr>
            <w:tcW w:w="1949" w:type="dxa"/>
            <w:noWrap w:val="0"/>
            <w:vAlign w:val="top"/>
          </w:tcPr>
          <w:p w14:paraId="7911BAC3">
            <w:pPr>
              <w:spacing w:line="440" w:lineRule="exact"/>
              <w:rPr>
                <w:rFonts w:hint="eastAsia" w:ascii="宋体" w:hAnsi="宋体"/>
                <w:color w:val="auto"/>
                <w:sz w:val="24"/>
                <w:highlight w:val="none"/>
              </w:rPr>
            </w:pPr>
          </w:p>
        </w:tc>
      </w:tr>
      <w:tr w14:paraId="017B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2DF7CC7">
            <w:pPr>
              <w:spacing w:line="440" w:lineRule="exact"/>
              <w:rPr>
                <w:rFonts w:hint="eastAsia" w:ascii="宋体" w:hAnsi="宋体"/>
                <w:color w:val="auto"/>
                <w:sz w:val="24"/>
                <w:highlight w:val="none"/>
              </w:rPr>
            </w:pPr>
            <w:r>
              <w:rPr>
                <w:rFonts w:hint="eastAsia" w:ascii="宋体" w:hAnsi="宋体"/>
                <w:color w:val="auto"/>
                <w:sz w:val="24"/>
                <w:highlight w:val="none"/>
              </w:rPr>
              <w:t>14</w:t>
            </w:r>
          </w:p>
        </w:tc>
        <w:tc>
          <w:tcPr>
            <w:tcW w:w="2160" w:type="dxa"/>
            <w:noWrap w:val="0"/>
            <w:vAlign w:val="top"/>
          </w:tcPr>
          <w:p w14:paraId="3623AFF4">
            <w:pPr>
              <w:spacing w:line="440" w:lineRule="exact"/>
              <w:rPr>
                <w:rFonts w:hint="eastAsia" w:ascii="宋体" w:hAnsi="宋体"/>
                <w:color w:val="auto"/>
                <w:sz w:val="24"/>
                <w:highlight w:val="none"/>
              </w:rPr>
            </w:pPr>
            <w:r>
              <w:rPr>
                <w:rFonts w:hint="eastAsia" w:ascii="宋体" w:hAnsi="宋体"/>
                <w:color w:val="auto"/>
                <w:sz w:val="24"/>
                <w:highlight w:val="none"/>
              </w:rPr>
              <w:t>5#主泵变频器频率</w:t>
            </w:r>
          </w:p>
        </w:tc>
        <w:tc>
          <w:tcPr>
            <w:tcW w:w="1980" w:type="dxa"/>
            <w:noWrap w:val="0"/>
            <w:vAlign w:val="top"/>
          </w:tcPr>
          <w:p w14:paraId="2F17F2F4">
            <w:pPr>
              <w:spacing w:line="440" w:lineRule="exact"/>
              <w:rPr>
                <w:rFonts w:hint="eastAsia" w:ascii="宋体" w:hAnsi="宋体"/>
                <w:color w:val="auto"/>
                <w:sz w:val="24"/>
                <w:highlight w:val="none"/>
              </w:rPr>
            </w:pPr>
            <w:r>
              <w:rPr>
                <w:rFonts w:hint="eastAsia" w:ascii="宋体" w:hAnsi="宋体"/>
                <w:color w:val="auto"/>
                <w:sz w:val="24"/>
                <w:highlight w:val="none"/>
              </w:rPr>
              <w:t>VD1052（real）</w:t>
            </w:r>
          </w:p>
        </w:tc>
        <w:tc>
          <w:tcPr>
            <w:tcW w:w="2160" w:type="dxa"/>
            <w:noWrap w:val="0"/>
            <w:vAlign w:val="top"/>
          </w:tcPr>
          <w:p w14:paraId="210930B2">
            <w:pPr>
              <w:spacing w:line="440" w:lineRule="exact"/>
              <w:rPr>
                <w:rFonts w:hint="eastAsia" w:ascii="宋体" w:hAnsi="宋体"/>
                <w:color w:val="auto"/>
                <w:sz w:val="24"/>
                <w:highlight w:val="none"/>
              </w:rPr>
            </w:pPr>
            <w:r>
              <w:rPr>
                <w:rFonts w:hint="eastAsia" w:ascii="宋体" w:hAnsi="宋体"/>
                <w:color w:val="auto"/>
                <w:sz w:val="24"/>
                <w:highlight w:val="none"/>
              </w:rPr>
              <w:t>R/O；Hz；2位</w:t>
            </w:r>
          </w:p>
        </w:tc>
        <w:tc>
          <w:tcPr>
            <w:tcW w:w="1949" w:type="dxa"/>
            <w:noWrap w:val="0"/>
            <w:vAlign w:val="top"/>
          </w:tcPr>
          <w:p w14:paraId="3607770E">
            <w:pPr>
              <w:spacing w:line="440" w:lineRule="exact"/>
              <w:rPr>
                <w:rFonts w:hint="eastAsia" w:ascii="宋体" w:hAnsi="宋体"/>
                <w:color w:val="auto"/>
                <w:sz w:val="24"/>
                <w:highlight w:val="none"/>
              </w:rPr>
            </w:pPr>
          </w:p>
        </w:tc>
      </w:tr>
      <w:tr w14:paraId="7E5E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F519B63">
            <w:pPr>
              <w:spacing w:line="440" w:lineRule="exact"/>
              <w:rPr>
                <w:rFonts w:hint="eastAsia" w:ascii="宋体" w:hAnsi="宋体"/>
                <w:color w:val="auto"/>
                <w:sz w:val="24"/>
                <w:highlight w:val="none"/>
              </w:rPr>
            </w:pPr>
            <w:r>
              <w:rPr>
                <w:rFonts w:hint="eastAsia" w:ascii="宋体" w:hAnsi="宋体"/>
                <w:color w:val="auto"/>
                <w:sz w:val="24"/>
                <w:highlight w:val="none"/>
              </w:rPr>
              <w:t>15</w:t>
            </w:r>
          </w:p>
        </w:tc>
        <w:tc>
          <w:tcPr>
            <w:tcW w:w="2160" w:type="dxa"/>
            <w:noWrap w:val="0"/>
            <w:vAlign w:val="top"/>
          </w:tcPr>
          <w:p w14:paraId="29341829">
            <w:pPr>
              <w:spacing w:line="440" w:lineRule="exact"/>
              <w:rPr>
                <w:rFonts w:hint="eastAsia" w:ascii="宋体" w:hAnsi="宋体"/>
                <w:color w:val="auto"/>
                <w:sz w:val="24"/>
                <w:highlight w:val="none"/>
              </w:rPr>
            </w:pPr>
            <w:r>
              <w:rPr>
                <w:rFonts w:hint="eastAsia" w:ascii="宋体" w:hAnsi="宋体"/>
                <w:color w:val="auto"/>
                <w:sz w:val="24"/>
                <w:highlight w:val="none"/>
              </w:rPr>
              <w:t>辅泵变频器频率</w:t>
            </w:r>
          </w:p>
        </w:tc>
        <w:tc>
          <w:tcPr>
            <w:tcW w:w="1980" w:type="dxa"/>
            <w:noWrap w:val="0"/>
            <w:vAlign w:val="top"/>
          </w:tcPr>
          <w:p w14:paraId="56FEB7F2">
            <w:pPr>
              <w:spacing w:line="440" w:lineRule="exact"/>
              <w:rPr>
                <w:rFonts w:hint="eastAsia" w:ascii="宋体" w:hAnsi="宋体"/>
                <w:color w:val="auto"/>
                <w:sz w:val="24"/>
                <w:highlight w:val="none"/>
              </w:rPr>
            </w:pPr>
            <w:r>
              <w:rPr>
                <w:rFonts w:hint="eastAsia" w:ascii="宋体" w:hAnsi="宋体"/>
                <w:color w:val="auto"/>
                <w:sz w:val="24"/>
                <w:highlight w:val="none"/>
              </w:rPr>
              <w:t>VD1056（real）</w:t>
            </w:r>
          </w:p>
        </w:tc>
        <w:tc>
          <w:tcPr>
            <w:tcW w:w="2160" w:type="dxa"/>
            <w:noWrap w:val="0"/>
            <w:vAlign w:val="top"/>
          </w:tcPr>
          <w:p w14:paraId="3084A386">
            <w:pPr>
              <w:spacing w:line="440" w:lineRule="exact"/>
              <w:rPr>
                <w:rFonts w:hint="eastAsia" w:ascii="宋体" w:hAnsi="宋体"/>
                <w:color w:val="auto"/>
                <w:sz w:val="24"/>
                <w:highlight w:val="none"/>
              </w:rPr>
            </w:pPr>
            <w:r>
              <w:rPr>
                <w:rFonts w:hint="eastAsia" w:ascii="宋体" w:hAnsi="宋体"/>
                <w:color w:val="auto"/>
                <w:sz w:val="24"/>
                <w:highlight w:val="none"/>
              </w:rPr>
              <w:t>R/O；Hz；2位</w:t>
            </w:r>
          </w:p>
        </w:tc>
        <w:tc>
          <w:tcPr>
            <w:tcW w:w="1949" w:type="dxa"/>
            <w:noWrap w:val="0"/>
            <w:vAlign w:val="top"/>
          </w:tcPr>
          <w:p w14:paraId="34EE0DF3">
            <w:pPr>
              <w:spacing w:line="440" w:lineRule="exact"/>
              <w:rPr>
                <w:rFonts w:hint="eastAsia" w:ascii="宋体" w:hAnsi="宋体"/>
                <w:color w:val="auto"/>
                <w:sz w:val="24"/>
                <w:highlight w:val="none"/>
              </w:rPr>
            </w:pPr>
          </w:p>
        </w:tc>
      </w:tr>
      <w:tr w14:paraId="73C5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B8A897E">
            <w:pPr>
              <w:spacing w:line="440" w:lineRule="exact"/>
              <w:rPr>
                <w:rFonts w:hint="eastAsia" w:ascii="宋体" w:hAnsi="宋体"/>
                <w:color w:val="auto"/>
                <w:sz w:val="24"/>
                <w:highlight w:val="none"/>
              </w:rPr>
            </w:pPr>
            <w:r>
              <w:rPr>
                <w:rFonts w:hint="eastAsia" w:ascii="宋体" w:hAnsi="宋体"/>
                <w:color w:val="auto"/>
                <w:sz w:val="24"/>
                <w:highlight w:val="none"/>
              </w:rPr>
              <w:t>16</w:t>
            </w:r>
          </w:p>
        </w:tc>
        <w:tc>
          <w:tcPr>
            <w:tcW w:w="2160" w:type="dxa"/>
            <w:noWrap w:val="0"/>
            <w:vAlign w:val="top"/>
          </w:tcPr>
          <w:p w14:paraId="3DEDD66F">
            <w:pPr>
              <w:spacing w:line="440" w:lineRule="exact"/>
              <w:rPr>
                <w:rFonts w:hint="eastAsia" w:ascii="宋体" w:hAnsi="宋体"/>
                <w:color w:val="auto"/>
                <w:sz w:val="24"/>
                <w:highlight w:val="none"/>
              </w:rPr>
            </w:pPr>
            <w:r>
              <w:rPr>
                <w:rFonts w:hint="eastAsia" w:ascii="宋体" w:hAnsi="宋体"/>
                <w:color w:val="auto"/>
                <w:sz w:val="24"/>
                <w:highlight w:val="none"/>
              </w:rPr>
              <w:t>出水瞬时流量1</w:t>
            </w:r>
          </w:p>
        </w:tc>
        <w:tc>
          <w:tcPr>
            <w:tcW w:w="1980" w:type="dxa"/>
            <w:noWrap w:val="0"/>
            <w:vAlign w:val="top"/>
          </w:tcPr>
          <w:p w14:paraId="1A6E8E9E">
            <w:pPr>
              <w:spacing w:line="440" w:lineRule="exact"/>
              <w:rPr>
                <w:rFonts w:hint="eastAsia" w:ascii="宋体" w:hAnsi="宋体"/>
                <w:color w:val="auto"/>
                <w:sz w:val="24"/>
                <w:highlight w:val="none"/>
              </w:rPr>
            </w:pPr>
            <w:r>
              <w:rPr>
                <w:rFonts w:hint="eastAsia" w:ascii="宋体" w:hAnsi="宋体"/>
                <w:color w:val="auto"/>
                <w:sz w:val="24"/>
                <w:highlight w:val="none"/>
              </w:rPr>
              <w:t>VD1060（real）</w:t>
            </w:r>
          </w:p>
        </w:tc>
        <w:tc>
          <w:tcPr>
            <w:tcW w:w="2160" w:type="dxa"/>
            <w:noWrap w:val="0"/>
            <w:vAlign w:val="top"/>
          </w:tcPr>
          <w:p w14:paraId="1135E1CE">
            <w:pPr>
              <w:spacing w:line="440" w:lineRule="exact"/>
              <w:rPr>
                <w:rFonts w:hint="eastAsia" w:ascii="宋体" w:hAnsi="宋体"/>
                <w:color w:val="auto"/>
                <w:sz w:val="24"/>
                <w:highlight w:val="none"/>
              </w:rPr>
            </w:pPr>
            <w:r>
              <w:rPr>
                <w:rFonts w:hint="eastAsia" w:ascii="宋体" w:hAnsi="宋体"/>
                <w:color w:val="auto"/>
                <w:sz w:val="24"/>
                <w:highlight w:val="none"/>
              </w:rPr>
              <w:t>R/O；</w:t>
            </w:r>
            <w:r>
              <w:rPr>
                <w:rFonts w:hint="eastAsia" w:ascii="宋体" w:hAnsi="宋体"/>
                <w:color w:val="auto"/>
                <w:sz w:val="24"/>
                <w:highlight w:val="none"/>
                <w:lang w:val="zh-CN"/>
              </w:rPr>
              <w:t>M</w:t>
            </w:r>
            <w:r>
              <w:rPr>
                <w:rFonts w:hint="eastAsia" w:ascii="宋体" w:hAnsi="宋体"/>
                <w:color w:val="auto"/>
                <w:sz w:val="24"/>
                <w:highlight w:val="none"/>
                <w:vertAlign w:val="superscript"/>
                <w:lang w:val="zh-CN"/>
              </w:rPr>
              <w:t>3</w:t>
            </w:r>
            <w:r>
              <w:rPr>
                <w:rFonts w:hint="eastAsia" w:ascii="宋体" w:hAnsi="宋体"/>
                <w:color w:val="auto"/>
                <w:sz w:val="24"/>
                <w:highlight w:val="none"/>
                <w:lang w:val="zh-CN"/>
              </w:rPr>
              <w:t xml:space="preserve"> /h</w:t>
            </w:r>
            <w:r>
              <w:rPr>
                <w:rFonts w:hint="eastAsia" w:ascii="宋体" w:hAnsi="宋体"/>
                <w:color w:val="auto"/>
                <w:sz w:val="24"/>
                <w:highlight w:val="none"/>
              </w:rPr>
              <w:t xml:space="preserve"> ；2位</w:t>
            </w:r>
          </w:p>
        </w:tc>
        <w:tc>
          <w:tcPr>
            <w:tcW w:w="1949" w:type="dxa"/>
            <w:noWrap w:val="0"/>
            <w:vAlign w:val="top"/>
          </w:tcPr>
          <w:p w14:paraId="2242443D">
            <w:pPr>
              <w:spacing w:line="440" w:lineRule="exact"/>
              <w:rPr>
                <w:rFonts w:hint="eastAsia" w:ascii="宋体" w:hAnsi="宋体"/>
                <w:color w:val="auto"/>
                <w:sz w:val="24"/>
                <w:highlight w:val="none"/>
              </w:rPr>
            </w:pPr>
          </w:p>
        </w:tc>
      </w:tr>
      <w:tr w14:paraId="4D85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8" w:type="dxa"/>
            <w:noWrap w:val="0"/>
            <w:vAlign w:val="top"/>
          </w:tcPr>
          <w:p w14:paraId="640F1FE6">
            <w:pPr>
              <w:spacing w:line="440" w:lineRule="exact"/>
              <w:rPr>
                <w:rFonts w:hint="eastAsia" w:ascii="宋体" w:hAnsi="宋体"/>
                <w:color w:val="auto"/>
                <w:sz w:val="24"/>
                <w:highlight w:val="none"/>
              </w:rPr>
            </w:pPr>
            <w:r>
              <w:rPr>
                <w:rFonts w:hint="eastAsia" w:ascii="宋体" w:hAnsi="宋体"/>
                <w:color w:val="auto"/>
                <w:sz w:val="24"/>
                <w:highlight w:val="none"/>
              </w:rPr>
              <w:t>17</w:t>
            </w:r>
          </w:p>
        </w:tc>
        <w:tc>
          <w:tcPr>
            <w:tcW w:w="2160" w:type="dxa"/>
            <w:noWrap w:val="0"/>
            <w:vAlign w:val="top"/>
          </w:tcPr>
          <w:p w14:paraId="4617D742">
            <w:pPr>
              <w:spacing w:line="440" w:lineRule="exact"/>
              <w:rPr>
                <w:rFonts w:hint="eastAsia" w:ascii="宋体" w:hAnsi="宋体"/>
                <w:color w:val="auto"/>
                <w:sz w:val="24"/>
                <w:highlight w:val="none"/>
              </w:rPr>
            </w:pPr>
            <w:r>
              <w:rPr>
                <w:rFonts w:hint="eastAsia" w:ascii="宋体" w:hAnsi="宋体"/>
                <w:color w:val="auto"/>
                <w:sz w:val="24"/>
                <w:highlight w:val="none"/>
              </w:rPr>
              <w:t>出水累积流量1</w:t>
            </w:r>
          </w:p>
        </w:tc>
        <w:tc>
          <w:tcPr>
            <w:tcW w:w="1980" w:type="dxa"/>
            <w:noWrap w:val="0"/>
            <w:vAlign w:val="top"/>
          </w:tcPr>
          <w:p w14:paraId="730112CE">
            <w:pPr>
              <w:spacing w:line="440" w:lineRule="exact"/>
              <w:rPr>
                <w:rFonts w:hint="eastAsia" w:ascii="宋体" w:hAnsi="宋体"/>
                <w:color w:val="auto"/>
                <w:sz w:val="24"/>
                <w:highlight w:val="none"/>
              </w:rPr>
            </w:pPr>
            <w:r>
              <w:rPr>
                <w:rFonts w:hint="eastAsia" w:ascii="宋体" w:hAnsi="宋体"/>
                <w:color w:val="auto"/>
                <w:sz w:val="24"/>
                <w:highlight w:val="none"/>
              </w:rPr>
              <w:t>VD1064（dint）</w:t>
            </w:r>
          </w:p>
        </w:tc>
        <w:tc>
          <w:tcPr>
            <w:tcW w:w="2160" w:type="dxa"/>
            <w:noWrap w:val="0"/>
            <w:vAlign w:val="top"/>
          </w:tcPr>
          <w:p w14:paraId="4E498C69">
            <w:pPr>
              <w:spacing w:line="440" w:lineRule="exact"/>
              <w:rPr>
                <w:rFonts w:hint="eastAsia" w:ascii="宋体" w:hAnsi="宋体"/>
                <w:color w:val="auto"/>
                <w:sz w:val="24"/>
                <w:highlight w:val="none"/>
              </w:rPr>
            </w:pPr>
            <w:r>
              <w:rPr>
                <w:rFonts w:hint="eastAsia" w:ascii="宋体" w:hAnsi="宋体"/>
                <w:color w:val="auto"/>
                <w:sz w:val="24"/>
                <w:highlight w:val="none"/>
              </w:rPr>
              <w:t>R/O；</w:t>
            </w:r>
            <w:r>
              <w:rPr>
                <w:rFonts w:hint="eastAsia" w:ascii="宋体" w:hAnsi="宋体"/>
                <w:color w:val="auto"/>
                <w:sz w:val="24"/>
                <w:highlight w:val="none"/>
                <w:lang w:val="zh-CN"/>
              </w:rPr>
              <w:t>M</w:t>
            </w:r>
            <w:r>
              <w:rPr>
                <w:rFonts w:hint="eastAsia" w:ascii="宋体" w:hAnsi="宋体"/>
                <w:color w:val="auto"/>
                <w:sz w:val="24"/>
                <w:highlight w:val="none"/>
                <w:vertAlign w:val="superscript"/>
                <w:lang w:val="zh-CN"/>
              </w:rPr>
              <w:t>3</w:t>
            </w:r>
            <w:r>
              <w:rPr>
                <w:rFonts w:hint="eastAsia" w:ascii="宋体" w:hAnsi="宋体"/>
                <w:color w:val="auto"/>
                <w:sz w:val="24"/>
                <w:highlight w:val="none"/>
              </w:rPr>
              <w:t>；1位</w:t>
            </w:r>
          </w:p>
        </w:tc>
        <w:tc>
          <w:tcPr>
            <w:tcW w:w="1949" w:type="dxa"/>
            <w:noWrap w:val="0"/>
            <w:vAlign w:val="top"/>
          </w:tcPr>
          <w:p w14:paraId="7BB48975">
            <w:pPr>
              <w:spacing w:line="440" w:lineRule="exact"/>
              <w:rPr>
                <w:rFonts w:hint="eastAsia" w:ascii="宋体" w:hAnsi="宋体"/>
                <w:color w:val="auto"/>
                <w:sz w:val="24"/>
                <w:highlight w:val="none"/>
              </w:rPr>
            </w:pPr>
          </w:p>
        </w:tc>
      </w:tr>
      <w:tr w14:paraId="1631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48" w:type="dxa"/>
            <w:noWrap w:val="0"/>
            <w:vAlign w:val="top"/>
          </w:tcPr>
          <w:p w14:paraId="7B930736">
            <w:pPr>
              <w:spacing w:line="440" w:lineRule="exact"/>
              <w:rPr>
                <w:rFonts w:hint="eastAsia" w:ascii="宋体" w:hAnsi="宋体"/>
                <w:color w:val="auto"/>
                <w:sz w:val="24"/>
                <w:highlight w:val="none"/>
              </w:rPr>
            </w:pPr>
            <w:r>
              <w:rPr>
                <w:rFonts w:hint="eastAsia" w:ascii="宋体" w:hAnsi="宋体"/>
                <w:color w:val="auto"/>
                <w:sz w:val="24"/>
                <w:highlight w:val="none"/>
              </w:rPr>
              <w:t>18</w:t>
            </w:r>
          </w:p>
        </w:tc>
        <w:tc>
          <w:tcPr>
            <w:tcW w:w="2160" w:type="dxa"/>
            <w:noWrap w:val="0"/>
            <w:vAlign w:val="top"/>
          </w:tcPr>
          <w:p w14:paraId="58CC6D40">
            <w:pPr>
              <w:spacing w:line="440" w:lineRule="exact"/>
              <w:rPr>
                <w:rFonts w:hint="eastAsia" w:ascii="宋体" w:hAnsi="宋体"/>
                <w:color w:val="auto"/>
                <w:sz w:val="24"/>
                <w:highlight w:val="none"/>
              </w:rPr>
            </w:pPr>
            <w:r>
              <w:rPr>
                <w:rFonts w:hint="eastAsia" w:ascii="宋体" w:hAnsi="宋体"/>
                <w:color w:val="auto"/>
                <w:sz w:val="24"/>
                <w:highlight w:val="none"/>
              </w:rPr>
              <w:t>出水瞬时流量2</w:t>
            </w:r>
          </w:p>
        </w:tc>
        <w:tc>
          <w:tcPr>
            <w:tcW w:w="1980" w:type="dxa"/>
            <w:noWrap w:val="0"/>
            <w:vAlign w:val="top"/>
          </w:tcPr>
          <w:p w14:paraId="1ED6D525">
            <w:pPr>
              <w:spacing w:line="440" w:lineRule="exact"/>
              <w:rPr>
                <w:rFonts w:hint="eastAsia" w:ascii="宋体" w:hAnsi="宋体"/>
                <w:color w:val="auto"/>
                <w:sz w:val="24"/>
                <w:highlight w:val="none"/>
              </w:rPr>
            </w:pPr>
            <w:r>
              <w:rPr>
                <w:rFonts w:hint="eastAsia" w:ascii="宋体" w:hAnsi="宋体"/>
                <w:color w:val="auto"/>
                <w:sz w:val="24"/>
                <w:highlight w:val="none"/>
              </w:rPr>
              <w:t>VD1068（real）</w:t>
            </w:r>
          </w:p>
        </w:tc>
        <w:tc>
          <w:tcPr>
            <w:tcW w:w="2160" w:type="dxa"/>
            <w:noWrap w:val="0"/>
            <w:vAlign w:val="top"/>
          </w:tcPr>
          <w:p w14:paraId="10409410">
            <w:pPr>
              <w:spacing w:line="440" w:lineRule="exact"/>
              <w:rPr>
                <w:rFonts w:hint="eastAsia" w:ascii="宋体" w:hAnsi="宋体"/>
                <w:color w:val="auto"/>
                <w:sz w:val="24"/>
                <w:highlight w:val="none"/>
              </w:rPr>
            </w:pPr>
            <w:r>
              <w:rPr>
                <w:rFonts w:hint="eastAsia" w:ascii="宋体" w:hAnsi="宋体"/>
                <w:color w:val="auto"/>
                <w:sz w:val="24"/>
                <w:highlight w:val="none"/>
              </w:rPr>
              <w:t>R/O；</w:t>
            </w:r>
            <w:r>
              <w:rPr>
                <w:rFonts w:hint="eastAsia" w:ascii="宋体" w:hAnsi="宋体"/>
                <w:color w:val="auto"/>
                <w:sz w:val="24"/>
                <w:highlight w:val="none"/>
                <w:lang w:val="zh-CN"/>
              </w:rPr>
              <w:t>M</w:t>
            </w:r>
            <w:r>
              <w:rPr>
                <w:rFonts w:hint="eastAsia" w:ascii="宋体" w:hAnsi="宋体"/>
                <w:color w:val="auto"/>
                <w:sz w:val="24"/>
                <w:highlight w:val="none"/>
                <w:vertAlign w:val="superscript"/>
                <w:lang w:val="zh-CN"/>
              </w:rPr>
              <w:t>3</w:t>
            </w:r>
            <w:r>
              <w:rPr>
                <w:rFonts w:hint="eastAsia" w:ascii="宋体" w:hAnsi="宋体"/>
                <w:color w:val="auto"/>
                <w:sz w:val="24"/>
                <w:highlight w:val="none"/>
                <w:lang w:val="zh-CN"/>
              </w:rPr>
              <w:t xml:space="preserve"> /h</w:t>
            </w:r>
            <w:r>
              <w:rPr>
                <w:rFonts w:hint="eastAsia" w:ascii="宋体" w:hAnsi="宋体"/>
                <w:color w:val="auto"/>
                <w:sz w:val="24"/>
                <w:highlight w:val="none"/>
              </w:rPr>
              <w:t xml:space="preserve"> ；2位</w:t>
            </w:r>
          </w:p>
        </w:tc>
        <w:tc>
          <w:tcPr>
            <w:tcW w:w="1949" w:type="dxa"/>
            <w:noWrap w:val="0"/>
            <w:vAlign w:val="top"/>
          </w:tcPr>
          <w:p w14:paraId="4EDEFA2C">
            <w:pPr>
              <w:spacing w:line="440" w:lineRule="exact"/>
              <w:rPr>
                <w:rFonts w:hint="eastAsia" w:ascii="宋体" w:hAnsi="宋体"/>
                <w:color w:val="auto"/>
                <w:sz w:val="24"/>
                <w:highlight w:val="none"/>
              </w:rPr>
            </w:pPr>
          </w:p>
        </w:tc>
      </w:tr>
      <w:tr w14:paraId="0C5C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8" w:type="dxa"/>
            <w:noWrap w:val="0"/>
            <w:vAlign w:val="top"/>
          </w:tcPr>
          <w:p w14:paraId="544FEBB3">
            <w:pPr>
              <w:spacing w:line="440" w:lineRule="exact"/>
              <w:rPr>
                <w:rFonts w:hint="eastAsia" w:ascii="宋体" w:hAnsi="宋体"/>
                <w:color w:val="auto"/>
                <w:sz w:val="24"/>
                <w:highlight w:val="none"/>
              </w:rPr>
            </w:pPr>
            <w:r>
              <w:rPr>
                <w:rFonts w:hint="eastAsia" w:ascii="宋体" w:hAnsi="宋体"/>
                <w:color w:val="auto"/>
                <w:sz w:val="24"/>
                <w:highlight w:val="none"/>
              </w:rPr>
              <w:t>19</w:t>
            </w:r>
          </w:p>
        </w:tc>
        <w:tc>
          <w:tcPr>
            <w:tcW w:w="2160" w:type="dxa"/>
            <w:noWrap w:val="0"/>
            <w:vAlign w:val="top"/>
          </w:tcPr>
          <w:p w14:paraId="321E8BA6">
            <w:pPr>
              <w:spacing w:line="440" w:lineRule="exact"/>
              <w:rPr>
                <w:rFonts w:hint="eastAsia" w:ascii="宋体" w:hAnsi="宋体"/>
                <w:color w:val="auto"/>
                <w:sz w:val="24"/>
                <w:highlight w:val="none"/>
              </w:rPr>
            </w:pPr>
            <w:r>
              <w:rPr>
                <w:rFonts w:hint="eastAsia" w:ascii="宋体" w:hAnsi="宋体"/>
                <w:color w:val="auto"/>
                <w:sz w:val="24"/>
                <w:highlight w:val="none"/>
              </w:rPr>
              <w:t>出水累积流量2</w:t>
            </w:r>
          </w:p>
        </w:tc>
        <w:tc>
          <w:tcPr>
            <w:tcW w:w="1980" w:type="dxa"/>
            <w:noWrap w:val="0"/>
            <w:vAlign w:val="top"/>
          </w:tcPr>
          <w:p w14:paraId="30C17CEB">
            <w:pPr>
              <w:spacing w:line="440" w:lineRule="exact"/>
              <w:rPr>
                <w:rFonts w:hint="eastAsia" w:ascii="宋体" w:hAnsi="宋体"/>
                <w:color w:val="auto"/>
                <w:sz w:val="24"/>
                <w:highlight w:val="none"/>
              </w:rPr>
            </w:pPr>
            <w:r>
              <w:rPr>
                <w:rFonts w:hint="eastAsia" w:ascii="宋体" w:hAnsi="宋体"/>
                <w:color w:val="auto"/>
                <w:sz w:val="24"/>
                <w:highlight w:val="none"/>
              </w:rPr>
              <w:t>VD1072（dint）</w:t>
            </w:r>
          </w:p>
        </w:tc>
        <w:tc>
          <w:tcPr>
            <w:tcW w:w="2160" w:type="dxa"/>
            <w:noWrap w:val="0"/>
            <w:vAlign w:val="top"/>
          </w:tcPr>
          <w:p w14:paraId="27C61A4F">
            <w:pPr>
              <w:spacing w:line="440" w:lineRule="exact"/>
              <w:rPr>
                <w:rFonts w:hint="eastAsia" w:ascii="宋体" w:hAnsi="宋体"/>
                <w:color w:val="auto"/>
                <w:sz w:val="24"/>
                <w:highlight w:val="none"/>
              </w:rPr>
            </w:pPr>
            <w:r>
              <w:rPr>
                <w:rFonts w:hint="eastAsia" w:ascii="宋体" w:hAnsi="宋体"/>
                <w:color w:val="auto"/>
                <w:sz w:val="24"/>
                <w:highlight w:val="none"/>
              </w:rPr>
              <w:t>R/O；</w:t>
            </w:r>
            <w:r>
              <w:rPr>
                <w:rFonts w:hint="eastAsia" w:ascii="宋体" w:hAnsi="宋体"/>
                <w:color w:val="auto"/>
                <w:sz w:val="24"/>
                <w:highlight w:val="none"/>
                <w:lang w:val="zh-CN"/>
              </w:rPr>
              <w:t>M</w:t>
            </w:r>
            <w:r>
              <w:rPr>
                <w:rFonts w:hint="eastAsia" w:ascii="宋体" w:hAnsi="宋体"/>
                <w:color w:val="auto"/>
                <w:sz w:val="24"/>
                <w:highlight w:val="none"/>
                <w:vertAlign w:val="superscript"/>
                <w:lang w:val="zh-CN"/>
              </w:rPr>
              <w:t>3</w:t>
            </w:r>
            <w:r>
              <w:rPr>
                <w:rFonts w:hint="eastAsia" w:ascii="宋体" w:hAnsi="宋体"/>
                <w:color w:val="auto"/>
                <w:sz w:val="24"/>
                <w:highlight w:val="none"/>
              </w:rPr>
              <w:t>；1位</w:t>
            </w:r>
          </w:p>
        </w:tc>
        <w:tc>
          <w:tcPr>
            <w:tcW w:w="1949" w:type="dxa"/>
            <w:noWrap w:val="0"/>
            <w:vAlign w:val="top"/>
          </w:tcPr>
          <w:p w14:paraId="0340267B">
            <w:pPr>
              <w:spacing w:line="440" w:lineRule="exact"/>
              <w:rPr>
                <w:rFonts w:hint="eastAsia" w:ascii="宋体" w:hAnsi="宋体"/>
                <w:color w:val="auto"/>
                <w:sz w:val="24"/>
                <w:highlight w:val="none"/>
              </w:rPr>
            </w:pPr>
          </w:p>
        </w:tc>
      </w:tr>
      <w:tr w14:paraId="4048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00D756B">
            <w:pPr>
              <w:spacing w:line="440" w:lineRule="exact"/>
              <w:rPr>
                <w:rFonts w:hint="eastAsia" w:ascii="宋体" w:hAnsi="宋体"/>
                <w:color w:val="auto"/>
                <w:sz w:val="24"/>
                <w:highlight w:val="none"/>
              </w:rPr>
            </w:pPr>
            <w:r>
              <w:rPr>
                <w:rFonts w:hint="eastAsia" w:ascii="宋体" w:hAnsi="宋体"/>
                <w:color w:val="auto"/>
                <w:sz w:val="24"/>
                <w:highlight w:val="none"/>
              </w:rPr>
              <w:t>20</w:t>
            </w:r>
          </w:p>
        </w:tc>
        <w:tc>
          <w:tcPr>
            <w:tcW w:w="2160" w:type="dxa"/>
            <w:noWrap w:val="0"/>
            <w:vAlign w:val="top"/>
          </w:tcPr>
          <w:p w14:paraId="52827D81">
            <w:pPr>
              <w:spacing w:line="440" w:lineRule="exact"/>
              <w:rPr>
                <w:rFonts w:hint="eastAsia" w:ascii="宋体" w:hAnsi="宋体"/>
                <w:color w:val="auto"/>
                <w:sz w:val="24"/>
                <w:highlight w:val="none"/>
              </w:rPr>
            </w:pPr>
            <w:r>
              <w:rPr>
                <w:rFonts w:hint="eastAsia" w:ascii="宋体" w:hAnsi="宋体"/>
                <w:color w:val="auto"/>
                <w:sz w:val="24"/>
                <w:highlight w:val="none"/>
              </w:rPr>
              <w:t>累积电量</w:t>
            </w:r>
          </w:p>
        </w:tc>
        <w:tc>
          <w:tcPr>
            <w:tcW w:w="1980" w:type="dxa"/>
            <w:noWrap w:val="0"/>
            <w:vAlign w:val="top"/>
          </w:tcPr>
          <w:p w14:paraId="67BCC480">
            <w:pPr>
              <w:spacing w:line="440" w:lineRule="exact"/>
              <w:rPr>
                <w:rFonts w:hint="eastAsia" w:ascii="宋体" w:hAnsi="宋体"/>
                <w:color w:val="auto"/>
                <w:sz w:val="24"/>
                <w:highlight w:val="none"/>
              </w:rPr>
            </w:pPr>
            <w:r>
              <w:rPr>
                <w:rFonts w:hint="eastAsia" w:ascii="宋体" w:hAnsi="宋体"/>
                <w:color w:val="auto"/>
                <w:sz w:val="24"/>
                <w:highlight w:val="none"/>
              </w:rPr>
              <w:t>VD1076（dint）</w:t>
            </w:r>
          </w:p>
        </w:tc>
        <w:tc>
          <w:tcPr>
            <w:tcW w:w="2160" w:type="dxa"/>
            <w:noWrap w:val="0"/>
            <w:vAlign w:val="top"/>
          </w:tcPr>
          <w:p w14:paraId="2DB547DF">
            <w:pPr>
              <w:spacing w:line="440" w:lineRule="exact"/>
              <w:rPr>
                <w:rFonts w:hint="eastAsia" w:ascii="宋体" w:hAnsi="宋体"/>
                <w:color w:val="auto"/>
                <w:sz w:val="24"/>
                <w:highlight w:val="none"/>
              </w:rPr>
            </w:pPr>
            <w:r>
              <w:rPr>
                <w:rFonts w:hint="eastAsia" w:ascii="宋体" w:hAnsi="宋体"/>
                <w:color w:val="auto"/>
                <w:sz w:val="24"/>
                <w:highlight w:val="none"/>
              </w:rPr>
              <w:t>R/O；KWH；1位</w:t>
            </w:r>
          </w:p>
        </w:tc>
        <w:tc>
          <w:tcPr>
            <w:tcW w:w="1949" w:type="dxa"/>
            <w:noWrap w:val="0"/>
            <w:vAlign w:val="top"/>
          </w:tcPr>
          <w:p w14:paraId="1FE2A552">
            <w:pPr>
              <w:spacing w:line="440" w:lineRule="exact"/>
              <w:rPr>
                <w:rFonts w:hint="eastAsia" w:ascii="宋体" w:hAnsi="宋体"/>
                <w:color w:val="auto"/>
                <w:sz w:val="24"/>
                <w:highlight w:val="none"/>
              </w:rPr>
            </w:pPr>
          </w:p>
        </w:tc>
      </w:tr>
      <w:tr w14:paraId="5099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24037601">
            <w:pPr>
              <w:spacing w:line="440" w:lineRule="exact"/>
              <w:rPr>
                <w:rFonts w:hint="eastAsia" w:ascii="宋体" w:hAnsi="宋体"/>
                <w:color w:val="auto"/>
                <w:sz w:val="24"/>
                <w:highlight w:val="none"/>
              </w:rPr>
            </w:pPr>
            <w:r>
              <w:rPr>
                <w:rFonts w:hint="eastAsia" w:ascii="宋体" w:hAnsi="宋体"/>
                <w:color w:val="auto"/>
                <w:sz w:val="24"/>
                <w:highlight w:val="none"/>
              </w:rPr>
              <w:t>21</w:t>
            </w:r>
          </w:p>
        </w:tc>
        <w:tc>
          <w:tcPr>
            <w:tcW w:w="2160" w:type="dxa"/>
            <w:noWrap w:val="0"/>
            <w:vAlign w:val="top"/>
          </w:tcPr>
          <w:p w14:paraId="4E22CAE4">
            <w:pPr>
              <w:spacing w:line="440" w:lineRule="exact"/>
              <w:rPr>
                <w:rFonts w:hint="eastAsia" w:ascii="宋体" w:hAnsi="宋体"/>
                <w:color w:val="auto"/>
                <w:sz w:val="24"/>
                <w:highlight w:val="none"/>
              </w:rPr>
            </w:pPr>
            <w:r>
              <w:rPr>
                <w:rFonts w:hint="eastAsia" w:ascii="宋体" w:hAnsi="宋体"/>
                <w:color w:val="auto"/>
                <w:sz w:val="24"/>
                <w:highlight w:val="none"/>
              </w:rPr>
              <w:t>进水电动阀开度</w:t>
            </w:r>
          </w:p>
        </w:tc>
        <w:tc>
          <w:tcPr>
            <w:tcW w:w="1980" w:type="dxa"/>
            <w:noWrap w:val="0"/>
            <w:vAlign w:val="top"/>
          </w:tcPr>
          <w:p w14:paraId="2CAE1211">
            <w:pPr>
              <w:spacing w:line="440" w:lineRule="exact"/>
              <w:rPr>
                <w:rFonts w:hint="eastAsia" w:ascii="宋体" w:hAnsi="宋体"/>
                <w:color w:val="auto"/>
                <w:sz w:val="24"/>
                <w:highlight w:val="none"/>
              </w:rPr>
            </w:pPr>
            <w:r>
              <w:rPr>
                <w:rFonts w:hint="eastAsia" w:ascii="宋体" w:hAnsi="宋体"/>
                <w:color w:val="auto"/>
                <w:sz w:val="24"/>
                <w:highlight w:val="none"/>
              </w:rPr>
              <w:t>VD1080（real）</w:t>
            </w:r>
          </w:p>
        </w:tc>
        <w:tc>
          <w:tcPr>
            <w:tcW w:w="2160" w:type="dxa"/>
            <w:noWrap w:val="0"/>
            <w:vAlign w:val="top"/>
          </w:tcPr>
          <w:p w14:paraId="1B1565D7">
            <w:pPr>
              <w:spacing w:line="440" w:lineRule="exact"/>
              <w:rPr>
                <w:rFonts w:hint="eastAsia" w:ascii="宋体" w:hAnsi="宋体"/>
                <w:color w:val="auto"/>
                <w:sz w:val="24"/>
                <w:highlight w:val="none"/>
              </w:rPr>
            </w:pPr>
            <w:r>
              <w:rPr>
                <w:rFonts w:hint="eastAsia" w:ascii="宋体" w:hAnsi="宋体"/>
                <w:color w:val="auto"/>
                <w:sz w:val="24"/>
                <w:highlight w:val="none"/>
              </w:rPr>
              <w:t>R/O；%；1位</w:t>
            </w:r>
          </w:p>
        </w:tc>
        <w:tc>
          <w:tcPr>
            <w:tcW w:w="1949" w:type="dxa"/>
            <w:noWrap w:val="0"/>
            <w:vAlign w:val="top"/>
          </w:tcPr>
          <w:p w14:paraId="7BF88F17">
            <w:pPr>
              <w:spacing w:line="440" w:lineRule="exact"/>
              <w:rPr>
                <w:rFonts w:hint="eastAsia" w:ascii="宋体" w:hAnsi="宋体"/>
                <w:color w:val="auto"/>
                <w:sz w:val="24"/>
                <w:highlight w:val="none"/>
              </w:rPr>
            </w:pPr>
          </w:p>
        </w:tc>
      </w:tr>
      <w:tr w14:paraId="3B56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C115960">
            <w:pPr>
              <w:spacing w:line="440" w:lineRule="exact"/>
              <w:rPr>
                <w:rFonts w:hint="eastAsia" w:ascii="宋体" w:hAnsi="宋体"/>
                <w:color w:val="auto"/>
                <w:sz w:val="24"/>
                <w:highlight w:val="none"/>
              </w:rPr>
            </w:pPr>
            <w:r>
              <w:rPr>
                <w:rFonts w:hint="eastAsia" w:ascii="宋体" w:hAnsi="宋体"/>
                <w:color w:val="auto"/>
                <w:sz w:val="24"/>
                <w:highlight w:val="none"/>
              </w:rPr>
              <w:t>22</w:t>
            </w:r>
          </w:p>
        </w:tc>
        <w:tc>
          <w:tcPr>
            <w:tcW w:w="2160" w:type="dxa"/>
            <w:noWrap w:val="0"/>
            <w:vAlign w:val="top"/>
          </w:tcPr>
          <w:p w14:paraId="3195BD13">
            <w:pPr>
              <w:spacing w:line="440" w:lineRule="exact"/>
              <w:rPr>
                <w:rFonts w:hint="eastAsia" w:ascii="宋体" w:hAnsi="宋体"/>
                <w:color w:val="auto"/>
                <w:sz w:val="24"/>
                <w:highlight w:val="none"/>
              </w:rPr>
            </w:pPr>
            <w:r>
              <w:rPr>
                <w:rFonts w:hint="eastAsia" w:ascii="宋体" w:hAnsi="宋体"/>
                <w:color w:val="auto"/>
                <w:sz w:val="24"/>
                <w:highlight w:val="none"/>
              </w:rPr>
              <w:t>1#主泵变频运行</w:t>
            </w:r>
          </w:p>
        </w:tc>
        <w:tc>
          <w:tcPr>
            <w:tcW w:w="1980" w:type="dxa"/>
            <w:noWrap w:val="0"/>
            <w:vAlign w:val="top"/>
          </w:tcPr>
          <w:p w14:paraId="33FDD226">
            <w:pPr>
              <w:spacing w:line="440" w:lineRule="exact"/>
              <w:rPr>
                <w:rFonts w:hint="eastAsia" w:ascii="宋体" w:hAnsi="宋体"/>
                <w:color w:val="auto"/>
                <w:sz w:val="24"/>
                <w:highlight w:val="none"/>
              </w:rPr>
            </w:pPr>
            <w:r>
              <w:rPr>
                <w:rFonts w:hint="eastAsia" w:ascii="宋体" w:hAnsi="宋体"/>
                <w:color w:val="auto"/>
                <w:sz w:val="24"/>
                <w:highlight w:val="none"/>
              </w:rPr>
              <w:t>V1084.0</w:t>
            </w:r>
          </w:p>
        </w:tc>
        <w:tc>
          <w:tcPr>
            <w:tcW w:w="2160" w:type="dxa"/>
            <w:noWrap w:val="0"/>
            <w:vAlign w:val="top"/>
          </w:tcPr>
          <w:p w14:paraId="04935103">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615CE769">
            <w:pPr>
              <w:spacing w:line="440" w:lineRule="exact"/>
              <w:rPr>
                <w:rFonts w:hint="eastAsia" w:ascii="宋体" w:hAnsi="宋体"/>
                <w:color w:val="auto"/>
                <w:sz w:val="24"/>
                <w:highlight w:val="none"/>
              </w:rPr>
            </w:pPr>
          </w:p>
        </w:tc>
      </w:tr>
      <w:tr w14:paraId="6552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993613F">
            <w:pPr>
              <w:spacing w:line="440" w:lineRule="exact"/>
              <w:rPr>
                <w:rFonts w:hint="eastAsia" w:ascii="宋体" w:hAnsi="宋体"/>
                <w:color w:val="auto"/>
                <w:sz w:val="24"/>
                <w:highlight w:val="none"/>
              </w:rPr>
            </w:pPr>
            <w:r>
              <w:rPr>
                <w:rFonts w:hint="eastAsia" w:ascii="宋体" w:hAnsi="宋体"/>
                <w:color w:val="auto"/>
                <w:sz w:val="24"/>
                <w:highlight w:val="none"/>
              </w:rPr>
              <w:t>23</w:t>
            </w:r>
          </w:p>
        </w:tc>
        <w:tc>
          <w:tcPr>
            <w:tcW w:w="2160" w:type="dxa"/>
            <w:noWrap w:val="0"/>
            <w:vAlign w:val="top"/>
          </w:tcPr>
          <w:p w14:paraId="357909E9">
            <w:pPr>
              <w:spacing w:line="440" w:lineRule="exact"/>
              <w:rPr>
                <w:rFonts w:hint="eastAsia" w:ascii="宋体" w:hAnsi="宋体"/>
                <w:color w:val="auto"/>
                <w:sz w:val="24"/>
                <w:highlight w:val="none"/>
              </w:rPr>
            </w:pPr>
            <w:r>
              <w:rPr>
                <w:rFonts w:hint="eastAsia" w:ascii="宋体" w:hAnsi="宋体"/>
                <w:color w:val="auto"/>
                <w:sz w:val="24"/>
                <w:highlight w:val="none"/>
              </w:rPr>
              <w:t>1#主泵休息</w:t>
            </w:r>
          </w:p>
        </w:tc>
        <w:tc>
          <w:tcPr>
            <w:tcW w:w="1980" w:type="dxa"/>
            <w:noWrap w:val="0"/>
            <w:vAlign w:val="top"/>
          </w:tcPr>
          <w:p w14:paraId="5980EE67">
            <w:pPr>
              <w:spacing w:line="440" w:lineRule="exact"/>
              <w:rPr>
                <w:rFonts w:hint="eastAsia" w:ascii="宋体" w:hAnsi="宋体"/>
                <w:color w:val="auto"/>
                <w:sz w:val="24"/>
                <w:highlight w:val="none"/>
              </w:rPr>
            </w:pPr>
            <w:r>
              <w:rPr>
                <w:rFonts w:hint="eastAsia" w:ascii="宋体" w:hAnsi="宋体"/>
                <w:color w:val="auto"/>
                <w:sz w:val="24"/>
                <w:highlight w:val="none"/>
              </w:rPr>
              <w:t>V1084.1</w:t>
            </w:r>
          </w:p>
        </w:tc>
        <w:tc>
          <w:tcPr>
            <w:tcW w:w="2160" w:type="dxa"/>
            <w:noWrap w:val="0"/>
            <w:vAlign w:val="top"/>
          </w:tcPr>
          <w:p w14:paraId="481A86BE">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67A2A5DA">
            <w:pPr>
              <w:spacing w:line="440" w:lineRule="exact"/>
              <w:rPr>
                <w:rFonts w:hint="eastAsia" w:ascii="宋体" w:hAnsi="宋体"/>
                <w:color w:val="auto"/>
                <w:sz w:val="24"/>
                <w:highlight w:val="none"/>
              </w:rPr>
            </w:pPr>
          </w:p>
        </w:tc>
      </w:tr>
      <w:tr w14:paraId="7B32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9ADC812">
            <w:pPr>
              <w:spacing w:line="440" w:lineRule="exact"/>
              <w:rPr>
                <w:rFonts w:hint="eastAsia" w:ascii="宋体" w:hAnsi="宋体"/>
                <w:color w:val="auto"/>
                <w:sz w:val="24"/>
                <w:highlight w:val="none"/>
              </w:rPr>
            </w:pPr>
            <w:r>
              <w:rPr>
                <w:rFonts w:hint="eastAsia" w:ascii="宋体" w:hAnsi="宋体"/>
                <w:color w:val="auto"/>
                <w:sz w:val="24"/>
                <w:highlight w:val="none"/>
              </w:rPr>
              <w:t>24</w:t>
            </w:r>
          </w:p>
        </w:tc>
        <w:tc>
          <w:tcPr>
            <w:tcW w:w="2160" w:type="dxa"/>
            <w:noWrap w:val="0"/>
            <w:vAlign w:val="top"/>
          </w:tcPr>
          <w:p w14:paraId="456BEEF9">
            <w:pPr>
              <w:spacing w:line="440" w:lineRule="exact"/>
              <w:rPr>
                <w:rFonts w:hint="eastAsia" w:ascii="宋体" w:hAnsi="宋体"/>
                <w:color w:val="auto"/>
                <w:sz w:val="24"/>
                <w:highlight w:val="none"/>
              </w:rPr>
            </w:pPr>
            <w:r>
              <w:rPr>
                <w:rFonts w:hint="eastAsia" w:ascii="宋体" w:hAnsi="宋体"/>
                <w:color w:val="auto"/>
                <w:sz w:val="24"/>
                <w:highlight w:val="none"/>
              </w:rPr>
              <w:t>1#主泵空开跳闸</w:t>
            </w:r>
          </w:p>
        </w:tc>
        <w:tc>
          <w:tcPr>
            <w:tcW w:w="1980" w:type="dxa"/>
            <w:noWrap w:val="0"/>
            <w:vAlign w:val="top"/>
          </w:tcPr>
          <w:p w14:paraId="3D01ABE6">
            <w:pPr>
              <w:spacing w:line="440" w:lineRule="exact"/>
              <w:rPr>
                <w:rFonts w:hint="eastAsia" w:ascii="宋体" w:hAnsi="宋体"/>
                <w:color w:val="auto"/>
                <w:sz w:val="24"/>
                <w:highlight w:val="none"/>
              </w:rPr>
            </w:pPr>
            <w:r>
              <w:rPr>
                <w:rFonts w:hint="eastAsia" w:ascii="宋体" w:hAnsi="宋体"/>
                <w:color w:val="auto"/>
                <w:sz w:val="24"/>
                <w:highlight w:val="none"/>
              </w:rPr>
              <w:t>V1084.2</w:t>
            </w:r>
          </w:p>
        </w:tc>
        <w:tc>
          <w:tcPr>
            <w:tcW w:w="2160" w:type="dxa"/>
            <w:noWrap w:val="0"/>
            <w:vAlign w:val="top"/>
          </w:tcPr>
          <w:p w14:paraId="2A1338EC">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2FF9E517">
            <w:pPr>
              <w:spacing w:line="440" w:lineRule="exact"/>
              <w:rPr>
                <w:rFonts w:hint="eastAsia" w:ascii="宋体" w:hAnsi="宋体"/>
                <w:color w:val="auto"/>
                <w:sz w:val="24"/>
                <w:highlight w:val="none"/>
              </w:rPr>
            </w:pPr>
          </w:p>
        </w:tc>
      </w:tr>
      <w:tr w14:paraId="6D3E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CD64EDF">
            <w:pPr>
              <w:spacing w:line="440" w:lineRule="exact"/>
              <w:rPr>
                <w:rFonts w:hint="eastAsia" w:ascii="宋体" w:hAnsi="宋体"/>
                <w:color w:val="auto"/>
                <w:sz w:val="24"/>
                <w:highlight w:val="none"/>
              </w:rPr>
            </w:pPr>
            <w:r>
              <w:rPr>
                <w:rFonts w:hint="eastAsia" w:ascii="宋体" w:hAnsi="宋体"/>
                <w:color w:val="auto"/>
                <w:sz w:val="24"/>
                <w:highlight w:val="none"/>
              </w:rPr>
              <w:t>25</w:t>
            </w:r>
          </w:p>
        </w:tc>
        <w:tc>
          <w:tcPr>
            <w:tcW w:w="2160" w:type="dxa"/>
            <w:noWrap w:val="0"/>
            <w:vAlign w:val="top"/>
          </w:tcPr>
          <w:p w14:paraId="14A70E47">
            <w:pPr>
              <w:spacing w:line="440" w:lineRule="exact"/>
              <w:rPr>
                <w:rFonts w:hint="eastAsia" w:ascii="宋体" w:hAnsi="宋体"/>
                <w:color w:val="auto"/>
                <w:sz w:val="24"/>
                <w:highlight w:val="none"/>
              </w:rPr>
            </w:pPr>
            <w:r>
              <w:rPr>
                <w:rFonts w:hint="eastAsia" w:ascii="宋体" w:hAnsi="宋体"/>
                <w:color w:val="auto"/>
                <w:sz w:val="24"/>
                <w:highlight w:val="none"/>
              </w:rPr>
              <w:t>1#主泵变频故障</w:t>
            </w:r>
          </w:p>
        </w:tc>
        <w:tc>
          <w:tcPr>
            <w:tcW w:w="1980" w:type="dxa"/>
            <w:noWrap w:val="0"/>
            <w:vAlign w:val="top"/>
          </w:tcPr>
          <w:p w14:paraId="3213E26E">
            <w:pPr>
              <w:spacing w:line="440" w:lineRule="exact"/>
              <w:rPr>
                <w:rFonts w:hint="eastAsia" w:ascii="宋体" w:hAnsi="宋体"/>
                <w:color w:val="auto"/>
                <w:sz w:val="24"/>
                <w:highlight w:val="none"/>
              </w:rPr>
            </w:pPr>
            <w:r>
              <w:rPr>
                <w:rFonts w:hint="eastAsia" w:ascii="宋体" w:hAnsi="宋体"/>
                <w:color w:val="auto"/>
                <w:sz w:val="24"/>
                <w:highlight w:val="none"/>
              </w:rPr>
              <w:t>V1084.3</w:t>
            </w:r>
          </w:p>
        </w:tc>
        <w:tc>
          <w:tcPr>
            <w:tcW w:w="2160" w:type="dxa"/>
            <w:noWrap w:val="0"/>
            <w:vAlign w:val="top"/>
          </w:tcPr>
          <w:p w14:paraId="4939C4B7">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53948E9B">
            <w:pPr>
              <w:spacing w:line="440" w:lineRule="exact"/>
              <w:rPr>
                <w:rFonts w:hint="eastAsia" w:ascii="宋体" w:hAnsi="宋体"/>
                <w:color w:val="auto"/>
                <w:sz w:val="24"/>
                <w:highlight w:val="none"/>
              </w:rPr>
            </w:pPr>
          </w:p>
        </w:tc>
      </w:tr>
      <w:tr w14:paraId="7650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C843E13">
            <w:pPr>
              <w:spacing w:line="440" w:lineRule="exact"/>
              <w:rPr>
                <w:rFonts w:hint="eastAsia" w:ascii="宋体" w:hAnsi="宋体"/>
                <w:color w:val="auto"/>
                <w:sz w:val="24"/>
                <w:highlight w:val="none"/>
              </w:rPr>
            </w:pPr>
            <w:r>
              <w:rPr>
                <w:rFonts w:hint="eastAsia" w:ascii="宋体" w:hAnsi="宋体"/>
                <w:color w:val="auto"/>
                <w:sz w:val="24"/>
                <w:highlight w:val="none"/>
              </w:rPr>
              <w:t>26</w:t>
            </w:r>
          </w:p>
        </w:tc>
        <w:tc>
          <w:tcPr>
            <w:tcW w:w="2160" w:type="dxa"/>
            <w:noWrap w:val="0"/>
            <w:vAlign w:val="top"/>
          </w:tcPr>
          <w:p w14:paraId="5BA2A3D6">
            <w:pPr>
              <w:spacing w:line="440" w:lineRule="exact"/>
              <w:rPr>
                <w:rFonts w:hint="eastAsia" w:ascii="宋体" w:hAnsi="宋体"/>
                <w:color w:val="auto"/>
                <w:sz w:val="24"/>
                <w:highlight w:val="none"/>
              </w:rPr>
            </w:pPr>
            <w:r>
              <w:rPr>
                <w:rFonts w:hint="eastAsia" w:ascii="宋体" w:hAnsi="宋体"/>
                <w:color w:val="auto"/>
                <w:sz w:val="24"/>
                <w:highlight w:val="none"/>
              </w:rPr>
              <w:t>2#主泵变频运行</w:t>
            </w:r>
          </w:p>
        </w:tc>
        <w:tc>
          <w:tcPr>
            <w:tcW w:w="1980" w:type="dxa"/>
            <w:noWrap w:val="0"/>
            <w:vAlign w:val="top"/>
          </w:tcPr>
          <w:p w14:paraId="4F569776">
            <w:pPr>
              <w:spacing w:line="440" w:lineRule="exact"/>
              <w:rPr>
                <w:rFonts w:hint="eastAsia" w:ascii="宋体" w:hAnsi="宋体"/>
                <w:color w:val="auto"/>
                <w:sz w:val="24"/>
                <w:highlight w:val="none"/>
              </w:rPr>
            </w:pPr>
            <w:r>
              <w:rPr>
                <w:rFonts w:hint="eastAsia" w:ascii="宋体" w:hAnsi="宋体"/>
                <w:color w:val="auto"/>
                <w:sz w:val="24"/>
                <w:highlight w:val="none"/>
              </w:rPr>
              <w:t>V1084.4</w:t>
            </w:r>
          </w:p>
        </w:tc>
        <w:tc>
          <w:tcPr>
            <w:tcW w:w="2160" w:type="dxa"/>
            <w:noWrap w:val="0"/>
            <w:vAlign w:val="top"/>
          </w:tcPr>
          <w:p w14:paraId="3433C1E0">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0828D138">
            <w:pPr>
              <w:spacing w:line="440" w:lineRule="exact"/>
              <w:rPr>
                <w:rFonts w:hint="eastAsia" w:ascii="宋体" w:hAnsi="宋体"/>
                <w:color w:val="auto"/>
                <w:sz w:val="24"/>
                <w:highlight w:val="none"/>
              </w:rPr>
            </w:pPr>
          </w:p>
        </w:tc>
      </w:tr>
      <w:tr w14:paraId="530C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3F02CA2">
            <w:pPr>
              <w:spacing w:line="440" w:lineRule="exact"/>
              <w:rPr>
                <w:rFonts w:hint="eastAsia" w:ascii="宋体" w:hAnsi="宋体"/>
                <w:color w:val="auto"/>
                <w:sz w:val="24"/>
                <w:highlight w:val="none"/>
              </w:rPr>
            </w:pPr>
            <w:r>
              <w:rPr>
                <w:rFonts w:hint="eastAsia" w:ascii="宋体" w:hAnsi="宋体"/>
                <w:color w:val="auto"/>
                <w:sz w:val="24"/>
                <w:highlight w:val="none"/>
              </w:rPr>
              <w:t>27</w:t>
            </w:r>
          </w:p>
        </w:tc>
        <w:tc>
          <w:tcPr>
            <w:tcW w:w="2160" w:type="dxa"/>
            <w:noWrap w:val="0"/>
            <w:vAlign w:val="top"/>
          </w:tcPr>
          <w:p w14:paraId="2710D2BF">
            <w:pPr>
              <w:spacing w:line="440" w:lineRule="exact"/>
              <w:rPr>
                <w:rFonts w:hint="eastAsia" w:ascii="宋体" w:hAnsi="宋体"/>
                <w:color w:val="auto"/>
                <w:sz w:val="24"/>
                <w:highlight w:val="none"/>
              </w:rPr>
            </w:pPr>
            <w:r>
              <w:rPr>
                <w:rFonts w:hint="eastAsia" w:ascii="宋体" w:hAnsi="宋体"/>
                <w:color w:val="auto"/>
                <w:sz w:val="24"/>
                <w:highlight w:val="none"/>
              </w:rPr>
              <w:t>2#主泵休息</w:t>
            </w:r>
          </w:p>
        </w:tc>
        <w:tc>
          <w:tcPr>
            <w:tcW w:w="1980" w:type="dxa"/>
            <w:noWrap w:val="0"/>
            <w:vAlign w:val="top"/>
          </w:tcPr>
          <w:p w14:paraId="46C4CF74">
            <w:pPr>
              <w:spacing w:line="440" w:lineRule="exact"/>
              <w:rPr>
                <w:rFonts w:hint="eastAsia" w:ascii="宋体" w:hAnsi="宋体"/>
                <w:color w:val="auto"/>
                <w:sz w:val="24"/>
                <w:highlight w:val="none"/>
              </w:rPr>
            </w:pPr>
            <w:r>
              <w:rPr>
                <w:rFonts w:hint="eastAsia" w:ascii="宋体" w:hAnsi="宋体"/>
                <w:color w:val="auto"/>
                <w:sz w:val="24"/>
                <w:highlight w:val="none"/>
              </w:rPr>
              <w:t>V1084.5</w:t>
            </w:r>
          </w:p>
        </w:tc>
        <w:tc>
          <w:tcPr>
            <w:tcW w:w="2160" w:type="dxa"/>
            <w:noWrap w:val="0"/>
            <w:vAlign w:val="top"/>
          </w:tcPr>
          <w:p w14:paraId="3A8446B3">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4E0E2D37">
            <w:pPr>
              <w:spacing w:line="440" w:lineRule="exact"/>
              <w:rPr>
                <w:rFonts w:hint="eastAsia" w:ascii="宋体" w:hAnsi="宋体"/>
                <w:color w:val="auto"/>
                <w:sz w:val="24"/>
                <w:highlight w:val="none"/>
              </w:rPr>
            </w:pPr>
          </w:p>
        </w:tc>
      </w:tr>
      <w:tr w14:paraId="67E9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2F4A9C8">
            <w:pPr>
              <w:spacing w:line="440" w:lineRule="exact"/>
              <w:rPr>
                <w:rFonts w:hint="eastAsia" w:ascii="宋体" w:hAnsi="宋体"/>
                <w:color w:val="auto"/>
                <w:sz w:val="24"/>
                <w:highlight w:val="none"/>
              </w:rPr>
            </w:pPr>
            <w:r>
              <w:rPr>
                <w:rFonts w:hint="eastAsia" w:ascii="宋体" w:hAnsi="宋体"/>
                <w:color w:val="auto"/>
                <w:sz w:val="24"/>
                <w:highlight w:val="none"/>
              </w:rPr>
              <w:t>28</w:t>
            </w:r>
          </w:p>
        </w:tc>
        <w:tc>
          <w:tcPr>
            <w:tcW w:w="2160" w:type="dxa"/>
            <w:noWrap w:val="0"/>
            <w:vAlign w:val="top"/>
          </w:tcPr>
          <w:p w14:paraId="59BDBEB5">
            <w:pPr>
              <w:spacing w:line="440" w:lineRule="exact"/>
              <w:rPr>
                <w:rFonts w:hint="eastAsia" w:ascii="宋体" w:hAnsi="宋体"/>
                <w:color w:val="auto"/>
                <w:sz w:val="24"/>
                <w:highlight w:val="none"/>
              </w:rPr>
            </w:pPr>
            <w:r>
              <w:rPr>
                <w:rFonts w:hint="eastAsia" w:ascii="宋体" w:hAnsi="宋体"/>
                <w:color w:val="auto"/>
                <w:sz w:val="24"/>
                <w:highlight w:val="none"/>
              </w:rPr>
              <w:t>2#主泵空开跳闸</w:t>
            </w:r>
          </w:p>
        </w:tc>
        <w:tc>
          <w:tcPr>
            <w:tcW w:w="1980" w:type="dxa"/>
            <w:noWrap w:val="0"/>
            <w:vAlign w:val="top"/>
          </w:tcPr>
          <w:p w14:paraId="3433752E">
            <w:pPr>
              <w:spacing w:line="440" w:lineRule="exact"/>
              <w:rPr>
                <w:rFonts w:hint="eastAsia" w:ascii="宋体" w:hAnsi="宋体"/>
                <w:color w:val="auto"/>
                <w:sz w:val="24"/>
                <w:highlight w:val="none"/>
              </w:rPr>
            </w:pPr>
            <w:r>
              <w:rPr>
                <w:rFonts w:hint="eastAsia" w:ascii="宋体" w:hAnsi="宋体"/>
                <w:color w:val="auto"/>
                <w:sz w:val="24"/>
                <w:highlight w:val="none"/>
              </w:rPr>
              <w:t>V1084.6</w:t>
            </w:r>
          </w:p>
        </w:tc>
        <w:tc>
          <w:tcPr>
            <w:tcW w:w="2160" w:type="dxa"/>
            <w:noWrap w:val="0"/>
            <w:vAlign w:val="top"/>
          </w:tcPr>
          <w:p w14:paraId="5F288641">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15D36C2E">
            <w:pPr>
              <w:spacing w:line="440" w:lineRule="exact"/>
              <w:rPr>
                <w:rFonts w:hint="eastAsia" w:ascii="宋体" w:hAnsi="宋体"/>
                <w:color w:val="auto"/>
                <w:sz w:val="24"/>
                <w:highlight w:val="none"/>
              </w:rPr>
            </w:pPr>
          </w:p>
        </w:tc>
      </w:tr>
      <w:tr w14:paraId="196D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5BDD5B44">
            <w:pPr>
              <w:spacing w:line="440" w:lineRule="exact"/>
              <w:rPr>
                <w:rFonts w:hint="eastAsia" w:ascii="宋体" w:hAnsi="宋体"/>
                <w:color w:val="auto"/>
                <w:sz w:val="24"/>
                <w:highlight w:val="none"/>
              </w:rPr>
            </w:pPr>
            <w:r>
              <w:rPr>
                <w:rFonts w:hint="eastAsia" w:ascii="宋体" w:hAnsi="宋体"/>
                <w:color w:val="auto"/>
                <w:sz w:val="24"/>
                <w:highlight w:val="none"/>
              </w:rPr>
              <w:t>29</w:t>
            </w:r>
          </w:p>
        </w:tc>
        <w:tc>
          <w:tcPr>
            <w:tcW w:w="2160" w:type="dxa"/>
            <w:noWrap w:val="0"/>
            <w:vAlign w:val="top"/>
          </w:tcPr>
          <w:p w14:paraId="5FBE2C04">
            <w:pPr>
              <w:spacing w:line="440" w:lineRule="exact"/>
              <w:rPr>
                <w:rFonts w:hint="eastAsia" w:ascii="宋体" w:hAnsi="宋体"/>
                <w:color w:val="auto"/>
                <w:sz w:val="24"/>
                <w:highlight w:val="none"/>
              </w:rPr>
            </w:pPr>
            <w:r>
              <w:rPr>
                <w:rFonts w:hint="eastAsia" w:ascii="宋体" w:hAnsi="宋体"/>
                <w:color w:val="auto"/>
                <w:sz w:val="24"/>
                <w:highlight w:val="none"/>
              </w:rPr>
              <w:t>2#主泵变频故障</w:t>
            </w:r>
          </w:p>
        </w:tc>
        <w:tc>
          <w:tcPr>
            <w:tcW w:w="1980" w:type="dxa"/>
            <w:noWrap w:val="0"/>
            <w:vAlign w:val="top"/>
          </w:tcPr>
          <w:p w14:paraId="07279D7C">
            <w:pPr>
              <w:spacing w:line="440" w:lineRule="exact"/>
              <w:rPr>
                <w:rFonts w:hint="eastAsia" w:ascii="宋体" w:hAnsi="宋体"/>
                <w:color w:val="auto"/>
                <w:sz w:val="24"/>
                <w:highlight w:val="none"/>
              </w:rPr>
            </w:pPr>
            <w:r>
              <w:rPr>
                <w:rFonts w:hint="eastAsia" w:ascii="宋体" w:hAnsi="宋体"/>
                <w:color w:val="auto"/>
                <w:sz w:val="24"/>
                <w:highlight w:val="none"/>
              </w:rPr>
              <w:t>V1084.7</w:t>
            </w:r>
          </w:p>
        </w:tc>
        <w:tc>
          <w:tcPr>
            <w:tcW w:w="2160" w:type="dxa"/>
            <w:noWrap w:val="0"/>
            <w:vAlign w:val="top"/>
          </w:tcPr>
          <w:p w14:paraId="5BCE54E9">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0A45EC84">
            <w:pPr>
              <w:spacing w:line="440" w:lineRule="exact"/>
              <w:rPr>
                <w:rFonts w:hint="eastAsia" w:ascii="宋体" w:hAnsi="宋体"/>
                <w:color w:val="auto"/>
                <w:sz w:val="24"/>
                <w:highlight w:val="none"/>
              </w:rPr>
            </w:pPr>
          </w:p>
        </w:tc>
      </w:tr>
      <w:tr w14:paraId="2819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F5041A5">
            <w:pPr>
              <w:spacing w:line="440" w:lineRule="exact"/>
              <w:rPr>
                <w:rFonts w:hint="eastAsia" w:ascii="宋体" w:hAnsi="宋体"/>
                <w:color w:val="auto"/>
                <w:sz w:val="24"/>
                <w:highlight w:val="none"/>
              </w:rPr>
            </w:pPr>
            <w:r>
              <w:rPr>
                <w:rFonts w:hint="eastAsia" w:ascii="宋体" w:hAnsi="宋体"/>
                <w:color w:val="auto"/>
                <w:sz w:val="24"/>
                <w:highlight w:val="none"/>
              </w:rPr>
              <w:t>30</w:t>
            </w:r>
          </w:p>
        </w:tc>
        <w:tc>
          <w:tcPr>
            <w:tcW w:w="2160" w:type="dxa"/>
            <w:noWrap w:val="0"/>
            <w:vAlign w:val="top"/>
          </w:tcPr>
          <w:p w14:paraId="17078423">
            <w:pPr>
              <w:spacing w:line="440" w:lineRule="exact"/>
              <w:rPr>
                <w:rFonts w:hint="eastAsia" w:ascii="宋体" w:hAnsi="宋体"/>
                <w:color w:val="auto"/>
                <w:sz w:val="24"/>
                <w:highlight w:val="none"/>
              </w:rPr>
            </w:pPr>
            <w:r>
              <w:rPr>
                <w:rFonts w:hint="eastAsia" w:ascii="宋体" w:hAnsi="宋体"/>
                <w:color w:val="auto"/>
                <w:sz w:val="24"/>
                <w:highlight w:val="none"/>
              </w:rPr>
              <w:t>3#主泵变频运行</w:t>
            </w:r>
          </w:p>
        </w:tc>
        <w:tc>
          <w:tcPr>
            <w:tcW w:w="1980" w:type="dxa"/>
            <w:noWrap w:val="0"/>
            <w:vAlign w:val="top"/>
          </w:tcPr>
          <w:p w14:paraId="5EA946D4">
            <w:pPr>
              <w:spacing w:line="440" w:lineRule="exact"/>
              <w:rPr>
                <w:rFonts w:hint="eastAsia" w:ascii="宋体" w:hAnsi="宋体"/>
                <w:color w:val="auto"/>
                <w:sz w:val="24"/>
                <w:highlight w:val="none"/>
              </w:rPr>
            </w:pPr>
            <w:r>
              <w:rPr>
                <w:rFonts w:hint="eastAsia" w:ascii="宋体" w:hAnsi="宋体"/>
                <w:color w:val="auto"/>
                <w:sz w:val="24"/>
                <w:highlight w:val="none"/>
              </w:rPr>
              <w:t>V1085.0</w:t>
            </w:r>
          </w:p>
        </w:tc>
        <w:tc>
          <w:tcPr>
            <w:tcW w:w="2160" w:type="dxa"/>
            <w:noWrap w:val="0"/>
            <w:vAlign w:val="top"/>
          </w:tcPr>
          <w:p w14:paraId="2E0F911E">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484F714F">
            <w:pPr>
              <w:spacing w:line="440" w:lineRule="exact"/>
              <w:rPr>
                <w:rFonts w:hint="eastAsia" w:ascii="宋体" w:hAnsi="宋体"/>
                <w:color w:val="auto"/>
                <w:sz w:val="24"/>
                <w:highlight w:val="none"/>
              </w:rPr>
            </w:pPr>
          </w:p>
        </w:tc>
      </w:tr>
      <w:tr w14:paraId="7472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5CE136B">
            <w:pPr>
              <w:spacing w:line="440" w:lineRule="exact"/>
              <w:rPr>
                <w:rFonts w:hint="eastAsia" w:ascii="宋体" w:hAnsi="宋体"/>
                <w:color w:val="auto"/>
                <w:sz w:val="24"/>
                <w:highlight w:val="none"/>
              </w:rPr>
            </w:pPr>
            <w:r>
              <w:rPr>
                <w:rFonts w:hint="eastAsia" w:ascii="宋体" w:hAnsi="宋体"/>
                <w:color w:val="auto"/>
                <w:sz w:val="24"/>
                <w:highlight w:val="none"/>
              </w:rPr>
              <w:t>31</w:t>
            </w:r>
          </w:p>
        </w:tc>
        <w:tc>
          <w:tcPr>
            <w:tcW w:w="2160" w:type="dxa"/>
            <w:noWrap w:val="0"/>
            <w:vAlign w:val="top"/>
          </w:tcPr>
          <w:p w14:paraId="009560F2">
            <w:pPr>
              <w:spacing w:line="440" w:lineRule="exact"/>
              <w:rPr>
                <w:rFonts w:hint="eastAsia" w:ascii="宋体" w:hAnsi="宋体"/>
                <w:color w:val="auto"/>
                <w:sz w:val="24"/>
                <w:highlight w:val="none"/>
              </w:rPr>
            </w:pPr>
            <w:r>
              <w:rPr>
                <w:rFonts w:hint="eastAsia" w:ascii="宋体" w:hAnsi="宋体"/>
                <w:color w:val="auto"/>
                <w:sz w:val="24"/>
                <w:highlight w:val="none"/>
              </w:rPr>
              <w:t>3#主泵休息</w:t>
            </w:r>
          </w:p>
        </w:tc>
        <w:tc>
          <w:tcPr>
            <w:tcW w:w="1980" w:type="dxa"/>
            <w:noWrap w:val="0"/>
            <w:vAlign w:val="top"/>
          </w:tcPr>
          <w:p w14:paraId="0549B36A">
            <w:pPr>
              <w:spacing w:line="440" w:lineRule="exact"/>
              <w:rPr>
                <w:rFonts w:hint="eastAsia" w:ascii="宋体" w:hAnsi="宋体"/>
                <w:color w:val="auto"/>
                <w:sz w:val="24"/>
                <w:highlight w:val="none"/>
              </w:rPr>
            </w:pPr>
            <w:r>
              <w:rPr>
                <w:rFonts w:hint="eastAsia" w:ascii="宋体" w:hAnsi="宋体"/>
                <w:color w:val="auto"/>
                <w:sz w:val="24"/>
                <w:highlight w:val="none"/>
              </w:rPr>
              <w:t>V1085.1</w:t>
            </w:r>
          </w:p>
        </w:tc>
        <w:tc>
          <w:tcPr>
            <w:tcW w:w="2160" w:type="dxa"/>
            <w:noWrap w:val="0"/>
            <w:vAlign w:val="top"/>
          </w:tcPr>
          <w:p w14:paraId="2449E815">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5B6B12A4">
            <w:pPr>
              <w:spacing w:line="440" w:lineRule="exact"/>
              <w:rPr>
                <w:rFonts w:hint="eastAsia" w:ascii="宋体" w:hAnsi="宋体"/>
                <w:color w:val="auto"/>
                <w:sz w:val="24"/>
                <w:highlight w:val="none"/>
              </w:rPr>
            </w:pPr>
          </w:p>
        </w:tc>
      </w:tr>
      <w:tr w14:paraId="6194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5A4B6B41">
            <w:pPr>
              <w:spacing w:line="440" w:lineRule="exact"/>
              <w:rPr>
                <w:rFonts w:hint="eastAsia" w:ascii="宋体" w:hAnsi="宋体"/>
                <w:color w:val="auto"/>
                <w:sz w:val="24"/>
                <w:highlight w:val="none"/>
              </w:rPr>
            </w:pPr>
            <w:r>
              <w:rPr>
                <w:rFonts w:hint="eastAsia" w:ascii="宋体" w:hAnsi="宋体"/>
                <w:color w:val="auto"/>
                <w:sz w:val="24"/>
                <w:highlight w:val="none"/>
              </w:rPr>
              <w:t>32</w:t>
            </w:r>
          </w:p>
        </w:tc>
        <w:tc>
          <w:tcPr>
            <w:tcW w:w="2160" w:type="dxa"/>
            <w:noWrap w:val="0"/>
            <w:vAlign w:val="top"/>
          </w:tcPr>
          <w:p w14:paraId="6554BEDC">
            <w:pPr>
              <w:spacing w:line="440" w:lineRule="exact"/>
              <w:rPr>
                <w:rFonts w:hint="eastAsia" w:ascii="宋体" w:hAnsi="宋体"/>
                <w:color w:val="auto"/>
                <w:sz w:val="24"/>
                <w:highlight w:val="none"/>
              </w:rPr>
            </w:pPr>
            <w:r>
              <w:rPr>
                <w:rFonts w:hint="eastAsia" w:ascii="宋体" w:hAnsi="宋体"/>
                <w:color w:val="auto"/>
                <w:sz w:val="24"/>
                <w:highlight w:val="none"/>
              </w:rPr>
              <w:t>3#主泵空开跳闸</w:t>
            </w:r>
          </w:p>
        </w:tc>
        <w:tc>
          <w:tcPr>
            <w:tcW w:w="1980" w:type="dxa"/>
            <w:noWrap w:val="0"/>
            <w:vAlign w:val="top"/>
          </w:tcPr>
          <w:p w14:paraId="44E2FF7A">
            <w:pPr>
              <w:spacing w:line="440" w:lineRule="exact"/>
              <w:rPr>
                <w:rFonts w:hint="eastAsia" w:ascii="宋体" w:hAnsi="宋体"/>
                <w:color w:val="auto"/>
                <w:sz w:val="24"/>
                <w:highlight w:val="none"/>
              </w:rPr>
            </w:pPr>
            <w:r>
              <w:rPr>
                <w:rFonts w:hint="eastAsia" w:ascii="宋体" w:hAnsi="宋体"/>
                <w:color w:val="auto"/>
                <w:sz w:val="24"/>
                <w:highlight w:val="none"/>
              </w:rPr>
              <w:t>V1085.2</w:t>
            </w:r>
          </w:p>
        </w:tc>
        <w:tc>
          <w:tcPr>
            <w:tcW w:w="2160" w:type="dxa"/>
            <w:noWrap w:val="0"/>
            <w:vAlign w:val="top"/>
          </w:tcPr>
          <w:p w14:paraId="5D856375">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2F784C56">
            <w:pPr>
              <w:spacing w:line="440" w:lineRule="exact"/>
              <w:rPr>
                <w:rFonts w:hint="eastAsia" w:ascii="宋体" w:hAnsi="宋体"/>
                <w:color w:val="auto"/>
                <w:sz w:val="24"/>
                <w:highlight w:val="none"/>
              </w:rPr>
            </w:pPr>
          </w:p>
        </w:tc>
      </w:tr>
      <w:tr w14:paraId="4ED1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2C1EA449">
            <w:pPr>
              <w:spacing w:line="440" w:lineRule="exact"/>
              <w:rPr>
                <w:rFonts w:hint="eastAsia" w:ascii="宋体" w:hAnsi="宋体"/>
                <w:color w:val="auto"/>
                <w:sz w:val="24"/>
                <w:highlight w:val="none"/>
              </w:rPr>
            </w:pPr>
            <w:r>
              <w:rPr>
                <w:rFonts w:hint="eastAsia" w:ascii="宋体" w:hAnsi="宋体"/>
                <w:color w:val="auto"/>
                <w:sz w:val="24"/>
                <w:highlight w:val="none"/>
              </w:rPr>
              <w:t>33</w:t>
            </w:r>
          </w:p>
        </w:tc>
        <w:tc>
          <w:tcPr>
            <w:tcW w:w="2160" w:type="dxa"/>
            <w:noWrap w:val="0"/>
            <w:vAlign w:val="top"/>
          </w:tcPr>
          <w:p w14:paraId="7A81D12A">
            <w:pPr>
              <w:spacing w:line="440" w:lineRule="exact"/>
              <w:rPr>
                <w:rFonts w:hint="eastAsia" w:ascii="宋体" w:hAnsi="宋体"/>
                <w:color w:val="auto"/>
                <w:sz w:val="24"/>
                <w:highlight w:val="none"/>
              </w:rPr>
            </w:pPr>
            <w:r>
              <w:rPr>
                <w:rFonts w:hint="eastAsia" w:ascii="宋体" w:hAnsi="宋体"/>
                <w:color w:val="auto"/>
                <w:sz w:val="24"/>
                <w:highlight w:val="none"/>
              </w:rPr>
              <w:t>3#主泵变频故障</w:t>
            </w:r>
          </w:p>
        </w:tc>
        <w:tc>
          <w:tcPr>
            <w:tcW w:w="1980" w:type="dxa"/>
            <w:noWrap w:val="0"/>
            <w:vAlign w:val="top"/>
          </w:tcPr>
          <w:p w14:paraId="3F0C6397">
            <w:pPr>
              <w:spacing w:line="440" w:lineRule="exact"/>
              <w:rPr>
                <w:rFonts w:hint="eastAsia" w:ascii="宋体" w:hAnsi="宋体"/>
                <w:color w:val="auto"/>
                <w:sz w:val="24"/>
                <w:highlight w:val="none"/>
              </w:rPr>
            </w:pPr>
            <w:r>
              <w:rPr>
                <w:rFonts w:hint="eastAsia" w:ascii="宋体" w:hAnsi="宋体"/>
                <w:color w:val="auto"/>
                <w:sz w:val="24"/>
                <w:highlight w:val="none"/>
              </w:rPr>
              <w:t>V1085.3</w:t>
            </w:r>
          </w:p>
        </w:tc>
        <w:tc>
          <w:tcPr>
            <w:tcW w:w="2160" w:type="dxa"/>
            <w:noWrap w:val="0"/>
            <w:vAlign w:val="top"/>
          </w:tcPr>
          <w:p w14:paraId="30555E2F">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776F117B">
            <w:pPr>
              <w:spacing w:line="440" w:lineRule="exact"/>
              <w:rPr>
                <w:rFonts w:hint="eastAsia" w:ascii="宋体" w:hAnsi="宋体"/>
                <w:color w:val="auto"/>
                <w:sz w:val="24"/>
                <w:highlight w:val="none"/>
              </w:rPr>
            </w:pPr>
          </w:p>
        </w:tc>
      </w:tr>
      <w:tr w14:paraId="6976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3D451418">
            <w:pPr>
              <w:spacing w:line="440" w:lineRule="exact"/>
              <w:rPr>
                <w:rFonts w:hint="eastAsia" w:ascii="宋体" w:hAnsi="宋体"/>
                <w:color w:val="auto"/>
                <w:sz w:val="24"/>
                <w:highlight w:val="none"/>
              </w:rPr>
            </w:pPr>
            <w:r>
              <w:rPr>
                <w:rFonts w:hint="eastAsia" w:ascii="宋体" w:hAnsi="宋体"/>
                <w:color w:val="auto"/>
                <w:sz w:val="24"/>
                <w:highlight w:val="none"/>
              </w:rPr>
              <w:t>34</w:t>
            </w:r>
          </w:p>
        </w:tc>
        <w:tc>
          <w:tcPr>
            <w:tcW w:w="2160" w:type="dxa"/>
            <w:noWrap w:val="0"/>
            <w:vAlign w:val="top"/>
          </w:tcPr>
          <w:p w14:paraId="7A9762AD">
            <w:pPr>
              <w:spacing w:line="440" w:lineRule="exact"/>
              <w:rPr>
                <w:rFonts w:hint="eastAsia" w:ascii="宋体" w:hAnsi="宋体"/>
                <w:color w:val="auto"/>
                <w:sz w:val="24"/>
                <w:highlight w:val="none"/>
              </w:rPr>
            </w:pPr>
            <w:r>
              <w:rPr>
                <w:rFonts w:hint="eastAsia" w:ascii="宋体" w:hAnsi="宋体"/>
                <w:color w:val="auto"/>
                <w:sz w:val="24"/>
                <w:highlight w:val="none"/>
              </w:rPr>
              <w:t>4#主泵变频运行</w:t>
            </w:r>
          </w:p>
        </w:tc>
        <w:tc>
          <w:tcPr>
            <w:tcW w:w="1980" w:type="dxa"/>
            <w:noWrap w:val="0"/>
            <w:vAlign w:val="top"/>
          </w:tcPr>
          <w:p w14:paraId="2B526017">
            <w:pPr>
              <w:spacing w:line="440" w:lineRule="exact"/>
              <w:rPr>
                <w:rFonts w:hint="eastAsia" w:ascii="宋体" w:hAnsi="宋体"/>
                <w:color w:val="auto"/>
                <w:sz w:val="24"/>
                <w:highlight w:val="none"/>
              </w:rPr>
            </w:pPr>
            <w:r>
              <w:rPr>
                <w:rFonts w:hint="eastAsia" w:ascii="宋体" w:hAnsi="宋体"/>
                <w:color w:val="auto"/>
                <w:sz w:val="24"/>
                <w:highlight w:val="none"/>
              </w:rPr>
              <w:t>V1085.4</w:t>
            </w:r>
          </w:p>
        </w:tc>
        <w:tc>
          <w:tcPr>
            <w:tcW w:w="2160" w:type="dxa"/>
            <w:noWrap w:val="0"/>
            <w:vAlign w:val="top"/>
          </w:tcPr>
          <w:p w14:paraId="4AE8463F">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6ED139CB">
            <w:pPr>
              <w:spacing w:line="440" w:lineRule="exact"/>
              <w:rPr>
                <w:rFonts w:hint="eastAsia" w:ascii="宋体" w:hAnsi="宋体"/>
                <w:color w:val="auto"/>
                <w:sz w:val="24"/>
                <w:highlight w:val="none"/>
              </w:rPr>
            </w:pPr>
          </w:p>
        </w:tc>
      </w:tr>
      <w:tr w14:paraId="0A28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07C9CF9">
            <w:pPr>
              <w:spacing w:line="440" w:lineRule="exact"/>
              <w:rPr>
                <w:rFonts w:hint="eastAsia" w:ascii="宋体" w:hAnsi="宋体"/>
                <w:color w:val="auto"/>
                <w:sz w:val="24"/>
                <w:highlight w:val="none"/>
              </w:rPr>
            </w:pPr>
            <w:r>
              <w:rPr>
                <w:rFonts w:hint="eastAsia" w:ascii="宋体" w:hAnsi="宋体"/>
                <w:color w:val="auto"/>
                <w:sz w:val="24"/>
                <w:highlight w:val="none"/>
              </w:rPr>
              <w:t>35</w:t>
            </w:r>
          </w:p>
        </w:tc>
        <w:tc>
          <w:tcPr>
            <w:tcW w:w="2160" w:type="dxa"/>
            <w:noWrap w:val="0"/>
            <w:vAlign w:val="top"/>
          </w:tcPr>
          <w:p w14:paraId="30857DBD">
            <w:pPr>
              <w:spacing w:line="440" w:lineRule="exact"/>
              <w:rPr>
                <w:rFonts w:hint="eastAsia" w:ascii="宋体" w:hAnsi="宋体"/>
                <w:color w:val="auto"/>
                <w:sz w:val="24"/>
                <w:highlight w:val="none"/>
              </w:rPr>
            </w:pPr>
            <w:r>
              <w:rPr>
                <w:rFonts w:hint="eastAsia" w:ascii="宋体" w:hAnsi="宋体"/>
                <w:color w:val="auto"/>
                <w:sz w:val="24"/>
                <w:highlight w:val="none"/>
              </w:rPr>
              <w:t>4#主泵休息</w:t>
            </w:r>
          </w:p>
        </w:tc>
        <w:tc>
          <w:tcPr>
            <w:tcW w:w="1980" w:type="dxa"/>
            <w:noWrap w:val="0"/>
            <w:vAlign w:val="top"/>
          </w:tcPr>
          <w:p w14:paraId="08BA050B">
            <w:pPr>
              <w:spacing w:line="440" w:lineRule="exact"/>
              <w:rPr>
                <w:rFonts w:hint="eastAsia" w:ascii="宋体" w:hAnsi="宋体"/>
                <w:color w:val="auto"/>
                <w:sz w:val="24"/>
                <w:highlight w:val="none"/>
              </w:rPr>
            </w:pPr>
            <w:r>
              <w:rPr>
                <w:rFonts w:hint="eastAsia" w:ascii="宋体" w:hAnsi="宋体"/>
                <w:color w:val="auto"/>
                <w:sz w:val="24"/>
                <w:highlight w:val="none"/>
              </w:rPr>
              <w:t>V1085.5</w:t>
            </w:r>
          </w:p>
        </w:tc>
        <w:tc>
          <w:tcPr>
            <w:tcW w:w="2160" w:type="dxa"/>
            <w:noWrap w:val="0"/>
            <w:vAlign w:val="top"/>
          </w:tcPr>
          <w:p w14:paraId="6D9D94C6">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583DDE7D">
            <w:pPr>
              <w:spacing w:line="440" w:lineRule="exact"/>
              <w:rPr>
                <w:rFonts w:hint="eastAsia" w:ascii="宋体" w:hAnsi="宋体"/>
                <w:color w:val="auto"/>
                <w:sz w:val="24"/>
                <w:highlight w:val="none"/>
              </w:rPr>
            </w:pPr>
          </w:p>
        </w:tc>
      </w:tr>
      <w:tr w14:paraId="43E3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49B9B0F">
            <w:pPr>
              <w:spacing w:line="440" w:lineRule="exact"/>
              <w:rPr>
                <w:rFonts w:hint="eastAsia" w:ascii="宋体" w:hAnsi="宋体"/>
                <w:color w:val="auto"/>
                <w:sz w:val="24"/>
                <w:highlight w:val="none"/>
              </w:rPr>
            </w:pPr>
            <w:r>
              <w:rPr>
                <w:rFonts w:hint="eastAsia" w:ascii="宋体" w:hAnsi="宋体"/>
                <w:color w:val="auto"/>
                <w:sz w:val="24"/>
                <w:highlight w:val="none"/>
              </w:rPr>
              <w:t>36</w:t>
            </w:r>
          </w:p>
        </w:tc>
        <w:tc>
          <w:tcPr>
            <w:tcW w:w="2160" w:type="dxa"/>
            <w:noWrap w:val="0"/>
            <w:vAlign w:val="top"/>
          </w:tcPr>
          <w:p w14:paraId="02FCD495">
            <w:pPr>
              <w:spacing w:line="440" w:lineRule="exact"/>
              <w:rPr>
                <w:rFonts w:hint="eastAsia" w:ascii="宋体" w:hAnsi="宋体"/>
                <w:color w:val="auto"/>
                <w:sz w:val="24"/>
                <w:highlight w:val="none"/>
              </w:rPr>
            </w:pPr>
            <w:r>
              <w:rPr>
                <w:rFonts w:hint="eastAsia" w:ascii="宋体" w:hAnsi="宋体"/>
                <w:color w:val="auto"/>
                <w:sz w:val="24"/>
                <w:highlight w:val="none"/>
              </w:rPr>
              <w:t>4#主泵空开跳闸</w:t>
            </w:r>
          </w:p>
        </w:tc>
        <w:tc>
          <w:tcPr>
            <w:tcW w:w="1980" w:type="dxa"/>
            <w:noWrap w:val="0"/>
            <w:vAlign w:val="top"/>
          </w:tcPr>
          <w:p w14:paraId="1AD91433">
            <w:pPr>
              <w:spacing w:line="440" w:lineRule="exact"/>
              <w:rPr>
                <w:rFonts w:hint="eastAsia" w:ascii="宋体" w:hAnsi="宋体"/>
                <w:color w:val="auto"/>
                <w:sz w:val="24"/>
                <w:highlight w:val="none"/>
              </w:rPr>
            </w:pPr>
            <w:r>
              <w:rPr>
                <w:rFonts w:hint="eastAsia" w:ascii="宋体" w:hAnsi="宋体"/>
                <w:color w:val="auto"/>
                <w:sz w:val="24"/>
                <w:highlight w:val="none"/>
              </w:rPr>
              <w:t>V1085.6</w:t>
            </w:r>
          </w:p>
        </w:tc>
        <w:tc>
          <w:tcPr>
            <w:tcW w:w="2160" w:type="dxa"/>
            <w:noWrap w:val="0"/>
            <w:vAlign w:val="top"/>
          </w:tcPr>
          <w:p w14:paraId="6ECDEA52">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0A8B4AFD">
            <w:pPr>
              <w:spacing w:line="440" w:lineRule="exact"/>
              <w:rPr>
                <w:rFonts w:hint="eastAsia" w:ascii="宋体" w:hAnsi="宋体"/>
                <w:color w:val="auto"/>
                <w:sz w:val="24"/>
                <w:highlight w:val="none"/>
              </w:rPr>
            </w:pPr>
          </w:p>
        </w:tc>
      </w:tr>
      <w:tr w14:paraId="39CF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254FE1BB">
            <w:pPr>
              <w:spacing w:line="440" w:lineRule="exact"/>
              <w:rPr>
                <w:rFonts w:hint="eastAsia" w:ascii="宋体" w:hAnsi="宋体"/>
                <w:color w:val="auto"/>
                <w:sz w:val="24"/>
                <w:highlight w:val="none"/>
              </w:rPr>
            </w:pPr>
            <w:r>
              <w:rPr>
                <w:rFonts w:hint="eastAsia" w:ascii="宋体" w:hAnsi="宋体"/>
                <w:color w:val="auto"/>
                <w:sz w:val="24"/>
                <w:highlight w:val="none"/>
              </w:rPr>
              <w:t>37</w:t>
            </w:r>
          </w:p>
        </w:tc>
        <w:tc>
          <w:tcPr>
            <w:tcW w:w="2160" w:type="dxa"/>
            <w:noWrap w:val="0"/>
            <w:vAlign w:val="top"/>
          </w:tcPr>
          <w:p w14:paraId="5D11F414">
            <w:pPr>
              <w:spacing w:line="440" w:lineRule="exact"/>
              <w:rPr>
                <w:rFonts w:hint="eastAsia" w:ascii="宋体" w:hAnsi="宋体"/>
                <w:color w:val="auto"/>
                <w:sz w:val="24"/>
                <w:highlight w:val="none"/>
              </w:rPr>
            </w:pPr>
            <w:r>
              <w:rPr>
                <w:rFonts w:hint="eastAsia" w:ascii="宋体" w:hAnsi="宋体"/>
                <w:color w:val="auto"/>
                <w:sz w:val="24"/>
                <w:highlight w:val="none"/>
              </w:rPr>
              <w:t>4#主泵变频故障</w:t>
            </w:r>
          </w:p>
        </w:tc>
        <w:tc>
          <w:tcPr>
            <w:tcW w:w="1980" w:type="dxa"/>
            <w:noWrap w:val="0"/>
            <w:vAlign w:val="top"/>
          </w:tcPr>
          <w:p w14:paraId="28D4AB8C">
            <w:pPr>
              <w:spacing w:line="440" w:lineRule="exact"/>
              <w:rPr>
                <w:rFonts w:hint="eastAsia" w:ascii="宋体" w:hAnsi="宋体"/>
                <w:color w:val="auto"/>
                <w:sz w:val="24"/>
                <w:highlight w:val="none"/>
              </w:rPr>
            </w:pPr>
            <w:r>
              <w:rPr>
                <w:rFonts w:hint="eastAsia" w:ascii="宋体" w:hAnsi="宋体"/>
                <w:color w:val="auto"/>
                <w:sz w:val="24"/>
                <w:highlight w:val="none"/>
              </w:rPr>
              <w:t>V1085.7</w:t>
            </w:r>
          </w:p>
        </w:tc>
        <w:tc>
          <w:tcPr>
            <w:tcW w:w="2160" w:type="dxa"/>
            <w:noWrap w:val="0"/>
            <w:vAlign w:val="top"/>
          </w:tcPr>
          <w:p w14:paraId="4DB302BF">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6C5BF0B5">
            <w:pPr>
              <w:spacing w:line="440" w:lineRule="exact"/>
              <w:rPr>
                <w:rFonts w:hint="eastAsia" w:ascii="宋体" w:hAnsi="宋体"/>
                <w:color w:val="auto"/>
                <w:sz w:val="24"/>
                <w:highlight w:val="none"/>
              </w:rPr>
            </w:pPr>
          </w:p>
        </w:tc>
      </w:tr>
      <w:tr w14:paraId="7235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BEBA52B">
            <w:pPr>
              <w:spacing w:line="440" w:lineRule="exact"/>
              <w:rPr>
                <w:rFonts w:hint="eastAsia" w:ascii="宋体" w:hAnsi="宋体"/>
                <w:color w:val="auto"/>
                <w:sz w:val="24"/>
                <w:highlight w:val="none"/>
              </w:rPr>
            </w:pPr>
            <w:r>
              <w:rPr>
                <w:rFonts w:hint="eastAsia" w:ascii="宋体" w:hAnsi="宋体"/>
                <w:color w:val="auto"/>
                <w:sz w:val="24"/>
                <w:highlight w:val="none"/>
              </w:rPr>
              <w:t>38</w:t>
            </w:r>
          </w:p>
        </w:tc>
        <w:tc>
          <w:tcPr>
            <w:tcW w:w="2160" w:type="dxa"/>
            <w:noWrap w:val="0"/>
            <w:vAlign w:val="top"/>
          </w:tcPr>
          <w:p w14:paraId="3B190AA8">
            <w:pPr>
              <w:spacing w:line="440" w:lineRule="exact"/>
              <w:rPr>
                <w:rFonts w:hint="eastAsia" w:ascii="宋体" w:hAnsi="宋体"/>
                <w:color w:val="auto"/>
                <w:sz w:val="24"/>
                <w:highlight w:val="none"/>
              </w:rPr>
            </w:pPr>
            <w:r>
              <w:rPr>
                <w:rFonts w:hint="eastAsia" w:ascii="宋体" w:hAnsi="宋体"/>
                <w:color w:val="auto"/>
                <w:sz w:val="24"/>
                <w:highlight w:val="none"/>
              </w:rPr>
              <w:t>5#主泵变频运行</w:t>
            </w:r>
          </w:p>
        </w:tc>
        <w:tc>
          <w:tcPr>
            <w:tcW w:w="1980" w:type="dxa"/>
            <w:noWrap w:val="0"/>
            <w:vAlign w:val="top"/>
          </w:tcPr>
          <w:p w14:paraId="7542F008">
            <w:pPr>
              <w:spacing w:line="440" w:lineRule="exact"/>
              <w:rPr>
                <w:rFonts w:hint="eastAsia" w:ascii="宋体" w:hAnsi="宋体"/>
                <w:color w:val="auto"/>
                <w:sz w:val="24"/>
                <w:highlight w:val="none"/>
              </w:rPr>
            </w:pPr>
            <w:r>
              <w:rPr>
                <w:rFonts w:hint="eastAsia" w:ascii="宋体" w:hAnsi="宋体"/>
                <w:color w:val="auto"/>
                <w:sz w:val="24"/>
                <w:highlight w:val="none"/>
              </w:rPr>
              <w:t>V1086.0</w:t>
            </w:r>
          </w:p>
        </w:tc>
        <w:tc>
          <w:tcPr>
            <w:tcW w:w="2160" w:type="dxa"/>
            <w:noWrap w:val="0"/>
            <w:vAlign w:val="top"/>
          </w:tcPr>
          <w:p w14:paraId="15332D35">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503D652F">
            <w:pPr>
              <w:spacing w:line="440" w:lineRule="exact"/>
              <w:rPr>
                <w:rFonts w:hint="eastAsia" w:ascii="宋体" w:hAnsi="宋体"/>
                <w:color w:val="auto"/>
                <w:sz w:val="24"/>
                <w:highlight w:val="none"/>
              </w:rPr>
            </w:pPr>
          </w:p>
        </w:tc>
      </w:tr>
      <w:tr w14:paraId="3FC6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4564529">
            <w:pPr>
              <w:spacing w:line="440" w:lineRule="exact"/>
              <w:rPr>
                <w:rFonts w:hint="eastAsia" w:ascii="宋体" w:hAnsi="宋体"/>
                <w:color w:val="auto"/>
                <w:sz w:val="24"/>
                <w:highlight w:val="none"/>
              </w:rPr>
            </w:pPr>
            <w:r>
              <w:rPr>
                <w:rFonts w:hint="eastAsia" w:ascii="宋体" w:hAnsi="宋体"/>
                <w:color w:val="auto"/>
                <w:sz w:val="24"/>
                <w:highlight w:val="none"/>
              </w:rPr>
              <w:t>39</w:t>
            </w:r>
          </w:p>
        </w:tc>
        <w:tc>
          <w:tcPr>
            <w:tcW w:w="2160" w:type="dxa"/>
            <w:noWrap w:val="0"/>
            <w:vAlign w:val="top"/>
          </w:tcPr>
          <w:p w14:paraId="7015CB7B">
            <w:pPr>
              <w:spacing w:line="440" w:lineRule="exact"/>
              <w:rPr>
                <w:rFonts w:hint="eastAsia" w:ascii="宋体" w:hAnsi="宋体"/>
                <w:color w:val="auto"/>
                <w:sz w:val="24"/>
                <w:highlight w:val="none"/>
              </w:rPr>
            </w:pPr>
            <w:r>
              <w:rPr>
                <w:rFonts w:hint="eastAsia" w:ascii="宋体" w:hAnsi="宋体"/>
                <w:color w:val="auto"/>
                <w:sz w:val="24"/>
                <w:highlight w:val="none"/>
              </w:rPr>
              <w:t>5#主泵休息</w:t>
            </w:r>
          </w:p>
        </w:tc>
        <w:tc>
          <w:tcPr>
            <w:tcW w:w="1980" w:type="dxa"/>
            <w:noWrap w:val="0"/>
            <w:vAlign w:val="top"/>
          </w:tcPr>
          <w:p w14:paraId="5B53843A">
            <w:pPr>
              <w:spacing w:line="440" w:lineRule="exact"/>
              <w:rPr>
                <w:rFonts w:hint="eastAsia" w:ascii="宋体" w:hAnsi="宋体"/>
                <w:color w:val="auto"/>
                <w:sz w:val="24"/>
                <w:highlight w:val="none"/>
              </w:rPr>
            </w:pPr>
            <w:r>
              <w:rPr>
                <w:rFonts w:hint="eastAsia" w:ascii="宋体" w:hAnsi="宋体"/>
                <w:color w:val="auto"/>
                <w:sz w:val="24"/>
                <w:highlight w:val="none"/>
              </w:rPr>
              <w:t>V1086.1</w:t>
            </w:r>
          </w:p>
        </w:tc>
        <w:tc>
          <w:tcPr>
            <w:tcW w:w="2160" w:type="dxa"/>
            <w:noWrap w:val="0"/>
            <w:vAlign w:val="top"/>
          </w:tcPr>
          <w:p w14:paraId="76AAC5A3">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22F0871E">
            <w:pPr>
              <w:spacing w:line="440" w:lineRule="exact"/>
              <w:rPr>
                <w:rFonts w:hint="eastAsia" w:ascii="宋体" w:hAnsi="宋体"/>
                <w:color w:val="auto"/>
                <w:sz w:val="24"/>
                <w:highlight w:val="none"/>
              </w:rPr>
            </w:pPr>
          </w:p>
        </w:tc>
      </w:tr>
      <w:tr w14:paraId="350B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B6551BB">
            <w:pPr>
              <w:spacing w:line="440" w:lineRule="exact"/>
              <w:rPr>
                <w:rFonts w:hint="eastAsia" w:ascii="宋体" w:hAnsi="宋体"/>
                <w:color w:val="auto"/>
                <w:sz w:val="24"/>
                <w:highlight w:val="none"/>
              </w:rPr>
            </w:pPr>
            <w:r>
              <w:rPr>
                <w:rFonts w:hint="eastAsia" w:ascii="宋体" w:hAnsi="宋体"/>
                <w:color w:val="auto"/>
                <w:sz w:val="24"/>
                <w:highlight w:val="none"/>
              </w:rPr>
              <w:t>40</w:t>
            </w:r>
          </w:p>
        </w:tc>
        <w:tc>
          <w:tcPr>
            <w:tcW w:w="2160" w:type="dxa"/>
            <w:noWrap w:val="0"/>
            <w:vAlign w:val="top"/>
          </w:tcPr>
          <w:p w14:paraId="1301E961">
            <w:pPr>
              <w:spacing w:line="440" w:lineRule="exact"/>
              <w:rPr>
                <w:rFonts w:hint="eastAsia" w:ascii="宋体" w:hAnsi="宋体"/>
                <w:color w:val="auto"/>
                <w:sz w:val="24"/>
                <w:highlight w:val="none"/>
              </w:rPr>
            </w:pPr>
            <w:r>
              <w:rPr>
                <w:rFonts w:hint="eastAsia" w:ascii="宋体" w:hAnsi="宋体"/>
                <w:color w:val="auto"/>
                <w:sz w:val="24"/>
                <w:highlight w:val="none"/>
              </w:rPr>
              <w:t>5#主泵空开跳闸</w:t>
            </w:r>
          </w:p>
        </w:tc>
        <w:tc>
          <w:tcPr>
            <w:tcW w:w="1980" w:type="dxa"/>
            <w:noWrap w:val="0"/>
            <w:vAlign w:val="top"/>
          </w:tcPr>
          <w:p w14:paraId="10D9F419">
            <w:pPr>
              <w:spacing w:line="440" w:lineRule="exact"/>
              <w:rPr>
                <w:rFonts w:hint="eastAsia" w:ascii="宋体" w:hAnsi="宋体"/>
                <w:color w:val="auto"/>
                <w:sz w:val="24"/>
                <w:highlight w:val="none"/>
              </w:rPr>
            </w:pPr>
            <w:r>
              <w:rPr>
                <w:rFonts w:hint="eastAsia" w:ascii="宋体" w:hAnsi="宋体"/>
                <w:color w:val="auto"/>
                <w:sz w:val="24"/>
                <w:highlight w:val="none"/>
              </w:rPr>
              <w:t>V1086.2</w:t>
            </w:r>
          </w:p>
        </w:tc>
        <w:tc>
          <w:tcPr>
            <w:tcW w:w="2160" w:type="dxa"/>
            <w:noWrap w:val="0"/>
            <w:vAlign w:val="top"/>
          </w:tcPr>
          <w:p w14:paraId="2C177519">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3524411E">
            <w:pPr>
              <w:spacing w:line="440" w:lineRule="exact"/>
              <w:rPr>
                <w:rFonts w:hint="eastAsia" w:ascii="宋体" w:hAnsi="宋体"/>
                <w:color w:val="auto"/>
                <w:sz w:val="24"/>
                <w:highlight w:val="none"/>
              </w:rPr>
            </w:pPr>
          </w:p>
        </w:tc>
      </w:tr>
      <w:tr w14:paraId="4768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0D95DEC">
            <w:pPr>
              <w:spacing w:line="440" w:lineRule="exact"/>
              <w:rPr>
                <w:rFonts w:hint="eastAsia" w:ascii="宋体" w:hAnsi="宋体"/>
                <w:color w:val="auto"/>
                <w:sz w:val="24"/>
                <w:highlight w:val="none"/>
              </w:rPr>
            </w:pPr>
            <w:r>
              <w:rPr>
                <w:rFonts w:hint="eastAsia" w:ascii="宋体" w:hAnsi="宋体"/>
                <w:color w:val="auto"/>
                <w:sz w:val="24"/>
                <w:highlight w:val="none"/>
              </w:rPr>
              <w:t>41</w:t>
            </w:r>
          </w:p>
        </w:tc>
        <w:tc>
          <w:tcPr>
            <w:tcW w:w="2160" w:type="dxa"/>
            <w:noWrap w:val="0"/>
            <w:vAlign w:val="top"/>
          </w:tcPr>
          <w:p w14:paraId="13CBC6BD">
            <w:pPr>
              <w:spacing w:line="440" w:lineRule="exact"/>
              <w:rPr>
                <w:rFonts w:hint="eastAsia" w:ascii="宋体" w:hAnsi="宋体"/>
                <w:color w:val="auto"/>
                <w:sz w:val="24"/>
                <w:highlight w:val="none"/>
              </w:rPr>
            </w:pPr>
            <w:r>
              <w:rPr>
                <w:rFonts w:hint="eastAsia" w:ascii="宋体" w:hAnsi="宋体"/>
                <w:color w:val="auto"/>
                <w:sz w:val="24"/>
                <w:highlight w:val="none"/>
              </w:rPr>
              <w:t>5#主泵变频故障</w:t>
            </w:r>
          </w:p>
        </w:tc>
        <w:tc>
          <w:tcPr>
            <w:tcW w:w="1980" w:type="dxa"/>
            <w:noWrap w:val="0"/>
            <w:vAlign w:val="top"/>
          </w:tcPr>
          <w:p w14:paraId="37A853D5">
            <w:pPr>
              <w:spacing w:line="440" w:lineRule="exact"/>
              <w:rPr>
                <w:rFonts w:hint="eastAsia" w:ascii="宋体" w:hAnsi="宋体"/>
                <w:color w:val="auto"/>
                <w:sz w:val="24"/>
                <w:highlight w:val="none"/>
              </w:rPr>
            </w:pPr>
            <w:r>
              <w:rPr>
                <w:rFonts w:hint="eastAsia" w:ascii="宋体" w:hAnsi="宋体"/>
                <w:color w:val="auto"/>
                <w:sz w:val="24"/>
                <w:highlight w:val="none"/>
              </w:rPr>
              <w:t>V1086.3</w:t>
            </w:r>
          </w:p>
        </w:tc>
        <w:tc>
          <w:tcPr>
            <w:tcW w:w="2160" w:type="dxa"/>
            <w:noWrap w:val="0"/>
            <w:vAlign w:val="top"/>
          </w:tcPr>
          <w:p w14:paraId="01160379">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3CA62EE0">
            <w:pPr>
              <w:spacing w:line="440" w:lineRule="exact"/>
              <w:rPr>
                <w:rFonts w:hint="eastAsia" w:ascii="宋体" w:hAnsi="宋体"/>
                <w:color w:val="auto"/>
                <w:sz w:val="24"/>
                <w:highlight w:val="none"/>
              </w:rPr>
            </w:pPr>
          </w:p>
        </w:tc>
      </w:tr>
      <w:tr w14:paraId="49D1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33667FB4">
            <w:pPr>
              <w:spacing w:line="440" w:lineRule="exact"/>
              <w:rPr>
                <w:rFonts w:hint="eastAsia" w:ascii="宋体" w:hAnsi="宋体"/>
                <w:color w:val="auto"/>
                <w:sz w:val="24"/>
                <w:highlight w:val="none"/>
              </w:rPr>
            </w:pPr>
            <w:r>
              <w:rPr>
                <w:rFonts w:hint="eastAsia" w:ascii="宋体" w:hAnsi="宋体"/>
                <w:color w:val="auto"/>
                <w:sz w:val="24"/>
                <w:highlight w:val="none"/>
              </w:rPr>
              <w:t>42</w:t>
            </w:r>
          </w:p>
        </w:tc>
        <w:tc>
          <w:tcPr>
            <w:tcW w:w="2160" w:type="dxa"/>
            <w:noWrap w:val="0"/>
            <w:vAlign w:val="top"/>
          </w:tcPr>
          <w:p w14:paraId="1B09D96F">
            <w:pPr>
              <w:spacing w:line="440" w:lineRule="exact"/>
              <w:rPr>
                <w:rFonts w:hint="eastAsia" w:ascii="宋体" w:hAnsi="宋体"/>
                <w:color w:val="auto"/>
                <w:sz w:val="24"/>
                <w:highlight w:val="none"/>
              </w:rPr>
            </w:pPr>
            <w:r>
              <w:rPr>
                <w:rFonts w:hint="eastAsia" w:ascii="宋体" w:hAnsi="宋体"/>
                <w:color w:val="auto"/>
                <w:sz w:val="24"/>
                <w:highlight w:val="none"/>
              </w:rPr>
              <w:t>辅泵变频运行</w:t>
            </w:r>
          </w:p>
        </w:tc>
        <w:tc>
          <w:tcPr>
            <w:tcW w:w="1980" w:type="dxa"/>
            <w:noWrap w:val="0"/>
            <w:vAlign w:val="top"/>
          </w:tcPr>
          <w:p w14:paraId="31594FF7">
            <w:pPr>
              <w:spacing w:line="440" w:lineRule="exact"/>
              <w:rPr>
                <w:rFonts w:hint="eastAsia" w:ascii="宋体" w:hAnsi="宋体"/>
                <w:color w:val="auto"/>
                <w:sz w:val="24"/>
                <w:highlight w:val="none"/>
              </w:rPr>
            </w:pPr>
            <w:r>
              <w:rPr>
                <w:rFonts w:hint="eastAsia" w:ascii="宋体" w:hAnsi="宋体"/>
                <w:color w:val="auto"/>
                <w:sz w:val="24"/>
                <w:highlight w:val="none"/>
              </w:rPr>
              <w:t>V1086.4</w:t>
            </w:r>
          </w:p>
        </w:tc>
        <w:tc>
          <w:tcPr>
            <w:tcW w:w="2160" w:type="dxa"/>
            <w:noWrap w:val="0"/>
            <w:vAlign w:val="top"/>
          </w:tcPr>
          <w:p w14:paraId="03C93392">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4A81A672">
            <w:pPr>
              <w:spacing w:line="440" w:lineRule="exact"/>
              <w:rPr>
                <w:rFonts w:hint="eastAsia" w:ascii="宋体" w:hAnsi="宋体"/>
                <w:color w:val="auto"/>
                <w:sz w:val="24"/>
                <w:highlight w:val="none"/>
              </w:rPr>
            </w:pPr>
          </w:p>
        </w:tc>
      </w:tr>
      <w:tr w14:paraId="4907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0329062">
            <w:pPr>
              <w:spacing w:line="440" w:lineRule="exact"/>
              <w:rPr>
                <w:rFonts w:hint="eastAsia" w:ascii="宋体" w:hAnsi="宋体"/>
                <w:color w:val="auto"/>
                <w:sz w:val="24"/>
                <w:highlight w:val="none"/>
              </w:rPr>
            </w:pPr>
            <w:r>
              <w:rPr>
                <w:rFonts w:hint="eastAsia" w:ascii="宋体" w:hAnsi="宋体"/>
                <w:color w:val="auto"/>
                <w:sz w:val="24"/>
                <w:highlight w:val="none"/>
              </w:rPr>
              <w:t>43</w:t>
            </w:r>
          </w:p>
        </w:tc>
        <w:tc>
          <w:tcPr>
            <w:tcW w:w="2160" w:type="dxa"/>
            <w:noWrap w:val="0"/>
            <w:vAlign w:val="top"/>
          </w:tcPr>
          <w:p w14:paraId="13D41B77">
            <w:pPr>
              <w:spacing w:line="440" w:lineRule="exact"/>
              <w:rPr>
                <w:rFonts w:hint="eastAsia" w:ascii="宋体" w:hAnsi="宋体"/>
                <w:color w:val="auto"/>
                <w:sz w:val="24"/>
                <w:highlight w:val="none"/>
              </w:rPr>
            </w:pPr>
            <w:r>
              <w:rPr>
                <w:rFonts w:hint="eastAsia" w:ascii="宋体" w:hAnsi="宋体"/>
                <w:color w:val="auto"/>
                <w:sz w:val="24"/>
                <w:highlight w:val="none"/>
              </w:rPr>
              <w:t>辅泵休息</w:t>
            </w:r>
          </w:p>
        </w:tc>
        <w:tc>
          <w:tcPr>
            <w:tcW w:w="1980" w:type="dxa"/>
            <w:noWrap w:val="0"/>
            <w:vAlign w:val="top"/>
          </w:tcPr>
          <w:p w14:paraId="1E3F4E5A">
            <w:pPr>
              <w:spacing w:line="440" w:lineRule="exact"/>
              <w:rPr>
                <w:rFonts w:hint="eastAsia" w:ascii="宋体" w:hAnsi="宋体"/>
                <w:color w:val="auto"/>
                <w:sz w:val="24"/>
                <w:highlight w:val="none"/>
              </w:rPr>
            </w:pPr>
            <w:r>
              <w:rPr>
                <w:rFonts w:hint="eastAsia" w:ascii="宋体" w:hAnsi="宋体"/>
                <w:color w:val="auto"/>
                <w:sz w:val="24"/>
                <w:highlight w:val="none"/>
              </w:rPr>
              <w:t>V1086.5</w:t>
            </w:r>
          </w:p>
        </w:tc>
        <w:tc>
          <w:tcPr>
            <w:tcW w:w="2160" w:type="dxa"/>
            <w:noWrap w:val="0"/>
            <w:vAlign w:val="top"/>
          </w:tcPr>
          <w:p w14:paraId="5FF3E07E">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0AA2E453">
            <w:pPr>
              <w:spacing w:line="440" w:lineRule="exact"/>
              <w:rPr>
                <w:rFonts w:hint="eastAsia" w:ascii="宋体" w:hAnsi="宋体"/>
                <w:color w:val="auto"/>
                <w:sz w:val="24"/>
                <w:highlight w:val="none"/>
              </w:rPr>
            </w:pPr>
          </w:p>
        </w:tc>
      </w:tr>
      <w:tr w14:paraId="371F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5AD3D13C">
            <w:pPr>
              <w:spacing w:line="440" w:lineRule="exact"/>
              <w:rPr>
                <w:rFonts w:hint="eastAsia" w:ascii="宋体" w:hAnsi="宋体"/>
                <w:color w:val="auto"/>
                <w:sz w:val="24"/>
                <w:highlight w:val="none"/>
              </w:rPr>
            </w:pPr>
            <w:r>
              <w:rPr>
                <w:rFonts w:hint="eastAsia" w:ascii="宋体" w:hAnsi="宋体"/>
                <w:color w:val="auto"/>
                <w:sz w:val="24"/>
                <w:highlight w:val="none"/>
              </w:rPr>
              <w:t>44</w:t>
            </w:r>
          </w:p>
        </w:tc>
        <w:tc>
          <w:tcPr>
            <w:tcW w:w="2160" w:type="dxa"/>
            <w:noWrap w:val="0"/>
            <w:vAlign w:val="top"/>
          </w:tcPr>
          <w:p w14:paraId="63EC4131">
            <w:pPr>
              <w:spacing w:line="440" w:lineRule="exact"/>
              <w:rPr>
                <w:rFonts w:hint="eastAsia" w:ascii="宋体" w:hAnsi="宋体"/>
                <w:color w:val="auto"/>
                <w:sz w:val="24"/>
                <w:highlight w:val="none"/>
              </w:rPr>
            </w:pPr>
            <w:r>
              <w:rPr>
                <w:rFonts w:hint="eastAsia" w:ascii="宋体" w:hAnsi="宋体"/>
                <w:color w:val="auto"/>
                <w:sz w:val="24"/>
                <w:highlight w:val="none"/>
              </w:rPr>
              <w:t>辅泵空开跳闸</w:t>
            </w:r>
          </w:p>
        </w:tc>
        <w:tc>
          <w:tcPr>
            <w:tcW w:w="1980" w:type="dxa"/>
            <w:noWrap w:val="0"/>
            <w:vAlign w:val="top"/>
          </w:tcPr>
          <w:p w14:paraId="61928909">
            <w:pPr>
              <w:spacing w:line="440" w:lineRule="exact"/>
              <w:rPr>
                <w:rFonts w:hint="eastAsia" w:ascii="宋体" w:hAnsi="宋体"/>
                <w:color w:val="auto"/>
                <w:sz w:val="24"/>
                <w:highlight w:val="none"/>
              </w:rPr>
            </w:pPr>
            <w:r>
              <w:rPr>
                <w:rFonts w:hint="eastAsia" w:ascii="宋体" w:hAnsi="宋体"/>
                <w:color w:val="auto"/>
                <w:sz w:val="24"/>
                <w:highlight w:val="none"/>
              </w:rPr>
              <w:t>V1086.6</w:t>
            </w:r>
          </w:p>
        </w:tc>
        <w:tc>
          <w:tcPr>
            <w:tcW w:w="2160" w:type="dxa"/>
            <w:noWrap w:val="0"/>
            <w:vAlign w:val="top"/>
          </w:tcPr>
          <w:p w14:paraId="7A681054">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666DA945">
            <w:pPr>
              <w:spacing w:line="440" w:lineRule="exact"/>
              <w:rPr>
                <w:rFonts w:hint="eastAsia" w:ascii="宋体" w:hAnsi="宋体"/>
                <w:color w:val="auto"/>
                <w:sz w:val="24"/>
                <w:highlight w:val="none"/>
              </w:rPr>
            </w:pPr>
          </w:p>
        </w:tc>
      </w:tr>
      <w:tr w14:paraId="46C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DE14E96">
            <w:pPr>
              <w:spacing w:line="440" w:lineRule="exact"/>
              <w:rPr>
                <w:rFonts w:hint="eastAsia" w:ascii="宋体" w:hAnsi="宋体"/>
                <w:color w:val="auto"/>
                <w:sz w:val="24"/>
                <w:highlight w:val="none"/>
              </w:rPr>
            </w:pPr>
            <w:r>
              <w:rPr>
                <w:rFonts w:hint="eastAsia" w:ascii="宋体" w:hAnsi="宋体"/>
                <w:color w:val="auto"/>
                <w:sz w:val="24"/>
                <w:highlight w:val="none"/>
              </w:rPr>
              <w:t>45</w:t>
            </w:r>
          </w:p>
        </w:tc>
        <w:tc>
          <w:tcPr>
            <w:tcW w:w="2160" w:type="dxa"/>
            <w:noWrap w:val="0"/>
            <w:vAlign w:val="top"/>
          </w:tcPr>
          <w:p w14:paraId="21E20EC0">
            <w:pPr>
              <w:spacing w:line="440" w:lineRule="exact"/>
              <w:rPr>
                <w:rFonts w:hint="eastAsia" w:ascii="宋体" w:hAnsi="宋体"/>
                <w:color w:val="auto"/>
                <w:sz w:val="24"/>
                <w:highlight w:val="none"/>
              </w:rPr>
            </w:pPr>
            <w:r>
              <w:rPr>
                <w:rFonts w:hint="eastAsia" w:ascii="宋体" w:hAnsi="宋体"/>
                <w:color w:val="auto"/>
                <w:sz w:val="24"/>
                <w:highlight w:val="none"/>
              </w:rPr>
              <w:t>辅泵变频故障</w:t>
            </w:r>
          </w:p>
        </w:tc>
        <w:tc>
          <w:tcPr>
            <w:tcW w:w="1980" w:type="dxa"/>
            <w:noWrap w:val="0"/>
            <w:vAlign w:val="top"/>
          </w:tcPr>
          <w:p w14:paraId="65A779C3">
            <w:pPr>
              <w:spacing w:line="440" w:lineRule="exact"/>
              <w:rPr>
                <w:rFonts w:hint="eastAsia" w:ascii="宋体" w:hAnsi="宋体"/>
                <w:color w:val="auto"/>
                <w:sz w:val="24"/>
                <w:highlight w:val="none"/>
              </w:rPr>
            </w:pPr>
            <w:r>
              <w:rPr>
                <w:rFonts w:hint="eastAsia" w:ascii="宋体" w:hAnsi="宋体"/>
                <w:color w:val="auto"/>
                <w:sz w:val="24"/>
                <w:highlight w:val="none"/>
              </w:rPr>
              <w:t>V1086.7</w:t>
            </w:r>
          </w:p>
        </w:tc>
        <w:tc>
          <w:tcPr>
            <w:tcW w:w="2160" w:type="dxa"/>
            <w:noWrap w:val="0"/>
            <w:vAlign w:val="top"/>
          </w:tcPr>
          <w:p w14:paraId="1E1F8002">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316DA678">
            <w:pPr>
              <w:spacing w:line="440" w:lineRule="exact"/>
              <w:rPr>
                <w:rFonts w:hint="eastAsia" w:ascii="宋体" w:hAnsi="宋体"/>
                <w:color w:val="auto"/>
                <w:sz w:val="24"/>
                <w:highlight w:val="none"/>
              </w:rPr>
            </w:pPr>
          </w:p>
        </w:tc>
      </w:tr>
      <w:tr w14:paraId="08A3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A36A1F4">
            <w:pPr>
              <w:spacing w:line="440" w:lineRule="exact"/>
              <w:rPr>
                <w:rFonts w:hint="eastAsia" w:ascii="宋体" w:hAnsi="宋体"/>
                <w:color w:val="auto"/>
                <w:sz w:val="24"/>
                <w:highlight w:val="none"/>
              </w:rPr>
            </w:pPr>
            <w:r>
              <w:rPr>
                <w:rFonts w:hint="eastAsia" w:ascii="宋体" w:hAnsi="宋体"/>
                <w:color w:val="auto"/>
                <w:sz w:val="24"/>
                <w:highlight w:val="none"/>
              </w:rPr>
              <w:t>46</w:t>
            </w:r>
          </w:p>
        </w:tc>
        <w:tc>
          <w:tcPr>
            <w:tcW w:w="2160" w:type="dxa"/>
            <w:noWrap w:val="0"/>
            <w:vAlign w:val="top"/>
          </w:tcPr>
          <w:p w14:paraId="54542F39">
            <w:pPr>
              <w:spacing w:line="440" w:lineRule="exact"/>
              <w:rPr>
                <w:rFonts w:hint="eastAsia" w:ascii="宋体" w:hAnsi="宋体"/>
                <w:color w:val="auto"/>
                <w:sz w:val="24"/>
                <w:highlight w:val="none"/>
              </w:rPr>
            </w:pPr>
            <w:r>
              <w:rPr>
                <w:rFonts w:hint="eastAsia" w:ascii="宋体" w:hAnsi="宋体"/>
                <w:color w:val="auto"/>
                <w:sz w:val="24"/>
                <w:highlight w:val="none"/>
              </w:rPr>
              <w:t>无水故障</w:t>
            </w:r>
          </w:p>
        </w:tc>
        <w:tc>
          <w:tcPr>
            <w:tcW w:w="1980" w:type="dxa"/>
            <w:noWrap w:val="0"/>
            <w:vAlign w:val="top"/>
          </w:tcPr>
          <w:p w14:paraId="6292EDFA">
            <w:pPr>
              <w:spacing w:line="440" w:lineRule="exact"/>
              <w:rPr>
                <w:rFonts w:hint="eastAsia" w:ascii="宋体" w:hAnsi="宋体"/>
                <w:color w:val="auto"/>
                <w:sz w:val="24"/>
                <w:highlight w:val="none"/>
              </w:rPr>
            </w:pPr>
            <w:r>
              <w:rPr>
                <w:rFonts w:hint="eastAsia" w:ascii="宋体" w:hAnsi="宋体"/>
                <w:color w:val="auto"/>
                <w:sz w:val="24"/>
                <w:highlight w:val="none"/>
              </w:rPr>
              <w:t>V1087.0</w:t>
            </w:r>
          </w:p>
        </w:tc>
        <w:tc>
          <w:tcPr>
            <w:tcW w:w="2160" w:type="dxa"/>
            <w:noWrap w:val="0"/>
            <w:vAlign w:val="top"/>
          </w:tcPr>
          <w:p w14:paraId="070F8E32">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21FDD7C2">
            <w:pPr>
              <w:spacing w:line="440" w:lineRule="exact"/>
              <w:rPr>
                <w:rFonts w:hint="eastAsia" w:ascii="宋体" w:hAnsi="宋体"/>
                <w:color w:val="auto"/>
                <w:sz w:val="24"/>
                <w:highlight w:val="none"/>
              </w:rPr>
            </w:pPr>
            <w:r>
              <w:rPr>
                <w:rFonts w:hint="eastAsia" w:ascii="宋体" w:hAnsi="宋体"/>
                <w:color w:val="auto"/>
                <w:sz w:val="24"/>
                <w:highlight w:val="none"/>
              </w:rPr>
              <w:t>进水无水故障</w:t>
            </w:r>
          </w:p>
        </w:tc>
      </w:tr>
      <w:tr w14:paraId="333F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B3991A3">
            <w:pPr>
              <w:spacing w:line="440" w:lineRule="exact"/>
              <w:rPr>
                <w:rFonts w:hint="eastAsia" w:ascii="宋体" w:hAnsi="宋体"/>
                <w:color w:val="auto"/>
                <w:sz w:val="24"/>
                <w:highlight w:val="none"/>
              </w:rPr>
            </w:pPr>
            <w:r>
              <w:rPr>
                <w:rFonts w:hint="eastAsia" w:ascii="宋体" w:hAnsi="宋体"/>
                <w:color w:val="auto"/>
                <w:sz w:val="24"/>
                <w:highlight w:val="none"/>
              </w:rPr>
              <w:t>47</w:t>
            </w:r>
          </w:p>
        </w:tc>
        <w:tc>
          <w:tcPr>
            <w:tcW w:w="2160" w:type="dxa"/>
            <w:noWrap w:val="0"/>
            <w:vAlign w:val="top"/>
          </w:tcPr>
          <w:p w14:paraId="6972D04E">
            <w:pPr>
              <w:spacing w:line="440" w:lineRule="exact"/>
              <w:rPr>
                <w:rFonts w:hint="eastAsia" w:ascii="宋体" w:hAnsi="宋体"/>
                <w:color w:val="auto"/>
                <w:sz w:val="24"/>
                <w:highlight w:val="none"/>
              </w:rPr>
            </w:pPr>
            <w:r>
              <w:rPr>
                <w:rFonts w:hint="eastAsia" w:ascii="宋体" w:hAnsi="宋体"/>
                <w:color w:val="auto"/>
                <w:sz w:val="24"/>
                <w:highlight w:val="none"/>
              </w:rPr>
              <w:t>高水信号</w:t>
            </w:r>
          </w:p>
        </w:tc>
        <w:tc>
          <w:tcPr>
            <w:tcW w:w="1980" w:type="dxa"/>
            <w:noWrap w:val="0"/>
            <w:vAlign w:val="top"/>
          </w:tcPr>
          <w:p w14:paraId="7EF44AD0">
            <w:pPr>
              <w:spacing w:line="440" w:lineRule="exact"/>
              <w:rPr>
                <w:rFonts w:hint="eastAsia" w:ascii="宋体" w:hAnsi="宋体"/>
                <w:color w:val="auto"/>
                <w:sz w:val="24"/>
                <w:highlight w:val="none"/>
              </w:rPr>
            </w:pPr>
            <w:r>
              <w:rPr>
                <w:rFonts w:hint="eastAsia" w:ascii="宋体" w:hAnsi="宋体"/>
                <w:color w:val="auto"/>
                <w:sz w:val="24"/>
                <w:highlight w:val="none"/>
              </w:rPr>
              <w:t>V1087.1</w:t>
            </w:r>
          </w:p>
        </w:tc>
        <w:tc>
          <w:tcPr>
            <w:tcW w:w="2160" w:type="dxa"/>
            <w:noWrap w:val="0"/>
            <w:vAlign w:val="top"/>
          </w:tcPr>
          <w:p w14:paraId="498DD041">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776F4DE6">
            <w:pPr>
              <w:spacing w:line="440" w:lineRule="exact"/>
              <w:rPr>
                <w:rFonts w:hint="eastAsia" w:ascii="宋体" w:hAnsi="宋体"/>
                <w:color w:val="auto"/>
                <w:sz w:val="24"/>
                <w:highlight w:val="none"/>
              </w:rPr>
            </w:pPr>
            <w:r>
              <w:rPr>
                <w:rFonts w:hint="eastAsia" w:ascii="宋体" w:hAnsi="宋体"/>
                <w:color w:val="auto"/>
                <w:sz w:val="24"/>
                <w:highlight w:val="none"/>
              </w:rPr>
              <w:t>仅水箱式</w:t>
            </w:r>
          </w:p>
        </w:tc>
      </w:tr>
      <w:tr w14:paraId="7DB5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58AC62B3">
            <w:pPr>
              <w:spacing w:line="440" w:lineRule="exact"/>
              <w:rPr>
                <w:rFonts w:hint="eastAsia" w:ascii="宋体" w:hAnsi="宋体"/>
                <w:color w:val="auto"/>
                <w:sz w:val="24"/>
                <w:highlight w:val="none"/>
              </w:rPr>
            </w:pPr>
            <w:r>
              <w:rPr>
                <w:rFonts w:hint="eastAsia" w:ascii="宋体" w:hAnsi="宋体"/>
                <w:color w:val="auto"/>
                <w:sz w:val="24"/>
                <w:highlight w:val="none"/>
              </w:rPr>
              <w:t>48</w:t>
            </w:r>
          </w:p>
        </w:tc>
        <w:tc>
          <w:tcPr>
            <w:tcW w:w="2160" w:type="dxa"/>
            <w:noWrap w:val="0"/>
            <w:vAlign w:val="top"/>
          </w:tcPr>
          <w:p w14:paraId="5ACB19B0">
            <w:pPr>
              <w:spacing w:line="440" w:lineRule="exact"/>
              <w:rPr>
                <w:rFonts w:hint="eastAsia" w:ascii="宋体" w:hAnsi="宋体"/>
                <w:color w:val="auto"/>
                <w:sz w:val="24"/>
                <w:highlight w:val="none"/>
              </w:rPr>
            </w:pPr>
            <w:r>
              <w:rPr>
                <w:rFonts w:hint="eastAsia" w:ascii="宋体" w:hAnsi="宋体"/>
                <w:color w:val="auto"/>
                <w:sz w:val="24"/>
                <w:highlight w:val="none"/>
              </w:rPr>
              <w:t>地面积水信号</w:t>
            </w:r>
          </w:p>
        </w:tc>
        <w:tc>
          <w:tcPr>
            <w:tcW w:w="1980" w:type="dxa"/>
            <w:noWrap w:val="0"/>
            <w:vAlign w:val="top"/>
          </w:tcPr>
          <w:p w14:paraId="628F03E6">
            <w:pPr>
              <w:spacing w:line="440" w:lineRule="exact"/>
              <w:rPr>
                <w:rFonts w:hint="eastAsia" w:ascii="宋体" w:hAnsi="宋体"/>
                <w:color w:val="auto"/>
                <w:sz w:val="24"/>
                <w:highlight w:val="none"/>
              </w:rPr>
            </w:pPr>
            <w:r>
              <w:rPr>
                <w:rFonts w:hint="eastAsia" w:ascii="宋体" w:hAnsi="宋体"/>
                <w:color w:val="auto"/>
                <w:sz w:val="24"/>
                <w:highlight w:val="none"/>
              </w:rPr>
              <w:t>V1087.2</w:t>
            </w:r>
          </w:p>
        </w:tc>
        <w:tc>
          <w:tcPr>
            <w:tcW w:w="2160" w:type="dxa"/>
            <w:noWrap w:val="0"/>
            <w:vAlign w:val="top"/>
          </w:tcPr>
          <w:p w14:paraId="78B50766">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430B6EC2">
            <w:pPr>
              <w:spacing w:line="440" w:lineRule="exact"/>
              <w:rPr>
                <w:rFonts w:hint="eastAsia" w:ascii="宋体" w:hAnsi="宋体"/>
                <w:color w:val="auto"/>
                <w:sz w:val="24"/>
                <w:highlight w:val="none"/>
              </w:rPr>
            </w:pPr>
            <w:r>
              <w:rPr>
                <w:rFonts w:hint="eastAsia" w:ascii="宋体" w:hAnsi="宋体"/>
                <w:color w:val="auto"/>
                <w:sz w:val="24"/>
                <w:highlight w:val="none"/>
              </w:rPr>
              <w:t>仅低区</w:t>
            </w:r>
          </w:p>
        </w:tc>
      </w:tr>
      <w:tr w14:paraId="591A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59B1F0B3">
            <w:pPr>
              <w:spacing w:line="440" w:lineRule="exact"/>
              <w:rPr>
                <w:rFonts w:hint="eastAsia" w:ascii="宋体" w:hAnsi="宋体"/>
                <w:color w:val="auto"/>
                <w:sz w:val="24"/>
                <w:highlight w:val="none"/>
              </w:rPr>
            </w:pPr>
            <w:r>
              <w:rPr>
                <w:rFonts w:hint="eastAsia" w:ascii="宋体" w:hAnsi="宋体"/>
                <w:color w:val="auto"/>
                <w:sz w:val="24"/>
                <w:highlight w:val="none"/>
              </w:rPr>
              <w:t>49</w:t>
            </w:r>
          </w:p>
        </w:tc>
        <w:tc>
          <w:tcPr>
            <w:tcW w:w="2160" w:type="dxa"/>
            <w:noWrap w:val="0"/>
            <w:vAlign w:val="top"/>
          </w:tcPr>
          <w:p w14:paraId="784FA013">
            <w:pPr>
              <w:spacing w:line="440" w:lineRule="exact"/>
              <w:rPr>
                <w:rFonts w:hint="eastAsia" w:ascii="宋体" w:hAnsi="宋体"/>
                <w:color w:val="auto"/>
                <w:sz w:val="24"/>
                <w:highlight w:val="none"/>
              </w:rPr>
            </w:pPr>
            <w:r>
              <w:rPr>
                <w:rFonts w:hint="eastAsia" w:ascii="宋体" w:hAnsi="宋体"/>
                <w:color w:val="auto"/>
                <w:sz w:val="24"/>
                <w:highlight w:val="none"/>
              </w:rPr>
              <w:t>相序故障</w:t>
            </w:r>
          </w:p>
        </w:tc>
        <w:tc>
          <w:tcPr>
            <w:tcW w:w="1980" w:type="dxa"/>
            <w:noWrap w:val="0"/>
            <w:vAlign w:val="top"/>
          </w:tcPr>
          <w:p w14:paraId="41D779D5">
            <w:pPr>
              <w:spacing w:line="440" w:lineRule="exact"/>
              <w:rPr>
                <w:rFonts w:hint="eastAsia" w:ascii="宋体" w:hAnsi="宋体"/>
                <w:color w:val="auto"/>
                <w:sz w:val="24"/>
                <w:highlight w:val="none"/>
              </w:rPr>
            </w:pPr>
            <w:r>
              <w:rPr>
                <w:rFonts w:hint="eastAsia" w:ascii="宋体" w:hAnsi="宋体"/>
                <w:color w:val="auto"/>
                <w:sz w:val="24"/>
                <w:highlight w:val="none"/>
              </w:rPr>
              <w:t>V1087.3</w:t>
            </w:r>
          </w:p>
        </w:tc>
        <w:tc>
          <w:tcPr>
            <w:tcW w:w="2160" w:type="dxa"/>
            <w:noWrap w:val="0"/>
            <w:vAlign w:val="top"/>
          </w:tcPr>
          <w:p w14:paraId="6324C974">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1864FA26">
            <w:pPr>
              <w:spacing w:line="440" w:lineRule="exact"/>
              <w:rPr>
                <w:rFonts w:hint="eastAsia" w:ascii="宋体" w:hAnsi="宋体"/>
                <w:color w:val="auto"/>
                <w:sz w:val="24"/>
                <w:highlight w:val="none"/>
              </w:rPr>
            </w:pPr>
          </w:p>
        </w:tc>
      </w:tr>
      <w:tr w14:paraId="5130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63D5C07">
            <w:pPr>
              <w:spacing w:line="440" w:lineRule="exact"/>
              <w:rPr>
                <w:rFonts w:hint="eastAsia" w:ascii="宋体" w:hAnsi="宋体"/>
                <w:color w:val="auto"/>
                <w:sz w:val="24"/>
                <w:highlight w:val="none"/>
              </w:rPr>
            </w:pPr>
            <w:r>
              <w:rPr>
                <w:rFonts w:hint="eastAsia" w:ascii="宋体" w:hAnsi="宋体"/>
                <w:color w:val="auto"/>
                <w:sz w:val="24"/>
                <w:highlight w:val="none"/>
              </w:rPr>
              <w:t>50</w:t>
            </w:r>
          </w:p>
        </w:tc>
        <w:tc>
          <w:tcPr>
            <w:tcW w:w="2160" w:type="dxa"/>
            <w:noWrap w:val="0"/>
            <w:vAlign w:val="top"/>
          </w:tcPr>
          <w:p w14:paraId="339D1B86">
            <w:pPr>
              <w:spacing w:line="440" w:lineRule="exact"/>
              <w:rPr>
                <w:rFonts w:hint="eastAsia" w:ascii="宋体" w:hAnsi="宋体"/>
                <w:color w:val="auto"/>
                <w:sz w:val="24"/>
                <w:highlight w:val="none"/>
              </w:rPr>
            </w:pPr>
            <w:r>
              <w:rPr>
                <w:rFonts w:hint="eastAsia" w:ascii="宋体" w:hAnsi="宋体"/>
                <w:color w:val="auto"/>
                <w:sz w:val="24"/>
                <w:highlight w:val="none"/>
              </w:rPr>
              <w:t>出口超压</w:t>
            </w:r>
          </w:p>
        </w:tc>
        <w:tc>
          <w:tcPr>
            <w:tcW w:w="1980" w:type="dxa"/>
            <w:noWrap w:val="0"/>
            <w:vAlign w:val="top"/>
          </w:tcPr>
          <w:p w14:paraId="7C2F2D82">
            <w:pPr>
              <w:spacing w:line="440" w:lineRule="exact"/>
              <w:rPr>
                <w:rFonts w:hint="eastAsia" w:ascii="宋体" w:hAnsi="宋体"/>
                <w:color w:val="auto"/>
                <w:sz w:val="24"/>
                <w:highlight w:val="none"/>
              </w:rPr>
            </w:pPr>
            <w:r>
              <w:rPr>
                <w:rFonts w:hint="eastAsia" w:ascii="宋体" w:hAnsi="宋体"/>
                <w:color w:val="auto"/>
                <w:sz w:val="24"/>
                <w:highlight w:val="none"/>
              </w:rPr>
              <w:t>V1087.4</w:t>
            </w:r>
          </w:p>
        </w:tc>
        <w:tc>
          <w:tcPr>
            <w:tcW w:w="2160" w:type="dxa"/>
            <w:noWrap w:val="0"/>
            <w:vAlign w:val="top"/>
          </w:tcPr>
          <w:p w14:paraId="08D4695D">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0DC642FD">
            <w:pPr>
              <w:spacing w:line="440" w:lineRule="exact"/>
              <w:rPr>
                <w:rFonts w:hint="eastAsia" w:ascii="宋体" w:hAnsi="宋体"/>
                <w:color w:val="auto"/>
                <w:sz w:val="24"/>
                <w:highlight w:val="none"/>
              </w:rPr>
            </w:pPr>
          </w:p>
        </w:tc>
      </w:tr>
      <w:tr w14:paraId="1732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AD4CF4C">
            <w:pPr>
              <w:spacing w:line="440" w:lineRule="exact"/>
              <w:rPr>
                <w:rFonts w:hint="eastAsia" w:ascii="宋体" w:hAnsi="宋体"/>
                <w:color w:val="auto"/>
                <w:sz w:val="24"/>
                <w:highlight w:val="none"/>
              </w:rPr>
            </w:pPr>
            <w:r>
              <w:rPr>
                <w:rFonts w:hint="eastAsia" w:ascii="宋体" w:hAnsi="宋体"/>
                <w:color w:val="auto"/>
                <w:sz w:val="24"/>
                <w:highlight w:val="none"/>
              </w:rPr>
              <w:t>51</w:t>
            </w:r>
          </w:p>
        </w:tc>
        <w:tc>
          <w:tcPr>
            <w:tcW w:w="2160" w:type="dxa"/>
            <w:noWrap w:val="0"/>
            <w:vAlign w:val="top"/>
          </w:tcPr>
          <w:p w14:paraId="6C9B391D">
            <w:pPr>
              <w:spacing w:line="440" w:lineRule="exact"/>
              <w:rPr>
                <w:rFonts w:hint="eastAsia" w:ascii="宋体" w:hAnsi="宋体"/>
                <w:color w:val="auto"/>
                <w:sz w:val="24"/>
                <w:highlight w:val="none"/>
              </w:rPr>
            </w:pPr>
            <w:r>
              <w:rPr>
                <w:rFonts w:hint="eastAsia" w:ascii="宋体" w:hAnsi="宋体"/>
                <w:color w:val="auto"/>
                <w:sz w:val="24"/>
                <w:highlight w:val="none"/>
              </w:rPr>
              <w:t>开停机远程控制切换</w:t>
            </w:r>
          </w:p>
        </w:tc>
        <w:tc>
          <w:tcPr>
            <w:tcW w:w="1980" w:type="dxa"/>
            <w:noWrap w:val="0"/>
            <w:vAlign w:val="top"/>
          </w:tcPr>
          <w:p w14:paraId="5E8106F1">
            <w:pPr>
              <w:spacing w:line="440" w:lineRule="exact"/>
              <w:rPr>
                <w:rFonts w:hint="eastAsia" w:ascii="宋体" w:hAnsi="宋体"/>
                <w:color w:val="auto"/>
                <w:sz w:val="24"/>
                <w:highlight w:val="none"/>
              </w:rPr>
            </w:pPr>
            <w:r>
              <w:rPr>
                <w:rFonts w:hint="eastAsia" w:ascii="宋体" w:hAnsi="宋体"/>
                <w:color w:val="auto"/>
                <w:sz w:val="24"/>
                <w:highlight w:val="none"/>
              </w:rPr>
              <w:t>V1088.0</w:t>
            </w:r>
          </w:p>
        </w:tc>
        <w:tc>
          <w:tcPr>
            <w:tcW w:w="2160" w:type="dxa"/>
            <w:noWrap w:val="0"/>
            <w:vAlign w:val="top"/>
          </w:tcPr>
          <w:p w14:paraId="0B8BB7E1">
            <w:pPr>
              <w:spacing w:line="440" w:lineRule="exact"/>
              <w:rPr>
                <w:rFonts w:hint="eastAsia" w:ascii="宋体" w:hAnsi="宋体"/>
                <w:color w:val="auto"/>
                <w:sz w:val="24"/>
                <w:highlight w:val="none"/>
              </w:rPr>
            </w:pPr>
            <w:r>
              <w:rPr>
                <w:rFonts w:hint="eastAsia" w:ascii="宋体" w:hAnsi="宋体"/>
                <w:color w:val="auto"/>
                <w:sz w:val="24"/>
                <w:highlight w:val="none"/>
              </w:rPr>
              <w:t>R/W</w:t>
            </w:r>
          </w:p>
        </w:tc>
        <w:tc>
          <w:tcPr>
            <w:tcW w:w="1949" w:type="dxa"/>
            <w:noWrap w:val="0"/>
            <w:vAlign w:val="top"/>
          </w:tcPr>
          <w:p w14:paraId="48592339">
            <w:pPr>
              <w:spacing w:line="440" w:lineRule="exact"/>
              <w:rPr>
                <w:rFonts w:hint="eastAsia" w:ascii="宋体" w:hAnsi="宋体"/>
                <w:color w:val="auto"/>
                <w:sz w:val="24"/>
                <w:highlight w:val="none"/>
              </w:rPr>
            </w:pPr>
            <w:r>
              <w:rPr>
                <w:rFonts w:hint="eastAsia" w:ascii="宋体" w:hAnsi="宋体"/>
                <w:color w:val="auto"/>
                <w:sz w:val="24"/>
                <w:highlight w:val="none"/>
              </w:rPr>
              <w:t>1-远程0-本地</w:t>
            </w:r>
          </w:p>
        </w:tc>
      </w:tr>
      <w:tr w14:paraId="7FAA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30EDD8E8">
            <w:pPr>
              <w:spacing w:line="440" w:lineRule="exact"/>
              <w:rPr>
                <w:rFonts w:hint="eastAsia" w:ascii="宋体" w:hAnsi="宋体"/>
                <w:color w:val="auto"/>
                <w:sz w:val="24"/>
                <w:highlight w:val="none"/>
              </w:rPr>
            </w:pPr>
            <w:r>
              <w:rPr>
                <w:rFonts w:hint="eastAsia" w:ascii="宋体" w:hAnsi="宋体"/>
                <w:color w:val="auto"/>
                <w:sz w:val="24"/>
                <w:highlight w:val="none"/>
              </w:rPr>
              <w:t>52</w:t>
            </w:r>
          </w:p>
        </w:tc>
        <w:tc>
          <w:tcPr>
            <w:tcW w:w="2160" w:type="dxa"/>
            <w:noWrap w:val="0"/>
            <w:vAlign w:val="top"/>
          </w:tcPr>
          <w:p w14:paraId="7E648113">
            <w:pPr>
              <w:spacing w:line="440" w:lineRule="exact"/>
              <w:rPr>
                <w:rFonts w:hint="eastAsia" w:ascii="宋体" w:hAnsi="宋体"/>
                <w:color w:val="auto"/>
                <w:sz w:val="24"/>
                <w:highlight w:val="none"/>
              </w:rPr>
            </w:pPr>
            <w:r>
              <w:rPr>
                <w:rFonts w:hint="eastAsia" w:ascii="宋体" w:hAnsi="宋体"/>
                <w:color w:val="auto"/>
                <w:sz w:val="24"/>
                <w:highlight w:val="none"/>
              </w:rPr>
              <w:t>进水阀远程控制切换</w:t>
            </w:r>
          </w:p>
        </w:tc>
        <w:tc>
          <w:tcPr>
            <w:tcW w:w="1980" w:type="dxa"/>
            <w:noWrap w:val="0"/>
            <w:vAlign w:val="top"/>
          </w:tcPr>
          <w:p w14:paraId="3214191C">
            <w:pPr>
              <w:spacing w:line="440" w:lineRule="exact"/>
              <w:rPr>
                <w:rFonts w:hint="eastAsia" w:ascii="宋体" w:hAnsi="宋体"/>
                <w:color w:val="auto"/>
                <w:sz w:val="24"/>
                <w:highlight w:val="none"/>
              </w:rPr>
            </w:pPr>
            <w:r>
              <w:rPr>
                <w:rFonts w:hint="eastAsia" w:ascii="宋体" w:hAnsi="宋体"/>
                <w:color w:val="auto"/>
                <w:sz w:val="24"/>
                <w:highlight w:val="none"/>
              </w:rPr>
              <w:t>V1088.1</w:t>
            </w:r>
          </w:p>
        </w:tc>
        <w:tc>
          <w:tcPr>
            <w:tcW w:w="2160" w:type="dxa"/>
            <w:noWrap w:val="0"/>
            <w:vAlign w:val="top"/>
          </w:tcPr>
          <w:p w14:paraId="1FF16240">
            <w:pPr>
              <w:spacing w:line="440" w:lineRule="exact"/>
              <w:rPr>
                <w:rFonts w:hint="eastAsia" w:ascii="宋体" w:hAnsi="宋体"/>
                <w:color w:val="auto"/>
                <w:sz w:val="24"/>
                <w:highlight w:val="none"/>
              </w:rPr>
            </w:pPr>
            <w:r>
              <w:rPr>
                <w:rFonts w:hint="eastAsia" w:ascii="宋体" w:hAnsi="宋体"/>
                <w:color w:val="auto"/>
                <w:sz w:val="24"/>
                <w:highlight w:val="none"/>
              </w:rPr>
              <w:t>R/W</w:t>
            </w:r>
          </w:p>
        </w:tc>
        <w:tc>
          <w:tcPr>
            <w:tcW w:w="1949" w:type="dxa"/>
            <w:noWrap w:val="0"/>
            <w:vAlign w:val="top"/>
          </w:tcPr>
          <w:p w14:paraId="7F0BE2BE">
            <w:pPr>
              <w:spacing w:line="440" w:lineRule="exact"/>
              <w:rPr>
                <w:rFonts w:hint="eastAsia" w:ascii="宋体" w:hAnsi="宋体"/>
                <w:color w:val="auto"/>
                <w:sz w:val="24"/>
                <w:highlight w:val="none"/>
              </w:rPr>
            </w:pPr>
            <w:r>
              <w:rPr>
                <w:rFonts w:hint="eastAsia" w:ascii="宋体" w:hAnsi="宋体"/>
                <w:color w:val="auto"/>
                <w:sz w:val="24"/>
                <w:highlight w:val="none"/>
              </w:rPr>
              <w:t>1-远程0-本地</w:t>
            </w:r>
          </w:p>
        </w:tc>
      </w:tr>
      <w:tr w14:paraId="7AD3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0408BEF">
            <w:pPr>
              <w:spacing w:line="440" w:lineRule="exact"/>
              <w:rPr>
                <w:rFonts w:hint="eastAsia" w:ascii="宋体" w:hAnsi="宋体"/>
                <w:color w:val="auto"/>
                <w:sz w:val="24"/>
                <w:highlight w:val="none"/>
              </w:rPr>
            </w:pPr>
            <w:r>
              <w:rPr>
                <w:rFonts w:hint="eastAsia" w:ascii="宋体" w:hAnsi="宋体"/>
                <w:color w:val="auto"/>
                <w:sz w:val="24"/>
                <w:highlight w:val="none"/>
              </w:rPr>
              <w:t>53</w:t>
            </w:r>
          </w:p>
        </w:tc>
        <w:tc>
          <w:tcPr>
            <w:tcW w:w="2160" w:type="dxa"/>
            <w:noWrap w:val="0"/>
            <w:vAlign w:val="top"/>
          </w:tcPr>
          <w:p w14:paraId="246FE17D">
            <w:pPr>
              <w:spacing w:line="440" w:lineRule="exact"/>
              <w:rPr>
                <w:rFonts w:hint="eastAsia" w:ascii="宋体" w:hAnsi="宋体"/>
                <w:color w:val="auto"/>
                <w:sz w:val="24"/>
                <w:highlight w:val="none"/>
              </w:rPr>
            </w:pPr>
            <w:r>
              <w:rPr>
                <w:rFonts w:hint="eastAsia" w:ascii="宋体" w:hAnsi="宋体"/>
                <w:color w:val="auto"/>
                <w:sz w:val="24"/>
                <w:highlight w:val="none"/>
              </w:rPr>
              <w:t>正常开门信号1</w:t>
            </w:r>
          </w:p>
        </w:tc>
        <w:tc>
          <w:tcPr>
            <w:tcW w:w="1980" w:type="dxa"/>
            <w:noWrap w:val="0"/>
            <w:vAlign w:val="top"/>
          </w:tcPr>
          <w:p w14:paraId="38F62D89">
            <w:pPr>
              <w:spacing w:line="440" w:lineRule="exact"/>
              <w:rPr>
                <w:rFonts w:hint="eastAsia" w:ascii="宋体" w:hAnsi="宋体"/>
                <w:color w:val="auto"/>
                <w:sz w:val="24"/>
                <w:highlight w:val="none"/>
              </w:rPr>
            </w:pPr>
            <w:r>
              <w:rPr>
                <w:rFonts w:hint="eastAsia" w:ascii="宋体" w:hAnsi="宋体"/>
                <w:color w:val="auto"/>
                <w:sz w:val="24"/>
                <w:highlight w:val="none"/>
              </w:rPr>
              <w:t>V1088.2</w:t>
            </w:r>
          </w:p>
        </w:tc>
        <w:tc>
          <w:tcPr>
            <w:tcW w:w="2160" w:type="dxa"/>
            <w:noWrap w:val="0"/>
            <w:vAlign w:val="top"/>
          </w:tcPr>
          <w:p w14:paraId="7B9895F0">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554559EA">
            <w:pPr>
              <w:spacing w:line="440" w:lineRule="exact"/>
              <w:rPr>
                <w:rFonts w:hint="eastAsia" w:ascii="宋体" w:hAnsi="宋体"/>
                <w:color w:val="auto"/>
                <w:sz w:val="24"/>
                <w:highlight w:val="none"/>
              </w:rPr>
            </w:pPr>
            <w:r>
              <w:rPr>
                <w:rFonts w:hint="eastAsia" w:ascii="宋体" w:hAnsi="宋体"/>
                <w:color w:val="auto"/>
                <w:sz w:val="24"/>
                <w:highlight w:val="none"/>
              </w:rPr>
              <w:t>仅低区</w:t>
            </w:r>
          </w:p>
        </w:tc>
      </w:tr>
      <w:tr w14:paraId="7C33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5EDED5D">
            <w:pPr>
              <w:spacing w:line="440" w:lineRule="exact"/>
              <w:rPr>
                <w:rFonts w:hint="eastAsia" w:ascii="宋体" w:hAnsi="宋体"/>
                <w:color w:val="auto"/>
                <w:sz w:val="24"/>
                <w:highlight w:val="none"/>
              </w:rPr>
            </w:pPr>
            <w:r>
              <w:rPr>
                <w:rFonts w:hint="eastAsia" w:ascii="宋体" w:hAnsi="宋体"/>
                <w:color w:val="auto"/>
                <w:sz w:val="24"/>
                <w:highlight w:val="none"/>
              </w:rPr>
              <w:t>54</w:t>
            </w:r>
          </w:p>
        </w:tc>
        <w:tc>
          <w:tcPr>
            <w:tcW w:w="2160" w:type="dxa"/>
            <w:noWrap w:val="0"/>
            <w:vAlign w:val="top"/>
          </w:tcPr>
          <w:p w14:paraId="034852BF">
            <w:pPr>
              <w:spacing w:line="440" w:lineRule="exact"/>
              <w:rPr>
                <w:rFonts w:hint="eastAsia" w:ascii="宋体" w:hAnsi="宋体"/>
                <w:color w:val="auto"/>
                <w:sz w:val="24"/>
                <w:highlight w:val="none"/>
              </w:rPr>
            </w:pPr>
            <w:r>
              <w:rPr>
                <w:rFonts w:hint="eastAsia" w:ascii="宋体" w:hAnsi="宋体"/>
                <w:color w:val="auto"/>
                <w:sz w:val="24"/>
                <w:highlight w:val="none"/>
              </w:rPr>
              <w:t>非法入侵信号1</w:t>
            </w:r>
          </w:p>
        </w:tc>
        <w:tc>
          <w:tcPr>
            <w:tcW w:w="1980" w:type="dxa"/>
            <w:noWrap w:val="0"/>
            <w:vAlign w:val="top"/>
          </w:tcPr>
          <w:p w14:paraId="41A5B5BD">
            <w:pPr>
              <w:spacing w:line="440" w:lineRule="exact"/>
              <w:rPr>
                <w:rFonts w:hint="eastAsia" w:ascii="宋体" w:hAnsi="宋体"/>
                <w:color w:val="auto"/>
                <w:sz w:val="24"/>
                <w:highlight w:val="none"/>
              </w:rPr>
            </w:pPr>
            <w:r>
              <w:rPr>
                <w:rFonts w:hint="eastAsia" w:ascii="宋体" w:hAnsi="宋体"/>
                <w:color w:val="auto"/>
                <w:sz w:val="24"/>
                <w:highlight w:val="none"/>
              </w:rPr>
              <w:t>V1088.3</w:t>
            </w:r>
          </w:p>
        </w:tc>
        <w:tc>
          <w:tcPr>
            <w:tcW w:w="2160" w:type="dxa"/>
            <w:noWrap w:val="0"/>
            <w:vAlign w:val="top"/>
          </w:tcPr>
          <w:p w14:paraId="0814FE6E">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504B2DD5">
            <w:pPr>
              <w:spacing w:line="440" w:lineRule="exact"/>
              <w:rPr>
                <w:rFonts w:hint="eastAsia" w:ascii="宋体" w:hAnsi="宋体"/>
                <w:color w:val="auto"/>
                <w:sz w:val="24"/>
                <w:highlight w:val="none"/>
              </w:rPr>
            </w:pPr>
            <w:r>
              <w:rPr>
                <w:rFonts w:hint="eastAsia" w:ascii="宋体" w:hAnsi="宋体"/>
                <w:color w:val="auto"/>
                <w:sz w:val="24"/>
                <w:highlight w:val="none"/>
              </w:rPr>
              <w:t>仅低区</w:t>
            </w:r>
          </w:p>
        </w:tc>
      </w:tr>
      <w:tr w14:paraId="5AB2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3160D704">
            <w:pPr>
              <w:spacing w:line="440" w:lineRule="exact"/>
              <w:rPr>
                <w:rFonts w:hint="eastAsia" w:ascii="宋体" w:hAnsi="宋体"/>
                <w:color w:val="auto"/>
                <w:sz w:val="24"/>
                <w:highlight w:val="none"/>
              </w:rPr>
            </w:pPr>
            <w:r>
              <w:rPr>
                <w:rFonts w:hint="eastAsia" w:ascii="宋体" w:hAnsi="宋体"/>
                <w:color w:val="auto"/>
                <w:sz w:val="24"/>
                <w:highlight w:val="none"/>
              </w:rPr>
              <w:t>55</w:t>
            </w:r>
          </w:p>
        </w:tc>
        <w:tc>
          <w:tcPr>
            <w:tcW w:w="2160" w:type="dxa"/>
            <w:noWrap w:val="0"/>
            <w:vAlign w:val="top"/>
          </w:tcPr>
          <w:p w14:paraId="47B7B915">
            <w:pPr>
              <w:spacing w:line="440" w:lineRule="exact"/>
              <w:rPr>
                <w:rFonts w:hint="eastAsia" w:ascii="宋体" w:hAnsi="宋体"/>
                <w:color w:val="auto"/>
                <w:sz w:val="24"/>
                <w:highlight w:val="none"/>
              </w:rPr>
            </w:pPr>
            <w:r>
              <w:rPr>
                <w:rFonts w:hint="eastAsia" w:ascii="宋体" w:hAnsi="宋体"/>
                <w:color w:val="auto"/>
                <w:sz w:val="24"/>
                <w:highlight w:val="none"/>
              </w:rPr>
              <w:t>正常开门信号2</w:t>
            </w:r>
          </w:p>
        </w:tc>
        <w:tc>
          <w:tcPr>
            <w:tcW w:w="1980" w:type="dxa"/>
            <w:noWrap w:val="0"/>
            <w:vAlign w:val="top"/>
          </w:tcPr>
          <w:p w14:paraId="08288ACD">
            <w:pPr>
              <w:spacing w:line="440" w:lineRule="exact"/>
              <w:rPr>
                <w:rFonts w:hint="eastAsia" w:ascii="宋体" w:hAnsi="宋体"/>
                <w:color w:val="auto"/>
                <w:sz w:val="24"/>
                <w:highlight w:val="none"/>
              </w:rPr>
            </w:pPr>
            <w:r>
              <w:rPr>
                <w:rFonts w:hint="eastAsia" w:ascii="宋体" w:hAnsi="宋体"/>
                <w:color w:val="auto"/>
                <w:sz w:val="24"/>
                <w:highlight w:val="none"/>
              </w:rPr>
              <w:t>V1088.4</w:t>
            </w:r>
          </w:p>
        </w:tc>
        <w:tc>
          <w:tcPr>
            <w:tcW w:w="2160" w:type="dxa"/>
            <w:noWrap w:val="0"/>
            <w:vAlign w:val="top"/>
          </w:tcPr>
          <w:p w14:paraId="7857AF05">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5274EC1A">
            <w:pPr>
              <w:spacing w:line="440" w:lineRule="exact"/>
              <w:rPr>
                <w:rFonts w:hint="eastAsia" w:ascii="宋体" w:hAnsi="宋体"/>
                <w:color w:val="auto"/>
                <w:sz w:val="24"/>
                <w:highlight w:val="none"/>
              </w:rPr>
            </w:pPr>
            <w:r>
              <w:rPr>
                <w:rFonts w:hint="eastAsia" w:ascii="宋体" w:hAnsi="宋体"/>
                <w:color w:val="auto"/>
                <w:sz w:val="24"/>
                <w:highlight w:val="none"/>
              </w:rPr>
              <w:t>仅低区</w:t>
            </w:r>
          </w:p>
        </w:tc>
      </w:tr>
      <w:tr w14:paraId="0674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27DB49A0">
            <w:pPr>
              <w:spacing w:line="440" w:lineRule="exact"/>
              <w:rPr>
                <w:rFonts w:hint="eastAsia" w:ascii="宋体" w:hAnsi="宋体"/>
                <w:color w:val="auto"/>
                <w:sz w:val="24"/>
                <w:highlight w:val="none"/>
              </w:rPr>
            </w:pPr>
            <w:r>
              <w:rPr>
                <w:rFonts w:hint="eastAsia" w:ascii="宋体" w:hAnsi="宋体"/>
                <w:color w:val="auto"/>
                <w:sz w:val="24"/>
                <w:highlight w:val="none"/>
              </w:rPr>
              <w:t>56</w:t>
            </w:r>
          </w:p>
        </w:tc>
        <w:tc>
          <w:tcPr>
            <w:tcW w:w="2160" w:type="dxa"/>
            <w:noWrap w:val="0"/>
            <w:vAlign w:val="top"/>
          </w:tcPr>
          <w:p w14:paraId="7B71DF60">
            <w:pPr>
              <w:spacing w:line="440" w:lineRule="exact"/>
              <w:rPr>
                <w:rFonts w:hint="eastAsia" w:ascii="宋体" w:hAnsi="宋体"/>
                <w:color w:val="auto"/>
                <w:sz w:val="24"/>
                <w:highlight w:val="none"/>
              </w:rPr>
            </w:pPr>
            <w:r>
              <w:rPr>
                <w:rFonts w:hint="eastAsia" w:ascii="宋体" w:hAnsi="宋体"/>
                <w:color w:val="auto"/>
                <w:sz w:val="24"/>
                <w:highlight w:val="none"/>
              </w:rPr>
              <w:t>非法入侵信号2</w:t>
            </w:r>
          </w:p>
        </w:tc>
        <w:tc>
          <w:tcPr>
            <w:tcW w:w="1980" w:type="dxa"/>
            <w:noWrap w:val="0"/>
            <w:vAlign w:val="top"/>
          </w:tcPr>
          <w:p w14:paraId="3D86EBE9">
            <w:pPr>
              <w:spacing w:line="440" w:lineRule="exact"/>
              <w:rPr>
                <w:rFonts w:hint="eastAsia" w:ascii="宋体" w:hAnsi="宋体"/>
                <w:color w:val="auto"/>
                <w:sz w:val="24"/>
                <w:highlight w:val="none"/>
              </w:rPr>
            </w:pPr>
            <w:r>
              <w:rPr>
                <w:rFonts w:hint="eastAsia" w:ascii="宋体" w:hAnsi="宋体"/>
                <w:color w:val="auto"/>
                <w:sz w:val="24"/>
                <w:highlight w:val="none"/>
              </w:rPr>
              <w:t>V1088.5</w:t>
            </w:r>
          </w:p>
        </w:tc>
        <w:tc>
          <w:tcPr>
            <w:tcW w:w="2160" w:type="dxa"/>
            <w:noWrap w:val="0"/>
            <w:vAlign w:val="top"/>
          </w:tcPr>
          <w:p w14:paraId="28D68C6A">
            <w:pPr>
              <w:spacing w:line="440" w:lineRule="exact"/>
              <w:rPr>
                <w:rFonts w:hint="eastAsia" w:ascii="宋体" w:hAnsi="宋体"/>
                <w:color w:val="auto"/>
                <w:sz w:val="24"/>
                <w:highlight w:val="none"/>
              </w:rPr>
            </w:pPr>
            <w:r>
              <w:rPr>
                <w:rFonts w:hint="eastAsia" w:ascii="宋体" w:hAnsi="宋体"/>
                <w:color w:val="auto"/>
                <w:sz w:val="24"/>
                <w:highlight w:val="none"/>
              </w:rPr>
              <w:t>R/O</w:t>
            </w:r>
          </w:p>
        </w:tc>
        <w:tc>
          <w:tcPr>
            <w:tcW w:w="1949" w:type="dxa"/>
            <w:noWrap w:val="0"/>
            <w:vAlign w:val="top"/>
          </w:tcPr>
          <w:p w14:paraId="65D34882">
            <w:pPr>
              <w:spacing w:line="440" w:lineRule="exact"/>
              <w:rPr>
                <w:rFonts w:hint="eastAsia" w:ascii="宋体" w:hAnsi="宋体"/>
                <w:color w:val="auto"/>
                <w:sz w:val="24"/>
                <w:highlight w:val="none"/>
              </w:rPr>
            </w:pPr>
            <w:r>
              <w:rPr>
                <w:rFonts w:hint="eastAsia" w:ascii="宋体" w:hAnsi="宋体"/>
                <w:color w:val="auto"/>
                <w:sz w:val="24"/>
                <w:highlight w:val="none"/>
              </w:rPr>
              <w:t>仅低区</w:t>
            </w:r>
          </w:p>
        </w:tc>
      </w:tr>
      <w:tr w14:paraId="7805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7EF1FC7">
            <w:pPr>
              <w:spacing w:line="440" w:lineRule="exact"/>
              <w:rPr>
                <w:rFonts w:hint="eastAsia" w:ascii="宋体" w:hAnsi="宋体"/>
                <w:color w:val="auto"/>
                <w:sz w:val="24"/>
                <w:highlight w:val="none"/>
              </w:rPr>
            </w:pPr>
            <w:r>
              <w:rPr>
                <w:rFonts w:hint="eastAsia" w:ascii="宋体" w:hAnsi="宋体"/>
                <w:color w:val="auto"/>
                <w:sz w:val="24"/>
                <w:highlight w:val="none"/>
              </w:rPr>
              <w:t>57</w:t>
            </w:r>
          </w:p>
        </w:tc>
        <w:tc>
          <w:tcPr>
            <w:tcW w:w="2160" w:type="dxa"/>
            <w:noWrap w:val="0"/>
            <w:vAlign w:val="top"/>
          </w:tcPr>
          <w:p w14:paraId="66C3744E">
            <w:pPr>
              <w:spacing w:line="440" w:lineRule="exact"/>
              <w:rPr>
                <w:rFonts w:hint="eastAsia" w:ascii="宋体" w:hAnsi="宋体"/>
                <w:color w:val="auto"/>
                <w:sz w:val="24"/>
                <w:highlight w:val="none"/>
              </w:rPr>
            </w:pPr>
            <w:r>
              <w:rPr>
                <w:rFonts w:hint="eastAsia" w:ascii="宋体" w:hAnsi="宋体"/>
                <w:color w:val="auto"/>
                <w:sz w:val="24"/>
                <w:highlight w:val="none"/>
              </w:rPr>
              <w:t>远程启停1#主泵</w:t>
            </w:r>
          </w:p>
        </w:tc>
        <w:tc>
          <w:tcPr>
            <w:tcW w:w="1980" w:type="dxa"/>
            <w:noWrap w:val="0"/>
            <w:vAlign w:val="top"/>
          </w:tcPr>
          <w:p w14:paraId="281C543D">
            <w:pPr>
              <w:spacing w:line="440" w:lineRule="exact"/>
              <w:rPr>
                <w:rFonts w:hint="eastAsia" w:ascii="宋体" w:hAnsi="宋体"/>
                <w:color w:val="auto"/>
                <w:sz w:val="24"/>
                <w:highlight w:val="none"/>
              </w:rPr>
            </w:pPr>
            <w:r>
              <w:rPr>
                <w:rFonts w:hint="eastAsia" w:ascii="宋体" w:hAnsi="宋体"/>
                <w:color w:val="auto"/>
                <w:sz w:val="24"/>
                <w:highlight w:val="none"/>
              </w:rPr>
              <w:t>V1089.0</w:t>
            </w:r>
          </w:p>
        </w:tc>
        <w:tc>
          <w:tcPr>
            <w:tcW w:w="2160" w:type="dxa"/>
            <w:noWrap w:val="0"/>
            <w:vAlign w:val="top"/>
          </w:tcPr>
          <w:p w14:paraId="0800ADAC">
            <w:pPr>
              <w:spacing w:line="440" w:lineRule="exact"/>
              <w:rPr>
                <w:rFonts w:hint="eastAsia" w:ascii="宋体" w:hAnsi="宋体"/>
                <w:color w:val="auto"/>
                <w:sz w:val="24"/>
                <w:highlight w:val="none"/>
              </w:rPr>
            </w:pPr>
            <w:r>
              <w:rPr>
                <w:rFonts w:hint="eastAsia" w:ascii="宋体" w:hAnsi="宋体"/>
                <w:color w:val="auto"/>
                <w:sz w:val="24"/>
                <w:highlight w:val="none"/>
              </w:rPr>
              <w:t>R/W</w:t>
            </w:r>
          </w:p>
        </w:tc>
        <w:tc>
          <w:tcPr>
            <w:tcW w:w="1949" w:type="dxa"/>
            <w:noWrap w:val="0"/>
            <w:vAlign w:val="top"/>
          </w:tcPr>
          <w:p w14:paraId="3E53EEE3">
            <w:pPr>
              <w:spacing w:line="440" w:lineRule="exact"/>
              <w:rPr>
                <w:rFonts w:hint="eastAsia" w:ascii="宋体" w:hAnsi="宋体"/>
                <w:color w:val="auto"/>
                <w:sz w:val="24"/>
                <w:highlight w:val="none"/>
              </w:rPr>
            </w:pPr>
            <w:r>
              <w:rPr>
                <w:rFonts w:hint="eastAsia" w:ascii="宋体" w:hAnsi="宋体"/>
                <w:color w:val="auto"/>
                <w:sz w:val="24"/>
                <w:highlight w:val="none"/>
              </w:rPr>
              <w:t>1-启动0-停止</w:t>
            </w:r>
          </w:p>
        </w:tc>
      </w:tr>
      <w:tr w14:paraId="0DA2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DE23696">
            <w:pPr>
              <w:spacing w:line="440" w:lineRule="exact"/>
              <w:rPr>
                <w:rFonts w:hint="eastAsia" w:ascii="宋体" w:hAnsi="宋体"/>
                <w:color w:val="auto"/>
                <w:sz w:val="24"/>
                <w:highlight w:val="none"/>
              </w:rPr>
            </w:pPr>
            <w:r>
              <w:rPr>
                <w:rFonts w:hint="eastAsia" w:ascii="宋体" w:hAnsi="宋体"/>
                <w:color w:val="auto"/>
                <w:sz w:val="24"/>
                <w:highlight w:val="none"/>
              </w:rPr>
              <w:t>58</w:t>
            </w:r>
          </w:p>
        </w:tc>
        <w:tc>
          <w:tcPr>
            <w:tcW w:w="2160" w:type="dxa"/>
            <w:noWrap w:val="0"/>
            <w:vAlign w:val="top"/>
          </w:tcPr>
          <w:p w14:paraId="6750BF2C">
            <w:pPr>
              <w:spacing w:line="440" w:lineRule="exact"/>
              <w:rPr>
                <w:rFonts w:hint="eastAsia" w:ascii="宋体" w:hAnsi="宋体"/>
                <w:color w:val="auto"/>
                <w:sz w:val="24"/>
                <w:highlight w:val="none"/>
              </w:rPr>
            </w:pPr>
            <w:r>
              <w:rPr>
                <w:rFonts w:hint="eastAsia" w:ascii="宋体" w:hAnsi="宋体"/>
                <w:color w:val="auto"/>
                <w:sz w:val="24"/>
                <w:highlight w:val="none"/>
              </w:rPr>
              <w:t>远程启停2#主泵</w:t>
            </w:r>
          </w:p>
        </w:tc>
        <w:tc>
          <w:tcPr>
            <w:tcW w:w="1980" w:type="dxa"/>
            <w:noWrap w:val="0"/>
            <w:vAlign w:val="top"/>
          </w:tcPr>
          <w:p w14:paraId="5EAAE80E">
            <w:pPr>
              <w:spacing w:line="440" w:lineRule="exact"/>
              <w:rPr>
                <w:rFonts w:hint="eastAsia" w:ascii="宋体" w:hAnsi="宋体"/>
                <w:color w:val="auto"/>
                <w:sz w:val="24"/>
                <w:highlight w:val="none"/>
              </w:rPr>
            </w:pPr>
            <w:r>
              <w:rPr>
                <w:rFonts w:hint="eastAsia" w:ascii="宋体" w:hAnsi="宋体"/>
                <w:color w:val="auto"/>
                <w:sz w:val="24"/>
                <w:highlight w:val="none"/>
              </w:rPr>
              <w:t>V1089.1</w:t>
            </w:r>
          </w:p>
        </w:tc>
        <w:tc>
          <w:tcPr>
            <w:tcW w:w="2160" w:type="dxa"/>
            <w:noWrap w:val="0"/>
            <w:vAlign w:val="top"/>
          </w:tcPr>
          <w:p w14:paraId="23BBC35D">
            <w:pPr>
              <w:spacing w:line="440" w:lineRule="exact"/>
              <w:rPr>
                <w:rFonts w:hint="eastAsia" w:ascii="宋体" w:hAnsi="宋体"/>
                <w:color w:val="auto"/>
                <w:sz w:val="24"/>
                <w:highlight w:val="none"/>
              </w:rPr>
            </w:pPr>
            <w:r>
              <w:rPr>
                <w:rFonts w:hint="eastAsia" w:ascii="宋体" w:hAnsi="宋体"/>
                <w:color w:val="auto"/>
                <w:sz w:val="24"/>
                <w:highlight w:val="none"/>
              </w:rPr>
              <w:t>R/W</w:t>
            </w:r>
          </w:p>
        </w:tc>
        <w:tc>
          <w:tcPr>
            <w:tcW w:w="1949" w:type="dxa"/>
            <w:noWrap w:val="0"/>
            <w:vAlign w:val="top"/>
          </w:tcPr>
          <w:p w14:paraId="2767B95B">
            <w:pPr>
              <w:spacing w:line="440" w:lineRule="exact"/>
              <w:rPr>
                <w:rFonts w:hint="eastAsia" w:ascii="宋体" w:hAnsi="宋体"/>
                <w:color w:val="auto"/>
                <w:sz w:val="24"/>
                <w:highlight w:val="none"/>
              </w:rPr>
            </w:pPr>
            <w:r>
              <w:rPr>
                <w:rFonts w:hint="eastAsia" w:ascii="宋体" w:hAnsi="宋体"/>
                <w:color w:val="auto"/>
                <w:sz w:val="24"/>
                <w:highlight w:val="none"/>
              </w:rPr>
              <w:t>1-启动0-停止</w:t>
            </w:r>
          </w:p>
        </w:tc>
      </w:tr>
      <w:tr w14:paraId="774F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7DBA459">
            <w:pPr>
              <w:spacing w:line="440" w:lineRule="exact"/>
              <w:rPr>
                <w:rFonts w:hint="eastAsia" w:ascii="宋体" w:hAnsi="宋体"/>
                <w:color w:val="auto"/>
                <w:sz w:val="24"/>
                <w:highlight w:val="none"/>
              </w:rPr>
            </w:pPr>
            <w:r>
              <w:rPr>
                <w:rFonts w:hint="eastAsia" w:ascii="宋体" w:hAnsi="宋体"/>
                <w:color w:val="auto"/>
                <w:sz w:val="24"/>
                <w:highlight w:val="none"/>
              </w:rPr>
              <w:t>59</w:t>
            </w:r>
          </w:p>
        </w:tc>
        <w:tc>
          <w:tcPr>
            <w:tcW w:w="2160" w:type="dxa"/>
            <w:noWrap w:val="0"/>
            <w:vAlign w:val="top"/>
          </w:tcPr>
          <w:p w14:paraId="496102BF">
            <w:pPr>
              <w:spacing w:line="440" w:lineRule="exact"/>
              <w:rPr>
                <w:rFonts w:hint="eastAsia" w:ascii="宋体" w:hAnsi="宋体"/>
                <w:color w:val="auto"/>
                <w:sz w:val="24"/>
                <w:highlight w:val="none"/>
              </w:rPr>
            </w:pPr>
            <w:r>
              <w:rPr>
                <w:rFonts w:hint="eastAsia" w:ascii="宋体" w:hAnsi="宋体"/>
                <w:color w:val="auto"/>
                <w:sz w:val="24"/>
                <w:highlight w:val="none"/>
              </w:rPr>
              <w:t>远程启停3#主泵</w:t>
            </w:r>
          </w:p>
        </w:tc>
        <w:tc>
          <w:tcPr>
            <w:tcW w:w="1980" w:type="dxa"/>
            <w:noWrap w:val="0"/>
            <w:vAlign w:val="top"/>
          </w:tcPr>
          <w:p w14:paraId="6615C57C">
            <w:pPr>
              <w:spacing w:line="440" w:lineRule="exact"/>
              <w:rPr>
                <w:rFonts w:hint="eastAsia" w:ascii="宋体" w:hAnsi="宋体"/>
                <w:color w:val="auto"/>
                <w:sz w:val="24"/>
                <w:highlight w:val="none"/>
              </w:rPr>
            </w:pPr>
            <w:r>
              <w:rPr>
                <w:rFonts w:hint="eastAsia" w:ascii="宋体" w:hAnsi="宋体"/>
                <w:color w:val="auto"/>
                <w:sz w:val="24"/>
                <w:highlight w:val="none"/>
              </w:rPr>
              <w:t>V1089.2</w:t>
            </w:r>
          </w:p>
        </w:tc>
        <w:tc>
          <w:tcPr>
            <w:tcW w:w="2160" w:type="dxa"/>
            <w:noWrap w:val="0"/>
            <w:vAlign w:val="top"/>
          </w:tcPr>
          <w:p w14:paraId="0B79EA87">
            <w:pPr>
              <w:spacing w:line="440" w:lineRule="exact"/>
              <w:rPr>
                <w:rFonts w:hint="eastAsia" w:ascii="宋体" w:hAnsi="宋体"/>
                <w:color w:val="auto"/>
                <w:sz w:val="24"/>
                <w:highlight w:val="none"/>
              </w:rPr>
            </w:pPr>
            <w:r>
              <w:rPr>
                <w:rFonts w:hint="eastAsia" w:ascii="宋体" w:hAnsi="宋体"/>
                <w:color w:val="auto"/>
                <w:sz w:val="24"/>
                <w:highlight w:val="none"/>
              </w:rPr>
              <w:t>R/W</w:t>
            </w:r>
          </w:p>
        </w:tc>
        <w:tc>
          <w:tcPr>
            <w:tcW w:w="1949" w:type="dxa"/>
            <w:noWrap w:val="0"/>
            <w:vAlign w:val="top"/>
          </w:tcPr>
          <w:p w14:paraId="605D8514">
            <w:pPr>
              <w:spacing w:line="440" w:lineRule="exact"/>
              <w:rPr>
                <w:rFonts w:hint="eastAsia" w:ascii="宋体" w:hAnsi="宋体"/>
                <w:color w:val="auto"/>
                <w:sz w:val="24"/>
                <w:highlight w:val="none"/>
              </w:rPr>
            </w:pPr>
            <w:r>
              <w:rPr>
                <w:rFonts w:hint="eastAsia" w:ascii="宋体" w:hAnsi="宋体"/>
                <w:color w:val="auto"/>
                <w:sz w:val="24"/>
                <w:highlight w:val="none"/>
              </w:rPr>
              <w:t>1-启动0-停止</w:t>
            </w:r>
          </w:p>
        </w:tc>
      </w:tr>
      <w:tr w14:paraId="2313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9CB7711">
            <w:pPr>
              <w:spacing w:line="440" w:lineRule="exact"/>
              <w:rPr>
                <w:rFonts w:hint="eastAsia" w:ascii="宋体" w:hAnsi="宋体"/>
                <w:color w:val="auto"/>
                <w:sz w:val="24"/>
                <w:highlight w:val="none"/>
              </w:rPr>
            </w:pPr>
            <w:r>
              <w:rPr>
                <w:rFonts w:hint="eastAsia" w:ascii="宋体" w:hAnsi="宋体"/>
                <w:color w:val="auto"/>
                <w:sz w:val="24"/>
                <w:highlight w:val="none"/>
              </w:rPr>
              <w:t>60</w:t>
            </w:r>
          </w:p>
        </w:tc>
        <w:tc>
          <w:tcPr>
            <w:tcW w:w="2160" w:type="dxa"/>
            <w:noWrap w:val="0"/>
            <w:vAlign w:val="top"/>
          </w:tcPr>
          <w:p w14:paraId="0E1A731F">
            <w:pPr>
              <w:spacing w:line="440" w:lineRule="exact"/>
              <w:rPr>
                <w:rFonts w:hint="eastAsia" w:ascii="宋体" w:hAnsi="宋体"/>
                <w:color w:val="auto"/>
                <w:sz w:val="24"/>
                <w:highlight w:val="none"/>
              </w:rPr>
            </w:pPr>
            <w:r>
              <w:rPr>
                <w:rFonts w:hint="eastAsia" w:ascii="宋体" w:hAnsi="宋体"/>
                <w:color w:val="auto"/>
                <w:sz w:val="24"/>
                <w:highlight w:val="none"/>
              </w:rPr>
              <w:t>远程启停4#主泵</w:t>
            </w:r>
          </w:p>
        </w:tc>
        <w:tc>
          <w:tcPr>
            <w:tcW w:w="1980" w:type="dxa"/>
            <w:noWrap w:val="0"/>
            <w:vAlign w:val="top"/>
          </w:tcPr>
          <w:p w14:paraId="0CB183D6">
            <w:pPr>
              <w:spacing w:line="440" w:lineRule="exact"/>
              <w:rPr>
                <w:rFonts w:hint="eastAsia" w:ascii="宋体" w:hAnsi="宋体"/>
                <w:color w:val="auto"/>
                <w:sz w:val="24"/>
                <w:highlight w:val="none"/>
              </w:rPr>
            </w:pPr>
            <w:r>
              <w:rPr>
                <w:rFonts w:hint="eastAsia" w:ascii="宋体" w:hAnsi="宋体"/>
                <w:color w:val="auto"/>
                <w:sz w:val="24"/>
                <w:highlight w:val="none"/>
              </w:rPr>
              <w:t>V1089.3</w:t>
            </w:r>
          </w:p>
        </w:tc>
        <w:tc>
          <w:tcPr>
            <w:tcW w:w="2160" w:type="dxa"/>
            <w:noWrap w:val="0"/>
            <w:vAlign w:val="top"/>
          </w:tcPr>
          <w:p w14:paraId="1B240175">
            <w:pPr>
              <w:spacing w:line="440" w:lineRule="exact"/>
              <w:rPr>
                <w:rFonts w:hint="eastAsia" w:ascii="宋体" w:hAnsi="宋体"/>
                <w:color w:val="auto"/>
                <w:sz w:val="24"/>
                <w:highlight w:val="none"/>
              </w:rPr>
            </w:pPr>
            <w:r>
              <w:rPr>
                <w:rFonts w:hint="eastAsia" w:ascii="宋体" w:hAnsi="宋体"/>
                <w:color w:val="auto"/>
                <w:sz w:val="24"/>
                <w:highlight w:val="none"/>
              </w:rPr>
              <w:t>R/W</w:t>
            </w:r>
          </w:p>
        </w:tc>
        <w:tc>
          <w:tcPr>
            <w:tcW w:w="1949" w:type="dxa"/>
            <w:noWrap w:val="0"/>
            <w:vAlign w:val="top"/>
          </w:tcPr>
          <w:p w14:paraId="0D3D13BF">
            <w:pPr>
              <w:spacing w:line="440" w:lineRule="exact"/>
              <w:rPr>
                <w:rFonts w:hint="eastAsia" w:ascii="宋体" w:hAnsi="宋体"/>
                <w:color w:val="auto"/>
                <w:sz w:val="24"/>
                <w:highlight w:val="none"/>
              </w:rPr>
            </w:pPr>
            <w:r>
              <w:rPr>
                <w:rFonts w:hint="eastAsia" w:ascii="宋体" w:hAnsi="宋体"/>
                <w:color w:val="auto"/>
                <w:sz w:val="24"/>
                <w:highlight w:val="none"/>
              </w:rPr>
              <w:t>1-启动0-停止</w:t>
            </w:r>
          </w:p>
        </w:tc>
      </w:tr>
      <w:tr w14:paraId="39F7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6BBA76B6">
            <w:pPr>
              <w:spacing w:line="440" w:lineRule="exact"/>
              <w:rPr>
                <w:rFonts w:hint="eastAsia" w:ascii="宋体" w:hAnsi="宋体"/>
                <w:color w:val="auto"/>
                <w:sz w:val="24"/>
                <w:highlight w:val="none"/>
              </w:rPr>
            </w:pPr>
            <w:r>
              <w:rPr>
                <w:rFonts w:hint="eastAsia" w:ascii="宋体" w:hAnsi="宋体"/>
                <w:color w:val="auto"/>
                <w:sz w:val="24"/>
                <w:highlight w:val="none"/>
              </w:rPr>
              <w:t>61</w:t>
            </w:r>
          </w:p>
        </w:tc>
        <w:tc>
          <w:tcPr>
            <w:tcW w:w="2160" w:type="dxa"/>
            <w:noWrap w:val="0"/>
            <w:vAlign w:val="top"/>
          </w:tcPr>
          <w:p w14:paraId="1F20AC66">
            <w:pPr>
              <w:spacing w:line="440" w:lineRule="exact"/>
              <w:rPr>
                <w:rFonts w:hint="eastAsia" w:ascii="宋体" w:hAnsi="宋体"/>
                <w:color w:val="auto"/>
                <w:sz w:val="24"/>
                <w:highlight w:val="none"/>
              </w:rPr>
            </w:pPr>
            <w:r>
              <w:rPr>
                <w:rFonts w:hint="eastAsia" w:ascii="宋体" w:hAnsi="宋体"/>
                <w:color w:val="auto"/>
                <w:sz w:val="24"/>
                <w:highlight w:val="none"/>
              </w:rPr>
              <w:t>远程启停5#主泵</w:t>
            </w:r>
          </w:p>
        </w:tc>
        <w:tc>
          <w:tcPr>
            <w:tcW w:w="1980" w:type="dxa"/>
            <w:noWrap w:val="0"/>
            <w:vAlign w:val="top"/>
          </w:tcPr>
          <w:p w14:paraId="786528C6">
            <w:pPr>
              <w:spacing w:line="440" w:lineRule="exact"/>
              <w:rPr>
                <w:rFonts w:hint="eastAsia" w:ascii="宋体" w:hAnsi="宋体"/>
                <w:color w:val="auto"/>
                <w:sz w:val="24"/>
                <w:highlight w:val="none"/>
              </w:rPr>
            </w:pPr>
            <w:r>
              <w:rPr>
                <w:rFonts w:hint="eastAsia" w:ascii="宋体" w:hAnsi="宋体"/>
                <w:color w:val="auto"/>
                <w:sz w:val="24"/>
                <w:highlight w:val="none"/>
              </w:rPr>
              <w:t>V1089.4</w:t>
            </w:r>
          </w:p>
        </w:tc>
        <w:tc>
          <w:tcPr>
            <w:tcW w:w="2160" w:type="dxa"/>
            <w:noWrap w:val="0"/>
            <w:vAlign w:val="top"/>
          </w:tcPr>
          <w:p w14:paraId="69E879C1">
            <w:pPr>
              <w:spacing w:line="440" w:lineRule="exact"/>
              <w:rPr>
                <w:rFonts w:hint="eastAsia" w:ascii="宋体" w:hAnsi="宋体"/>
                <w:color w:val="auto"/>
                <w:sz w:val="24"/>
                <w:highlight w:val="none"/>
              </w:rPr>
            </w:pPr>
            <w:r>
              <w:rPr>
                <w:rFonts w:hint="eastAsia" w:ascii="宋体" w:hAnsi="宋体"/>
                <w:color w:val="auto"/>
                <w:sz w:val="24"/>
                <w:highlight w:val="none"/>
              </w:rPr>
              <w:t>R/W</w:t>
            </w:r>
          </w:p>
        </w:tc>
        <w:tc>
          <w:tcPr>
            <w:tcW w:w="1949" w:type="dxa"/>
            <w:noWrap w:val="0"/>
            <w:vAlign w:val="top"/>
          </w:tcPr>
          <w:p w14:paraId="09A81B48">
            <w:pPr>
              <w:spacing w:line="440" w:lineRule="exact"/>
              <w:rPr>
                <w:rFonts w:hint="eastAsia" w:ascii="宋体" w:hAnsi="宋体"/>
                <w:color w:val="auto"/>
                <w:sz w:val="24"/>
                <w:highlight w:val="none"/>
              </w:rPr>
            </w:pPr>
            <w:r>
              <w:rPr>
                <w:rFonts w:hint="eastAsia" w:ascii="宋体" w:hAnsi="宋体"/>
                <w:color w:val="auto"/>
                <w:sz w:val="24"/>
                <w:highlight w:val="none"/>
              </w:rPr>
              <w:t>1-启动0-停止</w:t>
            </w:r>
          </w:p>
        </w:tc>
      </w:tr>
      <w:tr w14:paraId="5CFB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09ABBD4">
            <w:pPr>
              <w:spacing w:line="440" w:lineRule="exact"/>
              <w:rPr>
                <w:rFonts w:hint="eastAsia" w:ascii="宋体" w:hAnsi="宋体"/>
                <w:color w:val="auto"/>
                <w:sz w:val="24"/>
                <w:highlight w:val="none"/>
              </w:rPr>
            </w:pPr>
            <w:r>
              <w:rPr>
                <w:rFonts w:hint="eastAsia" w:ascii="宋体" w:hAnsi="宋体"/>
                <w:color w:val="auto"/>
                <w:sz w:val="24"/>
                <w:highlight w:val="none"/>
              </w:rPr>
              <w:t>62</w:t>
            </w:r>
          </w:p>
        </w:tc>
        <w:tc>
          <w:tcPr>
            <w:tcW w:w="2160" w:type="dxa"/>
            <w:noWrap w:val="0"/>
            <w:vAlign w:val="top"/>
          </w:tcPr>
          <w:p w14:paraId="43EABDC6">
            <w:pPr>
              <w:spacing w:line="440" w:lineRule="exact"/>
              <w:rPr>
                <w:rFonts w:hint="eastAsia" w:ascii="宋体" w:hAnsi="宋体"/>
                <w:color w:val="auto"/>
                <w:sz w:val="24"/>
                <w:highlight w:val="none"/>
              </w:rPr>
            </w:pPr>
            <w:r>
              <w:rPr>
                <w:rFonts w:hint="eastAsia" w:ascii="宋体" w:hAnsi="宋体"/>
                <w:color w:val="auto"/>
                <w:sz w:val="24"/>
                <w:highlight w:val="none"/>
              </w:rPr>
              <w:t>远程启停辅泵</w:t>
            </w:r>
          </w:p>
        </w:tc>
        <w:tc>
          <w:tcPr>
            <w:tcW w:w="1980" w:type="dxa"/>
            <w:noWrap w:val="0"/>
            <w:vAlign w:val="top"/>
          </w:tcPr>
          <w:p w14:paraId="74D26DC6">
            <w:pPr>
              <w:spacing w:line="440" w:lineRule="exact"/>
              <w:rPr>
                <w:rFonts w:hint="eastAsia" w:ascii="宋体" w:hAnsi="宋体"/>
                <w:color w:val="auto"/>
                <w:sz w:val="24"/>
                <w:highlight w:val="none"/>
              </w:rPr>
            </w:pPr>
            <w:r>
              <w:rPr>
                <w:rFonts w:hint="eastAsia" w:ascii="宋体" w:hAnsi="宋体"/>
                <w:color w:val="auto"/>
                <w:sz w:val="24"/>
                <w:highlight w:val="none"/>
              </w:rPr>
              <w:t>V1089.5</w:t>
            </w:r>
          </w:p>
        </w:tc>
        <w:tc>
          <w:tcPr>
            <w:tcW w:w="2160" w:type="dxa"/>
            <w:noWrap w:val="0"/>
            <w:vAlign w:val="top"/>
          </w:tcPr>
          <w:p w14:paraId="509B96A8">
            <w:pPr>
              <w:spacing w:line="440" w:lineRule="exact"/>
              <w:rPr>
                <w:rFonts w:hint="eastAsia" w:ascii="宋体" w:hAnsi="宋体"/>
                <w:color w:val="auto"/>
                <w:sz w:val="24"/>
                <w:highlight w:val="none"/>
              </w:rPr>
            </w:pPr>
            <w:r>
              <w:rPr>
                <w:rFonts w:hint="eastAsia" w:ascii="宋体" w:hAnsi="宋体"/>
                <w:color w:val="auto"/>
                <w:sz w:val="24"/>
                <w:highlight w:val="none"/>
              </w:rPr>
              <w:t>R/W</w:t>
            </w:r>
          </w:p>
        </w:tc>
        <w:tc>
          <w:tcPr>
            <w:tcW w:w="1949" w:type="dxa"/>
            <w:noWrap w:val="0"/>
            <w:vAlign w:val="top"/>
          </w:tcPr>
          <w:p w14:paraId="18522A31">
            <w:pPr>
              <w:spacing w:line="440" w:lineRule="exact"/>
              <w:rPr>
                <w:rFonts w:hint="eastAsia" w:ascii="宋体" w:hAnsi="宋体"/>
                <w:color w:val="auto"/>
                <w:sz w:val="24"/>
                <w:highlight w:val="none"/>
              </w:rPr>
            </w:pPr>
            <w:r>
              <w:rPr>
                <w:rFonts w:hint="eastAsia" w:ascii="宋体" w:hAnsi="宋体"/>
                <w:color w:val="auto"/>
                <w:sz w:val="24"/>
                <w:highlight w:val="none"/>
              </w:rPr>
              <w:t>1-启动0-停止</w:t>
            </w:r>
          </w:p>
        </w:tc>
      </w:tr>
      <w:tr w14:paraId="555F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F4B5F43">
            <w:pPr>
              <w:spacing w:line="440" w:lineRule="exact"/>
              <w:rPr>
                <w:rFonts w:hint="eastAsia" w:ascii="宋体" w:hAnsi="宋体"/>
                <w:color w:val="auto"/>
                <w:sz w:val="24"/>
                <w:highlight w:val="none"/>
              </w:rPr>
            </w:pPr>
            <w:r>
              <w:rPr>
                <w:rFonts w:hint="eastAsia" w:ascii="宋体" w:hAnsi="宋体"/>
                <w:color w:val="auto"/>
                <w:sz w:val="24"/>
                <w:highlight w:val="none"/>
              </w:rPr>
              <w:t>63</w:t>
            </w:r>
          </w:p>
        </w:tc>
        <w:tc>
          <w:tcPr>
            <w:tcW w:w="2160" w:type="dxa"/>
            <w:noWrap w:val="0"/>
            <w:vAlign w:val="top"/>
          </w:tcPr>
          <w:p w14:paraId="3B5C74E9">
            <w:pPr>
              <w:spacing w:line="440" w:lineRule="exact"/>
              <w:rPr>
                <w:rFonts w:hint="eastAsia" w:ascii="宋体" w:hAnsi="宋体"/>
                <w:color w:val="auto"/>
                <w:sz w:val="24"/>
                <w:highlight w:val="none"/>
              </w:rPr>
            </w:pPr>
            <w:r>
              <w:rPr>
                <w:rFonts w:hint="eastAsia" w:ascii="宋体" w:hAnsi="宋体"/>
                <w:color w:val="auto"/>
                <w:sz w:val="24"/>
                <w:highlight w:val="none"/>
              </w:rPr>
              <w:t>视频监控报警信号</w:t>
            </w:r>
          </w:p>
        </w:tc>
        <w:tc>
          <w:tcPr>
            <w:tcW w:w="1980" w:type="dxa"/>
            <w:noWrap w:val="0"/>
            <w:vAlign w:val="top"/>
          </w:tcPr>
          <w:p w14:paraId="21A941A1">
            <w:pPr>
              <w:spacing w:line="440" w:lineRule="exact"/>
              <w:rPr>
                <w:rFonts w:hint="eastAsia" w:ascii="宋体" w:hAnsi="宋体"/>
                <w:color w:val="auto"/>
                <w:sz w:val="24"/>
                <w:highlight w:val="none"/>
              </w:rPr>
            </w:pPr>
            <w:r>
              <w:rPr>
                <w:rFonts w:hint="eastAsia" w:ascii="宋体" w:hAnsi="宋体"/>
                <w:color w:val="auto"/>
                <w:sz w:val="24"/>
                <w:highlight w:val="none"/>
              </w:rPr>
              <w:t>V1089.6</w:t>
            </w:r>
          </w:p>
        </w:tc>
        <w:tc>
          <w:tcPr>
            <w:tcW w:w="2160" w:type="dxa"/>
            <w:noWrap w:val="0"/>
            <w:vAlign w:val="top"/>
          </w:tcPr>
          <w:p w14:paraId="4FBC6BB0">
            <w:pPr>
              <w:spacing w:line="440" w:lineRule="exact"/>
              <w:rPr>
                <w:rFonts w:hint="eastAsia" w:ascii="宋体" w:hAnsi="宋体"/>
                <w:color w:val="auto"/>
                <w:sz w:val="24"/>
                <w:highlight w:val="none"/>
              </w:rPr>
            </w:pPr>
            <w:r>
              <w:rPr>
                <w:rFonts w:hint="eastAsia" w:ascii="宋体" w:hAnsi="宋体"/>
                <w:color w:val="auto"/>
                <w:sz w:val="24"/>
                <w:highlight w:val="none"/>
              </w:rPr>
              <w:t>R/W</w:t>
            </w:r>
          </w:p>
        </w:tc>
        <w:tc>
          <w:tcPr>
            <w:tcW w:w="1949" w:type="dxa"/>
            <w:noWrap w:val="0"/>
            <w:vAlign w:val="top"/>
          </w:tcPr>
          <w:p w14:paraId="54BE8F84">
            <w:pPr>
              <w:spacing w:line="440" w:lineRule="exact"/>
              <w:rPr>
                <w:rFonts w:hint="eastAsia" w:ascii="宋体" w:hAnsi="宋体"/>
                <w:color w:val="auto"/>
                <w:sz w:val="24"/>
                <w:highlight w:val="none"/>
              </w:rPr>
            </w:pPr>
            <w:r>
              <w:rPr>
                <w:rFonts w:hint="eastAsia" w:ascii="宋体" w:hAnsi="宋体"/>
                <w:color w:val="auto"/>
                <w:sz w:val="24"/>
                <w:highlight w:val="none"/>
              </w:rPr>
              <w:t>1-报警0-正常</w:t>
            </w:r>
          </w:p>
        </w:tc>
      </w:tr>
      <w:tr w14:paraId="4609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2412327">
            <w:pPr>
              <w:spacing w:line="440" w:lineRule="exact"/>
              <w:rPr>
                <w:rFonts w:hint="eastAsia" w:ascii="宋体" w:hAnsi="宋体"/>
                <w:color w:val="auto"/>
                <w:sz w:val="24"/>
                <w:highlight w:val="none"/>
              </w:rPr>
            </w:pPr>
            <w:r>
              <w:rPr>
                <w:rFonts w:hint="eastAsia" w:ascii="宋体" w:hAnsi="宋体"/>
                <w:color w:val="auto"/>
                <w:sz w:val="24"/>
                <w:highlight w:val="none"/>
              </w:rPr>
              <w:t>64</w:t>
            </w:r>
          </w:p>
        </w:tc>
        <w:tc>
          <w:tcPr>
            <w:tcW w:w="2160" w:type="dxa"/>
            <w:noWrap w:val="0"/>
            <w:vAlign w:val="top"/>
          </w:tcPr>
          <w:p w14:paraId="7A5EEE52">
            <w:pPr>
              <w:spacing w:line="440" w:lineRule="exact"/>
              <w:rPr>
                <w:rFonts w:hint="eastAsia" w:ascii="宋体" w:hAnsi="宋体"/>
                <w:color w:val="auto"/>
                <w:sz w:val="24"/>
                <w:highlight w:val="none"/>
              </w:rPr>
            </w:pPr>
            <w:r>
              <w:rPr>
                <w:rFonts w:hint="eastAsia" w:ascii="宋体" w:hAnsi="宋体"/>
                <w:color w:val="auto"/>
                <w:sz w:val="24"/>
                <w:highlight w:val="none"/>
              </w:rPr>
              <w:t>远程进水电动阀调节</w:t>
            </w:r>
          </w:p>
        </w:tc>
        <w:tc>
          <w:tcPr>
            <w:tcW w:w="1980" w:type="dxa"/>
            <w:noWrap w:val="0"/>
            <w:vAlign w:val="top"/>
          </w:tcPr>
          <w:p w14:paraId="47278667">
            <w:pPr>
              <w:spacing w:line="440" w:lineRule="exact"/>
              <w:rPr>
                <w:rFonts w:hint="eastAsia" w:ascii="宋体" w:hAnsi="宋体"/>
                <w:color w:val="auto"/>
                <w:sz w:val="24"/>
                <w:highlight w:val="none"/>
              </w:rPr>
            </w:pPr>
            <w:r>
              <w:rPr>
                <w:rFonts w:hint="eastAsia" w:ascii="宋体" w:hAnsi="宋体"/>
                <w:color w:val="auto"/>
                <w:sz w:val="24"/>
                <w:highlight w:val="none"/>
              </w:rPr>
              <w:t>VD1090（real）</w:t>
            </w:r>
          </w:p>
        </w:tc>
        <w:tc>
          <w:tcPr>
            <w:tcW w:w="2160" w:type="dxa"/>
            <w:noWrap w:val="0"/>
            <w:vAlign w:val="top"/>
          </w:tcPr>
          <w:p w14:paraId="3E12D331">
            <w:pPr>
              <w:spacing w:line="440" w:lineRule="exact"/>
              <w:rPr>
                <w:rFonts w:hint="eastAsia" w:ascii="宋体" w:hAnsi="宋体"/>
                <w:color w:val="auto"/>
                <w:sz w:val="24"/>
                <w:highlight w:val="none"/>
              </w:rPr>
            </w:pPr>
            <w:r>
              <w:rPr>
                <w:rFonts w:hint="eastAsia" w:ascii="宋体" w:hAnsi="宋体"/>
                <w:color w:val="auto"/>
                <w:sz w:val="24"/>
                <w:highlight w:val="none"/>
              </w:rPr>
              <w:t>R/W；</w:t>
            </w:r>
          </w:p>
        </w:tc>
        <w:tc>
          <w:tcPr>
            <w:tcW w:w="1949" w:type="dxa"/>
            <w:noWrap w:val="0"/>
            <w:vAlign w:val="top"/>
          </w:tcPr>
          <w:p w14:paraId="6AD31211">
            <w:pPr>
              <w:spacing w:line="440" w:lineRule="exact"/>
              <w:rPr>
                <w:rFonts w:hint="eastAsia" w:ascii="宋体" w:hAnsi="宋体"/>
                <w:color w:val="auto"/>
                <w:sz w:val="24"/>
                <w:highlight w:val="none"/>
              </w:rPr>
            </w:pPr>
          </w:p>
        </w:tc>
      </w:tr>
      <w:tr w14:paraId="63B2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noWrap w:val="0"/>
            <w:vAlign w:val="top"/>
          </w:tcPr>
          <w:p w14:paraId="062C87AE">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65</w:t>
            </w:r>
          </w:p>
        </w:tc>
        <w:tc>
          <w:tcPr>
            <w:tcW w:w="2160" w:type="dxa"/>
            <w:shd w:val="clear" w:color="auto" w:fill="auto"/>
            <w:noWrap w:val="0"/>
            <w:vAlign w:val="top"/>
          </w:tcPr>
          <w:p w14:paraId="1EABF731">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环境温度</w:t>
            </w:r>
          </w:p>
        </w:tc>
        <w:tc>
          <w:tcPr>
            <w:tcW w:w="1980" w:type="dxa"/>
            <w:shd w:val="clear" w:color="auto" w:fill="auto"/>
            <w:noWrap w:val="0"/>
            <w:vAlign w:val="top"/>
          </w:tcPr>
          <w:p w14:paraId="01EB159F">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VD1094（real）</w:t>
            </w:r>
          </w:p>
        </w:tc>
        <w:tc>
          <w:tcPr>
            <w:tcW w:w="2160" w:type="dxa"/>
            <w:shd w:val="clear" w:color="auto" w:fill="auto"/>
            <w:noWrap w:val="0"/>
            <w:vAlign w:val="top"/>
          </w:tcPr>
          <w:p w14:paraId="0F8A45FF">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R/O；</w:t>
            </w:r>
          </w:p>
        </w:tc>
        <w:tc>
          <w:tcPr>
            <w:tcW w:w="1949" w:type="dxa"/>
            <w:shd w:val="clear" w:color="auto" w:fill="auto"/>
            <w:noWrap w:val="0"/>
            <w:vAlign w:val="top"/>
          </w:tcPr>
          <w:p w14:paraId="3264EF50">
            <w:pPr>
              <w:spacing w:line="440" w:lineRule="exact"/>
              <w:rPr>
                <w:rFonts w:hint="eastAsia" w:ascii="宋体" w:hAnsi="宋体" w:eastAsia="宋体" w:cs="Times New Roman"/>
                <w:color w:val="auto"/>
                <w:kern w:val="2"/>
                <w:sz w:val="24"/>
                <w:szCs w:val="24"/>
                <w:highlight w:val="none"/>
                <w:lang w:val="en-US" w:eastAsia="zh-CN" w:bidi="ar-SA"/>
              </w:rPr>
            </w:pPr>
          </w:p>
        </w:tc>
      </w:tr>
      <w:tr w14:paraId="30AC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noWrap w:val="0"/>
            <w:vAlign w:val="top"/>
          </w:tcPr>
          <w:p w14:paraId="432B07EC">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66</w:t>
            </w:r>
          </w:p>
        </w:tc>
        <w:tc>
          <w:tcPr>
            <w:tcW w:w="2160" w:type="dxa"/>
            <w:shd w:val="clear" w:color="auto" w:fill="auto"/>
            <w:noWrap w:val="0"/>
            <w:vAlign w:val="top"/>
          </w:tcPr>
          <w:p w14:paraId="285C1FEE">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环境湿度</w:t>
            </w:r>
          </w:p>
        </w:tc>
        <w:tc>
          <w:tcPr>
            <w:tcW w:w="1980" w:type="dxa"/>
            <w:shd w:val="clear" w:color="auto" w:fill="auto"/>
            <w:noWrap w:val="0"/>
            <w:vAlign w:val="top"/>
          </w:tcPr>
          <w:p w14:paraId="6B54B186">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VD1098（real）</w:t>
            </w:r>
          </w:p>
        </w:tc>
        <w:tc>
          <w:tcPr>
            <w:tcW w:w="2160" w:type="dxa"/>
            <w:shd w:val="clear" w:color="auto" w:fill="auto"/>
            <w:noWrap w:val="0"/>
            <w:vAlign w:val="top"/>
          </w:tcPr>
          <w:p w14:paraId="680C6364">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R/0；</w:t>
            </w:r>
          </w:p>
        </w:tc>
        <w:tc>
          <w:tcPr>
            <w:tcW w:w="1949" w:type="dxa"/>
            <w:shd w:val="clear" w:color="auto" w:fill="auto"/>
            <w:noWrap w:val="0"/>
            <w:vAlign w:val="top"/>
          </w:tcPr>
          <w:p w14:paraId="5ACC76F8">
            <w:pPr>
              <w:spacing w:line="440" w:lineRule="exact"/>
              <w:rPr>
                <w:rFonts w:hint="eastAsia" w:ascii="宋体" w:hAnsi="宋体" w:eastAsia="宋体" w:cs="Times New Roman"/>
                <w:color w:val="auto"/>
                <w:kern w:val="2"/>
                <w:sz w:val="24"/>
                <w:szCs w:val="24"/>
                <w:highlight w:val="none"/>
                <w:lang w:val="en-US" w:eastAsia="zh-CN" w:bidi="ar-SA"/>
              </w:rPr>
            </w:pPr>
          </w:p>
        </w:tc>
      </w:tr>
      <w:tr w14:paraId="1BEF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noWrap w:val="0"/>
            <w:vAlign w:val="top"/>
          </w:tcPr>
          <w:p w14:paraId="4BB4135D">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67</w:t>
            </w:r>
          </w:p>
        </w:tc>
        <w:tc>
          <w:tcPr>
            <w:tcW w:w="2160" w:type="dxa"/>
            <w:shd w:val="clear" w:color="auto" w:fill="auto"/>
            <w:noWrap w:val="0"/>
            <w:vAlign w:val="top"/>
          </w:tcPr>
          <w:p w14:paraId="6D1B21D0">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进水瞬时流量</w:t>
            </w:r>
          </w:p>
        </w:tc>
        <w:tc>
          <w:tcPr>
            <w:tcW w:w="1980" w:type="dxa"/>
            <w:shd w:val="clear" w:color="auto" w:fill="auto"/>
            <w:noWrap w:val="0"/>
            <w:vAlign w:val="top"/>
          </w:tcPr>
          <w:p w14:paraId="47E76B24">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VD1102（real）</w:t>
            </w:r>
          </w:p>
        </w:tc>
        <w:tc>
          <w:tcPr>
            <w:tcW w:w="2160" w:type="dxa"/>
            <w:shd w:val="clear" w:color="auto" w:fill="auto"/>
            <w:noWrap w:val="0"/>
            <w:vAlign w:val="top"/>
          </w:tcPr>
          <w:p w14:paraId="1A057192">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R/0；</w:t>
            </w:r>
          </w:p>
        </w:tc>
        <w:tc>
          <w:tcPr>
            <w:tcW w:w="1949" w:type="dxa"/>
            <w:shd w:val="clear" w:color="auto" w:fill="auto"/>
            <w:noWrap w:val="0"/>
            <w:vAlign w:val="top"/>
          </w:tcPr>
          <w:p w14:paraId="24E59C4E">
            <w:pPr>
              <w:spacing w:line="440" w:lineRule="exact"/>
              <w:rPr>
                <w:rFonts w:hint="eastAsia" w:ascii="宋体" w:hAnsi="宋体" w:eastAsia="宋体" w:cs="Times New Roman"/>
                <w:color w:val="auto"/>
                <w:kern w:val="2"/>
                <w:sz w:val="24"/>
                <w:szCs w:val="24"/>
                <w:highlight w:val="none"/>
                <w:lang w:val="en-US" w:eastAsia="zh-CN" w:bidi="ar-SA"/>
              </w:rPr>
            </w:pPr>
          </w:p>
        </w:tc>
      </w:tr>
      <w:tr w14:paraId="7C20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noWrap w:val="0"/>
            <w:vAlign w:val="top"/>
          </w:tcPr>
          <w:p w14:paraId="5F2AAB3B">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68</w:t>
            </w:r>
          </w:p>
        </w:tc>
        <w:tc>
          <w:tcPr>
            <w:tcW w:w="2160" w:type="dxa"/>
            <w:shd w:val="clear" w:color="auto" w:fill="auto"/>
            <w:noWrap w:val="0"/>
            <w:vAlign w:val="top"/>
          </w:tcPr>
          <w:p w14:paraId="412D25D2">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进水累计流量</w:t>
            </w:r>
          </w:p>
        </w:tc>
        <w:tc>
          <w:tcPr>
            <w:tcW w:w="1980" w:type="dxa"/>
            <w:shd w:val="clear" w:color="auto" w:fill="auto"/>
            <w:noWrap w:val="0"/>
            <w:vAlign w:val="top"/>
          </w:tcPr>
          <w:p w14:paraId="54218A19">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VD1106（real）</w:t>
            </w:r>
          </w:p>
        </w:tc>
        <w:tc>
          <w:tcPr>
            <w:tcW w:w="2160" w:type="dxa"/>
            <w:shd w:val="clear" w:color="auto" w:fill="auto"/>
            <w:noWrap w:val="0"/>
            <w:vAlign w:val="top"/>
          </w:tcPr>
          <w:p w14:paraId="50349F65">
            <w:pPr>
              <w:spacing w:line="44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R/0；</w:t>
            </w:r>
          </w:p>
        </w:tc>
        <w:tc>
          <w:tcPr>
            <w:tcW w:w="1949" w:type="dxa"/>
            <w:shd w:val="clear" w:color="auto" w:fill="auto"/>
            <w:noWrap w:val="0"/>
            <w:vAlign w:val="top"/>
          </w:tcPr>
          <w:p w14:paraId="4533BEC0">
            <w:pPr>
              <w:spacing w:line="440" w:lineRule="exact"/>
              <w:rPr>
                <w:rFonts w:hint="eastAsia" w:ascii="宋体" w:hAnsi="宋体" w:eastAsia="宋体" w:cs="Times New Roman"/>
                <w:color w:val="auto"/>
                <w:kern w:val="2"/>
                <w:sz w:val="24"/>
                <w:szCs w:val="24"/>
                <w:highlight w:val="none"/>
                <w:lang w:val="en-US" w:eastAsia="zh-CN" w:bidi="ar-SA"/>
              </w:rPr>
            </w:pPr>
          </w:p>
        </w:tc>
      </w:tr>
    </w:tbl>
    <w:p w14:paraId="2EF7D4EA">
      <w:pPr>
        <w:spacing w:line="440" w:lineRule="exact"/>
        <w:rPr>
          <w:rFonts w:hint="eastAsia" w:ascii="宋体" w:hAnsi="宋体"/>
          <w:color w:val="auto"/>
          <w:sz w:val="24"/>
          <w:highlight w:val="none"/>
        </w:rPr>
      </w:pPr>
      <w:r>
        <w:rPr>
          <w:rFonts w:hint="eastAsia" w:ascii="宋体" w:hAnsi="宋体"/>
          <w:color w:val="auto"/>
          <w:sz w:val="24"/>
          <w:highlight w:val="none"/>
        </w:rPr>
        <w:t>注：1、泵前压力仅该泵站供水方式为管网叠压式时才有。</w:t>
      </w:r>
    </w:p>
    <w:p w14:paraId="65D061F4">
      <w:pPr>
        <w:spacing w:line="440" w:lineRule="exact"/>
        <w:ind w:firstLine="435"/>
        <w:rPr>
          <w:rFonts w:hint="eastAsia" w:ascii="宋体" w:hAnsi="宋体"/>
          <w:color w:val="auto"/>
          <w:sz w:val="24"/>
          <w:highlight w:val="none"/>
        </w:rPr>
      </w:pPr>
      <w:r>
        <w:rPr>
          <w:rFonts w:hint="eastAsia" w:ascii="宋体" w:hAnsi="宋体"/>
          <w:color w:val="auto"/>
          <w:sz w:val="24"/>
          <w:highlight w:val="none"/>
        </w:rPr>
        <w:t>2、水箱水位仅该泵站供水方式为水箱式时才有。</w:t>
      </w:r>
    </w:p>
    <w:p w14:paraId="7EE6DC3B">
      <w:pPr>
        <w:spacing w:line="440" w:lineRule="exact"/>
        <w:ind w:firstLine="435"/>
        <w:rPr>
          <w:rFonts w:hint="eastAsia" w:ascii="宋体" w:hAnsi="宋体"/>
          <w:color w:val="auto"/>
          <w:sz w:val="24"/>
          <w:highlight w:val="none"/>
        </w:rPr>
      </w:pPr>
      <w:r>
        <w:rPr>
          <w:rFonts w:hint="eastAsia" w:ascii="宋体" w:hAnsi="宋体"/>
          <w:color w:val="auto"/>
          <w:sz w:val="24"/>
          <w:highlight w:val="none"/>
        </w:rPr>
        <w:t>3、所有故障及状态信号在值为“1”时表示该信号符合故障或状态描述。</w:t>
      </w:r>
    </w:p>
    <w:p w14:paraId="4C61221C">
      <w:pPr>
        <w:spacing w:line="440" w:lineRule="exact"/>
        <w:ind w:firstLine="435"/>
        <w:rPr>
          <w:rFonts w:hint="eastAsia" w:ascii="宋体" w:hAnsi="宋体"/>
          <w:color w:val="auto"/>
          <w:sz w:val="24"/>
          <w:highlight w:val="none"/>
        </w:rPr>
      </w:pPr>
      <w:r>
        <w:rPr>
          <w:rFonts w:hint="eastAsia" w:ascii="宋体" w:hAnsi="宋体"/>
          <w:color w:val="auto"/>
          <w:sz w:val="24"/>
          <w:highlight w:val="none"/>
        </w:rPr>
        <w:t>4、因泵站供水方式不同、各分区供水机组数量不同，造成部分数据为空，该部分地址数据写入</w:t>
      </w:r>
      <w:r>
        <w:rPr>
          <w:rFonts w:ascii="宋体" w:hAnsi="宋体"/>
          <w:color w:val="auto"/>
          <w:sz w:val="24"/>
          <w:highlight w:val="none"/>
        </w:rPr>
        <w:t>”</w:t>
      </w:r>
      <w:r>
        <w:rPr>
          <w:rFonts w:hint="eastAsia" w:ascii="宋体" w:hAnsi="宋体"/>
          <w:color w:val="auto"/>
          <w:sz w:val="24"/>
          <w:highlight w:val="none"/>
        </w:rPr>
        <w:t>0</w:t>
      </w:r>
      <w:r>
        <w:rPr>
          <w:rFonts w:ascii="宋体" w:hAnsi="宋体"/>
          <w:color w:val="auto"/>
          <w:sz w:val="24"/>
          <w:highlight w:val="none"/>
        </w:rPr>
        <w:t>”</w:t>
      </w:r>
      <w:r>
        <w:rPr>
          <w:rFonts w:hint="eastAsia" w:ascii="宋体" w:hAnsi="宋体"/>
          <w:color w:val="auto"/>
          <w:sz w:val="24"/>
          <w:highlight w:val="none"/>
        </w:rPr>
        <w:t>。</w:t>
      </w:r>
    </w:p>
    <w:p w14:paraId="0B916F74">
      <w:pPr>
        <w:spacing w:line="440" w:lineRule="exact"/>
        <w:ind w:firstLine="435"/>
        <w:rPr>
          <w:rFonts w:hint="eastAsia" w:ascii="宋体" w:hAnsi="宋体"/>
          <w:color w:val="auto"/>
          <w:sz w:val="24"/>
          <w:highlight w:val="none"/>
        </w:rPr>
      </w:pPr>
      <w:r>
        <w:rPr>
          <w:rFonts w:hint="eastAsia" w:ascii="宋体" w:hAnsi="宋体"/>
          <w:color w:val="auto"/>
          <w:sz w:val="24"/>
          <w:highlight w:val="none"/>
        </w:rPr>
        <w:t>5、远程进水电动阀调节：在远程控制状态下，通过远程输入进水电动调节阀开启度，控制进水电动调节阀开度。</w:t>
      </w:r>
    </w:p>
    <w:p w14:paraId="6DFB9D03">
      <w:pPr>
        <w:spacing w:line="440" w:lineRule="exact"/>
        <w:ind w:firstLine="435"/>
        <w:rPr>
          <w:rFonts w:hint="eastAsia" w:ascii="宋体" w:hAnsi="宋体"/>
          <w:color w:val="auto"/>
          <w:sz w:val="24"/>
          <w:highlight w:val="none"/>
        </w:rPr>
      </w:pPr>
      <w:r>
        <w:rPr>
          <w:rFonts w:hint="eastAsia" w:ascii="宋体" w:hAnsi="宋体"/>
          <w:color w:val="auto"/>
          <w:sz w:val="24"/>
          <w:highlight w:val="none"/>
        </w:rPr>
        <w:t>6、各分区出水管道只有一个时，瞬时流量及累计流量写入瞬时流量1及累计流量1。</w:t>
      </w:r>
    </w:p>
    <w:p w14:paraId="5D8779CF">
      <w:pPr>
        <w:spacing w:line="440" w:lineRule="exact"/>
        <w:ind w:firstLine="435"/>
        <w:rPr>
          <w:rFonts w:hint="eastAsia" w:ascii="宋体" w:hAnsi="宋体"/>
          <w:color w:val="auto"/>
          <w:szCs w:val="21"/>
          <w:highlight w:val="none"/>
        </w:rPr>
      </w:pPr>
      <w:r>
        <w:rPr>
          <w:rFonts w:hint="eastAsia" w:ascii="宋体" w:hAnsi="宋体"/>
          <w:color w:val="auto"/>
          <w:sz w:val="24"/>
          <w:highlight w:val="none"/>
        </w:rPr>
        <w:t>7、泵站只有一个出入门时，正常开门信号及非法入侵信号写入正常开门信号1及非法入侵信号1；视频监控报警信号为所有初入门正常开门信号及非法入侵信号或值。</w:t>
      </w:r>
    </w:p>
    <w:p w14:paraId="78F934B9">
      <w:pPr>
        <w:pStyle w:val="52"/>
        <w:ind w:firstLine="0" w:firstLineChars="0"/>
        <w:rPr>
          <w:rFonts w:hint="eastAsia"/>
          <w:color w:val="auto"/>
          <w:highlight w:val="none"/>
        </w:rPr>
      </w:pPr>
    </w:p>
    <w:p w14:paraId="57F4DCC1">
      <w:pPr>
        <w:pStyle w:val="52"/>
        <w:ind w:firstLine="480"/>
        <w:rPr>
          <w:rFonts w:hint="eastAsia"/>
          <w:color w:val="auto"/>
          <w:highlight w:val="none"/>
        </w:rPr>
      </w:pPr>
    </w:p>
    <w:p w14:paraId="15782918">
      <w:pPr>
        <w:rPr>
          <w:rFonts w:hint="eastAsia" w:ascii="宋体" w:hAnsi="宋体" w:cs="宋体"/>
          <w:b/>
          <w:color w:val="auto"/>
          <w:sz w:val="24"/>
          <w:highlight w:val="none"/>
        </w:rPr>
      </w:pPr>
      <w:r>
        <w:rPr>
          <w:rFonts w:hint="eastAsia" w:ascii="宋体" w:hAnsi="宋体" w:cs="宋体"/>
          <w:b/>
          <w:color w:val="auto"/>
          <w:sz w:val="24"/>
          <w:highlight w:val="none"/>
        </w:rPr>
        <w:br w:type="page"/>
      </w:r>
    </w:p>
    <w:p w14:paraId="50B39F5D">
      <w:pPr>
        <w:snapToGrid w:val="0"/>
        <w:spacing w:line="440" w:lineRule="exact"/>
        <w:jc w:val="left"/>
        <w:rPr>
          <w:rFonts w:hint="eastAsia" w:ascii="宋体" w:hAnsi="宋体" w:cs="宋体"/>
          <w:color w:val="auto"/>
          <w:sz w:val="24"/>
          <w:highlight w:val="none"/>
        </w:rPr>
      </w:pPr>
      <w:r>
        <w:rPr>
          <w:rFonts w:hint="eastAsia" w:ascii="宋体" w:hAnsi="宋体" w:cs="宋体"/>
          <w:b/>
          <w:color w:val="auto"/>
          <w:sz w:val="24"/>
          <w:highlight w:val="none"/>
        </w:rPr>
        <w:t>附件2</w:t>
      </w:r>
    </w:p>
    <w:p w14:paraId="0CF0C296">
      <w:pPr>
        <w:snapToGrid w:val="0"/>
        <w:spacing w:line="440" w:lineRule="exact"/>
        <w:jc w:val="center"/>
        <w:rPr>
          <w:rFonts w:hint="eastAsia" w:ascii="宋体" w:hAnsi="宋体"/>
          <w:color w:val="auto"/>
          <w:sz w:val="24"/>
          <w:highlight w:val="none"/>
        </w:rPr>
      </w:pPr>
      <w:r>
        <w:rPr>
          <w:rFonts w:hint="eastAsia" w:ascii="宋体" w:hAnsi="宋体"/>
          <w:b/>
          <w:color w:val="auto"/>
          <w:sz w:val="24"/>
          <w:highlight w:val="none"/>
        </w:rPr>
        <w:t>移交供水设施质量保证金协议</w:t>
      </w:r>
    </w:p>
    <w:p w14:paraId="1DF72128">
      <w:pPr>
        <w:snapToGrid w:val="0"/>
        <w:spacing w:line="440" w:lineRule="exact"/>
        <w:rPr>
          <w:rFonts w:hint="eastAsia" w:ascii="宋体" w:hAnsi="宋体"/>
          <w:color w:val="auto"/>
          <w:sz w:val="24"/>
          <w:highlight w:val="none"/>
        </w:rPr>
      </w:pPr>
      <w:r>
        <w:rPr>
          <w:rFonts w:hint="eastAsia" w:ascii="宋体" w:hAnsi="宋体"/>
          <w:color w:val="auto"/>
          <w:sz w:val="24"/>
          <w:highlight w:val="none"/>
        </w:rPr>
        <w:t>甲方：</w:t>
      </w:r>
    </w:p>
    <w:p w14:paraId="5FA84DFB">
      <w:pPr>
        <w:snapToGrid w:val="0"/>
        <w:spacing w:line="440" w:lineRule="exact"/>
        <w:rPr>
          <w:rFonts w:hint="eastAsia" w:ascii="宋体" w:hAnsi="宋体"/>
          <w:color w:val="auto"/>
          <w:sz w:val="24"/>
          <w:highlight w:val="none"/>
        </w:rPr>
      </w:pPr>
      <w:r>
        <w:rPr>
          <w:rFonts w:hint="eastAsia" w:ascii="宋体" w:hAnsi="宋体"/>
          <w:color w:val="auto"/>
          <w:sz w:val="24"/>
          <w:highlight w:val="none"/>
        </w:rPr>
        <w:t>乙方：滁州市自来水有限公司</w:t>
      </w:r>
    </w:p>
    <w:p w14:paraId="4BCB1AEE">
      <w:pPr>
        <w:snapToGrid w:val="0"/>
        <w:spacing w:line="440" w:lineRule="exact"/>
        <w:rPr>
          <w:rFonts w:hint="eastAsia" w:ascii="宋体" w:hAnsi="宋体"/>
          <w:color w:val="auto"/>
          <w:sz w:val="24"/>
          <w:highlight w:val="none"/>
        </w:rPr>
      </w:pPr>
    </w:p>
    <w:p w14:paraId="11E40852">
      <w:pPr>
        <w:snapToGrid w:val="0"/>
        <w:spacing w:line="400" w:lineRule="exact"/>
        <w:ind w:firstLine="415" w:firstLineChars="198"/>
        <w:rPr>
          <w:rFonts w:hint="eastAsia" w:ascii="宋体" w:hAnsi="宋体"/>
          <w:color w:val="auto"/>
          <w:szCs w:val="21"/>
          <w:highlight w:val="none"/>
        </w:rPr>
      </w:pPr>
      <w:r>
        <w:rPr>
          <w:rFonts w:hint="eastAsia" w:ascii="宋体" w:hAnsi="宋体"/>
          <w:color w:val="auto"/>
          <w:szCs w:val="21"/>
          <w:highlight w:val="none"/>
        </w:rPr>
        <w:t>根据《中华人民共和国建筑法》、《建设工程质量管理条例》和《建设工程质量保证金管理暂行办法》、《房屋建筑工程质量保修办法》、《安徽省城市供水条例》、《滁州市二次供水管理办法》的规定，甲乙双方经协商达成如下协议：</w:t>
      </w:r>
    </w:p>
    <w:p w14:paraId="0B7216C4">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 xml:space="preserve">     一、乙方对甲方移交的</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供水工程设施收取工程质量保证金，收费标准按照工程合同价款的10%收取，金额为 </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6B13DD55">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二、质量保证金的适用范围：   </w:t>
      </w:r>
    </w:p>
    <w:p w14:paraId="2191D14D">
      <w:pPr>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质量保证金收取范围是指依照《安徽省城市供水条例》、《滁州市二次供水管理办法》移交给乙方管理维护的符合条件的供水工程（用户自建的供水管道、二次供水生活泵房内的供水设施等）。</w:t>
      </w:r>
    </w:p>
    <w:p w14:paraId="382C122B">
      <w:pPr>
        <w:pStyle w:val="16"/>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三、甲方的质量保证责任：</w:t>
      </w:r>
    </w:p>
    <w:p w14:paraId="1BAF6ABD">
      <w:pPr>
        <w:snapToGrid w:val="0"/>
        <w:spacing w:line="400" w:lineRule="exact"/>
        <w:ind w:firstLine="413" w:firstLineChars="196"/>
        <w:rPr>
          <w:rFonts w:hint="eastAsia" w:ascii="宋体" w:hAnsi="宋体"/>
          <w:b/>
          <w:bCs/>
          <w:color w:val="auto"/>
          <w:szCs w:val="21"/>
          <w:highlight w:val="none"/>
        </w:rPr>
      </w:pPr>
      <w:r>
        <w:rPr>
          <w:rFonts w:hint="eastAsia" w:ascii="宋体" w:hAnsi="宋体"/>
          <w:b/>
          <w:bCs/>
          <w:color w:val="auto"/>
          <w:szCs w:val="21"/>
          <w:highlight w:val="none"/>
        </w:rPr>
        <w:t>质保服务：基本履约期（履约期内须免费质保，下同）为</w:t>
      </w:r>
      <w:r>
        <w:rPr>
          <w:rFonts w:hint="eastAsia" w:ascii="宋体" w:hAnsi="宋体"/>
          <w:b/>
          <w:bCs/>
          <w:color w:val="auto"/>
          <w:szCs w:val="21"/>
          <w:highlight w:val="none"/>
          <w:lang w:val="en-US" w:eastAsia="zh-CN"/>
        </w:rPr>
        <w:t>四</w:t>
      </w:r>
      <w:r>
        <w:rPr>
          <w:rFonts w:hint="eastAsia" w:ascii="宋体" w:hAnsi="宋体"/>
          <w:b/>
          <w:bCs/>
          <w:color w:val="auto"/>
          <w:szCs w:val="21"/>
          <w:highlight w:val="none"/>
        </w:rPr>
        <w:t>年，履约期从签订《二次供水设施管理维护协议》生效之日起计算，具体期限以中标人自行承诺的期限为准。</w:t>
      </w:r>
    </w:p>
    <w:p w14:paraId="6A2EE952">
      <w:pPr>
        <w:snapToGrid w:val="0"/>
        <w:spacing w:line="400" w:lineRule="exact"/>
        <w:ind w:firstLine="645"/>
        <w:rPr>
          <w:rFonts w:hint="eastAsia" w:ascii="宋体" w:hAnsi="宋体"/>
          <w:color w:val="auto"/>
          <w:szCs w:val="21"/>
          <w:highlight w:val="none"/>
        </w:rPr>
      </w:pPr>
      <w:r>
        <w:rPr>
          <w:rFonts w:hint="eastAsia" w:ascii="宋体" w:hAnsi="宋体"/>
          <w:color w:val="auto"/>
          <w:szCs w:val="21"/>
          <w:highlight w:val="none"/>
        </w:rPr>
        <w:t>甲方在缴纳质量保证金的同时，应严格履行施工合同承诺的质量保修期内的维修，并承担鉴定及维修费用，以及保修期内由于工程质量问题造成的损害赔偿。</w:t>
      </w:r>
    </w:p>
    <w:p w14:paraId="1B0A9497">
      <w:pPr>
        <w:snapToGrid w:val="0"/>
        <w:spacing w:line="400" w:lineRule="exact"/>
        <w:ind w:firstLine="415" w:firstLineChars="198"/>
        <w:rPr>
          <w:rFonts w:hint="eastAsia" w:ascii="宋体" w:hAnsi="宋体"/>
          <w:color w:val="auto"/>
          <w:szCs w:val="21"/>
          <w:highlight w:val="none"/>
        </w:rPr>
      </w:pPr>
      <w:r>
        <w:rPr>
          <w:rFonts w:hint="eastAsia" w:ascii="宋体" w:hAnsi="宋体"/>
          <w:color w:val="auto"/>
          <w:szCs w:val="21"/>
          <w:highlight w:val="none"/>
        </w:rPr>
        <w:t>甲方接到用户或自来水公司报警通知后1小时内到达现场，对不按时到达、不维修也不承担维修费用的施工单位（设备厂家），乙方可扣除甲方质量保证金，并有权要求甲方赔偿损失。甲方对施工单位（设备厂家）不能及时履行施工合同保修期内的保修义务，可提供书面证明，乙方对三次以上不履行保修责任的施工单位（设备厂家），列入不守信用施工单位（设备厂家），不允许其施工（设备）备案。</w:t>
      </w:r>
    </w:p>
    <w:p w14:paraId="3CE5773C">
      <w:pPr>
        <w:snapToGrid w:val="0"/>
        <w:spacing w:line="400" w:lineRule="exact"/>
        <w:ind w:firstLine="415" w:firstLineChars="198"/>
        <w:rPr>
          <w:rFonts w:hint="eastAsia" w:ascii="宋体" w:hAnsi="宋体"/>
          <w:color w:val="auto"/>
          <w:szCs w:val="21"/>
          <w:highlight w:val="none"/>
        </w:rPr>
      </w:pPr>
      <w:r>
        <w:rPr>
          <w:rFonts w:hint="eastAsia" w:ascii="宋体" w:hAnsi="宋体"/>
          <w:color w:val="auto"/>
          <w:szCs w:val="21"/>
          <w:highlight w:val="none"/>
        </w:rPr>
        <w:t>四、质量保证金的返还：</w:t>
      </w:r>
    </w:p>
    <w:p w14:paraId="718FF503">
      <w:pPr>
        <w:spacing w:line="400" w:lineRule="exact"/>
        <w:ind w:firstLine="420" w:firstLineChars="200"/>
        <w:rPr>
          <w:rFonts w:ascii="宋体" w:hAnsi="宋体"/>
          <w:b/>
          <w:color w:val="auto"/>
          <w:szCs w:val="21"/>
          <w:highlight w:val="none"/>
        </w:rPr>
      </w:pPr>
      <w:r>
        <w:rPr>
          <w:rFonts w:hint="eastAsia" w:ascii="宋体" w:hAnsi="宋体"/>
          <w:color w:val="auto"/>
          <w:szCs w:val="21"/>
          <w:highlight w:val="none"/>
        </w:rPr>
        <w:t>甲方在质保期内认真履行维修承诺，在承诺免费质保期满后，提出返还质保金的书面申请。乙方接到申请后7日内进行核实，如无异议，在核实后7日内将质量保证金无息返还甲方。</w:t>
      </w:r>
    </w:p>
    <w:p w14:paraId="024BE7DD">
      <w:pPr>
        <w:snapToGrid w:val="0"/>
        <w:spacing w:line="400" w:lineRule="exact"/>
        <w:ind w:firstLine="415" w:firstLineChars="198"/>
        <w:rPr>
          <w:rFonts w:hint="eastAsia" w:ascii="宋体" w:hAnsi="宋体"/>
          <w:color w:val="auto"/>
          <w:szCs w:val="21"/>
          <w:highlight w:val="none"/>
        </w:rPr>
      </w:pPr>
    </w:p>
    <w:p w14:paraId="18F9015D">
      <w:pPr>
        <w:snapToGrid w:val="0"/>
        <w:spacing w:line="400" w:lineRule="exact"/>
        <w:ind w:firstLine="415" w:firstLineChars="198"/>
        <w:rPr>
          <w:rFonts w:hint="eastAsia" w:ascii="宋体" w:hAnsi="宋体"/>
          <w:color w:val="auto"/>
          <w:szCs w:val="21"/>
          <w:highlight w:val="none"/>
        </w:rPr>
      </w:pPr>
      <w:r>
        <w:rPr>
          <w:rFonts w:hint="eastAsia" w:ascii="宋体" w:hAnsi="宋体"/>
          <w:color w:val="auto"/>
          <w:szCs w:val="21"/>
          <w:highlight w:val="none"/>
        </w:rPr>
        <w:t>本协议一式四份，每份同等有效。甲乙双方各保存两份。</w:t>
      </w:r>
    </w:p>
    <w:p w14:paraId="69523BA3">
      <w:pPr>
        <w:snapToGrid w:val="0"/>
        <w:spacing w:line="400" w:lineRule="exact"/>
        <w:ind w:firstLine="415" w:firstLineChars="198"/>
        <w:rPr>
          <w:rFonts w:hint="eastAsia" w:ascii="宋体" w:hAnsi="宋体"/>
          <w:color w:val="auto"/>
          <w:szCs w:val="21"/>
          <w:highlight w:val="none"/>
        </w:rPr>
      </w:pPr>
      <w:r>
        <w:rPr>
          <w:rFonts w:hint="eastAsia" w:ascii="宋体" w:hAnsi="宋体"/>
          <w:color w:val="auto"/>
          <w:szCs w:val="21"/>
          <w:highlight w:val="none"/>
        </w:rPr>
        <w:t>本协议甲乙双方签字后即生效。</w:t>
      </w:r>
    </w:p>
    <w:p w14:paraId="0D371A99">
      <w:pPr>
        <w:snapToGrid w:val="0"/>
        <w:spacing w:line="440" w:lineRule="exact"/>
        <w:ind w:firstLine="475" w:firstLineChars="198"/>
        <w:rPr>
          <w:rFonts w:hint="eastAsia" w:ascii="宋体" w:hAnsi="宋体"/>
          <w:color w:val="auto"/>
          <w:sz w:val="24"/>
          <w:highlight w:val="none"/>
        </w:rPr>
      </w:pPr>
    </w:p>
    <w:p w14:paraId="5F0D70D5">
      <w:pPr>
        <w:snapToGrid w:val="0"/>
        <w:spacing w:line="440" w:lineRule="exact"/>
        <w:rPr>
          <w:rFonts w:hint="eastAsia" w:ascii="宋体" w:hAnsi="宋体"/>
          <w:color w:val="auto"/>
          <w:sz w:val="24"/>
          <w:highlight w:val="none"/>
        </w:rPr>
      </w:pPr>
      <w:r>
        <w:rPr>
          <w:rFonts w:hint="eastAsia" w:ascii="宋体" w:hAnsi="宋体"/>
          <w:color w:val="auto"/>
          <w:sz w:val="24"/>
          <w:highlight w:val="none"/>
        </w:rPr>
        <w:t>甲方                               乙方</w:t>
      </w:r>
    </w:p>
    <w:p w14:paraId="51962E74">
      <w:pPr>
        <w:snapToGrid w:val="0"/>
        <w:spacing w:line="440" w:lineRule="exact"/>
        <w:rPr>
          <w:rFonts w:hint="eastAsia" w:ascii="宋体" w:hAnsi="宋体"/>
          <w:color w:val="auto"/>
          <w:sz w:val="24"/>
          <w:highlight w:val="none"/>
        </w:rPr>
      </w:pPr>
      <w:r>
        <w:rPr>
          <w:rFonts w:hint="eastAsia" w:ascii="宋体" w:hAnsi="宋体"/>
          <w:color w:val="auto"/>
          <w:sz w:val="24"/>
          <w:highlight w:val="none"/>
        </w:rPr>
        <w:t>签章                               签章</w:t>
      </w:r>
    </w:p>
    <w:p w14:paraId="2004DDEA">
      <w:pPr>
        <w:snapToGrid w:val="0"/>
        <w:spacing w:line="440" w:lineRule="exact"/>
        <w:rPr>
          <w:rFonts w:hint="eastAsia" w:ascii="宋体" w:hAnsi="宋体"/>
          <w:color w:val="auto"/>
          <w:sz w:val="24"/>
          <w:highlight w:val="none"/>
        </w:rPr>
      </w:pPr>
      <w:r>
        <w:rPr>
          <w:rFonts w:hint="eastAsia" w:ascii="宋体" w:hAnsi="宋体"/>
          <w:color w:val="auto"/>
          <w:sz w:val="24"/>
          <w:highlight w:val="none"/>
        </w:rPr>
        <w:t>日期                               日期</w:t>
      </w:r>
    </w:p>
    <w:p w14:paraId="66AD6EB6">
      <w:pPr>
        <w:pStyle w:val="52"/>
        <w:ind w:firstLine="480"/>
        <w:rPr>
          <w:rFonts w:hint="eastAsia" w:ascii="宋体" w:hAnsi="宋体"/>
          <w:color w:val="auto"/>
          <w:highlight w:val="none"/>
        </w:rPr>
      </w:pPr>
    </w:p>
    <w:p w14:paraId="6BDF0757">
      <w:pPr>
        <w:spacing w:line="440" w:lineRule="exact"/>
        <w:rPr>
          <w:rFonts w:hint="eastAsia" w:ascii="宋体" w:hAnsi="宋体"/>
          <w:b/>
          <w:color w:val="auto"/>
          <w:sz w:val="24"/>
          <w:highlight w:val="none"/>
        </w:rPr>
      </w:pPr>
      <w:r>
        <w:rPr>
          <w:rFonts w:hint="eastAsia" w:ascii="宋体" w:hAnsi="宋体"/>
          <w:color w:val="auto"/>
          <w:sz w:val="24"/>
          <w:highlight w:val="none"/>
        </w:rPr>
        <w:t>附件3</w:t>
      </w:r>
    </w:p>
    <w:p w14:paraId="580C81A8">
      <w:pPr>
        <w:snapToGrid w:val="0"/>
        <w:spacing w:line="440" w:lineRule="exact"/>
        <w:jc w:val="center"/>
        <w:rPr>
          <w:rFonts w:hint="eastAsia" w:ascii="宋体" w:hAnsi="宋体"/>
          <w:b/>
          <w:color w:val="auto"/>
          <w:sz w:val="24"/>
          <w:highlight w:val="none"/>
        </w:rPr>
      </w:pPr>
      <w:r>
        <w:rPr>
          <w:rFonts w:hint="eastAsia" w:ascii="宋体" w:hAnsi="宋体"/>
          <w:b/>
          <w:color w:val="auto"/>
          <w:sz w:val="24"/>
          <w:highlight w:val="none"/>
        </w:rPr>
        <w:t>二次供水成套设备定点供应商库内管理细则</w:t>
      </w:r>
    </w:p>
    <w:p w14:paraId="4BF008E6">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1 总则</w:t>
      </w:r>
    </w:p>
    <w:p w14:paraId="00C6C93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 </w:t>
      </w:r>
      <w:r>
        <w:rPr>
          <w:rFonts w:ascii="宋体" w:hAnsi="宋体"/>
          <w:color w:val="auto"/>
          <w:szCs w:val="21"/>
          <w:highlight w:val="none"/>
        </w:rPr>
        <w:t>为</w:t>
      </w:r>
      <w:r>
        <w:rPr>
          <w:rFonts w:hint="eastAsia" w:ascii="宋体" w:hAnsi="宋体"/>
          <w:color w:val="auto"/>
          <w:szCs w:val="21"/>
          <w:highlight w:val="none"/>
        </w:rPr>
        <w:t>了建立公正、公平、规范、透明的竞争环境，维护广大用户的利益，</w:t>
      </w:r>
      <w:r>
        <w:rPr>
          <w:rFonts w:hint="eastAsia" w:ascii="宋体" w:hAnsi="宋体" w:cs="仿宋_GB2312"/>
          <w:color w:val="auto"/>
          <w:szCs w:val="21"/>
          <w:highlight w:val="none"/>
        </w:rPr>
        <w:t>加强二次供水设备供应商管理，促进供应商提高产品及服务质量，鼓励优秀供应商、淘汰不合格供应商，结合工作实际</w:t>
      </w:r>
      <w:r>
        <w:rPr>
          <w:rFonts w:hint="eastAsia" w:ascii="宋体" w:hAnsi="宋体"/>
          <w:color w:val="auto"/>
          <w:szCs w:val="21"/>
          <w:highlight w:val="none"/>
        </w:rPr>
        <w:t>，特制定本细则。</w:t>
      </w:r>
    </w:p>
    <w:p w14:paraId="7B6E5C38">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2 </w:t>
      </w:r>
      <w:r>
        <w:rPr>
          <w:rFonts w:ascii="宋体" w:hAnsi="宋体"/>
          <w:b/>
          <w:color w:val="auto"/>
          <w:szCs w:val="21"/>
          <w:highlight w:val="none"/>
        </w:rPr>
        <w:t>适用范围</w:t>
      </w:r>
    </w:p>
    <w:p w14:paraId="5C0E0AE7">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 本办法</w:t>
      </w:r>
      <w:r>
        <w:rPr>
          <w:rFonts w:ascii="宋体" w:hAnsi="宋体"/>
          <w:color w:val="auto"/>
          <w:szCs w:val="21"/>
          <w:highlight w:val="none"/>
        </w:rPr>
        <w:t>适用于</w:t>
      </w:r>
      <w:r>
        <w:rPr>
          <w:rFonts w:hint="eastAsia" w:ascii="宋体" w:hAnsi="宋体"/>
          <w:color w:val="auto"/>
          <w:szCs w:val="21"/>
          <w:highlight w:val="none"/>
        </w:rPr>
        <w:t>滁州市二次供水成套设备定点</w:t>
      </w:r>
      <w:r>
        <w:rPr>
          <w:rFonts w:ascii="宋体" w:hAnsi="宋体"/>
          <w:color w:val="auto"/>
          <w:szCs w:val="21"/>
          <w:highlight w:val="none"/>
        </w:rPr>
        <w:t>供应商管理</w:t>
      </w:r>
      <w:r>
        <w:rPr>
          <w:rFonts w:hint="eastAsia" w:ascii="宋体" w:hAnsi="宋体"/>
          <w:color w:val="auto"/>
          <w:szCs w:val="21"/>
          <w:highlight w:val="none"/>
        </w:rPr>
        <w:t>。</w:t>
      </w:r>
    </w:p>
    <w:p w14:paraId="05301B60">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3定点供应商的选择</w:t>
      </w:r>
    </w:p>
    <w:p w14:paraId="7E9DA075">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3.1选择方式：通过滁州市公共资源交易中心公开招标方式选择定点供应商；</w:t>
      </w:r>
    </w:p>
    <w:p w14:paraId="54BAEB7E">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3.2 所供材料和设备质量技术标准为国家有关技术规范及标准。</w:t>
      </w:r>
    </w:p>
    <w:p w14:paraId="454BE109">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3.3二次供水设备选择3-5家合格供方，合格供方有效期为滁州市自来水有限公司合格供应商框架协议（合同）签订之日起2年。</w:t>
      </w:r>
    </w:p>
    <w:p w14:paraId="3087BF81">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4名单公开</w:t>
      </w:r>
    </w:p>
    <w:p w14:paraId="77EB1811">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 合格供方中标单位名单由滁州市公共资源交易中心在招投标网上进行公开公示</w:t>
      </w:r>
    </w:p>
    <w:p w14:paraId="59066DCC">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5 定点供应商的</w:t>
      </w:r>
      <w:r>
        <w:rPr>
          <w:rFonts w:ascii="宋体" w:hAnsi="宋体"/>
          <w:b/>
          <w:color w:val="auto"/>
          <w:szCs w:val="21"/>
          <w:highlight w:val="none"/>
        </w:rPr>
        <w:t>管理</w:t>
      </w:r>
    </w:p>
    <w:p w14:paraId="5D2020BB">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 定点期限内的管理</w:t>
      </w:r>
    </w:p>
    <w:p w14:paraId="0A63A56B">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5.1.1质量控制</w:t>
      </w:r>
    </w:p>
    <w:p w14:paraId="2B9661F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5.1.1.1在定点期内，由滁州市自来水有限公司负责对供应商设备备案、质量监管，以及后期维修服务监督，并按《二次供水设备供应商综合评价管理办法》进行考核评价。定点供应商在进行设备品牌备案时，所供成套设备要严格按照定点供应商招标文件和投标文件要求，并结合具体项目设计图纸，向自来水公司提交成套设备具体明细，涵盖主要内容有：成套水泵机组、控制柜系统、管路总程、无负压稳流或稳压器件等方面的参数、数量、型号、品牌名称。</w:t>
      </w:r>
    </w:p>
    <w:p w14:paraId="598FA90A">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5.1.1.2在定点期内，有修改或有新的标准生效，供应商应立即通知滁州市自来水有限公司，并提交遵守标准的建议书，明确新产品的各项技术指标及生产和供应计划，在得到自来水公司确认裁定函后，方可按有修改或新的标准执行。如果出现高于现行技术标准的新技术标准出现，供应商所供货物应优先满足最新技术标准要求（以自来水公司书面函为准）。所提供的所有产品是全新的、未使用过的，并在各个方面符合合同规定的质量、规格和性能，如因自身供应的产品与合同不符、产品出现质量问题或由产品质量问题而造成的一切损失及相关责任，均由供应商承担，并双倍补偿自来水公司损失。</w:t>
      </w:r>
    </w:p>
    <w:p w14:paraId="43EBC999">
      <w:pPr>
        <w:snapToGrid w:val="0"/>
        <w:spacing w:line="400" w:lineRule="exact"/>
        <w:ind w:firstLine="495" w:firstLineChars="236"/>
        <w:rPr>
          <w:rFonts w:hint="eastAsia" w:ascii="宋体" w:hAnsi="宋体"/>
          <w:color w:val="auto"/>
          <w:szCs w:val="21"/>
          <w:highlight w:val="none"/>
        </w:rPr>
      </w:pPr>
      <w:r>
        <w:rPr>
          <w:rFonts w:hint="eastAsia" w:ascii="宋体" w:hAnsi="宋体"/>
          <w:color w:val="auto"/>
          <w:szCs w:val="21"/>
          <w:highlight w:val="none"/>
        </w:rPr>
        <w:t>5.1.2 服务控制</w:t>
      </w:r>
    </w:p>
    <w:p w14:paraId="6EF2E08B">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定点期内，供应商需指定专人负责，明确姓名及联系方式（书面确认函）；如因其他原因需调整，需提前1个月书面告知滁州市自来水有限公司，调整后的负责人姓名及联系方式。中标供应商所投产品的品牌标示如有更换，需提前1个月书面告知滁州市自来水有限公司（需得到自来水有限公司许可），明确新旧标示的区别，新标示产品的生产日期及批次。</w:t>
      </w:r>
    </w:p>
    <w:p w14:paraId="324EBE0A">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5.1.3采购控制</w:t>
      </w:r>
    </w:p>
    <w:p w14:paraId="1E42CF73">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合同执行期间，原则上单项工程二次供水成套设备的采购，单项工程的投资人在滁州市自来水有限公司定点供应商目录内进行选择，自来水公司将优先推荐在二次供水设备合格供应商季度考核结果中排名靠前的定点供应商。</w:t>
      </w:r>
    </w:p>
    <w:p w14:paraId="042A7E1C">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5.1.4验收控制</w:t>
      </w:r>
    </w:p>
    <w:p w14:paraId="3570A755">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供应商产品质量、功能应符合定点供应商招标文件要求，功能测试可采用现场模拟试验，供应商要配合自来水公司相关部门调试、验收、以及资料归档等管理工作。</w:t>
      </w:r>
    </w:p>
    <w:p w14:paraId="6F052A59">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5.2 违约处罚</w:t>
      </w:r>
    </w:p>
    <w:p w14:paraId="6EF84F67">
      <w:pPr>
        <w:snapToGrid w:val="0"/>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5.2.1</w:t>
      </w:r>
      <w:r>
        <w:rPr>
          <w:rFonts w:hint="eastAsia" w:ascii="宋体" w:hAnsi="宋体"/>
          <w:b/>
          <w:color w:val="auto"/>
          <w:szCs w:val="21"/>
          <w:highlight w:val="none"/>
        </w:rPr>
        <w:t>预中标定点供应商按照自来水公司要求提供所投成套设备1套，并进行现场封样，送样检测（自来水公司指定</w:t>
      </w:r>
      <w:r>
        <w:rPr>
          <w:rFonts w:hint="eastAsia" w:ascii="宋体" w:hAnsi="宋体"/>
          <w:b/>
          <w:color w:val="auto"/>
          <w:spacing w:val="8"/>
          <w:szCs w:val="21"/>
          <w:highlight w:val="none"/>
        </w:rPr>
        <w:t>具有相应检测能力和资质认定的省级或以上第三方监督检测机构进行检测。）</w:t>
      </w:r>
      <w:r>
        <w:rPr>
          <w:rFonts w:hint="eastAsia" w:ascii="宋体" w:hAnsi="宋体"/>
          <w:b/>
          <w:color w:val="auto"/>
          <w:szCs w:val="21"/>
          <w:highlight w:val="none"/>
        </w:rPr>
        <w:t>检测指标需符合招标文件要求和投标文件承诺，</w:t>
      </w:r>
      <w:r>
        <w:rPr>
          <w:rFonts w:hint="eastAsia" w:ascii="宋体" w:hAnsi="宋体" w:cs="宋体"/>
          <w:b/>
          <w:color w:val="auto"/>
          <w:szCs w:val="21"/>
          <w:highlight w:val="none"/>
        </w:rPr>
        <w:t>投标人承担检测费用；若不符合相关要求，自来水公司将上报</w:t>
      </w:r>
      <w:r>
        <w:rPr>
          <w:rFonts w:hint="eastAsia" w:ascii="宋体" w:hAnsi="宋体"/>
          <w:b/>
          <w:bCs/>
          <w:color w:val="auto"/>
          <w:szCs w:val="21"/>
          <w:highlight w:val="none"/>
        </w:rPr>
        <w:t>滁州市公共资源交易监督管理局</w:t>
      </w:r>
      <w:r>
        <w:rPr>
          <w:rFonts w:hint="eastAsia" w:ascii="宋体" w:hAnsi="宋体" w:cs="宋体"/>
          <w:b/>
          <w:color w:val="auto"/>
          <w:szCs w:val="21"/>
          <w:highlight w:val="none"/>
        </w:rPr>
        <w:t>按相关规定处理。</w:t>
      </w:r>
    </w:p>
    <w:p w14:paraId="7E01A471">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5.2.2在履约期内，自来水公司</w:t>
      </w:r>
      <w:r>
        <w:rPr>
          <w:rFonts w:ascii="宋体" w:hAnsi="宋体"/>
          <w:b/>
          <w:color w:val="auto"/>
          <w:szCs w:val="21"/>
          <w:highlight w:val="none"/>
        </w:rPr>
        <w:t>有权</w:t>
      </w:r>
      <w:r>
        <w:rPr>
          <w:rFonts w:hint="eastAsia" w:ascii="宋体" w:hAnsi="宋体"/>
          <w:b/>
          <w:color w:val="auto"/>
          <w:szCs w:val="21"/>
          <w:highlight w:val="none"/>
        </w:rPr>
        <w:t>对定点供应商供应的产品</w:t>
      </w:r>
      <w:r>
        <w:rPr>
          <w:rFonts w:ascii="宋体" w:hAnsi="宋体"/>
          <w:b/>
          <w:color w:val="auto"/>
          <w:szCs w:val="21"/>
          <w:highlight w:val="none"/>
        </w:rPr>
        <w:t>进行随机抽检</w:t>
      </w:r>
      <w:r>
        <w:rPr>
          <w:rFonts w:hint="eastAsia" w:ascii="宋体" w:hAnsi="宋体"/>
          <w:b/>
          <w:color w:val="auto"/>
          <w:szCs w:val="21"/>
          <w:highlight w:val="none"/>
        </w:rPr>
        <w:t>。如抽检不合格的，供应商应承担检测费用，且自来水公司将对定点供应商处以5万元罚款，停止其备案3个月；</w:t>
      </w:r>
      <w:r>
        <w:rPr>
          <w:rFonts w:hint="eastAsia" w:ascii="宋体" w:hAnsi="宋体" w:cs="宋体"/>
          <w:b/>
          <w:color w:val="auto"/>
          <w:szCs w:val="21"/>
          <w:highlight w:val="none"/>
        </w:rPr>
        <w:t>同时，供应商需及时将不合格品予以整改更换，并承担由此产生的一切费用，待复检合格后才有资格参加正常供货；在此之前验收合格的泵房质保期在原有基础上延长2年。</w:t>
      </w:r>
    </w:p>
    <w:p w14:paraId="2C58EB47">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5.2.3定点期内，定点供应商应严格按照招标文件规定、投标文件承诺向自来水公司备案明细清单表，并且按清单进行供货；供应商未按照上述要求进行清单审核备案以及供货的，经自来水公司查处确认，每出现一次，扣罚履约保证金5万元，一年内累计达二次的，自来水公司对定点供应商处以停止备案3个月的处罚，并向社会公布且报滁州市公共资源交易中心备案；累计达三次的，自来水公司将直接取消其供方资格，没收履约保证金；同时将违约情况上报</w:t>
      </w:r>
      <w:r>
        <w:rPr>
          <w:rFonts w:hint="eastAsia" w:ascii="宋体" w:hAnsi="宋体"/>
          <w:bCs/>
          <w:color w:val="auto"/>
          <w:szCs w:val="21"/>
          <w:highlight w:val="none"/>
        </w:rPr>
        <w:t>滁州市公共资源交易监督管理局</w:t>
      </w:r>
      <w:r>
        <w:rPr>
          <w:rFonts w:hint="eastAsia" w:ascii="宋体" w:hAnsi="宋体"/>
          <w:color w:val="auto"/>
          <w:szCs w:val="21"/>
          <w:highlight w:val="none"/>
        </w:rPr>
        <w:t>查处。</w:t>
      </w:r>
    </w:p>
    <w:p w14:paraId="262C6C51">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5.2.4定点期内，定点供应商与项目投资人（以下简称业主单位）签署采购合同，并按采购合同约定执行。</w:t>
      </w:r>
    </w:p>
    <w:p w14:paraId="117E2972">
      <w:pPr>
        <w:adjustRightInd w:val="0"/>
        <w:snapToGrid w:val="0"/>
        <w:spacing w:line="400" w:lineRule="exact"/>
        <w:ind w:right="-10" w:firstLine="367" w:firstLineChars="175"/>
        <w:rPr>
          <w:rFonts w:hint="eastAsia" w:ascii="宋体" w:hAnsi="宋体"/>
          <w:color w:val="auto"/>
          <w:szCs w:val="21"/>
          <w:highlight w:val="none"/>
        </w:rPr>
      </w:pPr>
      <w:r>
        <w:rPr>
          <w:rFonts w:hint="eastAsia" w:ascii="宋体" w:hAnsi="宋体"/>
          <w:color w:val="auto"/>
          <w:szCs w:val="21"/>
          <w:highlight w:val="none"/>
        </w:rPr>
        <w:t>5.2.5定点期内，定点供应商不服从自来水公司管理、不履行报验手续的，每出现一次，将扣罚中标单位履约保证金10万元，并对定点供应商处以停止备案3个月的处罚；累计达二次的，自来水公司将直接取消其供方资格，没收履约保证金，同时将违约情况上报</w:t>
      </w:r>
      <w:r>
        <w:rPr>
          <w:rFonts w:hint="eastAsia" w:ascii="宋体" w:hAnsi="宋体"/>
          <w:bCs/>
          <w:color w:val="auto"/>
          <w:szCs w:val="21"/>
          <w:highlight w:val="none"/>
        </w:rPr>
        <w:t>滁州市公共资源交易监督管理局</w:t>
      </w:r>
      <w:r>
        <w:rPr>
          <w:rFonts w:hint="eastAsia" w:ascii="宋体" w:hAnsi="宋体"/>
          <w:color w:val="auto"/>
          <w:szCs w:val="21"/>
          <w:highlight w:val="none"/>
        </w:rPr>
        <w:t>备案。</w:t>
      </w:r>
    </w:p>
    <w:p w14:paraId="5D874F30">
      <w:pPr>
        <w:adjustRightInd w:val="0"/>
        <w:snapToGrid w:val="0"/>
        <w:spacing w:line="400" w:lineRule="exact"/>
        <w:ind w:right="-10" w:firstLine="367" w:firstLineChars="175"/>
        <w:rPr>
          <w:rFonts w:hint="eastAsia" w:ascii="宋体" w:hAnsi="宋体"/>
          <w:color w:val="auto"/>
          <w:szCs w:val="21"/>
          <w:highlight w:val="none"/>
        </w:rPr>
      </w:pPr>
      <w:r>
        <w:rPr>
          <w:rFonts w:hint="eastAsia" w:ascii="宋体" w:hAnsi="宋体"/>
          <w:color w:val="auto"/>
          <w:szCs w:val="21"/>
          <w:highlight w:val="none"/>
        </w:rPr>
        <w:t>5.2.6定点期以及质保期内（质保期指的是：供应商在定点期内，以签订《二次供水设施维护管理协议》生效之日起，延至供应商投标的质保期承诺时间），供应商的考评参照《二次供水设备供应商综合评价管理办法》执行。</w:t>
      </w:r>
    </w:p>
    <w:p w14:paraId="0D114C64">
      <w:pPr>
        <w:adjustRightInd w:val="0"/>
        <w:snapToGrid w:val="0"/>
        <w:spacing w:line="400" w:lineRule="exact"/>
        <w:ind w:right="-10" w:firstLine="420" w:firstLineChars="200"/>
        <w:rPr>
          <w:rFonts w:hint="eastAsia" w:ascii="宋体" w:hAnsi="宋体"/>
          <w:color w:val="auto"/>
          <w:highlight w:val="none"/>
        </w:rPr>
      </w:pPr>
      <w:r>
        <w:rPr>
          <w:rFonts w:hint="eastAsia" w:ascii="宋体" w:hAnsi="宋体"/>
          <w:color w:val="auto"/>
          <w:szCs w:val="21"/>
          <w:highlight w:val="none"/>
        </w:rPr>
        <w:t>5.2.7定点期内，如发现定点供应商有不符合招标文件规定、弄虚作假、不具备资质或供应能力的行为，自来水公司有权取消其供方资格，并上报</w:t>
      </w:r>
      <w:r>
        <w:rPr>
          <w:rFonts w:hint="eastAsia" w:ascii="宋体" w:hAnsi="宋体"/>
          <w:bCs/>
          <w:color w:val="auto"/>
          <w:szCs w:val="21"/>
          <w:highlight w:val="none"/>
        </w:rPr>
        <w:t>滁州市公共资源交易监督管理局</w:t>
      </w:r>
    </w:p>
    <w:p w14:paraId="51AF5010">
      <w:pPr>
        <w:spacing w:line="440" w:lineRule="exact"/>
        <w:rPr>
          <w:rFonts w:hint="eastAsia" w:ascii="宋体" w:hAnsi="宋体"/>
          <w:color w:val="auto"/>
          <w:sz w:val="24"/>
          <w:highlight w:val="none"/>
        </w:rPr>
      </w:pPr>
      <w:r>
        <w:rPr>
          <w:rFonts w:hint="eastAsia" w:ascii="宋体" w:hAnsi="宋体"/>
          <w:color w:val="auto"/>
          <w:sz w:val="24"/>
          <w:highlight w:val="none"/>
        </w:rPr>
        <w:t>附件4</w:t>
      </w:r>
    </w:p>
    <w:p w14:paraId="071BBE20">
      <w:pPr>
        <w:spacing w:line="440" w:lineRule="exact"/>
        <w:jc w:val="center"/>
        <w:rPr>
          <w:rFonts w:hint="eastAsia" w:ascii="宋体" w:hAnsi="宋体"/>
          <w:b/>
          <w:color w:val="auto"/>
          <w:sz w:val="24"/>
          <w:highlight w:val="none"/>
        </w:rPr>
      </w:pPr>
      <w:r>
        <w:rPr>
          <w:rFonts w:hint="eastAsia" w:ascii="宋体" w:hAnsi="宋体"/>
          <w:b/>
          <w:color w:val="auto"/>
          <w:sz w:val="24"/>
          <w:highlight w:val="none"/>
        </w:rPr>
        <w:t>二次供水设备供应商综合评价管理办法</w:t>
      </w:r>
    </w:p>
    <w:p w14:paraId="39D75EFA">
      <w:pPr>
        <w:spacing w:before="156" w:beforeLines="50" w:after="156" w:afterLines="50" w:line="400" w:lineRule="exact"/>
        <w:rPr>
          <w:rFonts w:hint="eastAsia" w:ascii="宋体" w:hAnsi="宋体" w:cs="仿宋_GB2312"/>
          <w:b/>
          <w:color w:val="auto"/>
          <w:szCs w:val="21"/>
          <w:highlight w:val="none"/>
        </w:rPr>
      </w:pPr>
      <w:r>
        <w:rPr>
          <w:rFonts w:hint="eastAsia" w:ascii="宋体" w:hAnsi="宋体" w:cs="仿宋_GB2312"/>
          <w:b/>
          <w:color w:val="auto"/>
          <w:szCs w:val="21"/>
          <w:highlight w:val="none"/>
        </w:rPr>
        <w:t>1 目的</w:t>
      </w:r>
    </w:p>
    <w:p w14:paraId="02F517C5">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为加强二次供水设备供应商评价考核管理，促进供应商提高产品、服务质量，鼓励优秀供应商、淘汰不合格供应商，结合工作实际，特制定本办法。</w:t>
      </w:r>
    </w:p>
    <w:p w14:paraId="2658A0AB">
      <w:pPr>
        <w:spacing w:before="156" w:beforeLines="50" w:after="156" w:afterLines="50" w:line="400" w:lineRule="exact"/>
        <w:rPr>
          <w:rFonts w:hint="eastAsia" w:ascii="宋体" w:hAnsi="宋体" w:cs="仿宋_GB2312"/>
          <w:b/>
          <w:color w:val="auto"/>
          <w:szCs w:val="21"/>
          <w:highlight w:val="none"/>
        </w:rPr>
      </w:pPr>
      <w:r>
        <w:rPr>
          <w:rFonts w:hint="eastAsia" w:ascii="宋体" w:hAnsi="宋体" w:cs="仿宋_GB2312"/>
          <w:b/>
          <w:color w:val="auto"/>
          <w:szCs w:val="21"/>
          <w:highlight w:val="none"/>
        </w:rPr>
        <w:t>2  适用范围</w:t>
      </w:r>
    </w:p>
    <w:p w14:paraId="0043FF92">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2.1滁州市公共资源交易中心招标确认的二次供水设备合格供应商，设备在用的供应商。中标后未发生业务的，不参与评价。</w:t>
      </w:r>
    </w:p>
    <w:p w14:paraId="3C7EF401">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2.2 二次供水设备监管与服务质量的综合评价。</w:t>
      </w:r>
    </w:p>
    <w:p w14:paraId="0BE8B449">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2.3 评价结果将作为本轮品牌推荐及下一轮招标重要参考依据。</w:t>
      </w:r>
    </w:p>
    <w:p w14:paraId="488C7374">
      <w:pPr>
        <w:spacing w:before="156" w:beforeLines="50" w:after="156" w:afterLines="50" w:line="400" w:lineRule="exact"/>
        <w:rPr>
          <w:rFonts w:hint="eastAsia" w:ascii="宋体" w:hAnsi="宋体" w:cs="仿宋_GB2312"/>
          <w:b/>
          <w:color w:val="auto"/>
          <w:szCs w:val="21"/>
          <w:highlight w:val="none"/>
        </w:rPr>
      </w:pPr>
      <w:r>
        <w:rPr>
          <w:rFonts w:hint="eastAsia" w:ascii="宋体" w:hAnsi="宋体" w:cs="仿宋_GB2312"/>
          <w:b/>
          <w:color w:val="auto"/>
          <w:szCs w:val="21"/>
          <w:highlight w:val="none"/>
        </w:rPr>
        <w:t>3  基本原则</w:t>
      </w:r>
    </w:p>
    <w:p w14:paraId="6701D2A6">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3.1 公开、公平、公正；</w:t>
      </w:r>
    </w:p>
    <w:p w14:paraId="4311D9F4">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3.2 明确责任、相互监督。</w:t>
      </w:r>
    </w:p>
    <w:p w14:paraId="5F9DEFFC">
      <w:pPr>
        <w:spacing w:before="156" w:beforeLines="50" w:after="156" w:afterLines="50" w:line="400" w:lineRule="exact"/>
        <w:rPr>
          <w:rFonts w:hint="eastAsia" w:ascii="宋体" w:hAnsi="宋体" w:cs="仿宋_GB2312"/>
          <w:b/>
          <w:color w:val="auto"/>
          <w:szCs w:val="21"/>
          <w:highlight w:val="none"/>
        </w:rPr>
      </w:pPr>
      <w:r>
        <w:rPr>
          <w:rFonts w:hint="eastAsia" w:ascii="宋体" w:hAnsi="宋体" w:cs="仿宋_GB2312"/>
          <w:b/>
          <w:color w:val="auto"/>
          <w:szCs w:val="21"/>
          <w:highlight w:val="none"/>
        </w:rPr>
        <w:t>4  考核方式</w:t>
      </w:r>
    </w:p>
    <w:p w14:paraId="23319EE5">
      <w:pPr>
        <w:spacing w:line="400" w:lineRule="exact"/>
        <w:ind w:firstLine="422" w:firstLineChars="200"/>
        <w:rPr>
          <w:rFonts w:hint="eastAsia" w:ascii="宋体" w:hAnsi="宋体" w:cs="仿宋_GB2312"/>
          <w:b/>
          <w:color w:val="auto"/>
          <w:szCs w:val="21"/>
          <w:highlight w:val="none"/>
        </w:rPr>
      </w:pPr>
      <w:r>
        <w:rPr>
          <w:rFonts w:hint="eastAsia" w:ascii="宋体" w:hAnsi="宋体" w:cs="仿宋_GB2312"/>
          <w:b/>
          <w:color w:val="auto"/>
          <w:szCs w:val="21"/>
          <w:highlight w:val="none"/>
        </w:rPr>
        <w:t>4.1 标前、标中、标后监管</w:t>
      </w:r>
    </w:p>
    <w:p w14:paraId="64976516">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4.1.1 采购单位为标前、标中</w:t>
      </w:r>
      <w:r>
        <w:rPr>
          <w:rFonts w:hint="eastAsia" w:ascii="宋体" w:hAnsi="宋体" w:cs="仿宋_GB2312"/>
          <w:bCs/>
          <w:color w:val="auto"/>
          <w:szCs w:val="21"/>
          <w:highlight w:val="none"/>
        </w:rPr>
        <w:t>和履约过程</w:t>
      </w:r>
      <w:r>
        <w:rPr>
          <w:rFonts w:hint="eastAsia" w:ascii="宋体" w:hAnsi="宋体" w:cs="仿宋_GB2312"/>
          <w:color w:val="auto"/>
          <w:szCs w:val="21"/>
          <w:highlight w:val="none"/>
        </w:rPr>
        <w:t>监管责任单位。</w:t>
      </w:r>
    </w:p>
    <w:p w14:paraId="2BAD11E5">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4.1.2 采购单位依据本次招标文件规定的内容和要求，</w:t>
      </w:r>
      <w:r>
        <w:rPr>
          <w:rFonts w:hint="eastAsia" w:ascii="宋体" w:hAnsi="宋体" w:cs="仿宋_GB2312"/>
          <w:bCs/>
          <w:color w:val="auto"/>
          <w:szCs w:val="21"/>
          <w:highlight w:val="none"/>
        </w:rPr>
        <w:t>对供应商标前及中标后期间进行考核</w:t>
      </w:r>
      <w:r>
        <w:rPr>
          <w:rFonts w:hint="eastAsia" w:ascii="宋体" w:hAnsi="宋体" w:cs="仿宋_GB2312"/>
          <w:color w:val="auto"/>
          <w:szCs w:val="21"/>
          <w:highlight w:val="none"/>
        </w:rPr>
        <w:t>，结果纳入综合评价体系。</w:t>
      </w:r>
    </w:p>
    <w:p w14:paraId="665ED328">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4.1.3 一旦发现存在弄虚作假或与招标文件不符合的，采购单位将上报</w:t>
      </w:r>
      <w:r>
        <w:rPr>
          <w:rFonts w:hint="eastAsia" w:ascii="宋体" w:hAnsi="宋体"/>
          <w:bCs/>
          <w:color w:val="auto"/>
          <w:szCs w:val="21"/>
          <w:highlight w:val="none"/>
        </w:rPr>
        <w:t>滁州市公共资源交易监督管理局</w:t>
      </w:r>
      <w:r>
        <w:rPr>
          <w:rFonts w:hint="eastAsia" w:ascii="宋体" w:hAnsi="宋体" w:cs="仿宋_GB2312"/>
          <w:color w:val="auto"/>
          <w:szCs w:val="21"/>
          <w:highlight w:val="none"/>
        </w:rPr>
        <w:t>按照相关规定给予处理。</w:t>
      </w:r>
    </w:p>
    <w:p w14:paraId="7BBF97D6">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4.1.4 供应商应按照招标文件及合同要求，配合做好设备抽检、送检、现场考察等工作。</w:t>
      </w:r>
    </w:p>
    <w:p w14:paraId="7F03E646">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4.1.5 采购单位负责对二次供水设备供货及时性、施工配合程度等满意度进行评价，填写《客户满意度评价表》，在申请试压冲洗时，提交供水工程质量监督站备案、汇总、分析，纳入考核评价体系。</w:t>
      </w:r>
    </w:p>
    <w:p w14:paraId="47814FFF">
      <w:pPr>
        <w:spacing w:line="400" w:lineRule="exact"/>
        <w:rPr>
          <w:rFonts w:hint="eastAsia" w:ascii="宋体" w:hAnsi="宋体" w:cs="仿宋_GB2312"/>
          <w:color w:val="auto"/>
          <w:szCs w:val="21"/>
          <w:highlight w:val="none"/>
        </w:rPr>
      </w:pPr>
      <w:r>
        <w:rPr>
          <w:rFonts w:hint="eastAsia" w:ascii="宋体" w:hAnsi="宋体" w:cs="仿宋_GB2312"/>
          <w:color w:val="auto"/>
          <w:szCs w:val="21"/>
          <w:highlight w:val="none"/>
        </w:rPr>
        <w:t xml:space="preserve"> 4.1.6 二次供水管理中心执行招标文件中《二次供水成套设备定点供应商库内管理细则》内容和要求，依据《二次供水设备供应商指标考评细则》对供应商服务质量进行考核评价。</w:t>
      </w:r>
    </w:p>
    <w:p w14:paraId="04DAE1C8">
      <w:pPr>
        <w:spacing w:line="400" w:lineRule="exact"/>
        <w:rPr>
          <w:rFonts w:hint="eastAsia" w:ascii="宋体" w:hAnsi="宋体" w:cs="仿宋_GB2312"/>
          <w:color w:val="auto"/>
          <w:szCs w:val="21"/>
          <w:highlight w:val="none"/>
        </w:rPr>
      </w:pPr>
      <w:r>
        <w:rPr>
          <w:rFonts w:hint="eastAsia" w:ascii="宋体" w:hAnsi="宋体" w:cs="仿宋_GB2312"/>
          <w:color w:val="auto"/>
          <w:szCs w:val="21"/>
          <w:highlight w:val="none"/>
        </w:rPr>
        <w:t>4.1.7</w:t>
      </w:r>
      <w:r>
        <w:rPr>
          <w:rFonts w:hint="eastAsia" w:ascii="宋体" w:hAnsi="宋体" w:cs="仿宋_GB2312"/>
          <w:bCs/>
          <w:color w:val="auto"/>
          <w:szCs w:val="21"/>
          <w:highlight w:val="none"/>
        </w:rPr>
        <w:t>二次供水管理中心</w:t>
      </w:r>
      <w:r>
        <w:rPr>
          <w:rFonts w:hint="eastAsia" w:ascii="宋体" w:hAnsi="宋体" w:cs="仿宋_GB2312"/>
          <w:color w:val="auto"/>
          <w:szCs w:val="21"/>
          <w:highlight w:val="none"/>
        </w:rPr>
        <w:t>负责对设备运行过程中维修及时性、售后服务可持续性、技术指导</w:t>
      </w:r>
      <w:r>
        <w:rPr>
          <w:rFonts w:hint="eastAsia" w:ascii="宋体" w:hAnsi="宋体" w:cs="仿宋_GB2312"/>
          <w:bCs/>
          <w:color w:val="auto"/>
          <w:szCs w:val="21"/>
          <w:highlight w:val="none"/>
        </w:rPr>
        <w:t>及设备稳定性</w:t>
      </w:r>
      <w:r>
        <w:rPr>
          <w:rFonts w:hint="eastAsia" w:ascii="宋体" w:hAnsi="宋体" w:cs="仿宋_GB2312"/>
          <w:color w:val="auto"/>
          <w:szCs w:val="21"/>
          <w:highlight w:val="none"/>
        </w:rPr>
        <w:t>等</w:t>
      </w:r>
      <w:r>
        <w:rPr>
          <w:rFonts w:hint="eastAsia" w:ascii="宋体" w:hAnsi="宋体" w:cs="仿宋_GB2312"/>
          <w:bCs/>
          <w:color w:val="auto"/>
          <w:szCs w:val="21"/>
          <w:highlight w:val="none"/>
        </w:rPr>
        <w:t>进行</w:t>
      </w:r>
      <w:r>
        <w:rPr>
          <w:rFonts w:hint="eastAsia" w:ascii="宋体" w:hAnsi="宋体" w:cs="仿宋_GB2312"/>
          <w:color w:val="auto"/>
          <w:szCs w:val="21"/>
          <w:highlight w:val="none"/>
        </w:rPr>
        <w:t>考核评价。</w:t>
      </w:r>
    </w:p>
    <w:p w14:paraId="1EFF0552">
      <w:pPr>
        <w:spacing w:before="156" w:beforeLines="50" w:after="156" w:afterLines="50" w:line="400" w:lineRule="exact"/>
        <w:rPr>
          <w:rFonts w:hint="eastAsia" w:ascii="宋体" w:hAnsi="宋体" w:cs="仿宋_GB2312"/>
          <w:b/>
          <w:bCs/>
          <w:color w:val="auto"/>
          <w:szCs w:val="21"/>
          <w:highlight w:val="none"/>
        </w:rPr>
      </w:pPr>
      <w:r>
        <w:rPr>
          <w:rFonts w:hint="eastAsia" w:ascii="宋体" w:hAnsi="宋体" w:cs="仿宋_GB2312"/>
          <w:b/>
          <w:color w:val="auto"/>
          <w:szCs w:val="21"/>
          <w:highlight w:val="none"/>
        </w:rPr>
        <w:t>5 考核管理</w:t>
      </w:r>
    </w:p>
    <w:p w14:paraId="45B038E5">
      <w:pPr>
        <w:spacing w:line="400" w:lineRule="exact"/>
        <w:ind w:firstLine="422" w:firstLineChars="200"/>
        <w:rPr>
          <w:rFonts w:hint="eastAsia" w:ascii="宋体" w:hAnsi="宋体" w:cs="仿宋_GB2312"/>
          <w:b/>
          <w:bCs/>
          <w:color w:val="auto"/>
          <w:szCs w:val="21"/>
          <w:highlight w:val="none"/>
        </w:rPr>
      </w:pPr>
      <w:r>
        <w:rPr>
          <w:rFonts w:hint="eastAsia" w:ascii="宋体" w:hAnsi="宋体" w:cs="仿宋_GB2312"/>
          <w:b/>
          <w:bCs/>
          <w:color w:val="auto"/>
          <w:szCs w:val="21"/>
          <w:highlight w:val="none"/>
        </w:rPr>
        <w:t>5.1 定期考核</w:t>
      </w:r>
    </w:p>
    <w:p w14:paraId="64BE9F2B">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5.1.1 考核时间：根据实际需要确定考核周期。</w:t>
      </w:r>
    </w:p>
    <w:p w14:paraId="0A95BC4C">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5.1.2 组织部门：二次供水管理中心</w:t>
      </w:r>
    </w:p>
    <w:p w14:paraId="491CCD1C">
      <w:pPr>
        <w:spacing w:line="400" w:lineRule="exact"/>
        <w:ind w:firstLine="420" w:firstLineChars="200"/>
        <w:rPr>
          <w:rFonts w:hint="eastAsia" w:ascii="宋体" w:hAnsi="宋体" w:cs="仿宋_GB2312"/>
          <w:b/>
          <w:color w:val="auto"/>
          <w:szCs w:val="21"/>
          <w:highlight w:val="none"/>
        </w:rPr>
      </w:pPr>
      <w:r>
        <w:rPr>
          <w:rFonts w:hint="eastAsia" w:ascii="宋体" w:hAnsi="宋体" w:cs="仿宋_GB2312"/>
          <w:color w:val="auto"/>
          <w:szCs w:val="21"/>
          <w:highlight w:val="none"/>
        </w:rPr>
        <w:t>5.1.3 参加部门：二次供水管理中心及相关单位。</w:t>
      </w:r>
    </w:p>
    <w:p w14:paraId="3E4A0831">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5.1.4 各考核责任单位按照《二次供水设备供应商指标考评细则》进行考核，分别填写供应商《设备安装质量监督管理指标考评表》、《服务质量指标考评表》。</w:t>
      </w:r>
    </w:p>
    <w:p w14:paraId="0D3E03AC">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5.1.5 二次供水管理中心将考核结果反馈至合格供应商，对结果有异议的，供应商在3个工作日内向采购单位提出申请，由采购单位组织复议。</w:t>
      </w:r>
    </w:p>
    <w:p w14:paraId="37763996">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 xml:space="preserve"> 5.1.6 二次供水管理中心汇总考核得分，确定</w:t>
      </w:r>
      <w:r>
        <w:rPr>
          <w:rFonts w:hint="eastAsia" w:ascii="宋体" w:hAnsi="宋体" w:cs="仿宋_GB2312"/>
          <w:bCs/>
          <w:color w:val="auto"/>
          <w:szCs w:val="21"/>
          <w:highlight w:val="none"/>
        </w:rPr>
        <w:t>考核等级</w:t>
      </w:r>
      <w:r>
        <w:rPr>
          <w:rFonts w:hint="eastAsia" w:ascii="宋体" w:hAnsi="宋体" w:cs="仿宋_GB2312"/>
          <w:color w:val="auto"/>
          <w:szCs w:val="21"/>
          <w:highlight w:val="none"/>
        </w:rPr>
        <w:t>并及时反馈。</w:t>
      </w:r>
    </w:p>
    <w:p w14:paraId="4600383F">
      <w:pPr>
        <w:spacing w:line="400" w:lineRule="exact"/>
        <w:ind w:firstLine="422" w:firstLineChars="200"/>
        <w:rPr>
          <w:rFonts w:hint="eastAsia" w:ascii="宋体" w:hAnsi="宋体" w:cs="仿宋_GB2312"/>
          <w:b/>
          <w:bCs/>
          <w:color w:val="auto"/>
          <w:szCs w:val="21"/>
          <w:highlight w:val="none"/>
        </w:rPr>
      </w:pPr>
      <w:r>
        <w:rPr>
          <w:rFonts w:hint="eastAsia" w:ascii="宋体" w:hAnsi="宋体" w:cs="仿宋_GB2312"/>
          <w:b/>
          <w:bCs/>
          <w:color w:val="auto"/>
          <w:szCs w:val="21"/>
          <w:highlight w:val="none"/>
        </w:rPr>
        <w:t>5.2考核依据</w:t>
      </w:r>
    </w:p>
    <w:p w14:paraId="0E810B8F">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5.2.1 二次供水管理中心提供合格供应商泵房设备的维修记录表。</w:t>
      </w:r>
    </w:p>
    <w:p w14:paraId="3ADEC91C">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5.2.2 维修记录清单包括维修单位、维修时间、维修地点、维修项目、维修费用等。</w:t>
      </w:r>
    </w:p>
    <w:p w14:paraId="36C8774C">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5.2.3 泵房设备维修记录要求及时、准确、公平、公正。</w:t>
      </w:r>
    </w:p>
    <w:p w14:paraId="5C7EDD40">
      <w:pPr>
        <w:spacing w:before="156" w:beforeLines="50" w:after="156" w:afterLines="50" w:line="400" w:lineRule="exact"/>
        <w:rPr>
          <w:rFonts w:hint="eastAsia" w:ascii="宋体" w:hAnsi="宋体" w:cs="仿宋_GB2312"/>
          <w:b/>
          <w:color w:val="auto"/>
          <w:szCs w:val="21"/>
          <w:highlight w:val="none"/>
        </w:rPr>
      </w:pPr>
      <w:r>
        <w:rPr>
          <w:rFonts w:hint="eastAsia" w:ascii="宋体" w:hAnsi="宋体" w:cs="仿宋_GB2312"/>
          <w:b/>
          <w:color w:val="auto"/>
          <w:szCs w:val="21"/>
          <w:highlight w:val="none"/>
        </w:rPr>
        <w:t>6  结果运用</w:t>
      </w:r>
    </w:p>
    <w:p w14:paraId="43B36B4E">
      <w:pPr>
        <w:spacing w:line="400" w:lineRule="exact"/>
        <w:ind w:firstLine="422" w:firstLineChars="200"/>
        <w:rPr>
          <w:rFonts w:hint="eastAsia" w:ascii="宋体" w:hAnsi="宋体" w:cs="仿宋_GB2312"/>
          <w:b/>
          <w:bCs/>
          <w:color w:val="auto"/>
          <w:szCs w:val="21"/>
          <w:highlight w:val="none"/>
        </w:rPr>
      </w:pPr>
      <w:r>
        <w:rPr>
          <w:rFonts w:hint="eastAsia" w:ascii="宋体" w:hAnsi="宋体" w:cs="仿宋_GB2312"/>
          <w:b/>
          <w:bCs/>
          <w:color w:val="auto"/>
          <w:szCs w:val="21"/>
          <w:highlight w:val="none"/>
        </w:rPr>
        <w:t>6.1考核结果运用</w:t>
      </w:r>
    </w:p>
    <w:p w14:paraId="7DA0AB62">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6.1.1凡有1次考核不合格的，自来水公司对供应商予以约谈，限期整改。</w:t>
      </w:r>
    </w:p>
    <w:p w14:paraId="7ECC3B81">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6.1.2 凡有2次考核不合格的，停止备案3个月直至整改完毕。</w:t>
      </w:r>
    </w:p>
    <w:p w14:paraId="071B6CCE">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6.1.3 凡有以下情形之一的，经自来水公司批准后，上报滁州市公共资源交易中心取消合格供应商资格，直接纳入黑名单：</w:t>
      </w:r>
    </w:p>
    <w:p w14:paraId="17601D60">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6.1.3.1 考核三次不合格的。</w:t>
      </w:r>
    </w:p>
    <w:p w14:paraId="7E9FFDB6">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6.1.3.2 质保期内，拒绝对故障设备提供售后服务的（不可抗力除外）。</w:t>
      </w:r>
    </w:p>
    <w:p w14:paraId="58EC713A">
      <w:pPr>
        <w:spacing w:before="156" w:beforeLines="50" w:after="156" w:afterLines="50" w:line="400" w:lineRule="exact"/>
        <w:rPr>
          <w:rFonts w:hint="eastAsia" w:ascii="宋体" w:hAnsi="宋体" w:cs="仿宋_GB2312"/>
          <w:b/>
          <w:color w:val="auto"/>
          <w:szCs w:val="21"/>
          <w:highlight w:val="none"/>
        </w:rPr>
      </w:pPr>
      <w:r>
        <w:rPr>
          <w:rFonts w:hint="eastAsia" w:ascii="宋体" w:hAnsi="宋体" w:cs="仿宋_GB2312"/>
          <w:b/>
          <w:color w:val="auto"/>
          <w:szCs w:val="21"/>
          <w:highlight w:val="none"/>
        </w:rPr>
        <w:t>7  评价监督</w:t>
      </w:r>
    </w:p>
    <w:p w14:paraId="1A9F31A7">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7.1 按照“谁考核、谁负责”原则，各考核责任单位对考核结果负责，保证考核结果客观公正。</w:t>
      </w:r>
    </w:p>
    <w:p w14:paraId="0248B57A">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7.2 考核责任单位在考核过程中，存在瞒报、漏报、弄虚作假的，经调查属实，按照“正着来、倒着查”原则，追究责任。</w:t>
      </w:r>
    </w:p>
    <w:p w14:paraId="64358BD5">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7.3 二次供水设备供应商综合评价工作严格落实党风廉政建设各项要求，对存在违规、违纪行为的，由监察室调查处理。</w:t>
      </w:r>
    </w:p>
    <w:p w14:paraId="4067488A">
      <w:pPr>
        <w:spacing w:before="156" w:beforeLines="50" w:after="156" w:afterLines="50" w:line="400" w:lineRule="exact"/>
        <w:rPr>
          <w:rFonts w:hint="eastAsia" w:ascii="宋体" w:hAnsi="宋体" w:cs="仿宋_GB2312"/>
          <w:b/>
          <w:color w:val="auto"/>
          <w:szCs w:val="21"/>
          <w:highlight w:val="none"/>
        </w:rPr>
      </w:pPr>
      <w:r>
        <w:rPr>
          <w:rFonts w:hint="eastAsia" w:ascii="宋体" w:hAnsi="宋体" w:cs="仿宋_GB2312"/>
          <w:b/>
          <w:color w:val="auto"/>
          <w:szCs w:val="21"/>
          <w:highlight w:val="none"/>
        </w:rPr>
        <w:t>8  附录</w:t>
      </w:r>
    </w:p>
    <w:p w14:paraId="03BB67E8">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8.1本办法自2019年8月1日起试行；</w:t>
      </w:r>
    </w:p>
    <w:p w14:paraId="22918CC6">
      <w:pPr>
        <w:spacing w:line="40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8.2 本办法最终解释权归滁州市自来水有限公司。</w:t>
      </w:r>
    </w:p>
    <w:p w14:paraId="1680305C">
      <w:pPr>
        <w:spacing w:line="440" w:lineRule="exact"/>
        <w:rPr>
          <w:rFonts w:hint="eastAsia" w:ascii="宋体" w:hAnsi="宋体"/>
          <w:color w:val="auto"/>
          <w:sz w:val="24"/>
          <w:highlight w:val="none"/>
        </w:rPr>
      </w:pPr>
    </w:p>
    <w:p w14:paraId="6374925E">
      <w:pPr>
        <w:spacing w:before="156" w:beforeLines="50" w:after="156" w:afterLines="50" w:line="440" w:lineRule="exact"/>
        <w:rPr>
          <w:rFonts w:hint="eastAsia" w:ascii="宋体" w:hAnsi="宋体"/>
          <w:b/>
          <w:color w:val="auto"/>
          <w:sz w:val="24"/>
          <w:highlight w:val="none"/>
        </w:rPr>
      </w:pPr>
    </w:p>
    <w:p w14:paraId="1E679F90">
      <w:pPr>
        <w:spacing w:before="156" w:beforeLines="50" w:after="156" w:afterLines="50" w:line="440" w:lineRule="exact"/>
        <w:rPr>
          <w:rFonts w:hint="eastAsia" w:ascii="宋体" w:hAnsi="宋体"/>
          <w:b/>
          <w:color w:val="auto"/>
          <w:sz w:val="24"/>
          <w:highlight w:val="none"/>
        </w:rPr>
      </w:pPr>
      <w:r>
        <w:rPr>
          <w:rFonts w:hint="eastAsia" w:ascii="宋体" w:hAnsi="宋体"/>
          <w:b/>
          <w:color w:val="auto"/>
          <w:sz w:val="24"/>
          <w:highlight w:val="none"/>
        </w:rPr>
        <w:t>附件</w:t>
      </w:r>
      <w:bookmarkStart w:id="90" w:name="_Toc450167803"/>
      <w:r>
        <w:rPr>
          <w:rFonts w:hint="eastAsia" w:ascii="宋体" w:hAnsi="宋体"/>
          <w:b/>
          <w:color w:val="auto"/>
          <w:sz w:val="24"/>
          <w:highlight w:val="none"/>
        </w:rPr>
        <w:t>5</w:t>
      </w:r>
    </w:p>
    <w:p w14:paraId="4E2AD9F6">
      <w:pPr>
        <w:spacing w:line="440" w:lineRule="exact"/>
        <w:jc w:val="center"/>
        <w:rPr>
          <w:rFonts w:hint="eastAsia" w:ascii="宋体" w:hAnsi="宋体"/>
          <w:b/>
          <w:color w:val="auto"/>
          <w:sz w:val="24"/>
          <w:highlight w:val="none"/>
        </w:rPr>
      </w:pPr>
      <w:r>
        <w:rPr>
          <w:rFonts w:hint="eastAsia" w:ascii="宋体" w:hAnsi="宋体" w:cs="黑体"/>
          <w:b/>
          <w:color w:val="auto"/>
          <w:sz w:val="24"/>
          <w:highlight w:val="none"/>
        </w:rPr>
        <w:t>二次供水设备供应商指标考评细则</w:t>
      </w:r>
      <w:bookmarkEnd w:id="90"/>
    </w:p>
    <w:p w14:paraId="6F687BEA">
      <w:pPr>
        <w:spacing w:line="400" w:lineRule="exact"/>
        <w:rPr>
          <w:rFonts w:hint="eastAsia" w:ascii="宋体" w:hAnsi="宋体" w:cs="仿宋_GB2312"/>
          <w:b/>
          <w:color w:val="auto"/>
          <w:szCs w:val="21"/>
          <w:highlight w:val="none"/>
        </w:rPr>
      </w:pPr>
      <w:r>
        <w:rPr>
          <w:rFonts w:hint="eastAsia" w:ascii="宋体" w:hAnsi="宋体" w:cs="仿宋_GB2312"/>
          <w:b/>
          <w:color w:val="auto"/>
          <w:szCs w:val="21"/>
          <w:highlight w:val="none"/>
        </w:rPr>
        <w:t>1  设备安装质量监督管理</w:t>
      </w:r>
    </w:p>
    <w:p w14:paraId="7B6E4C23">
      <w:pPr>
        <w:pStyle w:val="31"/>
        <w:spacing w:before="0" w:beforeAutospacing="0" w:after="0" w:afterAutospacing="0" w:line="400" w:lineRule="exact"/>
        <w:rPr>
          <w:rFonts w:hint="eastAsia"/>
          <w:bCs/>
          <w:color w:val="auto"/>
          <w:sz w:val="21"/>
          <w:szCs w:val="21"/>
          <w:highlight w:val="none"/>
        </w:rPr>
      </w:pPr>
      <w:r>
        <w:rPr>
          <w:rFonts w:hint="eastAsia"/>
          <w:bCs/>
          <w:color w:val="auto"/>
          <w:sz w:val="21"/>
          <w:szCs w:val="21"/>
          <w:highlight w:val="none"/>
        </w:rPr>
        <w:t>1.1考核指标（具体考核指标按照采购单位内部要求执行）</w:t>
      </w:r>
    </w:p>
    <w:p w14:paraId="7A4F7D50">
      <w:pPr>
        <w:spacing w:line="400" w:lineRule="exact"/>
        <w:rPr>
          <w:rFonts w:hint="eastAsia" w:ascii="宋体" w:hAnsi="宋体" w:cs="仿宋_GB2312"/>
          <w:color w:val="auto"/>
          <w:szCs w:val="21"/>
          <w:highlight w:val="none"/>
        </w:rPr>
      </w:pPr>
      <w:r>
        <w:rPr>
          <w:rFonts w:hint="eastAsia" w:ascii="宋体" w:hAnsi="宋体" w:cs="仿宋_GB2312"/>
          <w:color w:val="auto"/>
          <w:szCs w:val="21"/>
          <w:highlight w:val="none"/>
        </w:rPr>
        <w:t>1.2 设备使用可靠性（二次供水管理中心）</w:t>
      </w:r>
      <w:r>
        <w:rPr>
          <w:rFonts w:hint="eastAsia"/>
          <w:bCs/>
          <w:color w:val="auto"/>
          <w:szCs w:val="21"/>
          <w:highlight w:val="none"/>
        </w:rPr>
        <w:t>（具体考核指标按照采购单位内部要求执行）</w:t>
      </w:r>
    </w:p>
    <w:p w14:paraId="6B55A568">
      <w:pPr>
        <w:spacing w:line="400" w:lineRule="exact"/>
        <w:rPr>
          <w:rFonts w:hint="eastAsia" w:ascii="宋体" w:hAnsi="宋体" w:cs="仿宋_GB2312"/>
          <w:color w:val="auto"/>
          <w:szCs w:val="21"/>
          <w:highlight w:val="none"/>
        </w:rPr>
      </w:pPr>
      <w:r>
        <w:rPr>
          <w:rFonts w:hint="eastAsia" w:ascii="宋体" w:hAnsi="宋体" w:cs="仿宋_GB2312"/>
          <w:color w:val="auto"/>
          <w:szCs w:val="21"/>
          <w:highlight w:val="none"/>
        </w:rPr>
        <w:t>1.3 响应及服务（二次供水管理中心）</w:t>
      </w:r>
      <w:r>
        <w:rPr>
          <w:rFonts w:hint="eastAsia"/>
          <w:bCs/>
          <w:color w:val="auto"/>
          <w:szCs w:val="21"/>
          <w:highlight w:val="none"/>
        </w:rPr>
        <w:t>（具体考核指标按照采购单位内部要求执行）</w:t>
      </w:r>
    </w:p>
    <w:p w14:paraId="177EF7AF">
      <w:pPr>
        <w:spacing w:line="400" w:lineRule="exact"/>
        <w:rPr>
          <w:rFonts w:hint="eastAsia" w:ascii="宋体" w:hAnsi="宋体" w:cs="仿宋_GB2312"/>
          <w:color w:val="auto"/>
          <w:szCs w:val="21"/>
          <w:highlight w:val="none"/>
        </w:rPr>
      </w:pPr>
      <w:r>
        <w:rPr>
          <w:rFonts w:hint="eastAsia" w:ascii="宋体" w:hAnsi="宋体" w:cs="仿宋_GB2312"/>
          <w:color w:val="auto"/>
          <w:szCs w:val="21"/>
          <w:highlight w:val="none"/>
        </w:rPr>
        <w:t>1.4 技术培训指导及时性（二次供水管理中心）</w:t>
      </w:r>
      <w:r>
        <w:rPr>
          <w:rFonts w:hint="eastAsia"/>
          <w:bCs/>
          <w:color w:val="auto"/>
          <w:szCs w:val="21"/>
          <w:highlight w:val="none"/>
        </w:rPr>
        <w:t>（具体考核指标按照采购单位内部要求执行）</w:t>
      </w:r>
    </w:p>
    <w:p w14:paraId="1FC0F8D3">
      <w:pPr>
        <w:spacing w:before="156" w:beforeLines="50" w:after="156" w:afterLines="50" w:line="440" w:lineRule="exact"/>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1E17A69F">
      <w:pPr>
        <w:rPr>
          <w:rFonts w:hint="eastAsia" w:ascii="宋体" w:hAnsi="宋体" w:cs="仿宋_GB2312"/>
          <w:b/>
          <w:color w:val="auto"/>
          <w:sz w:val="24"/>
          <w:highlight w:val="none"/>
        </w:rPr>
      </w:pPr>
      <w:r>
        <w:rPr>
          <w:rFonts w:hint="eastAsia" w:ascii="宋体" w:hAnsi="宋体" w:cs="仿宋_GB2312"/>
          <w:b/>
          <w:color w:val="auto"/>
          <w:sz w:val="24"/>
          <w:highlight w:val="none"/>
        </w:rPr>
        <w:br w:type="page"/>
      </w:r>
    </w:p>
    <w:p w14:paraId="20ADEDB0">
      <w:pPr>
        <w:spacing w:before="156" w:beforeLines="50" w:after="156" w:afterLines="50" w:line="440" w:lineRule="exact"/>
        <w:rPr>
          <w:rFonts w:hint="eastAsia" w:ascii="宋体" w:hAnsi="宋体"/>
          <w:b/>
          <w:color w:val="auto"/>
          <w:sz w:val="24"/>
          <w:highlight w:val="none"/>
        </w:rPr>
      </w:pPr>
      <w:r>
        <w:rPr>
          <w:rFonts w:hint="eastAsia" w:ascii="宋体" w:hAnsi="宋体"/>
          <w:b/>
          <w:color w:val="auto"/>
          <w:sz w:val="24"/>
          <w:highlight w:val="none"/>
        </w:rPr>
        <w:t>附件6</w:t>
      </w:r>
    </w:p>
    <w:p w14:paraId="542B22E0">
      <w:pPr>
        <w:spacing w:line="440" w:lineRule="exact"/>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易损件及备品备件最低配置清单一览表</w:t>
      </w:r>
    </w:p>
    <w:tbl>
      <w:tblPr>
        <w:tblStyle w:val="35"/>
        <w:tblW w:w="0" w:type="auto"/>
        <w:tblInd w:w="0" w:type="dxa"/>
        <w:tblLayout w:type="fixed"/>
        <w:tblCellMar>
          <w:top w:w="15" w:type="dxa"/>
          <w:left w:w="15" w:type="dxa"/>
          <w:bottom w:w="15" w:type="dxa"/>
          <w:right w:w="15" w:type="dxa"/>
        </w:tblCellMar>
      </w:tblPr>
      <w:tblGrid>
        <w:gridCol w:w="1858"/>
        <w:gridCol w:w="1418"/>
        <w:gridCol w:w="536"/>
        <w:gridCol w:w="172"/>
        <w:gridCol w:w="351"/>
        <w:gridCol w:w="500"/>
        <w:gridCol w:w="413"/>
        <w:gridCol w:w="659"/>
        <w:gridCol w:w="629"/>
        <w:gridCol w:w="328"/>
        <w:gridCol w:w="701"/>
        <w:gridCol w:w="388"/>
        <w:gridCol w:w="118"/>
        <w:gridCol w:w="24"/>
        <w:gridCol w:w="1559"/>
      </w:tblGrid>
      <w:tr w14:paraId="035D5488">
        <w:tblPrEx>
          <w:tblCellMar>
            <w:top w:w="15" w:type="dxa"/>
            <w:left w:w="15" w:type="dxa"/>
            <w:bottom w:w="15" w:type="dxa"/>
            <w:right w:w="15" w:type="dxa"/>
          </w:tblCellMar>
        </w:tblPrEx>
        <w:trPr>
          <w:trHeight w:val="591" w:hRule="exact"/>
        </w:trPr>
        <w:tc>
          <w:tcPr>
            <w:tcW w:w="1858" w:type="dxa"/>
            <w:tcBorders>
              <w:top w:val="single" w:color="auto" w:sz="4" w:space="0"/>
              <w:left w:val="single" w:color="auto" w:sz="4" w:space="0"/>
              <w:bottom w:val="single" w:color="auto" w:sz="4" w:space="0"/>
              <w:right w:val="single" w:color="auto" w:sz="4" w:space="0"/>
            </w:tcBorders>
            <w:noWrap w:val="0"/>
            <w:vAlign w:val="center"/>
          </w:tcPr>
          <w:p w14:paraId="4DE06F7E">
            <w:pPr>
              <w:spacing w:line="440" w:lineRule="exact"/>
              <w:jc w:val="center"/>
              <w:rPr>
                <w:rFonts w:hint="eastAsia" w:ascii="宋体" w:hAnsi="宋体" w:cs="黑体"/>
                <w:color w:val="auto"/>
                <w:sz w:val="24"/>
                <w:highlight w:val="none"/>
              </w:rPr>
            </w:pPr>
            <w:r>
              <w:rPr>
                <w:rFonts w:hint="eastAsia" w:ascii="宋体" w:hAnsi="宋体" w:cs="仿宋_GB2312"/>
                <w:b/>
                <w:bCs/>
                <w:color w:val="auto"/>
                <w:sz w:val="24"/>
                <w:highlight w:val="none"/>
              </w:rPr>
              <w:t>配件名称</w:t>
            </w:r>
          </w:p>
        </w:tc>
        <w:tc>
          <w:tcPr>
            <w:tcW w:w="7796" w:type="dxa"/>
            <w:gridSpan w:val="14"/>
            <w:tcBorders>
              <w:top w:val="single" w:color="auto" w:sz="4" w:space="0"/>
              <w:left w:val="single" w:color="auto" w:sz="4" w:space="0"/>
              <w:bottom w:val="single" w:color="auto" w:sz="4" w:space="0"/>
              <w:right w:val="single" w:color="auto" w:sz="4" w:space="0"/>
            </w:tcBorders>
            <w:noWrap w:val="0"/>
            <w:vAlign w:val="center"/>
          </w:tcPr>
          <w:p w14:paraId="1FBED8A2">
            <w:pPr>
              <w:spacing w:line="440" w:lineRule="exact"/>
              <w:jc w:val="center"/>
              <w:textAlignment w:val="center"/>
              <w:rPr>
                <w:rFonts w:ascii="宋体" w:hAnsi="宋体" w:cs="黑体"/>
                <w:color w:val="auto"/>
                <w:sz w:val="24"/>
                <w:highlight w:val="none"/>
              </w:rPr>
            </w:pPr>
            <w:r>
              <w:rPr>
                <w:rFonts w:hint="eastAsia" w:ascii="宋体" w:hAnsi="宋体" w:cs="仿宋_GB2312"/>
                <w:b/>
                <w:bCs/>
                <w:color w:val="auto"/>
                <w:sz w:val="24"/>
                <w:highlight w:val="none"/>
                <w:lang w:bidi="ar"/>
              </w:rPr>
              <w:t>型号</w:t>
            </w:r>
          </w:p>
        </w:tc>
      </w:tr>
      <w:tr w14:paraId="527E80D6">
        <w:tblPrEx>
          <w:tblCellMar>
            <w:top w:w="15" w:type="dxa"/>
            <w:left w:w="15" w:type="dxa"/>
            <w:bottom w:w="15" w:type="dxa"/>
            <w:right w:w="15" w:type="dxa"/>
          </w:tblCellMar>
        </w:tblPrEx>
        <w:trPr>
          <w:trHeight w:val="566" w:hRule="exact"/>
        </w:trPr>
        <w:tc>
          <w:tcPr>
            <w:tcW w:w="1858" w:type="dxa"/>
            <w:tcBorders>
              <w:top w:val="single" w:color="000000" w:sz="4" w:space="0"/>
              <w:left w:val="single" w:color="000000" w:sz="4" w:space="0"/>
              <w:bottom w:val="single" w:color="000000" w:sz="4" w:space="0"/>
            </w:tcBorders>
            <w:noWrap w:val="0"/>
            <w:vAlign w:val="center"/>
          </w:tcPr>
          <w:p w14:paraId="1D1EC3FE">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触摸屏</w:t>
            </w:r>
          </w:p>
        </w:tc>
        <w:tc>
          <w:tcPr>
            <w:tcW w:w="7796" w:type="dxa"/>
            <w:gridSpan w:val="14"/>
            <w:tcBorders>
              <w:top w:val="single" w:color="000000" w:sz="4" w:space="0"/>
              <w:left w:val="single" w:color="000000" w:sz="4" w:space="0"/>
              <w:bottom w:val="single" w:color="000000" w:sz="4" w:space="0"/>
              <w:right w:val="single" w:color="000000" w:sz="4" w:space="0"/>
            </w:tcBorders>
            <w:noWrap w:val="0"/>
            <w:vAlign w:val="center"/>
          </w:tcPr>
          <w:p w14:paraId="21255278">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10寸及以上</w:t>
            </w:r>
          </w:p>
        </w:tc>
      </w:tr>
      <w:tr w14:paraId="4B7F8AF2">
        <w:tblPrEx>
          <w:tblCellMar>
            <w:top w:w="15" w:type="dxa"/>
            <w:left w:w="15" w:type="dxa"/>
            <w:bottom w:w="15" w:type="dxa"/>
            <w:right w:w="15" w:type="dxa"/>
          </w:tblCellMar>
        </w:tblPrEx>
        <w:trPr>
          <w:trHeight w:val="519" w:hRule="exact"/>
        </w:trPr>
        <w:tc>
          <w:tcPr>
            <w:tcW w:w="1858" w:type="dxa"/>
            <w:tcBorders>
              <w:top w:val="single" w:color="000000" w:sz="4" w:space="0"/>
              <w:left w:val="single" w:color="000000" w:sz="4" w:space="0"/>
              <w:bottom w:val="single" w:color="000000" w:sz="4" w:space="0"/>
            </w:tcBorders>
            <w:noWrap w:val="0"/>
            <w:vAlign w:val="center"/>
          </w:tcPr>
          <w:p w14:paraId="5D01485B">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变频器</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72D1FC8">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4KW</w:t>
            </w:r>
          </w:p>
        </w:tc>
        <w:tc>
          <w:tcPr>
            <w:tcW w:w="1559" w:type="dxa"/>
            <w:gridSpan w:val="4"/>
            <w:tcBorders>
              <w:top w:val="single" w:color="000000" w:sz="4" w:space="0"/>
              <w:left w:val="single" w:color="000000" w:sz="4" w:space="0"/>
              <w:bottom w:val="single" w:color="000000" w:sz="4" w:space="0"/>
              <w:right w:val="single" w:color="000000" w:sz="4" w:space="0"/>
            </w:tcBorders>
            <w:noWrap w:val="0"/>
            <w:vAlign w:val="center"/>
          </w:tcPr>
          <w:p w14:paraId="175B1FF1">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5.5KW</w:t>
            </w:r>
          </w:p>
        </w:tc>
        <w:tc>
          <w:tcPr>
            <w:tcW w:w="1701" w:type="dxa"/>
            <w:gridSpan w:val="3"/>
            <w:tcBorders>
              <w:top w:val="single" w:color="000000" w:sz="4" w:space="0"/>
              <w:left w:val="single" w:color="000000" w:sz="4" w:space="0"/>
              <w:bottom w:val="single" w:color="000000" w:sz="4" w:space="0"/>
              <w:right w:val="single" w:color="000000" w:sz="4" w:space="0"/>
            </w:tcBorders>
            <w:noWrap w:val="0"/>
            <w:vAlign w:val="center"/>
          </w:tcPr>
          <w:p w14:paraId="46DAD858">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7.5KW</w:t>
            </w:r>
          </w:p>
        </w:tc>
        <w:tc>
          <w:tcPr>
            <w:tcW w:w="1559" w:type="dxa"/>
            <w:gridSpan w:val="5"/>
            <w:tcBorders>
              <w:top w:val="single" w:color="000000" w:sz="4" w:space="0"/>
              <w:left w:val="single" w:color="000000" w:sz="4" w:space="0"/>
              <w:bottom w:val="single" w:color="000000" w:sz="4" w:space="0"/>
              <w:right w:val="single" w:color="000000" w:sz="4" w:space="0"/>
            </w:tcBorders>
            <w:noWrap w:val="0"/>
            <w:vAlign w:val="center"/>
          </w:tcPr>
          <w:p w14:paraId="067B5D71">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11KW</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8B4E35D">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15KW </w:t>
            </w:r>
          </w:p>
        </w:tc>
      </w:tr>
      <w:tr w14:paraId="2A71560B">
        <w:tblPrEx>
          <w:tblCellMar>
            <w:top w:w="15" w:type="dxa"/>
            <w:left w:w="15" w:type="dxa"/>
            <w:bottom w:w="15" w:type="dxa"/>
            <w:right w:w="15" w:type="dxa"/>
          </w:tblCellMar>
        </w:tblPrEx>
        <w:trPr>
          <w:trHeight w:val="552" w:hRule="exact"/>
        </w:trPr>
        <w:tc>
          <w:tcPr>
            <w:tcW w:w="1858" w:type="dxa"/>
            <w:tcBorders>
              <w:top w:val="single" w:color="000000" w:sz="4" w:space="0"/>
              <w:left w:val="single" w:color="000000" w:sz="4" w:space="0"/>
              <w:bottom w:val="single" w:color="000000" w:sz="4" w:space="0"/>
            </w:tcBorders>
            <w:noWrap w:val="0"/>
            <w:vAlign w:val="center"/>
          </w:tcPr>
          <w:p w14:paraId="24BDE91F">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水泵（包括电机）</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06FCD0D">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4KW</w:t>
            </w:r>
          </w:p>
        </w:tc>
        <w:tc>
          <w:tcPr>
            <w:tcW w:w="1559" w:type="dxa"/>
            <w:gridSpan w:val="4"/>
            <w:tcBorders>
              <w:top w:val="single" w:color="000000" w:sz="4" w:space="0"/>
              <w:left w:val="single" w:color="000000" w:sz="4" w:space="0"/>
              <w:bottom w:val="single" w:color="000000" w:sz="4" w:space="0"/>
              <w:right w:val="single" w:color="000000" w:sz="4" w:space="0"/>
            </w:tcBorders>
            <w:noWrap w:val="0"/>
            <w:vAlign w:val="center"/>
          </w:tcPr>
          <w:p w14:paraId="5AACC2B9">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5.5KW</w:t>
            </w:r>
          </w:p>
        </w:tc>
        <w:tc>
          <w:tcPr>
            <w:tcW w:w="1701" w:type="dxa"/>
            <w:gridSpan w:val="3"/>
            <w:tcBorders>
              <w:top w:val="single" w:color="000000" w:sz="4" w:space="0"/>
              <w:left w:val="single" w:color="000000" w:sz="4" w:space="0"/>
              <w:bottom w:val="single" w:color="000000" w:sz="4" w:space="0"/>
              <w:right w:val="single" w:color="000000" w:sz="4" w:space="0"/>
            </w:tcBorders>
            <w:noWrap w:val="0"/>
            <w:vAlign w:val="center"/>
          </w:tcPr>
          <w:p w14:paraId="780FF1C1">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7.5KW</w:t>
            </w:r>
          </w:p>
        </w:tc>
        <w:tc>
          <w:tcPr>
            <w:tcW w:w="1559" w:type="dxa"/>
            <w:gridSpan w:val="5"/>
            <w:tcBorders>
              <w:top w:val="single" w:color="000000" w:sz="4" w:space="0"/>
              <w:left w:val="single" w:color="000000" w:sz="4" w:space="0"/>
              <w:bottom w:val="single" w:color="000000" w:sz="4" w:space="0"/>
              <w:right w:val="single" w:color="000000" w:sz="4" w:space="0"/>
            </w:tcBorders>
            <w:noWrap w:val="0"/>
            <w:vAlign w:val="center"/>
          </w:tcPr>
          <w:p w14:paraId="269645E5">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11KW</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EC3AEF6">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15KW</w:t>
            </w:r>
          </w:p>
        </w:tc>
      </w:tr>
      <w:tr w14:paraId="46688FD3">
        <w:tblPrEx>
          <w:tblCellMar>
            <w:top w:w="15" w:type="dxa"/>
            <w:left w:w="15" w:type="dxa"/>
            <w:bottom w:w="15" w:type="dxa"/>
            <w:right w:w="15" w:type="dxa"/>
          </w:tblCellMar>
        </w:tblPrEx>
        <w:trPr>
          <w:trHeight w:val="552" w:hRule="exact"/>
        </w:trPr>
        <w:tc>
          <w:tcPr>
            <w:tcW w:w="1858" w:type="dxa"/>
            <w:tcBorders>
              <w:top w:val="single" w:color="000000" w:sz="4" w:space="0"/>
              <w:left w:val="single" w:color="000000" w:sz="4" w:space="0"/>
              <w:bottom w:val="single" w:color="000000" w:sz="4" w:space="0"/>
            </w:tcBorders>
            <w:noWrap w:val="0"/>
            <w:vAlign w:val="center"/>
          </w:tcPr>
          <w:p w14:paraId="4B5EDFD5">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机械密封</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AAB97BD">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配4KW水泵</w:t>
            </w:r>
          </w:p>
        </w:tc>
        <w:tc>
          <w:tcPr>
            <w:tcW w:w="1559" w:type="dxa"/>
            <w:gridSpan w:val="4"/>
            <w:tcBorders>
              <w:top w:val="single" w:color="000000" w:sz="4" w:space="0"/>
              <w:left w:val="single" w:color="000000" w:sz="4" w:space="0"/>
              <w:bottom w:val="single" w:color="000000" w:sz="4" w:space="0"/>
              <w:right w:val="single" w:color="000000" w:sz="4" w:space="0"/>
            </w:tcBorders>
            <w:noWrap w:val="0"/>
            <w:vAlign w:val="center"/>
          </w:tcPr>
          <w:p w14:paraId="4A04A270">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配5.5KW水泵</w:t>
            </w:r>
          </w:p>
        </w:tc>
        <w:tc>
          <w:tcPr>
            <w:tcW w:w="1701" w:type="dxa"/>
            <w:gridSpan w:val="3"/>
            <w:tcBorders>
              <w:top w:val="single" w:color="000000" w:sz="4" w:space="0"/>
              <w:left w:val="single" w:color="000000" w:sz="4" w:space="0"/>
              <w:bottom w:val="single" w:color="000000" w:sz="4" w:space="0"/>
              <w:right w:val="single" w:color="000000" w:sz="4" w:space="0"/>
            </w:tcBorders>
            <w:noWrap w:val="0"/>
            <w:vAlign w:val="center"/>
          </w:tcPr>
          <w:p w14:paraId="771AC4AA">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配7.5KW水泵</w:t>
            </w:r>
          </w:p>
        </w:tc>
        <w:tc>
          <w:tcPr>
            <w:tcW w:w="1559" w:type="dxa"/>
            <w:gridSpan w:val="5"/>
            <w:tcBorders>
              <w:top w:val="single" w:color="000000" w:sz="4" w:space="0"/>
              <w:left w:val="single" w:color="000000" w:sz="4" w:space="0"/>
              <w:bottom w:val="single" w:color="000000" w:sz="4" w:space="0"/>
              <w:right w:val="single" w:color="000000" w:sz="4" w:space="0"/>
            </w:tcBorders>
            <w:noWrap w:val="0"/>
            <w:vAlign w:val="center"/>
          </w:tcPr>
          <w:p w14:paraId="58AFB65B">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配11KW水泵</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F10963D">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配15KW水泵</w:t>
            </w:r>
          </w:p>
        </w:tc>
      </w:tr>
      <w:tr w14:paraId="45901F4A">
        <w:tblPrEx>
          <w:tblCellMar>
            <w:top w:w="15" w:type="dxa"/>
            <w:left w:w="15" w:type="dxa"/>
            <w:bottom w:w="15" w:type="dxa"/>
            <w:right w:w="15" w:type="dxa"/>
          </w:tblCellMar>
        </w:tblPrEx>
        <w:trPr>
          <w:trHeight w:val="512" w:hRule="exact"/>
        </w:trPr>
        <w:tc>
          <w:tcPr>
            <w:tcW w:w="1858" w:type="dxa"/>
            <w:tcBorders>
              <w:top w:val="single" w:color="000000" w:sz="4" w:space="0"/>
              <w:left w:val="single" w:color="000000" w:sz="4" w:space="0"/>
              <w:bottom w:val="single" w:color="000000" w:sz="4" w:space="0"/>
            </w:tcBorders>
            <w:noWrap w:val="0"/>
            <w:vAlign w:val="center"/>
          </w:tcPr>
          <w:p w14:paraId="30630977">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叶轮</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13FC5C1">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配4KW水泵</w:t>
            </w:r>
          </w:p>
        </w:tc>
        <w:tc>
          <w:tcPr>
            <w:tcW w:w="1559" w:type="dxa"/>
            <w:gridSpan w:val="4"/>
            <w:tcBorders>
              <w:top w:val="single" w:color="000000" w:sz="4" w:space="0"/>
              <w:left w:val="single" w:color="000000" w:sz="4" w:space="0"/>
              <w:bottom w:val="single" w:color="000000" w:sz="4" w:space="0"/>
              <w:right w:val="single" w:color="000000" w:sz="4" w:space="0"/>
            </w:tcBorders>
            <w:noWrap w:val="0"/>
            <w:vAlign w:val="center"/>
          </w:tcPr>
          <w:p w14:paraId="584A7197">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配5.5KW水泵</w:t>
            </w:r>
          </w:p>
        </w:tc>
        <w:tc>
          <w:tcPr>
            <w:tcW w:w="1701" w:type="dxa"/>
            <w:gridSpan w:val="3"/>
            <w:tcBorders>
              <w:top w:val="single" w:color="000000" w:sz="4" w:space="0"/>
              <w:left w:val="single" w:color="000000" w:sz="4" w:space="0"/>
              <w:bottom w:val="single" w:color="000000" w:sz="4" w:space="0"/>
              <w:right w:val="single" w:color="000000" w:sz="4" w:space="0"/>
            </w:tcBorders>
            <w:noWrap w:val="0"/>
            <w:vAlign w:val="center"/>
          </w:tcPr>
          <w:p w14:paraId="7BB34598">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配7.5KW水泵</w:t>
            </w:r>
          </w:p>
        </w:tc>
        <w:tc>
          <w:tcPr>
            <w:tcW w:w="1559" w:type="dxa"/>
            <w:gridSpan w:val="5"/>
            <w:tcBorders>
              <w:top w:val="single" w:color="000000" w:sz="4" w:space="0"/>
              <w:left w:val="single" w:color="000000" w:sz="4" w:space="0"/>
              <w:bottom w:val="single" w:color="000000" w:sz="4" w:space="0"/>
              <w:right w:val="single" w:color="000000" w:sz="4" w:space="0"/>
            </w:tcBorders>
            <w:noWrap w:val="0"/>
            <w:vAlign w:val="center"/>
          </w:tcPr>
          <w:p w14:paraId="360D3EBF">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配11KW水泵</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79575BC8">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配15KW水泵</w:t>
            </w:r>
          </w:p>
        </w:tc>
      </w:tr>
      <w:tr w14:paraId="67B2EF6C">
        <w:tblPrEx>
          <w:tblCellMar>
            <w:top w:w="15" w:type="dxa"/>
            <w:left w:w="15" w:type="dxa"/>
            <w:bottom w:w="15" w:type="dxa"/>
            <w:right w:w="15" w:type="dxa"/>
          </w:tblCellMar>
        </w:tblPrEx>
        <w:trPr>
          <w:trHeight w:val="510" w:hRule="exact"/>
        </w:trPr>
        <w:tc>
          <w:tcPr>
            <w:tcW w:w="1858" w:type="dxa"/>
            <w:tcBorders>
              <w:top w:val="single" w:color="000000" w:sz="4" w:space="0"/>
              <w:left w:val="single" w:color="000000" w:sz="4" w:space="0"/>
              <w:bottom w:val="single" w:color="000000" w:sz="4" w:space="0"/>
            </w:tcBorders>
            <w:noWrap w:val="0"/>
            <w:vAlign w:val="center"/>
          </w:tcPr>
          <w:p w14:paraId="2B0503FA">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泵轴</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1D90AD0">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配4KW水泵</w:t>
            </w:r>
          </w:p>
        </w:tc>
        <w:tc>
          <w:tcPr>
            <w:tcW w:w="1559" w:type="dxa"/>
            <w:gridSpan w:val="4"/>
            <w:tcBorders>
              <w:top w:val="single" w:color="000000" w:sz="4" w:space="0"/>
              <w:left w:val="single" w:color="000000" w:sz="4" w:space="0"/>
              <w:bottom w:val="single" w:color="000000" w:sz="4" w:space="0"/>
              <w:right w:val="single" w:color="000000" w:sz="4" w:space="0"/>
            </w:tcBorders>
            <w:noWrap w:val="0"/>
            <w:vAlign w:val="center"/>
          </w:tcPr>
          <w:p w14:paraId="0A1AB159">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配5.5KW水泵</w:t>
            </w:r>
          </w:p>
        </w:tc>
        <w:tc>
          <w:tcPr>
            <w:tcW w:w="1701" w:type="dxa"/>
            <w:gridSpan w:val="3"/>
            <w:tcBorders>
              <w:top w:val="single" w:color="000000" w:sz="4" w:space="0"/>
              <w:left w:val="single" w:color="000000" w:sz="4" w:space="0"/>
              <w:bottom w:val="single" w:color="000000" w:sz="4" w:space="0"/>
              <w:right w:val="single" w:color="000000" w:sz="4" w:space="0"/>
            </w:tcBorders>
            <w:noWrap w:val="0"/>
            <w:vAlign w:val="center"/>
          </w:tcPr>
          <w:p w14:paraId="0AF4037A">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配7.5KW水泵</w:t>
            </w:r>
          </w:p>
        </w:tc>
        <w:tc>
          <w:tcPr>
            <w:tcW w:w="1559" w:type="dxa"/>
            <w:gridSpan w:val="5"/>
            <w:tcBorders>
              <w:top w:val="single" w:color="000000" w:sz="4" w:space="0"/>
              <w:left w:val="single" w:color="000000" w:sz="4" w:space="0"/>
              <w:bottom w:val="single" w:color="000000" w:sz="4" w:space="0"/>
              <w:right w:val="single" w:color="000000" w:sz="4" w:space="0"/>
            </w:tcBorders>
            <w:noWrap w:val="0"/>
            <w:vAlign w:val="center"/>
          </w:tcPr>
          <w:p w14:paraId="6471664C">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配11KW水泵</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504BA4D7">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配15KW水泵</w:t>
            </w:r>
          </w:p>
        </w:tc>
      </w:tr>
      <w:tr w14:paraId="033AAB02">
        <w:tblPrEx>
          <w:tblCellMar>
            <w:top w:w="15" w:type="dxa"/>
            <w:left w:w="15" w:type="dxa"/>
            <w:bottom w:w="15" w:type="dxa"/>
            <w:right w:w="15" w:type="dxa"/>
          </w:tblCellMar>
        </w:tblPrEx>
        <w:trPr>
          <w:trHeight w:val="519" w:hRule="exact"/>
        </w:trPr>
        <w:tc>
          <w:tcPr>
            <w:tcW w:w="1858" w:type="dxa"/>
            <w:tcBorders>
              <w:top w:val="single" w:color="000000" w:sz="4" w:space="0"/>
              <w:left w:val="single" w:color="000000" w:sz="4" w:space="0"/>
              <w:bottom w:val="single" w:color="000000" w:sz="4" w:space="0"/>
            </w:tcBorders>
            <w:noWrap w:val="0"/>
            <w:vAlign w:val="center"/>
          </w:tcPr>
          <w:p w14:paraId="5A236B84">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水泵轴承</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9BAC2AF">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配4KW水泵</w:t>
            </w:r>
          </w:p>
        </w:tc>
        <w:tc>
          <w:tcPr>
            <w:tcW w:w="1559" w:type="dxa"/>
            <w:gridSpan w:val="4"/>
            <w:tcBorders>
              <w:top w:val="single" w:color="000000" w:sz="4" w:space="0"/>
              <w:left w:val="single" w:color="000000" w:sz="4" w:space="0"/>
              <w:bottom w:val="single" w:color="000000" w:sz="4" w:space="0"/>
              <w:right w:val="single" w:color="000000" w:sz="4" w:space="0"/>
            </w:tcBorders>
            <w:noWrap w:val="0"/>
            <w:vAlign w:val="center"/>
          </w:tcPr>
          <w:p w14:paraId="267DDEF9">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配5.5KW水泵</w:t>
            </w:r>
          </w:p>
        </w:tc>
        <w:tc>
          <w:tcPr>
            <w:tcW w:w="1701" w:type="dxa"/>
            <w:gridSpan w:val="3"/>
            <w:tcBorders>
              <w:top w:val="single" w:color="000000" w:sz="4" w:space="0"/>
              <w:left w:val="single" w:color="000000" w:sz="4" w:space="0"/>
              <w:bottom w:val="single" w:color="000000" w:sz="4" w:space="0"/>
              <w:right w:val="single" w:color="000000" w:sz="4" w:space="0"/>
            </w:tcBorders>
            <w:noWrap w:val="0"/>
            <w:vAlign w:val="center"/>
          </w:tcPr>
          <w:p w14:paraId="5C872463">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配7.5KW水泵</w:t>
            </w:r>
          </w:p>
        </w:tc>
        <w:tc>
          <w:tcPr>
            <w:tcW w:w="1559" w:type="dxa"/>
            <w:gridSpan w:val="5"/>
            <w:tcBorders>
              <w:top w:val="single" w:color="000000" w:sz="4" w:space="0"/>
              <w:left w:val="single" w:color="000000" w:sz="4" w:space="0"/>
              <w:bottom w:val="single" w:color="000000" w:sz="4" w:space="0"/>
              <w:right w:val="single" w:color="000000" w:sz="4" w:space="0"/>
            </w:tcBorders>
            <w:noWrap w:val="0"/>
            <w:vAlign w:val="center"/>
          </w:tcPr>
          <w:p w14:paraId="6DC6F15D">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配11KW水泵</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4AF30541">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配15KW水泵</w:t>
            </w:r>
          </w:p>
        </w:tc>
      </w:tr>
      <w:tr w14:paraId="722D5ED5">
        <w:tblPrEx>
          <w:tblCellMar>
            <w:top w:w="15" w:type="dxa"/>
            <w:left w:w="15" w:type="dxa"/>
            <w:bottom w:w="15" w:type="dxa"/>
            <w:right w:w="15" w:type="dxa"/>
          </w:tblCellMar>
        </w:tblPrEx>
        <w:trPr>
          <w:trHeight w:val="502" w:hRule="exact"/>
        </w:trPr>
        <w:tc>
          <w:tcPr>
            <w:tcW w:w="1858" w:type="dxa"/>
            <w:tcBorders>
              <w:top w:val="single" w:color="000000" w:sz="4" w:space="0"/>
              <w:left w:val="single" w:color="000000" w:sz="4" w:space="0"/>
              <w:bottom w:val="single" w:color="000000" w:sz="4" w:space="0"/>
            </w:tcBorders>
            <w:noWrap w:val="0"/>
            <w:vAlign w:val="center"/>
          </w:tcPr>
          <w:p w14:paraId="31D63252">
            <w:pPr>
              <w:spacing w:line="440" w:lineRule="exact"/>
              <w:jc w:val="center"/>
              <w:rPr>
                <w:rFonts w:hint="eastAsia" w:ascii="宋体" w:hAnsi="宋体" w:cs="仿宋_GB2312"/>
                <w:color w:val="auto"/>
                <w:sz w:val="24"/>
                <w:highlight w:val="none"/>
                <w:lang w:bidi="ar"/>
              </w:rPr>
            </w:pPr>
            <w:r>
              <w:rPr>
                <w:rFonts w:hint="eastAsia" w:ascii="宋体" w:hAnsi="宋体" w:cs="仿宋_GB2312"/>
                <w:color w:val="auto"/>
                <w:sz w:val="24"/>
                <w:highlight w:val="none"/>
              </w:rPr>
              <w:t>遥控浮球阀</w:t>
            </w:r>
          </w:p>
        </w:tc>
        <w:tc>
          <w:tcPr>
            <w:tcW w:w="1954" w:type="dxa"/>
            <w:gridSpan w:val="2"/>
            <w:tcBorders>
              <w:top w:val="single" w:color="000000" w:sz="4" w:space="0"/>
              <w:left w:val="single" w:color="000000" w:sz="4" w:space="0"/>
              <w:bottom w:val="single" w:color="000000" w:sz="4" w:space="0"/>
              <w:right w:val="single" w:color="000000" w:sz="4" w:space="0"/>
            </w:tcBorders>
            <w:noWrap w:val="0"/>
            <w:vAlign w:val="center"/>
          </w:tcPr>
          <w:p w14:paraId="59AC3D0A">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DN50</w:t>
            </w:r>
          </w:p>
        </w:tc>
        <w:tc>
          <w:tcPr>
            <w:tcW w:w="2095" w:type="dxa"/>
            <w:gridSpan w:val="5"/>
            <w:tcBorders>
              <w:top w:val="single" w:color="000000" w:sz="4" w:space="0"/>
              <w:left w:val="single" w:color="000000" w:sz="4" w:space="0"/>
              <w:bottom w:val="single" w:color="000000" w:sz="4" w:space="0"/>
              <w:right w:val="single" w:color="000000" w:sz="4" w:space="0"/>
            </w:tcBorders>
            <w:noWrap w:val="0"/>
            <w:vAlign w:val="center"/>
          </w:tcPr>
          <w:p w14:paraId="78518BFD">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DN80</w:t>
            </w:r>
          </w:p>
        </w:tc>
        <w:tc>
          <w:tcPr>
            <w:tcW w:w="2164" w:type="dxa"/>
            <w:gridSpan w:val="5"/>
            <w:tcBorders>
              <w:top w:val="single" w:color="000000" w:sz="4" w:space="0"/>
              <w:left w:val="single" w:color="000000" w:sz="4" w:space="0"/>
              <w:bottom w:val="single" w:color="000000" w:sz="4" w:space="0"/>
              <w:right w:val="single" w:color="000000" w:sz="4" w:space="0"/>
            </w:tcBorders>
            <w:noWrap w:val="0"/>
            <w:vAlign w:val="center"/>
          </w:tcPr>
          <w:p w14:paraId="1EDB12E0">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DN100</w:t>
            </w:r>
          </w:p>
        </w:tc>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2328D43D">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DN150</w:t>
            </w:r>
          </w:p>
        </w:tc>
      </w:tr>
      <w:tr w14:paraId="3A7514A6">
        <w:tblPrEx>
          <w:tblCellMar>
            <w:top w:w="15" w:type="dxa"/>
            <w:left w:w="15" w:type="dxa"/>
            <w:bottom w:w="15" w:type="dxa"/>
            <w:right w:w="15" w:type="dxa"/>
          </w:tblCellMar>
        </w:tblPrEx>
        <w:trPr>
          <w:trHeight w:val="492" w:hRule="exact"/>
        </w:trPr>
        <w:tc>
          <w:tcPr>
            <w:tcW w:w="1858" w:type="dxa"/>
            <w:tcBorders>
              <w:top w:val="single" w:color="000000" w:sz="4" w:space="0"/>
              <w:left w:val="single" w:color="000000" w:sz="4" w:space="0"/>
              <w:bottom w:val="single" w:color="000000" w:sz="4" w:space="0"/>
            </w:tcBorders>
            <w:noWrap w:val="0"/>
            <w:vAlign w:val="center"/>
          </w:tcPr>
          <w:p w14:paraId="67ACBFE9">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压力变送器</w:t>
            </w:r>
          </w:p>
        </w:tc>
        <w:tc>
          <w:tcPr>
            <w:tcW w:w="2477" w:type="dxa"/>
            <w:gridSpan w:val="4"/>
            <w:tcBorders>
              <w:top w:val="single" w:color="000000" w:sz="4" w:space="0"/>
              <w:left w:val="single" w:color="000000" w:sz="4" w:space="0"/>
              <w:bottom w:val="single" w:color="000000" w:sz="4" w:space="0"/>
              <w:right w:val="single" w:color="000000" w:sz="4" w:space="0"/>
            </w:tcBorders>
            <w:noWrap w:val="0"/>
            <w:vAlign w:val="center"/>
          </w:tcPr>
          <w:p w14:paraId="295EB361">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1.0MPa</w:t>
            </w:r>
          </w:p>
          <w:p w14:paraId="3848098D">
            <w:pPr>
              <w:spacing w:line="440" w:lineRule="exact"/>
              <w:jc w:val="center"/>
              <w:rPr>
                <w:rFonts w:hint="eastAsia" w:ascii="宋体" w:hAnsi="宋体" w:cs="仿宋_GB2312"/>
                <w:color w:val="auto"/>
                <w:sz w:val="24"/>
                <w:highlight w:val="none"/>
              </w:rPr>
            </w:pPr>
          </w:p>
        </w:tc>
        <w:tc>
          <w:tcPr>
            <w:tcW w:w="3230" w:type="dxa"/>
            <w:gridSpan w:val="6"/>
            <w:tcBorders>
              <w:top w:val="single" w:color="000000" w:sz="4" w:space="0"/>
              <w:left w:val="single" w:color="000000" w:sz="4" w:space="0"/>
              <w:bottom w:val="single" w:color="000000" w:sz="4" w:space="0"/>
              <w:right w:val="single" w:color="000000" w:sz="4" w:space="0"/>
            </w:tcBorders>
            <w:noWrap w:val="0"/>
            <w:vAlign w:val="center"/>
          </w:tcPr>
          <w:p w14:paraId="7263E199">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1.6MPa</w:t>
            </w:r>
          </w:p>
          <w:p w14:paraId="63BA2AA8">
            <w:pPr>
              <w:spacing w:line="440" w:lineRule="exact"/>
              <w:jc w:val="center"/>
              <w:rPr>
                <w:rFonts w:hint="eastAsia" w:ascii="宋体" w:hAnsi="宋体" w:cs="仿宋_GB2312"/>
                <w:color w:val="auto"/>
                <w:sz w:val="24"/>
                <w:highlight w:val="none"/>
              </w:rPr>
            </w:pPr>
          </w:p>
        </w:tc>
        <w:tc>
          <w:tcPr>
            <w:tcW w:w="2089" w:type="dxa"/>
            <w:gridSpan w:val="4"/>
            <w:tcBorders>
              <w:top w:val="single" w:color="000000" w:sz="4" w:space="0"/>
              <w:left w:val="single" w:color="000000" w:sz="4" w:space="0"/>
              <w:bottom w:val="single" w:color="000000" w:sz="4" w:space="0"/>
              <w:right w:val="single" w:color="000000" w:sz="4" w:space="0"/>
            </w:tcBorders>
            <w:noWrap w:val="0"/>
            <w:vAlign w:val="center"/>
          </w:tcPr>
          <w:p w14:paraId="7FB3AB01">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2.5MPa</w:t>
            </w:r>
          </w:p>
        </w:tc>
      </w:tr>
      <w:tr w14:paraId="62F7F600">
        <w:tblPrEx>
          <w:tblCellMar>
            <w:top w:w="15" w:type="dxa"/>
            <w:left w:w="15" w:type="dxa"/>
            <w:bottom w:w="15" w:type="dxa"/>
            <w:right w:w="15" w:type="dxa"/>
          </w:tblCellMar>
        </w:tblPrEx>
        <w:trPr>
          <w:trHeight w:val="502" w:hRule="exact"/>
        </w:trPr>
        <w:tc>
          <w:tcPr>
            <w:tcW w:w="1858" w:type="dxa"/>
            <w:tcBorders>
              <w:top w:val="single" w:color="000000" w:sz="4" w:space="0"/>
              <w:left w:val="single" w:color="000000" w:sz="4" w:space="0"/>
              <w:bottom w:val="single" w:color="000000" w:sz="4" w:space="0"/>
            </w:tcBorders>
            <w:noWrap w:val="0"/>
            <w:vAlign w:val="center"/>
          </w:tcPr>
          <w:p w14:paraId="17B3B1B7">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电接点压力表</w:t>
            </w:r>
          </w:p>
        </w:tc>
        <w:tc>
          <w:tcPr>
            <w:tcW w:w="2477" w:type="dxa"/>
            <w:gridSpan w:val="4"/>
            <w:tcBorders>
              <w:top w:val="single" w:color="000000" w:sz="4" w:space="0"/>
              <w:left w:val="single" w:color="000000" w:sz="4" w:space="0"/>
              <w:bottom w:val="single" w:color="000000" w:sz="4" w:space="0"/>
              <w:right w:val="single" w:color="000000" w:sz="4" w:space="0"/>
            </w:tcBorders>
            <w:noWrap w:val="0"/>
            <w:vAlign w:val="center"/>
          </w:tcPr>
          <w:p w14:paraId="2CCC3DC7">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1.0MPa</w:t>
            </w:r>
          </w:p>
        </w:tc>
        <w:tc>
          <w:tcPr>
            <w:tcW w:w="3230" w:type="dxa"/>
            <w:gridSpan w:val="6"/>
            <w:tcBorders>
              <w:top w:val="single" w:color="000000" w:sz="4" w:space="0"/>
              <w:left w:val="single" w:color="000000" w:sz="4" w:space="0"/>
              <w:bottom w:val="single" w:color="000000" w:sz="4" w:space="0"/>
              <w:right w:val="single" w:color="000000" w:sz="4" w:space="0"/>
            </w:tcBorders>
            <w:noWrap w:val="0"/>
            <w:vAlign w:val="center"/>
          </w:tcPr>
          <w:p w14:paraId="65177EFC">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1.6MPa</w:t>
            </w:r>
          </w:p>
        </w:tc>
        <w:tc>
          <w:tcPr>
            <w:tcW w:w="2089" w:type="dxa"/>
            <w:gridSpan w:val="4"/>
            <w:tcBorders>
              <w:top w:val="single" w:color="000000" w:sz="4" w:space="0"/>
              <w:left w:val="single" w:color="000000" w:sz="4" w:space="0"/>
              <w:bottom w:val="single" w:color="000000" w:sz="4" w:space="0"/>
              <w:right w:val="single" w:color="000000" w:sz="4" w:space="0"/>
            </w:tcBorders>
            <w:noWrap w:val="0"/>
            <w:vAlign w:val="center"/>
          </w:tcPr>
          <w:p w14:paraId="0F97CA20">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2.5MPa</w:t>
            </w:r>
          </w:p>
        </w:tc>
      </w:tr>
      <w:tr w14:paraId="57FF5E27">
        <w:tblPrEx>
          <w:tblCellMar>
            <w:top w:w="15" w:type="dxa"/>
            <w:left w:w="15" w:type="dxa"/>
            <w:bottom w:w="15" w:type="dxa"/>
            <w:right w:w="15" w:type="dxa"/>
          </w:tblCellMar>
        </w:tblPrEx>
        <w:trPr>
          <w:trHeight w:val="519" w:hRule="exact"/>
        </w:trPr>
        <w:tc>
          <w:tcPr>
            <w:tcW w:w="9654" w:type="dxa"/>
            <w:gridSpan w:val="15"/>
            <w:tcBorders>
              <w:top w:val="single" w:color="000000" w:sz="4" w:space="0"/>
              <w:left w:val="single" w:color="000000" w:sz="4" w:space="0"/>
              <w:bottom w:val="single" w:color="000000" w:sz="4" w:space="0"/>
              <w:right w:val="single" w:color="000000" w:sz="4" w:space="0"/>
            </w:tcBorders>
            <w:noWrap w:val="0"/>
            <w:vAlign w:val="center"/>
          </w:tcPr>
          <w:p w14:paraId="11B38479">
            <w:pPr>
              <w:spacing w:line="440" w:lineRule="exact"/>
              <w:jc w:val="center"/>
              <w:rPr>
                <w:rFonts w:hint="eastAsia" w:ascii="宋体" w:hAnsi="宋体" w:cs="仿宋_GB2312"/>
                <w:color w:val="auto"/>
                <w:sz w:val="24"/>
                <w:highlight w:val="none"/>
              </w:rPr>
            </w:pPr>
            <w:r>
              <w:rPr>
                <w:rFonts w:hint="eastAsia" w:ascii="宋体" w:hAnsi="宋体" w:cs="仿宋_GB2312"/>
                <w:b/>
                <w:bCs/>
                <w:color w:val="auto"/>
                <w:sz w:val="24"/>
                <w:highlight w:val="none"/>
              </w:rPr>
              <w:t>配件名称</w:t>
            </w:r>
          </w:p>
        </w:tc>
      </w:tr>
      <w:tr w14:paraId="79526CD8">
        <w:tblPrEx>
          <w:tblCellMar>
            <w:top w:w="15" w:type="dxa"/>
            <w:left w:w="15" w:type="dxa"/>
            <w:bottom w:w="15" w:type="dxa"/>
            <w:right w:w="15" w:type="dxa"/>
          </w:tblCellMar>
        </w:tblPrEx>
        <w:trPr>
          <w:trHeight w:val="503" w:hRule="exact"/>
        </w:trPr>
        <w:tc>
          <w:tcPr>
            <w:tcW w:w="3984" w:type="dxa"/>
            <w:gridSpan w:val="4"/>
            <w:tcBorders>
              <w:top w:val="single" w:color="000000" w:sz="4" w:space="0"/>
              <w:left w:val="single" w:color="000000" w:sz="4" w:space="0"/>
              <w:bottom w:val="single" w:color="000000" w:sz="4" w:space="0"/>
              <w:right w:val="single" w:color="000000" w:sz="4" w:space="0"/>
            </w:tcBorders>
            <w:noWrap w:val="0"/>
            <w:vAlign w:val="top"/>
          </w:tcPr>
          <w:p w14:paraId="47BAECBC">
            <w:pPr>
              <w:spacing w:line="440" w:lineRule="exact"/>
              <w:jc w:val="center"/>
              <w:rPr>
                <w:rFonts w:ascii="宋体" w:hAnsi="宋体" w:cs="仿宋_GB2312"/>
                <w:color w:val="auto"/>
                <w:sz w:val="24"/>
                <w:highlight w:val="none"/>
              </w:rPr>
            </w:pPr>
            <w:r>
              <w:rPr>
                <w:rFonts w:hint="eastAsia" w:ascii="宋体" w:hAnsi="宋体" w:cs="仿宋_GB2312"/>
                <w:color w:val="auto"/>
                <w:sz w:val="24"/>
                <w:highlight w:val="none"/>
              </w:rPr>
              <w:t>空气开关（按电机功率配置）</w:t>
            </w:r>
          </w:p>
          <w:p w14:paraId="001086FB">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24V电源</w:t>
            </w:r>
          </w:p>
        </w:tc>
        <w:tc>
          <w:tcPr>
            <w:tcW w:w="1264" w:type="dxa"/>
            <w:gridSpan w:val="3"/>
            <w:tcBorders>
              <w:top w:val="single" w:color="000000" w:sz="4" w:space="0"/>
              <w:left w:val="single" w:color="000000" w:sz="4" w:space="0"/>
              <w:bottom w:val="single" w:color="000000" w:sz="4" w:space="0"/>
              <w:right w:val="single" w:color="000000" w:sz="4" w:space="0"/>
            </w:tcBorders>
            <w:noWrap w:val="0"/>
            <w:vAlign w:val="top"/>
          </w:tcPr>
          <w:p w14:paraId="1C9BD13A">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24V电源</w:t>
            </w:r>
          </w:p>
        </w:tc>
        <w:tc>
          <w:tcPr>
            <w:tcW w:w="1616" w:type="dxa"/>
            <w:gridSpan w:val="3"/>
            <w:tcBorders>
              <w:top w:val="single" w:color="000000" w:sz="4" w:space="0"/>
              <w:left w:val="single" w:color="000000" w:sz="4" w:space="0"/>
              <w:bottom w:val="single" w:color="000000" w:sz="4" w:space="0"/>
              <w:right w:val="single" w:color="000000" w:sz="4" w:space="0"/>
            </w:tcBorders>
            <w:noWrap w:val="0"/>
            <w:vAlign w:val="top"/>
          </w:tcPr>
          <w:p w14:paraId="7887E1CC">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相序保护器</w:t>
            </w:r>
          </w:p>
        </w:tc>
        <w:tc>
          <w:tcPr>
            <w:tcW w:w="1089" w:type="dxa"/>
            <w:gridSpan w:val="2"/>
            <w:tcBorders>
              <w:top w:val="single" w:color="000000" w:sz="4" w:space="0"/>
              <w:left w:val="single" w:color="000000" w:sz="4" w:space="0"/>
              <w:bottom w:val="single" w:color="000000" w:sz="4" w:space="0"/>
              <w:right w:val="single" w:color="000000" w:sz="4" w:space="0"/>
            </w:tcBorders>
            <w:noWrap w:val="0"/>
            <w:vAlign w:val="top"/>
          </w:tcPr>
          <w:p w14:paraId="7B3F75A2">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PLC</w:t>
            </w:r>
          </w:p>
        </w:tc>
        <w:tc>
          <w:tcPr>
            <w:tcW w:w="1701" w:type="dxa"/>
            <w:gridSpan w:val="3"/>
            <w:tcBorders>
              <w:top w:val="single" w:color="000000" w:sz="4" w:space="0"/>
              <w:left w:val="single" w:color="000000" w:sz="4" w:space="0"/>
              <w:bottom w:val="single" w:color="000000" w:sz="4" w:space="0"/>
              <w:right w:val="single" w:color="000000" w:sz="4" w:space="0"/>
            </w:tcBorders>
            <w:noWrap w:val="0"/>
            <w:vAlign w:val="top"/>
          </w:tcPr>
          <w:p w14:paraId="5D27DAF6">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中间继电器</w:t>
            </w:r>
          </w:p>
        </w:tc>
      </w:tr>
      <w:tr w14:paraId="47623778">
        <w:tblPrEx>
          <w:tblCellMar>
            <w:top w:w="15" w:type="dxa"/>
            <w:left w:w="15" w:type="dxa"/>
            <w:bottom w:w="15" w:type="dxa"/>
            <w:right w:w="15" w:type="dxa"/>
          </w:tblCellMar>
        </w:tblPrEx>
        <w:trPr>
          <w:trHeight w:val="503" w:hRule="exact"/>
        </w:trPr>
        <w:tc>
          <w:tcPr>
            <w:tcW w:w="3984" w:type="dxa"/>
            <w:gridSpan w:val="4"/>
            <w:tcBorders>
              <w:top w:val="single" w:color="000000" w:sz="4" w:space="0"/>
              <w:left w:val="single" w:color="000000" w:sz="4" w:space="0"/>
              <w:bottom w:val="single" w:color="000000" w:sz="4" w:space="0"/>
              <w:right w:val="single" w:color="000000" w:sz="4" w:space="0"/>
            </w:tcBorders>
            <w:noWrap w:val="0"/>
            <w:vAlign w:val="top"/>
          </w:tcPr>
          <w:p w14:paraId="70D7EFF1">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交流接触器（按电机功率配置）</w:t>
            </w:r>
          </w:p>
        </w:tc>
        <w:tc>
          <w:tcPr>
            <w:tcW w:w="1264" w:type="dxa"/>
            <w:gridSpan w:val="3"/>
            <w:tcBorders>
              <w:top w:val="single" w:color="000000" w:sz="4" w:space="0"/>
              <w:left w:val="single" w:color="000000" w:sz="4" w:space="0"/>
              <w:bottom w:val="single" w:color="000000" w:sz="4" w:space="0"/>
              <w:right w:val="single" w:color="000000" w:sz="4" w:space="0"/>
            </w:tcBorders>
            <w:noWrap w:val="0"/>
            <w:vAlign w:val="top"/>
          </w:tcPr>
          <w:p w14:paraId="4E3D9C47">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液位开关</w:t>
            </w:r>
          </w:p>
        </w:tc>
        <w:tc>
          <w:tcPr>
            <w:tcW w:w="1616" w:type="dxa"/>
            <w:gridSpan w:val="3"/>
            <w:tcBorders>
              <w:top w:val="single" w:color="000000" w:sz="4" w:space="0"/>
              <w:left w:val="single" w:color="000000" w:sz="4" w:space="0"/>
              <w:bottom w:val="single" w:color="000000" w:sz="4" w:space="0"/>
              <w:right w:val="single" w:color="000000" w:sz="4" w:space="0"/>
            </w:tcBorders>
            <w:noWrap w:val="0"/>
            <w:vAlign w:val="top"/>
          </w:tcPr>
          <w:p w14:paraId="2C456F30">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法兰</w:t>
            </w:r>
          </w:p>
        </w:tc>
        <w:tc>
          <w:tcPr>
            <w:tcW w:w="1089" w:type="dxa"/>
            <w:gridSpan w:val="2"/>
            <w:tcBorders>
              <w:top w:val="single" w:color="000000" w:sz="4" w:space="0"/>
              <w:left w:val="single" w:color="000000" w:sz="4" w:space="0"/>
              <w:bottom w:val="single" w:color="000000" w:sz="4" w:space="0"/>
              <w:right w:val="single" w:color="000000" w:sz="4" w:space="0"/>
            </w:tcBorders>
            <w:noWrap w:val="0"/>
            <w:vAlign w:val="top"/>
          </w:tcPr>
          <w:p w14:paraId="116E2D84">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软接头</w:t>
            </w:r>
          </w:p>
        </w:tc>
        <w:tc>
          <w:tcPr>
            <w:tcW w:w="1701" w:type="dxa"/>
            <w:gridSpan w:val="3"/>
            <w:tcBorders>
              <w:top w:val="single" w:color="000000" w:sz="4" w:space="0"/>
              <w:left w:val="single" w:color="000000" w:sz="4" w:space="0"/>
              <w:bottom w:val="single" w:color="000000" w:sz="4" w:space="0"/>
              <w:right w:val="single" w:color="000000" w:sz="4" w:space="0"/>
            </w:tcBorders>
            <w:noWrap w:val="0"/>
            <w:vAlign w:val="top"/>
          </w:tcPr>
          <w:p w14:paraId="389038AB">
            <w:pPr>
              <w:spacing w:line="440" w:lineRule="exact"/>
              <w:jc w:val="center"/>
              <w:rPr>
                <w:rFonts w:hint="eastAsia" w:ascii="宋体" w:hAnsi="宋体" w:cs="仿宋_GB2312"/>
                <w:color w:val="auto"/>
                <w:sz w:val="24"/>
                <w:highlight w:val="none"/>
              </w:rPr>
            </w:pPr>
            <w:r>
              <w:rPr>
                <w:rFonts w:hint="eastAsia" w:ascii="宋体" w:hAnsi="宋体" w:cs="仿宋_GB2312"/>
                <w:color w:val="auto"/>
                <w:sz w:val="24"/>
                <w:highlight w:val="none"/>
              </w:rPr>
              <w:t>液位变送器</w:t>
            </w:r>
          </w:p>
        </w:tc>
      </w:tr>
    </w:tbl>
    <w:p w14:paraId="61771051">
      <w:pPr>
        <w:rPr>
          <w:rFonts w:ascii="宋体"/>
          <w:b/>
          <w:bCs/>
          <w:color w:val="auto"/>
          <w:sz w:val="36"/>
          <w:szCs w:val="52"/>
          <w:highlight w:val="none"/>
        </w:rPr>
      </w:pPr>
      <w:r>
        <w:rPr>
          <w:rFonts w:hint="eastAsia" w:ascii="宋体" w:hAnsi="宋体"/>
          <w:color w:val="auto"/>
          <w:sz w:val="24"/>
          <w:highlight w:val="none"/>
        </w:rPr>
        <w:t xml:space="preserve">           </w:t>
      </w:r>
      <w:r>
        <w:rPr>
          <w:rFonts w:hint="eastAsia" w:ascii="宋体" w:hAnsi="宋体" w:cs="仿宋_GB2312"/>
          <w:color w:val="auto"/>
          <w:sz w:val="24"/>
          <w:highlight w:val="none"/>
        </w:rPr>
        <w:t xml:space="preserve"> </w:t>
      </w:r>
      <w:r>
        <w:rPr>
          <w:rFonts w:hint="eastAsia" w:ascii="宋体" w:hAnsi="宋体" w:cs="仿宋_GB2312"/>
          <w:b/>
          <w:bCs/>
          <w:color w:val="auto"/>
          <w:sz w:val="24"/>
          <w:highlight w:val="none"/>
        </w:rPr>
        <w:t>注：各配件数量最低配置1套。</w:t>
      </w:r>
      <w:r>
        <w:rPr>
          <w:rFonts w:hint="eastAsia" w:ascii="宋体"/>
          <w:b/>
          <w:bCs/>
          <w:color w:val="auto"/>
          <w:sz w:val="36"/>
          <w:szCs w:val="52"/>
          <w:highlight w:val="none"/>
        </w:rPr>
        <w:br w:type="page"/>
      </w:r>
    </w:p>
    <w:p w14:paraId="600BE527">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84"/>
      <w:bookmarkEnd w:id="85"/>
    </w:p>
    <w:p w14:paraId="08C2EA82">
      <w:pPr>
        <w:pStyle w:val="3"/>
        <w:numPr>
          <w:ilvl w:val="0"/>
          <w:numId w:val="13"/>
        </w:numPr>
        <w:ind w:left="1260" w:hanging="420"/>
        <w:jc w:val="center"/>
        <w:rPr>
          <w:b/>
          <w:bCs/>
          <w:color w:val="auto"/>
          <w:szCs w:val="24"/>
          <w:highlight w:val="none"/>
        </w:rPr>
      </w:pPr>
      <w:bookmarkStart w:id="91" w:name="_Toc11690"/>
      <w:bookmarkStart w:id="92" w:name="_Toc4982"/>
      <w:bookmarkStart w:id="93" w:name="_Toc29433"/>
      <w:bookmarkStart w:id="94" w:name="_Toc449028948"/>
      <w:r>
        <w:rPr>
          <w:rFonts w:hint="eastAsia"/>
          <w:b/>
          <w:bCs/>
          <w:color w:val="auto"/>
          <w:szCs w:val="24"/>
          <w:highlight w:val="none"/>
        </w:rPr>
        <w:t>合同协议书（格式）</w:t>
      </w:r>
      <w:bookmarkEnd w:id="91"/>
      <w:bookmarkEnd w:id="92"/>
      <w:bookmarkEnd w:id="93"/>
    </w:p>
    <w:p w14:paraId="2F6F72A4">
      <w:pPr>
        <w:rPr>
          <w:color w:val="auto"/>
          <w:highlight w:val="none"/>
        </w:rPr>
      </w:pPr>
    </w:p>
    <w:p w14:paraId="007DCCB4">
      <w:pPr>
        <w:spacing w:line="440" w:lineRule="exact"/>
        <w:ind w:firstLine="2932" w:firstLineChars="1043"/>
        <w:rPr>
          <w:rFonts w:ascii="宋体" w:hAnsi="宋体" w:cs="宋体"/>
          <w:color w:val="auto"/>
          <w:sz w:val="24"/>
          <w:highlight w:val="none"/>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编号</w:t>
      </w:r>
    </w:p>
    <w:p w14:paraId="022535A9">
      <w:pPr>
        <w:spacing w:line="440" w:lineRule="exact"/>
        <w:ind w:firstLine="420" w:firstLineChars="200"/>
        <w:rPr>
          <w:rFonts w:ascii="宋体" w:hAnsi="宋体" w:cs="宋体"/>
          <w:color w:val="auto"/>
          <w:szCs w:val="21"/>
          <w:highlight w:val="none"/>
        </w:rPr>
      </w:pPr>
      <w:bookmarkStart w:id="95" w:name="_Toc247085768"/>
      <w:bookmarkStart w:id="96" w:name="_Toc152045610"/>
      <w:bookmarkStart w:id="97" w:name="_Toc246996253"/>
      <w:bookmarkStart w:id="98" w:name="_Toc179632628"/>
      <w:bookmarkStart w:id="99" w:name="_Toc296602498"/>
      <w:bookmarkStart w:id="100" w:name="_Toc144974578"/>
      <w:bookmarkStart w:id="101" w:name="_Toc246996996"/>
      <w:bookmarkStart w:id="102" w:name="_Toc152042388"/>
      <w:bookmarkStart w:id="103" w:name="_Toc469495742"/>
      <w:r>
        <w:rPr>
          <w:rFonts w:hint="eastAsia" w:ascii="宋体" w:hAnsi="宋体" w:cs="宋体"/>
          <w:color w:val="auto"/>
          <w:szCs w:val="21"/>
          <w:highlight w:val="none"/>
        </w:rPr>
        <w:t>买    方：                                   卖    方：</w:t>
      </w:r>
    </w:p>
    <w:p w14:paraId="2D5798D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    话：                                   电    话：</w:t>
      </w:r>
    </w:p>
    <w:p w14:paraId="6E0E4C02">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住    所：                                   住    所：                       </w:t>
      </w:r>
    </w:p>
    <w:p w14:paraId="094B386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（产品名称）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为中标人。按照《中华人民共和国民法典》的规定，买卖双方同意按照下述的条款和条件，签署本合同。</w:t>
      </w:r>
    </w:p>
    <w:p w14:paraId="53A1A69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本合同文件</w:t>
      </w:r>
    </w:p>
    <w:p w14:paraId="7957BAC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5199F80B">
      <w:pPr>
        <w:numPr>
          <w:ilvl w:val="0"/>
          <w:numId w:val="14"/>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招标文件；</w:t>
      </w:r>
    </w:p>
    <w:p w14:paraId="074DB85F">
      <w:pPr>
        <w:numPr>
          <w:ilvl w:val="0"/>
          <w:numId w:val="14"/>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投标文件；</w:t>
      </w:r>
    </w:p>
    <w:p w14:paraId="4B13BD8D">
      <w:pPr>
        <w:numPr>
          <w:ilvl w:val="0"/>
          <w:numId w:val="14"/>
        </w:num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中标通知书；</w:t>
      </w:r>
    </w:p>
    <w:p w14:paraId="31CF207C">
      <w:pPr>
        <w:spacing w:line="440" w:lineRule="exact"/>
        <w:ind w:left="210" w:leftChars="100"/>
        <w:rPr>
          <w:rFonts w:ascii="宋体" w:hAnsi="宋体" w:cs="宋体"/>
          <w:color w:val="auto"/>
          <w:szCs w:val="21"/>
          <w:highlight w:val="none"/>
        </w:rPr>
      </w:pPr>
      <w:r>
        <w:rPr>
          <w:rFonts w:hint="eastAsia" w:ascii="宋体" w:hAnsi="宋体" w:cs="宋体"/>
          <w:color w:val="auto"/>
          <w:szCs w:val="21"/>
          <w:highlight w:val="none"/>
        </w:rPr>
        <w:t>（4）经双方确认进入合同的其它文件、补充条款或说明。</w:t>
      </w:r>
    </w:p>
    <w:p w14:paraId="77E5AA2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采购标的、数量、质量要求</w:t>
      </w:r>
    </w:p>
    <w:p w14:paraId="2B548EC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综合单价合同</w:t>
      </w:r>
    </w:p>
    <w:p w14:paraId="0C090066">
      <w:pPr>
        <w:spacing w:line="34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元人民币。</w:t>
      </w:r>
    </w:p>
    <w:p w14:paraId="727DC36E">
      <w:pPr>
        <w:numPr>
          <w:ilvl w:val="0"/>
          <w:numId w:val="0"/>
        </w:numPr>
        <w:spacing w:line="440" w:lineRule="exact"/>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付款方式</w:t>
      </w:r>
      <w:r>
        <w:rPr>
          <w:rFonts w:hint="eastAsia" w:ascii="宋体" w:hAnsi="宋体" w:cs="宋体"/>
          <w:b/>
          <w:bCs/>
          <w:color w:val="auto"/>
          <w:szCs w:val="21"/>
          <w:highlight w:val="none"/>
        </w:rPr>
        <w:t>：</w:t>
      </w:r>
    </w:p>
    <w:p w14:paraId="5A5F64CF">
      <w:pPr>
        <w:numPr>
          <w:ilvl w:val="0"/>
          <w:numId w:val="0"/>
        </w:num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合同供货期限：</w:t>
      </w:r>
    </w:p>
    <w:p w14:paraId="6B983B54">
      <w:pPr>
        <w:spacing w:line="440" w:lineRule="exact"/>
        <w:ind w:left="416" w:leftChars="198"/>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供货地点：货物运至招标人指定地点。</w:t>
      </w:r>
    </w:p>
    <w:p w14:paraId="0D70919F">
      <w:pPr>
        <w:spacing w:line="440" w:lineRule="exact"/>
        <w:ind w:left="420" w:leftChars="200"/>
        <w:rPr>
          <w:rFonts w:ascii="宋体" w:hAnsi="宋体" w:cs="宋体"/>
          <w:b/>
          <w:bCs/>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验收要求及违约责任：</w:t>
      </w:r>
    </w:p>
    <w:p w14:paraId="5C3886F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cs="宋体"/>
          <w:color w:val="auto"/>
          <w:szCs w:val="21"/>
          <w:highlight w:val="none"/>
        </w:rPr>
        <w:t>违约责任及解决争议方法</w:t>
      </w:r>
    </w:p>
    <w:p w14:paraId="67049CD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合同的生效</w:t>
      </w:r>
    </w:p>
    <w:p w14:paraId="632F1295">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合同经双方授权代表签署，买卖双方加盖印章之后生效。</w:t>
      </w:r>
    </w:p>
    <w:p w14:paraId="17105E4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本合同一式     份，双方各执     份。</w:t>
      </w:r>
    </w:p>
    <w:p w14:paraId="4611904D">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买  方：                          卖  方：</w:t>
      </w:r>
    </w:p>
    <w:p w14:paraId="0AAD23A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名  称：（盖章）                   名  称：（盖章）</w:t>
      </w:r>
    </w:p>
    <w:p w14:paraId="05DC866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法定代表人（或委托代理人）：       法定代表人（或委托代理人）：</w:t>
      </w:r>
    </w:p>
    <w:p w14:paraId="3ABF43E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（签字）                        （签字）</w:t>
      </w:r>
    </w:p>
    <w:p w14:paraId="63AC3F9A">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地    址：                        地    址：</w:t>
      </w:r>
    </w:p>
    <w:p w14:paraId="71BD4254">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邮政编码：                        邮政编码：</w:t>
      </w:r>
    </w:p>
    <w:p w14:paraId="4CB60C26">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电    话：                        电    话：</w:t>
      </w:r>
    </w:p>
    <w:p w14:paraId="240F4F8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开户银行：                        开户银行：</w:t>
      </w:r>
    </w:p>
    <w:p w14:paraId="6F5153AF">
      <w:pPr>
        <w:pStyle w:val="13"/>
        <w:spacing w:after="0" w:line="440" w:lineRule="exact"/>
        <w:ind w:left="0" w:leftChars="0" w:firstLine="420" w:firstLineChars="200"/>
        <w:rPr>
          <w:rFonts w:ascii="宋体" w:hAnsi="宋体" w:cs="宋体"/>
          <w:b/>
          <w:color w:val="auto"/>
          <w:sz w:val="30"/>
          <w:szCs w:val="30"/>
          <w:highlight w:val="none"/>
        </w:rPr>
      </w:pPr>
      <w:r>
        <w:rPr>
          <w:rFonts w:hint="eastAsia" w:ascii="宋体" w:hAnsi="宋体" w:cs="宋体"/>
          <w:color w:val="auto"/>
          <w:kern w:val="0"/>
          <w:szCs w:val="21"/>
          <w:highlight w:val="none"/>
          <w:u w:color="000000"/>
        </w:rPr>
        <w:t>帐    号：                        帐    号：</w:t>
      </w:r>
    </w:p>
    <w:p w14:paraId="54DCB26B">
      <w:pPr>
        <w:rPr>
          <w:color w:val="auto"/>
          <w:highlight w:val="none"/>
        </w:rPr>
      </w:pPr>
      <w:r>
        <w:rPr>
          <w:rFonts w:hint="eastAsia"/>
          <w:color w:val="auto"/>
          <w:highlight w:val="none"/>
        </w:rPr>
        <w:br w:type="page"/>
      </w:r>
    </w:p>
    <w:p w14:paraId="07842D99">
      <w:pPr>
        <w:pStyle w:val="3"/>
        <w:numPr>
          <w:ilvl w:val="0"/>
          <w:numId w:val="13"/>
        </w:numPr>
        <w:ind w:left="1260" w:hanging="420"/>
        <w:jc w:val="center"/>
        <w:rPr>
          <w:b/>
          <w:bCs/>
          <w:color w:val="auto"/>
          <w:szCs w:val="24"/>
          <w:highlight w:val="none"/>
        </w:rPr>
      </w:pPr>
      <w:bookmarkStart w:id="104" w:name="_Toc16580"/>
      <w:bookmarkStart w:id="105" w:name="_Toc4456"/>
      <w:bookmarkStart w:id="106" w:name="_Toc8755"/>
      <w:r>
        <w:rPr>
          <w:rFonts w:hint="eastAsia"/>
          <w:b/>
          <w:bCs/>
          <w:color w:val="auto"/>
          <w:szCs w:val="24"/>
          <w:highlight w:val="none"/>
        </w:rPr>
        <w:t>合同条款</w:t>
      </w:r>
      <w:bookmarkEnd w:id="95"/>
      <w:bookmarkEnd w:id="96"/>
      <w:bookmarkEnd w:id="97"/>
      <w:bookmarkEnd w:id="98"/>
      <w:bookmarkEnd w:id="99"/>
      <w:bookmarkEnd w:id="100"/>
      <w:bookmarkEnd w:id="101"/>
      <w:bookmarkEnd w:id="102"/>
      <w:bookmarkEnd w:id="103"/>
      <w:bookmarkEnd w:id="104"/>
      <w:bookmarkEnd w:id="105"/>
      <w:bookmarkEnd w:id="106"/>
    </w:p>
    <w:p w14:paraId="32C1C4D3">
      <w:pPr>
        <w:spacing w:line="440" w:lineRule="exact"/>
        <w:rPr>
          <w:rFonts w:ascii="宋体" w:hAnsi="宋体" w:cs="宋体"/>
          <w:b/>
          <w:color w:val="auto"/>
          <w:szCs w:val="21"/>
          <w:highlight w:val="none"/>
        </w:rPr>
      </w:pPr>
      <w:r>
        <w:rPr>
          <w:rFonts w:hint="eastAsia" w:ascii="宋体" w:hAnsi="宋体" w:cs="宋体"/>
          <w:b/>
          <w:color w:val="auto"/>
          <w:szCs w:val="21"/>
          <w:highlight w:val="none"/>
        </w:rPr>
        <w:t>一.  合同文件</w:t>
      </w:r>
    </w:p>
    <w:p w14:paraId="21F71728">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1、合同文件适用法律</w:t>
      </w:r>
    </w:p>
    <w:p w14:paraId="73D08141">
      <w:pPr>
        <w:spacing w:line="440" w:lineRule="exact"/>
        <w:rPr>
          <w:rFonts w:ascii="宋体" w:hAnsi="宋体" w:cs="宋体"/>
          <w:color w:val="auto"/>
          <w:szCs w:val="21"/>
          <w:highlight w:val="none"/>
        </w:rPr>
      </w:pPr>
      <w:r>
        <w:rPr>
          <w:rFonts w:hint="eastAsia" w:ascii="宋体" w:hAnsi="宋体" w:cs="宋体"/>
          <w:color w:val="auto"/>
          <w:szCs w:val="21"/>
          <w:highlight w:val="none"/>
        </w:rPr>
        <w:t>适用于合同文件的法律是中华人民共和国现行法律、法规及招标人所在地的地方性法规。</w:t>
      </w:r>
    </w:p>
    <w:p w14:paraId="69870FD2">
      <w:pPr>
        <w:spacing w:line="440" w:lineRule="exact"/>
        <w:rPr>
          <w:rFonts w:ascii="宋体" w:hAnsi="宋体" w:cs="宋体"/>
          <w:color w:val="auto"/>
          <w:szCs w:val="21"/>
          <w:highlight w:val="none"/>
        </w:rPr>
      </w:pPr>
      <w:r>
        <w:rPr>
          <w:rFonts w:hint="eastAsia" w:ascii="宋体" w:hAnsi="宋体" w:cs="宋体"/>
          <w:color w:val="auto"/>
          <w:szCs w:val="21"/>
          <w:highlight w:val="none"/>
        </w:rPr>
        <w:t>2、合同文件组成和解释顺序</w:t>
      </w:r>
    </w:p>
    <w:p w14:paraId="2485BA4C">
      <w:pPr>
        <w:spacing w:line="440" w:lineRule="exact"/>
        <w:rPr>
          <w:rFonts w:ascii="宋体" w:hAnsi="宋体" w:cs="宋体"/>
          <w:color w:val="auto"/>
          <w:szCs w:val="21"/>
          <w:highlight w:val="none"/>
        </w:rPr>
      </w:pPr>
      <w:r>
        <w:rPr>
          <w:rFonts w:hint="eastAsia" w:ascii="宋体" w:hAnsi="宋体" w:cs="宋体"/>
          <w:color w:val="auto"/>
          <w:szCs w:val="21"/>
          <w:highlight w:val="none"/>
        </w:rPr>
        <w:t>(1)合同文件的组成和解释顺序如下：</w:t>
      </w:r>
    </w:p>
    <w:p w14:paraId="7BB420D8">
      <w:pPr>
        <w:spacing w:line="440" w:lineRule="exact"/>
        <w:rPr>
          <w:rFonts w:ascii="宋体" w:hAnsi="宋体" w:cs="宋体"/>
          <w:color w:val="auto"/>
          <w:szCs w:val="21"/>
          <w:highlight w:val="none"/>
        </w:rPr>
      </w:pPr>
      <w:r>
        <w:rPr>
          <w:rFonts w:hint="eastAsia" w:ascii="宋体" w:hAnsi="宋体" w:cs="宋体"/>
          <w:color w:val="auto"/>
          <w:szCs w:val="21"/>
          <w:highlight w:val="none"/>
        </w:rPr>
        <w:t>&lt;1&gt;合同的主要条款；</w:t>
      </w:r>
    </w:p>
    <w:p w14:paraId="4CA1ABB9">
      <w:pPr>
        <w:spacing w:line="440" w:lineRule="exact"/>
        <w:rPr>
          <w:rFonts w:ascii="宋体" w:hAnsi="宋体" w:cs="宋体"/>
          <w:color w:val="auto"/>
          <w:szCs w:val="21"/>
          <w:highlight w:val="none"/>
        </w:rPr>
      </w:pPr>
      <w:r>
        <w:rPr>
          <w:rFonts w:hint="eastAsia" w:ascii="宋体" w:hAnsi="宋体" w:cs="宋体"/>
          <w:color w:val="auto"/>
          <w:szCs w:val="21"/>
          <w:highlight w:val="none"/>
        </w:rPr>
        <w:t>&lt;2&gt;合同的一般性条款；</w:t>
      </w:r>
    </w:p>
    <w:p w14:paraId="52703A2A">
      <w:pPr>
        <w:spacing w:line="440" w:lineRule="exact"/>
        <w:rPr>
          <w:rFonts w:ascii="宋体" w:hAnsi="宋体" w:cs="宋体"/>
          <w:color w:val="auto"/>
          <w:szCs w:val="21"/>
          <w:highlight w:val="none"/>
        </w:rPr>
      </w:pPr>
      <w:r>
        <w:rPr>
          <w:rFonts w:hint="eastAsia" w:ascii="宋体" w:hAnsi="宋体" w:cs="宋体"/>
          <w:color w:val="auto"/>
          <w:szCs w:val="21"/>
          <w:highlight w:val="none"/>
        </w:rPr>
        <w:t>&lt;3&gt;洽商、变更等明确双方权利义务的纪要、协议；</w:t>
      </w:r>
    </w:p>
    <w:p w14:paraId="275A608C">
      <w:pPr>
        <w:spacing w:line="440" w:lineRule="exact"/>
        <w:rPr>
          <w:rFonts w:ascii="宋体" w:hAnsi="宋体" w:cs="宋体"/>
          <w:color w:val="auto"/>
          <w:szCs w:val="21"/>
          <w:highlight w:val="none"/>
        </w:rPr>
      </w:pPr>
      <w:r>
        <w:rPr>
          <w:rFonts w:hint="eastAsia" w:ascii="宋体" w:hAnsi="宋体" w:cs="宋体"/>
          <w:color w:val="auto"/>
          <w:szCs w:val="21"/>
          <w:highlight w:val="none"/>
        </w:rPr>
        <w:t>&lt;4&gt;中标通知书、投标文件和招标文件；</w:t>
      </w:r>
    </w:p>
    <w:p w14:paraId="3A964A36">
      <w:pPr>
        <w:spacing w:line="440" w:lineRule="exact"/>
        <w:rPr>
          <w:rFonts w:ascii="宋体" w:hAnsi="宋体" w:cs="宋体"/>
          <w:color w:val="auto"/>
          <w:szCs w:val="21"/>
          <w:highlight w:val="none"/>
        </w:rPr>
      </w:pPr>
      <w:r>
        <w:rPr>
          <w:rFonts w:hint="eastAsia" w:ascii="宋体" w:hAnsi="宋体" w:cs="宋体"/>
          <w:color w:val="auto"/>
          <w:szCs w:val="21"/>
          <w:highlight w:val="none"/>
        </w:rPr>
        <w:t>&lt;5&gt;有关图纸、标准、规范和其它有关技术资料、技术要求。</w:t>
      </w:r>
    </w:p>
    <w:p w14:paraId="0095E110">
      <w:pPr>
        <w:spacing w:line="440" w:lineRule="exact"/>
        <w:rPr>
          <w:rFonts w:ascii="宋体" w:hAnsi="宋体" w:cs="宋体"/>
          <w:color w:val="auto"/>
          <w:szCs w:val="21"/>
          <w:highlight w:val="none"/>
        </w:rPr>
      </w:pPr>
      <w:r>
        <w:rPr>
          <w:rFonts w:hint="eastAsia" w:ascii="宋体" w:hAnsi="宋体" w:cs="宋体"/>
          <w:color w:val="auto"/>
          <w:szCs w:val="21"/>
          <w:highlight w:val="none"/>
        </w:rPr>
        <w:t>&lt;6&gt;合同的主要条款的效力优于合同的一般性条款的效力。</w:t>
      </w:r>
    </w:p>
    <w:p w14:paraId="214D1820">
      <w:pPr>
        <w:spacing w:line="440" w:lineRule="exact"/>
        <w:rPr>
          <w:rFonts w:ascii="宋体" w:hAnsi="宋体" w:cs="宋体"/>
          <w:color w:val="auto"/>
          <w:szCs w:val="21"/>
          <w:highlight w:val="none"/>
        </w:rPr>
      </w:pPr>
      <w:r>
        <w:rPr>
          <w:rFonts w:hint="eastAsia" w:ascii="宋体" w:hAnsi="宋体" w:cs="宋体"/>
          <w:color w:val="auto"/>
          <w:szCs w:val="21"/>
          <w:highlight w:val="none"/>
        </w:rPr>
        <w:t>3、合同文件使用文字</w:t>
      </w:r>
    </w:p>
    <w:p w14:paraId="5DCEA000">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(1)合同文件使用中文书写、解释和说明。</w:t>
      </w:r>
    </w:p>
    <w:p w14:paraId="3D3A036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(2)合同文件使用技术性条款约定的为国家标准和规范；国家没有相应标准、规范时，可使用行业标准、规范。非标货物应按约定的技术性条款的标准和规范。 </w:t>
      </w:r>
    </w:p>
    <w:p w14:paraId="61CC55D5">
      <w:pPr>
        <w:spacing w:line="440" w:lineRule="exact"/>
        <w:rPr>
          <w:rFonts w:ascii="宋体" w:hAnsi="宋体" w:cs="宋体"/>
          <w:b/>
          <w:color w:val="auto"/>
          <w:szCs w:val="21"/>
          <w:highlight w:val="none"/>
        </w:rPr>
      </w:pPr>
      <w:r>
        <w:rPr>
          <w:rFonts w:hint="eastAsia" w:ascii="宋体" w:hAnsi="宋体" w:cs="宋体"/>
          <w:b/>
          <w:color w:val="auto"/>
          <w:szCs w:val="21"/>
          <w:highlight w:val="none"/>
        </w:rPr>
        <w:t>二.  标的物的一般条款</w:t>
      </w:r>
    </w:p>
    <w:p w14:paraId="5912ECB2">
      <w:pPr>
        <w:spacing w:line="440" w:lineRule="exact"/>
        <w:rPr>
          <w:rFonts w:ascii="宋体" w:hAnsi="宋体" w:cs="宋体"/>
          <w:color w:val="auto"/>
          <w:szCs w:val="21"/>
          <w:highlight w:val="none"/>
        </w:rPr>
      </w:pPr>
      <w:r>
        <w:rPr>
          <w:rFonts w:hint="eastAsia" w:ascii="宋体" w:hAnsi="宋体" w:cs="宋体"/>
          <w:color w:val="auto"/>
          <w:szCs w:val="21"/>
          <w:highlight w:val="none"/>
        </w:rPr>
        <w:t>4、完整物权</w:t>
      </w:r>
    </w:p>
    <w:p w14:paraId="73EF2EBF">
      <w:pPr>
        <w:tabs>
          <w:tab w:val="left" w:pos="660"/>
        </w:tabs>
        <w:spacing w:line="440" w:lineRule="exact"/>
        <w:rPr>
          <w:rFonts w:ascii="宋体" w:hAnsi="宋体" w:cs="宋体"/>
          <w:color w:val="auto"/>
          <w:szCs w:val="21"/>
          <w:highlight w:val="none"/>
        </w:rPr>
      </w:pPr>
      <w:r>
        <w:rPr>
          <w:rFonts w:hint="eastAsia" w:ascii="宋体" w:hAnsi="宋体" w:cs="宋体"/>
          <w:color w:val="auto"/>
          <w:szCs w:val="21"/>
          <w:highlight w:val="none"/>
        </w:rPr>
        <w:t>对于出卖的标的物，卖方应当拥有完整物权，并且卖方负有保证第三人不得向买方主张任何权利（包括知识产权）的义务。</w:t>
      </w:r>
    </w:p>
    <w:p w14:paraId="6E74E884">
      <w:pPr>
        <w:spacing w:line="440" w:lineRule="exact"/>
        <w:rPr>
          <w:rFonts w:ascii="宋体" w:hAnsi="宋体" w:cs="宋体"/>
          <w:color w:val="auto"/>
          <w:szCs w:val="21"/>
          <w:highlight w:val="none"/>
        </w:rPr>
      </w:pPr>
      <w:r>
        <w:rPr>
          <w:rFonts w:hint="eastAsia" w:ascii="宋体" w:hAnsi="宋体" w:cs="宋体"/>
          <w:color w:val="auto"/>
          <w:szCs w:val="21"/>
          <w:highlight w:val="none"/>
        </w:rPr>
        <w:t>5、质量保证</w:t>
      </w:r>
    </w:p>
    <w:p w14:paraId="2B93749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21E1F2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065848B8">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67BB2B49">
      <w:pPr>
        <w:spacing w:line="440" w:lineRule="exact"/>
        <w:rPr>
          <w:rFonts w:ascii="宋体" w:hAnsi="宋体" w:cs="宋体"/>
          <w:color w:val="auto"/>
          <w:szCs w:val="21"/>
          <w:highlight w:val="none"/>
        </w:rPr>
      </w:pPr>
      <w:r>
        <w:rPr>
          <w:rFonts w:hint="eastAsia" w:ascii="宋体" w:hAnsi="宋体" w:cs="宋体"/>
          <w:color w:val="auto"/>
          <w:szCs w:val="21"/>
          <w:highlight w:val="none"/>
        </w:rPr>
        <w:t>6、包装</w:t>
      </w:r>
    </w:p>
    <w:p w14:paraId="7B82A4CA">
      <w:pPr>
        <w:pStyle w:val="11"/>
        <w:tabs>
          <w:tab w:val="left" w:pos="900"/>
        </w:tabs>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16DD8415">
      <w:pPr>
        <w:spacing w:line="440" w:lineRule="exact"/>
        <w:rPr>
          <w:rFonts w:ascii="宋体" w:hAnsi="宋体" w:cs="宋体"/>
          <w:color w:val="auto"/>
          <w:szCs w:val="21"/>
          <w:highlight w:val="none"/>
        </w:rPr>
      </w:pPr>
      <w:r>
        <w:rPr>
          <w:rFonts w:hint="eastAsia" w:ascii="宋体" w:hAnsi="宋体" w:cs="宋体"/>
          <w:color w:val="auto"/>
          <w:szCs w:val="21"/>
          <w:highlight w:val="none"/>
        </w:rPr>
        <w:t>7、伴随服务</w:t>
      </w:r>
    </w:p>
    <w:p w14:paraId="081BBDA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(1)卖方除应履行按期按量交付合格标的物的义务之外，还应提供下列服务：</w:t>
      </w:r>
    </w:p>
    <w:p w14:paraId="3EDC532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&lt;1&gt;标的物的现场安装或指导安装、启动、调试、监督（如果必须安装、调试的话）；</w:t>
      </w:r>
    </w:p>
    <w:p w14:paraId="5D0CA32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&lt;2&gt;提供标的物组装和一般维修所必须的工具；</w:t>
      </w:r>
    </w:p>
    <w:p w14:paraId="45561DE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&lt;3&gt;在合同规定的期限内对所提供标的物实行运行监督、维修服务的前提条件是该服务并不能免除卖方在质量保证期内所承担的义务；</w:t>
      </w:r>
    </w:p>
    <w:p w14:paraId="1B656102">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&lt;4&gt;对买方技术人员的技术指导或培训。</w:t>
      </w:r>
    </w:p>
    <w:p w14:paraId="0C69E595">
      <w:pPr>
        <w:pStyle w:val="11"/>
        <w:numPr>
          <w:ilvl w:val="0"/>
          <w:numId w:val="15"/>
        </w:numPr>
        <w:overflowPunct w:val="0"/>
        <w:spacing w:line="440" w:lineRule="exact"/>
        <w:ind w:firstLine="0"/>
        <w:rPr>
          <w:color w:val="auto"/>
          <w:highlight w:val="none"/>
        </w:rPr>
      </w:pPr>
      <w:r>
        <w:rPr>
          <w:rFonts w:hint="eastAsia" w:ascii="宋体" w:hAnsi="宋体" w:cs="宋体"/>
          <w:color w:val="auto"/>
          <w:sz w:val="21"/>
          <w:szCs w:val="21"/>
          <w:highlight w:val="none"/>
          <w:u w:color="000000"/>
        </w:rPr>
        <w:t>除合同另有规定之外，伴随服务的费用均已含在合同价款中，买方不再另行进行支付。</w:t>
      </w:r>
    </w:p>
    <w:p w14:paraId="655064D4">
      <w:pPr>
        <w:spacing w:line="440" w:lineRule="exact"/>
        <w:rPr>
          <w:rFonts w:ascii="宋体" w:hAnsi="宋体" w:cs="宋体"/>
          <w:b/>
          <w:color w:val="auto"/>
          <w:szCs w:val="21"/>
          <w:highlight w:val="none"/>
        </w:rPr>
      </w:pPr>
      <w:r>
        <w:rPr>
          <w:rFonts w:hint="eastAsia" w:ascii="宋体" w:hAnsi="宋体" w:cs="宋体"/>
          <w:b/>
          <w:color w:val="auto"/>
          <w:szCs w:val="21"/>
          <w:highlight w:val="none"/>
        </w:rPr>
        <w:t>三.  标的物的交付、检验和验收</w:t>
      </w:r>
    </w:p>
    <w:p w14:paraId="46C67540">
      <w:pPr>
        <w:spacing w:line="440" w:lineRule="exact"/>
        <w:rPr>
          <w:rFonts w:ascii="宋体" w:hAnsi="宋体" w:cs="宋体"/>
          <w:color w:val="auto"/>
          <w:szCs w:val="21"/>
          <w:highlight w:val="none"/>
        </w:rPr>
      </w:pPr>
      <w:r>
        <w:rPr>
          <w:rFonts w:hint="eastAsia" w:ascii="宋体" w:hAnsi="宋体" w:cs="宋体"/>
          <w:color w:val="auto"/>
          <w:szCs w:val="21"/>
          <w:highlight w:val="none"/>
        </w:rPr>
        <w:t>8、标的物的交付</w:t>
      </w:r>
    </w:p>
    <w:p w14:paraId="59EB2716">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(1)标的物的所有权自标的物交付时转移。</w:t>
      </w:r>
    </w:p>
    <w:p w14:paraId="6957911B">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(2)卖方应当按照约定的期限和约定的地点交付符合招标文件要求的标的物。</w:t>
      </w:r>
    </w:p>
    <w:p w14:paraId="4CC3B1CE">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(3)卖方应当按照约定或者交易习惯向招标人交付提取标的物单证以外的有关单证和资料。</w:t>
      </w:r>
    </w:p>
    <w:p w14:paraId="030DA5C4">
      <w:pPr>
        <w:spacing w:line="440" w:lineRule="exact"/>
        <w:rPr>
          <w:rFonts w:ascii="宋体" w:hAnsi="宋体" w:cs="宋体"/>
          <w:color w:val="auto"/>
          <w:szCs w:val="21"/>
          <w:highlight w:val="none"/>
        </w:rPr>
      </w:pPr>
      <w:r>
        <w:rPr>
          <w:rFonts w:hint="eastAsia" w:ascii="宋体" w:hAnsi="宋体" w:cs="宋体"/>
          <w:color w:val="auto"/>
          <w:szCs w:val="21"/>
          <w:highlight w:val="none"/>
        </w:rPr>
        <w:t>9、检验和验收</w:t>
      </w:r>
    </w:p>
    <w:p w14:paraId="061CB79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75FC136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(2)买方根据合同规定的内容和验收标准进行验收，经检验无误后出具验收合格证明，该证明作为最终付款所需文件的组成部分。</w:t>
      </w:r>
    </w:p>
    <w:p w14:paraId="4D643D88">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(3)验收期限自标的物交付之日起三十天内。特殊情况需延长的，双方应在合同条款中约定。</w:t>
      </w:r>
    </w:p>
    <w:p w14:paraId="62127DCE">
      <w:pPr>
        <w:spacing w:line="440" w:lineRule="exact"/>
        <w:rPr>
          <w:rFonts w:ascii="宋体" w:hAnsi="宋体" w:cs="宋体"/>
          <w:b/>
          <w:color w:val="auto"/>
          <w:szCs w:val="21"/>
          <w:highlight w:val="none"/>
        </w:rPr>
      </w:pPr>
      <w:r>
        <w:rPr>
          <w:rFonts w:hint="eastAsia" w:ascii="宋体" w:hAnsi="宋体" w:cs="宋体"/>
          <w:b/>
          <w:color w:val="auto"/>
          <w:szCs w:val="21"/>
          <w:highlight w:val="none"/>
        </w:rPr>
        <w:t>四. 对标的物提出异议的时间和办法</w:t>
      </w:r>
    </w:p>
    <w:p w14:paraId="3BB05148">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10、对标的物提出异议的时间和办法 </w:t>
      </w:r>
    </w:p>
    <w:p w14:paraId="3065064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(1)买方在验收过程中，应当于双方约定的检验期间内将标的物的数量或质量不符合约定的情形及处理方式以书面形式通知卖方。</w:t>
      </w:r>
    </w:p>
    <w:p w14:paraId="0F832A2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(2)如买方在验收期满后既不出具验收合格证明又未提出书面异议的视为卖方所交标的物符合合同规定。</w:t>
      </w:r>
    </w:p>
    <w:p w14:paraId="27EE457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(3)卖方应在收到买方书面异议后七天内负责处理问题，否则将视为默认买方提出的异议和处理意见。</w:t>
      </w:r>
    </w:p>
    <w:p w14:paraId="096A12B4">
      <w:pPr>
        <w:spacing w:line="440" w:lineRule="exact"/>
        <w:rPr>
          <w:rFonts w:ascii="宋体" w:hAnsi="宋体" w:cs="宋体"/>
          <w:b/>
          <w:color w:val="auto"/>
          <w:szCs w:val="21"/>
          <w:highlight w:val="none"/>
        </w:rPr>
      </w:pPr>
      <w:r>
        <w:rPr>
          <w:rFonts w:hint="eastAsia" w:ascii="宋体" w:hAnsi="宋体" w:cs="宋体"/>
          <w:b/>
          <w:color w:val="auto"/>
          <w:szCs w:val="21"/>
          <w:highlight w:val="none"/>
        </w:rPr>
        <w:t>五. 合同价款和支付</w:t>
      </w:r>
    </w:p>
    <w:p w14:paraId="1B9D19C0">
      <w:pPr>
        <w:spacing w:line="440" w:lineRule="exact"/>
        <w:rPr>
          <w:rFonts w:ascii="宋体" w:hAnsi="宋体" w:cs="宋体"/>
          <w:color w:val="auto"/>
          <w:szCs w:val="21"/>
          <w:highlight w:val="none"/>
        </w:rPr>
      </w:pPr>
      <w:r>
        <w:rPr>
          <w:rFonts w:hint="eastAsia" w:ascii="宋体" w:hAnsi="宋体" w:cs="宋体"/>
          <w:color w:val="auto"/>
          <w:szCs w:val="21"/>
          <w:highlight w:val="none"/>
        </w:rPr>
        <w:t>11、合同价款和支付</w:t>
      </w:r>
    </w:p>
    <w:p w14:paraId="5351D14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(1)本合同的结算货币为人民币，单位元。</w:t>
      </w:r>
    </w:p>
    <w:p w14:paraId="49640A5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(2)卖方应按照双方签订的合同规定交货并在合同主要条款规定的期限内持下列单据结算货款：</w:t>
      </w:r>
    </w:p>
    <w:p w14:paraId="48FFA323">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&lt;1&gt;合格的销售发票；</w:t>
      </w:r>
    </w:p>
    <w:p w14:paraId="7758651B">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&lt;2&gt;买方盖章签收后的送货回单和验收合格证明。</w:t>
      </w:r>
    </w:p>
    <w:p w14:paraId="7866B72E">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(3)买方应按合同主要条款规定的期限和方式付款。</w:t>
      </w:r>
    </w:p>
    <w:p w14:paraId="3651D894">
      <w:pPr>
        <w:pStyle w:val="11"/>
        <w:tabs>
          <w:tab w:val="left" w:pos="54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(4)根据现行税法对买方征收的与本合同有关的一切税费均由买方承担；根据现行税法对卖方征收的与本合同有关的一切税费均由卖方承担。</w:t>
      </w:r>
    </w:p>
    <w:p w14:paraId="048A3B11">
      <w:pPr>
        <w:spacing w:line="440" w:lineRule="exact"/>
        <w:rPr>
          <w:rFonts w:ascii="宋体" w:hAnsi="宋体" w:cs="宋体"/>
          <w:b/>
          <w:color w:val="auto"/>
          <w:szCs w:val="21"/>
          <w:highlight w:val="none"/>
        </w:rPr>
      </w:pPr>
      <w:r>
        <w:rPr>
          <w:rFonts w:hint="eastAsia" w:ascii="宋体" w:hAnsi="宋体" w:cs="宋体"/>
          <w:b/>
          <w:color w:val="auto"/>
          <w:szCs w:val="21"/>
          <w:highlight w:val="none"/>
        </w:rPr>
        <w:t>六. 违约责任</w:t>
      </w:r>
    </w:p>
    <w:p w14:paraId="1A3E0CC6">
      <w:pPr>
        <w:spacing w:line="440" w:lineRule="exact"/>
        <w:rPr>
          <w:rFonts w:ascii="宋体" w:hAnsi="宋体" w:cs="宋体"/>
          <w:color w:val="auto"/>
          <w:szCs w:val="21"/>
          <w:highlight w:val="none"/>
        </w:rPr>
      </w:pPr>
      <w:r>
        <w:rPr>
          <w:rFonts w:hint="eastAsia" w:ascii="宋体" w:hAnsi="宋体" w:cs="宋体"/>
          <w:color w:val="auto"/>
          <w:szCs w:val="21"/>
          <w:highlight w:val="none"/>
        </w:rPr>
        <w:t>12、违约责任</w:t>
      </w:r>
    </w:p>
    <w:p w14:paraId="217ECE7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合同一方不履行合同义务或者履行合同义务不符合约定的，应当承担继续履行、采取补救措施或者赔偿损失等违约责任。</w:t>
      </w:r>
    </w:p>
    <w:p w14:paraId="347CB1CD">
      <w:pPr>
        <w:spacing w:line="440" w:lineRule="exact"/>
        <w:rPr>
          <w:rFonts w:ascii="宋体" w:hAnsi="宋体" w:cs="宋体"/>
          <w:color w:val="auto"/>
          <w:szCs w:val="21"/>
          <w:highlight w:val="none"/>
        </w:rPr>
      </w:pPr>
      <w:r>
        <w:rPr>
          <w:rFonts w:hint="eastAsia" w:ascii="宋体" w:hAnsi="宋体" w:cs="宋体"/>
          <w:color w:val="auto"/>
          <w:szCs w:val="21"/>
          <w:highlight w:val="none"/>
        </w:rPr>
        <w:t>13、买方违约责任</w:t>
      </w:r>
    </w:p>
    <w:p w14:paraId="20220C32">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(1)在合同生效后，买方要求退货的，应向卖方偿付合同总价款的5%，作为违约金，违约金不足以补偿损失的，卖方有权要求甲方补足。</w:t>
      </w:r>
    </w:p>
    <w:p w14:paraId="702F363D">
      <w:pPr>
        <w:pStyle w:val="11"/>
        <w:overflowPunct w:val="0"/>
        <w:spacing w:line="440" w:lineRule="exact"/>
        <w:ind w:right="-334" w:rightChars="-159"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(2)买方逾期付款的应按照逾期付款金额的每天万分之四支付逾期付款违约金。</w:t>
      </w:r>
    </w:p>
    <w:p w14:paraId="35EAD14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(3)买方违反合同规定，拒绝接收卖方交付的符合招标文件要求的合格标的物，应当承担卖方由此造成的损失。</w:t>
      </w:r>
    </w:p>
    <w:p w14:paraId="6DB153E6">
      <w:pPr>
        <w:spacing w:line="440" w:lineRule="exact"/>
        <w:rPr>
          <w:rFonts w:ascii="宋体" w:hAnsi="宋体" w:cs="宋体"/>
          <w:color w:val="auto"/>
          <w:szCs w:val="21"/>
          <w:highlight w:val="none"/>
        </w:rPr>
      </w:pPr>
      <w:r>
        <w:rPr>
          <w:rFonts w:hint="eastAsia" w:ascii="宋体" w:hAnsi="宋体" w:cs="宋体"/>
          <w:color w:val="auto"/>
          <w:szCs w:val="21"/>
          <w:highlight w:val="none"/>
        </w:rPr>
        <w:t>14、卖方违约责任</w:t>
      </w:r>
    </w:p>
    <w:p w14:paraId="1B036D69">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706492B5">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09C7BE13">
      <w:pPr>
        <w:spacing w:line="440" w:lineRule="exact"/>
        <w:rPr>
          <w:rFonts w:ascii="宋体" w:hAnsi="宋体" w:cs="宋体"/>
          <w:color w:val="auto"/>
          <w:szCs w:val="21"/>
          <w:highlight w:val="none"/>
        </w:rPr>
      </w:pPr>
      <w:r>
        <w:rPr>
          <w:rFonts w:hint="eastAsia" w:ascii="宋体" w:hAnsi="宋体" w:cs="宋体"/>
          <w:color w:val="auto"/>
          <w:szCs w:val="21"/>
          <w:highlight w:val="none"/>
        </w:rPr>
        <w:t>15、不可抗力</w:t>
      </w:r>
    </w:p>
    <w:p w14:paraId="4BC9959B">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(1)因水灾、火灾、地震、战争等不可抗力不能履行合同的，根据不可抗力的影响，部分或者全部免除责任。但合同一方迟延履行后发生不可抗力的，不能免除责任。</w:t>
      </w:r>
    </w:p>
    <w:p w14:paraId="79C3E241">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(2)合同一方因不可抗力不能履行合同的，应当及时通知对方，以减轻可能给对方造成的损失，并应当在合理期限内提供证明。</w:t>
      </w:r>
    </w:p>
    <w:p w14:paraId="49EF2A2A">
      <w:pPr>
        <w:spacing w:line="440" w:lineRule="exact"/>
        <w:rPr>
          <w:rFonts w:ascii="宋体" w:hAnsi="宋体" w:cs="宋体"/>
          <w:b/>
          <w:color w:val="auto"/>
          <w:szCs w:val="21"/>
          <w:highlight w:val="none"/>
        </w:rPr>
      </w:pPr>
      <w:r>
        <w:rPr>
          <w:rFonts w:hint="eastAsia" w:ascii="宋体" w:hAnsi="宋体" w:cs="宋体"/>
          <w:b/>
          <w:color w:val="auto"/>
          <w:szCs w:val="21"/>
          <w:highlight w:val="none"/>
        </w:rPr>
        <w:t>七. 索赔</w:t>
      </w:r>
    </w:p>
    <w:p w14:paraId="29145E1F">
      <w:pPr>
        <w:spacing w:line="440" w:lineRule="exact"/>
        <w:rPr>
          <w:rFonts w:ascii="宋体" w:hAnsi="宋体" w:cs="宋体"/>
          <w:color w:val="auto"/>
          <w:szCs w:val="21"/>
          <w:highlight w:val="none"/>
        </w:rPr>
      </w:pPr>
      <w:r>
        <w:rPr>
          <w:rFonts w:hint="eastAsia" w:ascii="宋体" w:hAnsi="宋体" w:cs="宋体"/>
          <w:color w:val="auto"/>
          <w:szCs w:val="21"/>
          <w:highlight w:val="none"/>
        </w:rPr>
        <w:t>16、索赔</w:t>
      </w:r>
    </w:p>
    <w:p w14:paraId="25D903F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(1)买方有权根据当地产品质量检验机构或其它有权威部门出具的检验证书向卖方提出索赔。</w:t>
      </w:r>
    </w:p>
    <w:p w14:paraId="32C2BA5F">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(2)在本合同规定的检验期和质量保证期内，如果卖方对买方提出的索赔或差异有责任，则卖方应按买方同意的下列一种或多种方式解决索赔事宜：</w:t>
      </w:r>
    </w:p>
    <w:p w14:paraId="1EFFF694">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60E01D9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&lt;2&gt;根据标的物的低劣程度、损坏程度以及甲方遭受损失的数额，经双方协商确定降低标的物的价格；</w:t>
      </w:r>
    </w:p>
    <w:p w14:paraId="1B0DC706">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005B4F7">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1E65457C">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(4)买方提出索赔的书面材料应报当地政府采购管理部门备案。卖方同意的索赔方案应报当地政府采购管理部门审核。</w:t>
      </w:r>
    </w:p>
    <w:p w14:paraId="40820BFB">
      <w:pPr>
        <w:spacing w:line="440" w:lineRule="exact"/>
        <w:rPr>
          <w:rFonts w:ascii="宋体" w:hAnsi="宋体" w:cs="宋体"/>
          <w:b/>
          <w:color w:val="auto"/>
          <w:szCs w:val="21"/>
          <w:highlight w:val="none"/>
        </w:rPr>
      </w:pPr>
      <w:r>
        <w:rPr>
          <w:rFonts w:hint="eastAsia" w:ascii="宋体" w:hAnsi="宋体" w:cs="宋体"/>
          <w:b/>
          <w:color w:val="auto"/>
          <w:szCs w:val="21"/>
          <w:highlight w:val="none"/>
        </w:rPr>
        <w:t>八. 履约保证金</w:t>
      </w:r>
    </w:p>
    <w:p w14:paraId="7C27E018">
      <w:pPr>
        <w:spacing w:line="440" w:lineRule="exact"/>
        <w:rPr>
          <w:rFonts w:ascii="宋体" w:hAnsi="宋体" w:cs="宋体"/>
          <w:color w:val="auto"/>
          <w:szCs w:val="21"/>
          <w:highlight w:val="none"/>
        </w:rPr>
      </w:pPr>
      <w:r>
        <w:rPr>
          <w:rFonts w:hint="eastAsia" w:ascii="宋体" w:hAnsi="宋体" w:cs="宋体"/>
          <w:color w:val="auto"/>
          <w:szCs w:val="21"/>
          <w:highlight w:val="none"/>
        </w:rPr>
        <w:t>17、履约保证金</w:t>
      </w:r>
    </w:p>
    <w:p w14:paraId="4A7CAFE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(1)卖方应在本合同签订时，按招标文件的约定提供相应的履约保证金，保证金的有效期应不低于合同有效期。</w:t>
      </w:r>
    </w:p>
    <w:p w14:paraId="648E3994">
      <w:pPr>
        <w:pStyle w:val="11"/>
        <w:overflowPunct w:val="0"/>
        <w:spacing w:line="440" w:lineRule="exact"/>
        <w:ind w:right="-334" w:rightChars="-159"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(2)如果卖方未能履行合同规定的任何义务，买方有权从履约保证金中取得补偿。</w:t>
      </w:r>
    </w:p>
    <w:p w14:paraId="5CF5AD37">
      <w:pPr>
        <w:spacing w:line="440" w:lineRule="exact"/>
        <w:rPr>
          <w:rFonts w:hint="eastAsia" w:ascii="宋体" w:hAnsi="宋体" w:cs="宋体"/>
          <w:b/>
          <w:color w:val="auto"/>
          <w:szCs w:val="21"/>
          <w:highlight w:val="none"/>
        </w:rPr>
      </w:pPr>
      <w:r>
        <w:rPr>
          <w:rFonts w:hint="eastAsia" w:ascii="宋体" w:hAnsi="宋体" w:cs="宋体"/>
          <w:color w:val="auto"/>
          <w:sz w:val="21"/>
          <w:szCs w:val="21"/>
          <w:highlight w:val="none"/>
          <w:u w:val="none" w:color="000000"/>
        </w:rPr>
        <w:t>(3)服务期内所供最后一套设备的履约期（以投标人自行承诺的期限为准）满后一次性退还。</w:t>
      </w:r>
    </w:p>
    <w:p w14:paraId="57D59C15">
      <w:pPr>
        <w:spacing w:line="440" w:lineRule="exact"/>
        <w:rPr>
          <w:rFonts w:ascii="宋体" w:hAnsi="宋体" w:cs="宋体"/>
          <w:b/>
          <w:color w:val="auto"/>
          <w:szCs w:val="21"/>
          <w:highlight w:val="none"/>
        </w:rPr>
      </w:pPr>
      <w:r>
        <w:rPr>
          <w:rFonts w:hint="eastAsia" w:ascii="宋体" w:hAnsi="宋体" w:cs="宋体"/>
          <w:b/>
          <w:color w:val="auto"/>
          <w:szCs w:val="21"/>
          <w:highlight w:val="none"/>
        </w:rPr>
        <w:t>九.  合同的解除和转让</w:t>
      </w:r>
    </w:p>
    <w:p w14:paraId="796FCD5A">
      <w:pPr>
        <w:spacing w:line="440" w:lineRule="exact"/>
        <w:rPr>
          <w:rFonts w:ascii="宋体" w:hAnsi="宋体" w:cs="宋体"/>
          <w:color w:val="auto"/>
          <w:szCs w:val="21"/>
          <w:highlight w:val="none"/>
        </w:rPr>
      </w:pPr>
      <w:r>
        <w:rPr>
          <w:rFonts w:hint="eastAsia" w:ascii="宋体" w:hAnsi="宋体" w:cs="宋体"/>
          <w:color w:val="auto"/>
          <w:szCs w:val="21"/>
          <w:highlight w:val="none"/>
        </w:rPr>
        <w:t>18、合同的解除</w:t>
      </w:r>
    </w:p>
    <w:p w14:paraId="12071083">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(1)买方和卖方协商一致，可以解除合同。</w:t>
      </w:r>
    </w:p>
    <w:p w14:paraId="1D60B739">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(2)有下列情形之一，合同一方可以解除合同：</w:t>
      </w:r>
    </w:p>
    <w:p w14:paraId="4CBF71A6">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&lt;1&gt;因不可抗力致使不能实现合同目的，未受不可抗力影响的一方有权解除合同；</w:t>
      </w:r>
    </w:p>
    <w:p w14:paraId="2A4FBA6F">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&lt;2&gt;因合同一方违约导致合同不能履行，另一方有权解除合同。</w:t>
      </w:r>
    </w:p>
    <w:p w14:paraId="18226C31">
      <w:pPr>
        <w:pStyle w:val="11"/>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(3)有权解除合同的一方，应当在违约事实或不可抗力发生之后三十天内书面通知对方以主张解除合同，合同在书面通知到达对方时解除。</w:t>
      </w:r>
    </w:p>
    <w:p w14:paraId="1F219D6D">
      <w:pPr>
        <w:spacing w:line="440" w:lineRule="exact"/>
        <w:rPr>
          <w:rFonts w:ascii="宋体" w:hAnsi="宋体" w:cs="宋体"/>
          <w:color w:val="auto"/>
          <w:szCs w:val="21"/>
          <w:highlight w:val="none"/>
        </w:rPr>
      </w:pPr>
      <w:r>
        <w:rPr>
          <w:rFonts w:hint="eastAsia" w:ascii="宋体" w:hAnsi="宋体" w:cs="宋体"/>
          <w:color w:val="auto"/>
          <w:szCs w:val="21"/>
          <w:highlight w:val="none"/>
        </w:rPr>
        <w:t>19、合同的转让</w:t>
      </w:r>
    </w:p>
    <w:p w14:paraId="699B27A7">
      <w:pP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合同的部分和全部都不得转让。</w:t>
      </w:r>
    </w:p>
    <w:p w14:paraId="5558CD4E">
      <w:pPr>
        <w:spacing w:line="440" w:lineRule="exact"/>
        <w:rPr>
          <w:rFonts w:ascii="宋体" w:hAnsi="宋体" w:cs="宋体"/>
          <w:b/>
          <w:color w:val="auto"/>
          <w:szCs w:val="21"/>
          <w:highlight w:val="none"/>
        </w:rPr>
      </w:pPr>
      <w:r>
        <w:rPr>
          <w:rFonts w:hint="eastAsia" w:ascii="宋体" w:hAnsi="宋体" w:cs="宋体"/>
          <w:b/>
          <w:color w:val="auto"/>
          <w:szCs w:val="21"/>
          <w:highlight w:val="none"/>
        </w:rPr>
        <w:t>十. 合同的生效</w:t>
      </w:r>
    </w:p>
    <w:p w14:paraId="5EC1E40A">
      <w:pPr>
        <w:spacing w:line="440" w:lineRule="exact"/>
        <w:rPr>
          <w:rFonts w:ascii="宋体" w:hAnsi="宋体" w:cs="宋体"/>
          <w:color w:val="auto"/>
          <w:szCs w:val="21"/>
          <w:highlight w:val="none"/>
        </w:rPr>
      </w:pPr>
      <w:r>
        <w:rPr>
          <w:rFonts w:hint="eastAsia" w:ascii="宋体" w:hAnsi="宋体" w:cs="宋体"/>
          <w:color w:val="auto"/>
          <w:szCs w:val="21"/>
          <w:highlight w:val="none"/>
        </w:rPr>
        <w:t>20、合同的生效</w:t>
      </w:r>
    </w:p>
    <w:p w14:paraId="3344F307">
      <w:pPr>
        <w:spacing w:line="440" w:lineRule="exact"/>
        <w:rPr>
          <w:rFonts w:ascii="宋体" w:hAnsi="宋体" w:cs="宋体"/>
          <w:color w:val="auto"/>
          <w:szCs w:val="21"/>
          <w:highlight w:val="none"/>
        </w:rPr>
      </w:pPr>
      <w:r>
        <w:rPr>
          <w:rFonts w:hint="eastAsia" w:ascii="宋体" w:hAnsi="宋体" w:cs="宋体"/>
          <w:color w:val="auto"/>
          <w:szCs w:val="21"/>
          <w:highlight w:val="none"/>
        </w:rPr>
        <w:t>本合同在双方签字盖章并在招标人收到中标人提交的履约保证金后，经招标采购管理部门备案后生效。</w:t>
      </w:r>
    </w:p>
    <w:p w14:paraId="16502C21">
      <w:pPr>
        <w:spacing w:line="440" w:lineRule="exact"/>
        <w:rPr>
          <w:rFonts w:ascii="宋体" w:hAnsi="宋体" w:cs="宋体"/>
          <w:b/>
          <w:color w:val="auto"/>
          <w:szCs w:val="21"/>
          <w:highlight w:val="none"/>
        </w:rPr>
      </w:pPr>
      <w:r>
        <w:rPr>
          <w:rFonts w:hint="eastAsia" w:ascii="宋体" w:hAnsi="宋体" w:cs="宋体"/>
          <w:b/>
          <w:color w:val="auto"/>
          <w:szCs w:val="21"/>
          <w:highlight w:val="none"/>
        </w:rPr>
        <w:t>十一. 争议解决</w:t>
      </w:r>
    </w:p>
    <w:p w14:paraId="5657A44D">
      <w:pPr>
        <w:spacing w:line="440" w:lineRule="exact"/>
        <w:rPr>
          <w:rFonts w:ascii="宋体" w:hAnsi="宋体" w:cs="宋体"/>
          <w:color w:val="auto"/>
          <w:szCs w:val="21"/>
          <w:highlight w:val="none"/>
        </w:rPr>
      </w:pPr>
      <w:r>
        <w:rPr>
          <w:rFonts w:hint="eastAsia" w:ascii="宋体" w:hAnsi="宋体" w:cs="宋体"/>
          <w:color w:val="auto"/>
          <w:szCs w:val="21"/>
          <w:highlight w:val="none"/>
        </w:rPr>
        <w:t>21、争议解决</w:t>
      </w:r>
    </w:p>
    <w:p w14:paraId="6DE1C5EA">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 买卖双方因合同发生争议，进行调解，协商不成，可选择：</w:t>
      </w:r>
    </w:p>
    <w:p w14:paraId="1A21DA81">
      <w:pPr>
        <w:pStyle w:val="11"/>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(1)双方同时申请仲裁；</w:t>
      </w:r>
    </w:p>
    <w:p w14:paraId="1A3E2AB1">
      <w:pPr>
        <w:pStyle w:val="11"/>
        <w:tabs>
          <w:tab w:val="left" w:pos="900"/>
        </w:tabs>
        <w:overflowPunct w:val="0"/>
        <w:spacing w:line="440" w:lineRule="exact"/>
        <w:ind w:firstLine="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(2)向买方所在地人民法院提起诉讼。</w:t>
      </w:r>
    </w:p>
    <w:p w14:paraId="5446ABFE">
      <w:pPr>
        <w:spacing w:line="440" w:lineRule="exact"/>
        <w:rPr>
          <w:rFonts w:ascii="宋体" w:hAnsi="宋体" w:cs="宋体"/>
          <w:b/>
          <w:color w:val="auto"/>
          <w:szCs w:val="21"/>
          <w:highlight w:val="none"/>
        </w:rPr>
      </w:pPr>
      <w:r>
        <w:rPr>
          <w:rFonts w:hint="eastAsia" w:ascii="宋体" w:hAnsi="宋体" w:cs="宋体"/>
          <w:b/>
          <w:color w:val="auto"/>
          <w:szCs w:val="21"/>
          <w:highlight w:val="none"/>
        </w:rPr>
        <w:t>十二 .附则</w:t>
      </w:r>
    </w:p>
    <w:p w14:paraId="149E9FC6">
      <w:pPr>
        <w:spacing w:line="440" w:lineRule="exact"/>
        <w:rPr>
          <w:rFonts w:ascii="宋体" w:hAnsi="宋体" w:cs="宋体"/>
          <w:color w:val="auto"/>
          <w:szCs w:val="21"/>
          <w:highlight w:val="none"/>
        </w:rPr>
      </w:pPr>
      <w:r>
        <w:rPr>
          <w:rFonts w:hint="eastAsia" w:ascii="宋体" w:hAnsi="宋体" w:cs="宋体"/>
          <w:color w:val="auto"/>
          <w:szCs w:val="21"/>
          <w:highlight w:val="none"/>
        </w:rPr>
        <w:t>22、合同份数。</w:t>
      </w:r>
    </w:p>
    <w:p w14:paraId="73AFA9FE">
      <w:pPr>
        <w:spacing w:line="440" w:lineRule="exact"/>
        <w:rPr>
          <w:rFonts w:ascii="宋体" w:hAnsi="宋体" w:cs="宋体"/>
          <w:color w:val="auto"/>
          <w:szCs w:val="21"/>
          <w:highlight w:val="none"/>
        </w:rPr>
      </w:pPr>
      <w:r>
        <w:rPr>
          <w:rFonts w:hint="eastAsia" w:ascii="宋体" w:hAnsi="宋体" w:cs="宋体"/>
          <w:color w:val="auto"/>
          <w:szCs w:val="21"/>
          <w:highlight w:val="none"/>
        </w:rPr>
        <w:t>本合同一式陆份，买卖双方各执二份，招标代理机构一份，招标采购管理部门一份。</w:t>
      </w:r>
    </w:p>
    <w:p w14:paraId="2564344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23、未尽事宜</w:t>
      </w:r>
    </w:p>
    <w:p w14:paraId="09AD0943">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本合同未尽事宜应按《中华人民共和国民法典》、《中华人民共和国产品质量法》之规定解释。</w:t>
      </w:r>
    </w:p>
    <w:p w14:paraId="620EA57A">
      <w:pPr>
        <w:rPr>
          <w:color w:val="auto"/>
          <w:highlight w:val="none"/>
        </w:rPr>
      </w:pPr>
      <w:r>
        <w:rPr>
          <w:rFonts w:hint="eastAsia"/>
          <w:color w:val="auto"/>
          <w:highlight w:val="none"/>
        </w:rPr>
        <w:br w:type="page"/>
      </w:r>
    </w:p>
    <w:p w14:paraId="6E214EAD">
      <w:pPr>
        <w:pStyle w:val="2"/>
        <w:rPr>
          <w:color w:val="auto"/>
          <w:highlight w:val="none"/>
        </w:rPr>
      </w:pPr>
      <w:bookmarkStart w:id="107" w:name="_Toc8628"/>
      <w:r>
        <w:rPr>
          <w:rFonts w:hint="eastAsia"/>
          <w:color w:val="auto"/>
          <w:highlight w:val="none"/>
        </w:rPr>
        <w:t>第六章  投标文件格式</w:t>
      </w:r>
      <w:bookmarkEnd w:id="94"/>
      <w:bookmarkEnd w:id="107"/>
    </w:p>
    <w:p w14:paraId="0E538A62">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33D07AE3">
      <w:pPr>
        <w:jc w:val="center"/>
        <w:rPr>
          <w:rFonts w:eastAsia="黑体"/>
          <w:color w:val="auto"/>
          <w:sz w:val="20"/>
          <w:highlight w:val="none"/>
        </w:rPr>
      </w:pPr>
    </w:p>
    <w:p w14:paraId="4EF642F7">
      <w:pPr>
        <w:rPr>
          <w:rFonts w:eastAsia="黑体"/>
          <w:color w:val="auto"/>
          <w:sz w:val="20"/>
          <w:highlight w:val="none"/>
        </w:rPr>
      </w:pPr>
    </w:p>
    <w:p w14:paraId="5D0D2422">
      <w:pPr>
        <w:jc w:val="center"/>
        <w:rPr>
          <w:rFonts w:ascii="宋体"/>
          <w:b/>
          <w:color w:val="auto"/>
          <w:sz w:val="44"/>
          <w:szCs w:val="44"/>
          <w:highlight w:val="none"/>
        </w:rPr>
      </w:pPr>
      <w:bookmarkStart w:id="108" w:name="_Toc449028949"/>
      <w:bookmarkStart w:id="109" w:name="_Toc350698753"/>
      <w:r>
        <w:rPr>
          <w:rFonts w:hint="eastAsia" w:ascii="宋体"/>
          <w:b/>
          <w:color w:val="auto"/>
          <w:sz w:val="44"/>
          <w:szCs w:val="44"/>
          <w:highlight w:val="none"/>
        </w:rPr>
        <w:t>资信证明文件</w:t>
      </w:r>
      <w:bookmarkEnd w:id="108"/>
      <w:bookmarkEnd w:id="109"/>
    </w:p>
    <w:p w14:paraId="5FCA9C45">
      <w:pPr>
        <w:jc w:val="center"/>
        <w:rPr>
          <w:rFonts w:ascii="宋体"/>
          <w:color w:val="auto"/>
          <w:sz w:val="32"/>
          <w:szCs w:val="32"/>
          <w:highlight w:val="none"/>
        </w:rPr>
      </w:pPr>
      <w:r>
        <w:rPr>
          <w:rFonts w:hint="eastAsia" w:ascii="宋体"/>
          <w:color w:val="auto"/>
          <w:sz w:val="32"/>
          <w:szCs w:val="32"/>
          <w:highlight w:val="none"/>
        </w:rPr>
        <w:t>（投标文件一）</w:t>
      </w:r>
    </w:p>
    <w:p w14:paraId="3116C3DD">
      <w:pPr>
        <w:jc w:val="center"/>
        <w:rPr>
          <w:rFonts w:eastAsia="黑体"/>
          <w:color w:val="auto"/>
          <w:sz w:val="44"/>
          <w:szCs w:val="44"/>
          <w:highlight w:val="none"/>
        </w:rPr>
      </w:pPr>
    </w:p>
    <w:p w14:paraId="4EE1652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9CE6A07">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1B63022">
      <w:pPr>
        <w:rPr>
          <w:rFonts w:ascii="宋体"/>
          <w:color w:val="auto"/>
          <w:sz w:val="28"/>
          <w:szCs w:val="28"/>
          <w:highlight w:val="none"/>
        </w:rPr>
      </w:pPr>
    </w:p>
    <w:p w14:paraId="3C0E4555">
      <w:pPr>
        <w:rPr>
          <w:rFonts w:ascii="宋体"/>
          <w:color w:val="auto"/>
          <w:sz w:val="28"/>
          <w:szCs w:val="28"/>
          <w:highlight w:val="none"/>
        </w:rPr>
      </w:pPr>
    </w:p>
    <w:p w14:paraId="38E1E146">
      <w:pPr>
        <w:rPr>
          <w:rFonts w:ascii="宋体"/>
          <w:color w:val="auto"/>
          <w:sz w:val="28"/>
          <w:szCs w:val="28"/>
          <w:highlight w:val="none"/>
        </w:rPr>
      </w:pPr>
    </w:p>
    <w:p w14:paraId="3FA82B2B">
      <w:pPr>
        <w:rPr>
          <w:rFonts w:ascii="宋体"/>
          <w:color w:val="auto"/>
          <w:sz w:val="28"/>
          <w:szCs w:val="28"/>
          <w:highlight w:val="none"/>
        </w:rPr>
      </w:pPr>
    </w:p>
    <w:p w14:paraId="0EE78803">
      <w:pPr>
        <w:rPr>
          <w:rFonts w:ascii="宋体"/>
          <w:color w:val="auto"/>
          <w:sz w:val="28"/>
          <w:szCs w:val="28"/>
          <w:highlight w:val="none"/>
        </w:rPr>
      </w:pPr>
    </w:p>
    <w:p w14:paraId="01482B87">
      <w:pPr>
        <w:rPr>
          <w:rFonts w:ascii="宋体"/>
          <w:color w:val="auto"/>
          <w:sz w:val="28"/>
          <w:szCs w:val="28"/>
          <w:highlight w:val="none"/>
        </w:rPr>
      </w:pPr>
    </w:p>
    <w:p w14:paraId="38163972">
      <w:pPr>
        <w:rPr>
          <w:rFonts w:ascii="宋体"/>
          <w:color w:val="auto"/>
          <w:sz w:val="28"/>
          <w:szCs w:val="28"/>
          <w:highlight w:val="none"/>
        </w:rPr>
      </w:pPr>
    </w:p>
    <w:p w14:paraId="159A6850">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06269D8">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839AC8B">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1099CAC">
      <w:pPr>
        <w:spacing w:line="720" w:lineRule="auto"/>
        <w:jc w:val="center"/>
        <w:rPr>
          <w:rFonts w:ascii="宋体"/>
          <w:b/>
          <w:color w:val="auto"/>
          <w:sz w:val="36"/>
          <w:szCs w:val="36"/>
          <w:highlight w:val="none"/>
        </w:rPr>
      </w:pPr>
    </w:p>
    <w:p w14:paraId="2C85C5F3">
      <w:pPr>
        <w:spacing w:line="400" w:lineRule="exact"/>
        <w:ind w:firstLine="4130" w:firstLineChars="935"/>
        <w:rPr>
          <w:b/>
          <w:color w:val="auto"/>
          <w:sz w:val="44"/>
          <w:szCs w:val="44"/>
          <w:highlight w:val="none"/>
        </w:rPr>
      </w:pPr>
    </w:p>
    <w:p w14:paraId="6D05ECBD">
      <w:pPr>
        <w:pStyle w:val="34"/>
        <w:ind w:firstLine="210"/>
        <w:rPr>
          <w:color w:val="auto"/>
          <w:highlight w:val="none"/>
        </w:rPr>
      </w:pPr>
    </w:p>
    <w:p w14:paraId="083F3473">
      <w:pPr>
        <w:jc w:val="center"/>
        <w:rPr>
          <w:b/>
          <w:color w:val="auto"/>
          <w:sz w:val="44"/>
          <w:szCs w:val="44"/>
          <w:highlight w:val="none"/>
        </w:rPr>
      </w:pPr>
      <w:r>
        <w:rPr>
          <w:rFonts w:hint="eastAsia"/>
          <w:b/>
          <w:color w:val="auto"/>
          <w:sz w:val="36"/>
          <w:szCs w:val="36"/>
          <w:highlight w:val="none"/>
        </w:rPr>
        <w:t>目   录</w:t>
      </w:r>
    </w:p>
    <w:p w14:paraId="722A55C7">
      <w:pPr>
        <w:spacing w:line="400" w:lineRule="exact"/>
        <w:ind w:firstLine="562" w:firstLineChars="200"/>
        <w:rPr>
          <w:b/>
          <w:color w:val="auto"/>
          <w:sz w:val="28"/>
          <w:szCs w:val="28"/>
          <w:highlight w:val="none"/>
        </w:rPr>
      </w:pPr>
    </w:p>
    <w:p w14:paraId="72CE95D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727D8AB7">
      <w:pPr>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（2）投标人有效的营业执照（或三合一证书）；</w:t>
      </w:r>
    </w:p>
    <w:p w14:paraId="5E66CA9E">
      <w:pPr>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（3）投标人具有地市级或以上级别卫生行政主管部门颁发的涉及饮用水卫生安全产品的卫生许可批件，产品须含叠压（或无负压）给水（或供水）设备；</w:t>
      </w:r>
    </w:p>
    <w:p w14:paraId="63938283">
      <w:pPr>
        <w:spacing w:line="440" w:lineRule="exact"/>
        <w:jc w:val="lef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color w:val="auto"/>
          <w:szCs w:val="21"/>
          <w:highlight w:val="none"/>
          <w:lang w:eastAsia="zh-CN"/>
        </w:rPr>
        <w:t>；</w:t>
      </w:r>
    </w:p>
    <w:p w14:paraId="234C237F">
      <w:pPr>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）详细的货物名称、规格、技术参数等【附技术参数响应表、货物的详细配置清单，格式见附件】；</w:t>
      </w:r>
    </w:p>
    <w:p w14:paraId="4352EABD">
      <w:pPr>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）技术方案：为本项目实施所采用的技术措施和实施方案等；</w:t>
      </w:r>
    </w:p>
    <w:p w14:paraId="775B2374">
      <w:pPr>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）服务承诺：是否响应招标文件要求的书面说明和服务承诺书（格式见附件）；</w:t>
      </w:r>
    </w:p>
    <w:p w14:paraId="4F7DC8FC">
      <w:pPr>
        <w:spacing w:line="4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）技术培训：是否响应招标文件要求的书面说明；</w:t>
      </w:r>
    </w:p>
    <w:p w14:paraId="3B13EE7E">
      <w:pPr>
        <w:spacing w:line="440" w:lineRule="exact"/>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9）招标文件第四章采购需求及技术参数要求中提供的承诺函（格式自拟）及其他证明材料。</w:t>
      </w:r>
    </w:p>
    <w:p w14:paraId="00E42D3D">
      <w:pPr>
        <w:spacing w:line="440" w:lineRule="exact"/>
        <w:jc w:val="left"/>
        <w:rPr>
          <w:b/>
          <w:color w:val="auto"/>
          <w:sz w:val="28"/>
          <w:szCs w:val="28"/>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）招标文件中要求的资信标评分及其他支持资料。</w:t>
      </w:r>
    </w:p>
    <w:p w14:paraId="02058433">
      <w:pPr>
        <w:spacing w:line="400" w:lineRule="exact"/>
        <w:ind w:firstLine="562" w:firstLineChars="200"/>
        <w:rPr>
          <w:b/>
          <w:color w:val="auto"/>
          <w:sz w:val="28"/>
          <w:szCs w:val="28"/>
          <w:highlight w:val="none"/>
        </w:rPr>
      </w:pPr>
    </w:p>
    <w:p w14:paraId="07F0D1E7">
      <w:pPr>
        <w:spacing w:line="400" w:lineRule="exact"/>
        <w:ind w:firstLine="562" w:firstLineChars="200"/>
        <w:rPr>
          <w:b/>
          <w:color w:val="auto"/>
          <w:sz w:val="28"/>
          <w:szCs w:val="28"/>
          <w:highlight w:val="none"/>
        </w:rPr>
      </w:pPr>
    </w:p>
    <w:p w14:paraId="0D601075">
      <w:pPr>
        <w:spacing w:line="400" w:lineRule="exact"/>
        <w:ind w:firstLine="562" w:firstLineChars="200"/>
        <w:rPr>
          <w:b/>
          <w:color w:val="auto"/>
          <w:sz w:val="28"/>
          <w:szCs w:val="28"/>
          <w:highlight w:val="none"/>
        </w:rPr>
      </w:pPr>
    </w:p>
    <w:p w14:paraId="7805A122">
      <w:pP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56DD8D1B">
      <w:pPr>
        <w:spacing w:line="360" w:lineRule="auto"/>
        <w:rPr>
          <w:b/>
          <w:color w:val="auto"/>
          <w:sz w:val="28"/>
          <w:szCs w:val="28"/>
          <w:highlight w:val="none"/>
        </w:rPr>
      </w:pPr>
      <w:r>
        <w:rPr>
          <w:rFonts w:hint="eastAsia"/>
          <w:b/>
          <w:color w:val="auto"/>
          <w:sz w:val="28"/>
          <w:szCs w:val="28"/>
          <w:highlight w:val="none"/>
        </w:rPr>
        <w:t>附件1</w:t>
      </w:r>
    </w:p>
    <w:p w14:paraId="3E374068">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5098C5DA">
      <w:pPr>
        <w:pStyle w:val="103"/>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23303FB9">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78DEE100">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FE36EA0">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30A3587">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12D8326">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72D0321">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E55A449">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4908F0F">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F389FE4">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3736C9A">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66DC7E8">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4EF75635">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76D5BD2">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7FFC3934">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CCA2A1C">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C9CE94E">
      <w:pPr>
        <w:spacing w:line="480" w:lineRule="exact"/>
        <w:rPr>
          <w:rFonts w:ascii="宋体"/>
          <w:color w:val="auto"/>
          <w:sz w:val="24"/>
          <w:highlight w:val="none"/>
        </w:rPr>
      </w:pPr>
      <w:r>
        <w:rPr>
          <w:rFonts w:hint="eastAsia" w:ascii="宋体"/>
          <w:color w:val="auto"/>
          <w:sz w:val="24"/>
          <w:highlight w:val="none"/>
        </w:rPr>
        <w:t xml:space="preserve">                                     投标人：             （盖单位章）</w:t>
      </w:r>
    </w:p>
    <w:p w14:paraId="49D64B04">
      <w:pP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7BBDEE6C">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377B5AB1">
      <w:pPr>
        <w:spacing w:line="360" w:lineRule="exact"/>
        <w:ind w:firstLine="413" w:firstLineChars="147"/>
        <w:rPr>
          <w:b/>
          <w:color w:val="auto"/>
          <w:sz w:val="28"/>
          <w:szCs w:val="28"/>
          <w:highlight w:val="none"/>
          <w:u w:val="single"/>
        </w:rPr>
      </w:pPr>
    </w:p>
    <w:p w14:paraId="601F176D">
      <w:pPr>
        <w:spacing w:line="360" w:lineRule="exact"/>
        <w:ind w:firstLine="413" w:firstLineChars="147"/>
        <w:rPr>
          <w:b/>
          <w:color w:val="auto"/>
          <w:sz w:val="28"/>
          <w:szCs w:val="28"/>
          <w:highlight w:val="none"/>
          <w:u w:val="single"/>
        </w:rPr>
      </w:pPr>
    </w:p>
    <w:p w14:paraId="7C6A58EF">
      <w:pPr>
        <w:spacing w:line="360" w:lineRule="exact"/>
        <w:ind w:firstLine="443" w:firstLineChars="147"/>
        <w:rPr>
          <w:rFonts w:ascii="宋体"/>
          <w:b/>
          <w:color w:val="auto"/>
          <w:sz w:val="30"/>
          <w:szCs w:val="30"/>
          <w:highlight w:val="none"/>
        </w:rPr>
      </w:pPr>
      <w:r>
        <w:rPr>
          <w:rFonts w:hint="eastAsia" w:ascii="宋体"/>
          <w:b/>
          <w:color w:val="auto"/>
          <w:sz w:val="30"/>
          <w:szCs w:val="30"/>
          <w:highlight w:val="none"/>
        </w:rPr>
        <w:t>附件2</w:t>
      </w:r>
    </w:p>
    <w:p w14:paraId="07DD05C4">
      <w:pPr>
        <w:spacing w:line="360" w:lineRule="exact"/>
        <w:ind w:firstLine="413" w:firstLineChars="147"/>
        <w:jc w:val="center"/>
        <w:rPr>
          <w:b/>
          <w:color w:val="auto"/>
          <w:sz w:val="28"/>
          <w:szCs w:val="28"/>
          <w:highlight w:val="none"/>
        </w:rPr>
      </w:pPr>
      <w:bookmarkStart w:id="110" w:name="_Toc440443268"/>
      <w:bookmarkStart w:id="111" w:name="_Toc449028950"/>
      <w:r>
        <w:rPr>
          <w:rFonts w:hint="eastAsia"/>
          <w:b/>
          <w:color w:val="auto"/>
          <w:sz w:val="28"/>
          <w:szCs w:val="28"/>
          <w:highlight w:val="none"/>
        </w:rPr>
        <w:t>（2）诚信投标承诺书</w:t>
      </w:r>
    </w:p>
    <w:p w14:paraId="2053E37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0D943FD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01C7D6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53CEFCC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C34C92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453EBC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3BD7EC6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112" w:name="OLE_LINK134"/>
      <w:bookmarkStart w:id="113"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12"/>
      <w:bookmarkEnd w:id="113"/>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p>
    <w:p w14:paraId="46E3070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12220A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629C0998">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0679D43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4A139B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73534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748B438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7545B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7763BD66">
      <w:pPr>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B1E096A">
      <w:pPr>
        <w:rPr>
          <w:rFonts w:ascii="宋体" w:hAnsi="宋体"/>
          <w:color w:val="auto"/>
          <w:szCs w:val="21"/>
          <w:highlight w:val="none"/>
        </w:rPr>
      </w:pPr>
    </w:p>
    <w:p w14:paraId="2BA42EBE">
      <w:pPr>
        <w:rPr>
          <w:rFonts w:ascii="宋体" w:hAnsi="宋体"/>
          <w:color w:val="auto"/>
          <w:szCs w:val="21"/>
          <w:highlight w:val="none"/>
        </w:rPr>
      </w:pPr>
    </w:p>
    <w:p w14:paraId="4787AE83">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3418B750">
      <w:pPr>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35561464">
      <w:pPr>
        <w:rPr>
          <w:rFonts w:ascii="宋体" w:hAnsi="宋体"/>
          <w:b/>
          <w:color w:val="auto"/>
          <w:sz w:val="24"/>
          <w:highlight w:val="none"/>
        </w:rPr>
      </w:pPr>
      <w:r>
        <w:rPr>
          <w:rFonts w:hint="eastAsia" w:ascii="宋体" w:hAnsi="宋体"/>
          <w:b/>
          <w:color w:val="auto"/>
          <w:sz w:val="24"/>
          <w:highlight w:val="none"/>
        </w:rPr>
        <w:t>附件3：</w:t>
      </w:r>
    </w:p>
    <w:p w14:paraId="1AF8A486">
      <w:pPr>
        <w:jc w:val="center"/>
        <w:rPr>
          <w:rFonts w:ascii="宋体" w:hAnsi="宋体"/>
          <w:b/>
          <w:color w:val="auto"/>
          <w:sz w:val="30"/>
          <w:szCs w:val="30"/>
          <w:highlight w:val="none"/>
        </w:rPr>
      </w:pPr>
      <w:r>
        <w:rPr>
          <w:rFonts w:hint="eastAsia" w:ascii="宋体" w:hAnsi="宋体"/>
          <w:b/>
          <w:color w:val="auto"/>
          <w:sz w:val="30"/>
          <w:szCs w:val="30"/>
          <w:highlight w:val="none"/>
        </w:rPr>
        <w:t>技术参数响应表（格式）</w:t>
      </w:r>
    </w:p>
    <w:p w14:paraId="1390EDA5">
      <w:pPr>
        <w:rPr>
          <w:rFonts w:ascii="宋体" w:hAnsi="宋体"/>
          <w:color w:val="auto"/>
          <w:sz w:val="24"/>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4C94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vAlign w:val="center"/>
          </w:tcPr>
          <w:p w14:paraId="664BE6C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vMerge w:val="restart"/>
            <w:vAlign w:val="center"/>
          </w:tcPr>
          <w:p w14:paraId="0BF06699">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vAlign w:val="center"/>
          </w:tcPr>
          <w:p w14:paraId="63264E3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规格型号及参数</w:t>
            </w:r>
          </w:p>
        </w:tc>
        <w:tc>
          <w:tcPr>
            <w:tcW w:w="1577" w:type="dxa"/>
            <w:vMerge w:val="restart"/>
            <w:vAlign w:val="center"/>
          </w:tcPr>
          <w:p w14:paraId="4CF2D6F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vMerge w:val="restart"/>
            <w:vAlign w:val="center"/>
          </w:tcPr>
          <w:p w14:paraId="0DF36F1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5F47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tcPr>
          <w:p w14:paraId="0F583140">
            <w:pPr>
              <w:spacing w:line="240" w:lineRule="atLeast"/>
              <w:ind w:firstLine="105" w:firstLineChars="50"/>
              <w:rPr>
                <w:rFonts w:ascii="宋体" w:hAnsi="宋体" w:cs="宋体"/>
                <w:color w:val="auto"/>
                <w:szCs w:val="21"/>
                <w:highlight w:val="none"/>
              </w:rPr>
            </w:pPr>
          </w:p>
        </w:tc>
        <w:tc>
          <w:tcPr>
            <w:tcW w:w="1421" w:type="dxa"/>
            <w:vMerge w:val="continue"/>
          </w:tcPr>
          <w:p w14:paraId="3B1701D3">
            <w:pPr>
              <w:spacing w:line="240" w:lineRule="atLeast"/>
              <w:jc w:val="center"/>
              <w:rPr>
                <w:rFonts w:ascii="宋体" w:hAnsi="宋体" w:cs="宋体"/>
                <w:color w:val="auto"/>
                <w:szCs w:val="21"/>
                <w:highlight w:val="none"/>
              </w:rPr>
            </w:pPr>
          </w:p>
        </w:tc>
        <w:tc>
          <w:tcPr>
            <w:tcW w:w="1539" w:type="dxa"/>
          </w:tcPr>
          <w:p w14:paraId="28F801F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招标要求规格型号技术参数</w:t>
            </w:r>
          </w:p>
        </w:tc>
        <w:tc>
          <w:tcPr>
            <w:tcW w:w="1555" w:type="dxa"/>
          </w:tcPr>
          <w:p w14:paraId="42183DA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vMerge w:val="continue"/>
          </w:tcPr>
          <w:p w14:paraId="035958FC">
            <w:pPr>
              <w:spacing w:line="240" w:lineRule="atLeast"/>
              <w:jc w:val="center"/>
              <w:rPr>
                <w:rFonts w:ascii="宋体" w:hAnsi="宋体" w:cs="宋体"/>
                <w:color w:val="auto"/>
                <w:szCs w:val="21"/>
                <w:highlight w:val="none"/>
              </w:rPr>
            </w:pPr>
          </w:p>
        </w:tc>
        <w:tc>
          <w:tcPr>
            <w:tcW w:w="1962" w:type="dxa"/>
            <w:vMerge w:val="continue"/>
          </w:tcPr>
          <w:p w14:paraId="75FC8EDC">
            <w:pPr>
              <w:spacing w:line="240" w:lineRule="atLeast"/>
              <w:jc w:val="center"/>
              <w:rPr>
                <w:rFonts w:ascii="宋体" w:hAnsi="宋体" w:cs="宋体"/>
                <w:color w:val="auto"/>
                <w:szCs w:val="21"/>
                <w:highlight w:val="none"/>
              </w:rPr>
            </w:pPr>
          </w:p>
        </w:tc>
      </w:tr>
      <w:tr w14:paraId="5D67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27462074">
            <w:pPr>
              <w:jc w:val="center"/>
              <w:rPr>
                <w:rFonts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vAlign w:val="center"/>
          </w:tcPr>
          <w:p w14:paraId="13BAAE19">
            <w:pPr>
              <w:widowControl/>
              <w:spacing w:line="360" w:lineRule="auto"/>
              <w:jc w:val="center"/>
              <w:textAlignment w:val="center"/>
              <w:rPr>
                <w:rFonts w:ascii="宋体" w:hAnsi="宋体"/>
                <w:color w:val="auto"/>
                <w:szCs w:val="21"/>
                <w:highlight w:val="none"/>
              </w:rPr>
            </w:pPr>
          </w:p>
        </w:tc>
        <w:tc>
          <w:tcPr>
            <w:tcW w:w="1539" w:type="dxa"/>
            <w:vAlign w:val="center"/>
          </w:tcPr>
          <w:p w14:paraId="64A77FFF">
            <w:pPr>
              <w:ind w:firstLine="630" w:firstLineChars="300"/>
              <w:jc w:val="center"/>
              <w:rPr>
                <w:rFonts w:ascii="宋体" w:hAnsi="宋体"/>
                <w:color w:val="auto"/>
                <w:szCs w:val="21"/>
                <w:highlight w:val="none"/>
              </w:rPr>
            </w:pPr>
          </w:p>
        </w:tc>
        <w:tc>
          <w:tcPr>
            <w:tcW w:w="1555" w:type="dxa"/>
            <w:vAlign w:val="center"/>
          </w:tcPr>
          <w:p w14:paraId="3435345D">
            <w:pPr>
              <w:ind w:firstLine="630" w:firstLineChars="300"/>
              <w:jc w:val="center"/>
              <w:rPr>
                <w:rFonts w:ascii="宋体" w:hAnsi="宋体"/>
                <w:color w:val="auto"/>
                <w:szCs w:val="21"/>
                <w:highlight w:val="none"/>
              </w:rPr>
            </w:pPr>
          </w:p>
        </w:tc>
        <w:tc>
          <w:tcPr>
            <w:tcW w:w="1577" w:type="dxa"/>
            <w:vAlign w:val="center"/>
          </w:tcPr>
          <w:p w14:paraId="51EADAFE">
            <w:pPr>
              <w:jc w:val="center"/>
              <w:rPr>
                <w:rFonts w:ascii="宋体" w:hAnsi="宋体"/>
                <w:color w:val="auto"/>
                <w:szCs w:val="21"/>
                <w:highlight w:val="none"/>
              </w:rPr>
            </w:pPr>
            <w:r>
              <w:rPr>
                <w:rFonts w:hint="eastAsia" w:ascii="宋体" w:hAnsi="宋体" w:cs="宋体"/>
                <w:color w:val="auto"/>
                <w:szCs w:val="21"/>
                <w:highlight w:val="none"/>
              </w:rPr>
              <w:t>是/否</w:t>
            </w:r>
          </w:p>
        </w:tc>
        <w:tc>
          <w:tcPr>
            <w:tcW w:w="1962" w:type="dxa"/>
            <w:vAlign w:val="center"/>
          </w:tcPr>
          <w:p w14:paraId="7433DDAF">
            <w:pPr>
              <w:jc w:val="center"/>
              <w:rPr>
                <w:rFonts w:ascii="宋体" w:hAnsi="宋体"/>
                <w:color w:val="auto"/>
                <w:szCs w:val="21"/>
                <w:highlight w:val="none"/>
              </w:rPr>
            </w:pPr>
          </w:p>
        </w:tc>
      </w:tr>
      <w:tr w14:paraId="385A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49784A9">
            <w:pPr>
              <w:jc w:val="center"/>
              <w:rPr>
                <w:rFonts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vAlign w:val="center"/>
          </w:tcPr>
          <w:p w14:paraId="5F6E41C8">
            <w:pPr>
              <w:widowControl/>
              <w:spacing w:line="360" w:lineRule="auto"/>
              <w:jc w:val="center"/>
              <w:textAlignment w:val="center"/>
              <w:rPr>
                <w:rFonts w:ascii="宋体" w:hAnsi="宋体"/>
                <w:color w:val="auto"/>
                <w:sz w:val="24"/>
                <w:highlight w:val="none"/>
              </w:rPr>
            </w:pPr>
          </w:p>
        </w:tc>
        <w:tc>
          <w:tcPr>
            <w:tcW w:w="1539" w:type="dxa"/>
            <w:vAlign w:val="center"/>
          </w:tcPr>
          <w:p w14:paraId="06ADC100">
            <w:pPr>
              <w:ind w:firstLine="630" w:firstLineChars="300"/>
              <w:jc w:val="center"/>
              <w:rPr>
                <w:rFonts w:ascii="宋体" w:hAnsi="宋体"/>
                <w:color w:val="auto"/>
                <w:szCs w:val="21"/>
                <w:highlight w:val="none"/>
              </w:rPr>
            </w:pPr>
          </w:p>
        </w:tc>
        <w:tc>
          <w:tcPr>
            <w:tcW w:w="1555" w:type="dxa"/>
            <w:vAlign w:val="center"/>
          </w:tcPr>
          <w:p w14:paraId="23677DCB">
            <w:pPr>
              <w:ind w:firstLine="630" w:firstLineChars="300"/>
              <w:jc w:val="center"/>
              <w:rPr>
                <w:rFonts w:ascii="宋体" w:hAnsi="宋体"/>
                <w:color w:val="auto"/>
                <w:szCs w:val="21"/>
                <w:highlight w:val="none"/>
              </w:rPr>
            </w:pPr>
          </w:p>
        </w:tc>
        <w:tc>
          <w:tcPr>
            <w:tcW w:w="1577" w:type="dxa"/>
            <w:vAlign w:val="center"/>
          </w:tcPr>
          <w:p w14:paraId="1BADDCCB">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61F35028">
            <w:pPr>
              <w:jc w:val="center"/>
              <w:rPr>
                <w:rFonts w:ascii="宋体" w:hAnsi="宋体"/>
                <w:color w:val="auto"/>
                <w:szCs w:val="21"/>
                <w:highlight w:val="none"/>
              </w:rPr>
            </w:pPr>
          </w:p>
        </w:tc>
      </w:tr>
      <w:tr w14:paraId="5636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7D74E6C">
            <w:pPr>
              <w:jc w:val="center"/>
              <w:rPr>
                <w:rFonts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vAlign w:val="center"/>
          </w:tcPr>
          <w:p w14:paraId="3E836F35">
            <w:pPr>
              <w:widowControl/>
              <w:spacing w:line="360" w:lineRule="auto"/>
              <w:jc w:val="center"/>
              <w:textAlignment w:val="center"/>
              <w:rPr>
                <w:rFonts w:ascii="宋体" w:hAnsi="宋体"/>
                <w:color w:val="auto"/>
                <w:sz w:val="24"/>
                <w:highlight w:val="none"/>
              </w:rPr>
            </w:pPr>
          </w:p>
        </w:tc>
        <w:tc>
          <w:tcPr>
            <w:tcW w:w="1539" w:type="dxa"/>
            <w:vAlign w:val="center"/>
          </w:tcPr>
          <w:p w14:paraId="17FBEA82">
            <w:pPr>
              <w:ind w:firstLine="630" w:firstLineChars="300"/>
              <w:jc w:val="center"/>
              <w:rPr>
                <w:rFonts w:ascii="宋体" w:hAnsi="宋体"/>
                <w:color w:val="auto"/>
                <w:szCs w:val="21"/>
                <w:highlight w:val="none"/>
              </w:rPr>
            </w:pPr>
          </w:p>
        </w:tc>
        <w:tc>
          <w:tcPr>
            <w:tcW w:w="1555" w:type="dxa"/>
            <w:vAlign w:val="center"/>
          </w:tcPr>
          <w:p w14:paraId="7195AD7B">
            <w:pPr>
              <w:ind w:firstLine="630" w:firstLineChars="300"/>
              <w:jc w:val="center"/>
              <w:rPr>
                <w:rFonts w:ascii="宋体" w:hAnsi="宋体"/>
                <w:color w:val="auto"/>
                <w:szCs w:val="21"/>
                <w:highlight w:val="none"/>
              </w:rPr>
            </w:pPr>
          </w:p>
        </w:tc>
        <w:tc>
          <w:tcPr>
            <w:tcW w:w="1577" w:type="dxa"/>
            <w:vAlign w:val="center"/>
          </w:tcPr>
          <w:p w14:paraId="357D8E0C">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45511A75">
            <w:pPr>
              <w:jc w:val="center"/>
              <w:rPr>
                <w:rFonts w:ascii="宋体" w:hAnsi="宋体"/>
                <w:color w:val="auto"/>
                <w:szCs w:val="21"/>
                <w:highlight w:val="none"/>
              </w:rPr>
            </w:pPr>
          </w:p>
        </w:tc>
      </w:tr>
      <w:tr w14:paraId="70CC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604B3837">
            <w:pPr>
              <w:jc w:val="center"/>
              <w:rPr>
                <w:rFonts w:ascii="宋体" w:hAnsi="宋体"/>
                <w:color w:val="auto"/>
                <w:szCs w:val="21"/>
                <w:highlight w:val="none"/>
              </w:rPr>
            </w:pPr>
            <w:r>
              <w:rPr>
                <w:rFonts w:ascii="宋体" w:hAnsi="宋体"/>
                <w:color w:val="auto"/>
                <w:szCs w:val="21"/>
                <w:highlight w:val="none"/>
              </w:rPr>
              <w:t>…</w:t>
            </w:r>
          </w:p>
        </w:tc>
        <w:tc>
          <w:tcPr>
            <w:tcW w:w="1421" w:type="dxa"/>
            <w:shd w:val="clear" w:color="auto" w:fill="FFFFFF"/>
            <w:vAlign w:val="center"/>
          </w:tcPr>
          <w:p w14:paraId="75BE41E6">
            <w:pPr>
              <w:widowControl/>
              <w:spacing w:line="360" w:lineRule="auto"/>
              <w:jc w:val="center"/>
              <w:textAlignment w:val="center"/>
              <w:rPr>
                <w:rFonts w:ascii="宋体" w:hAnsi="宋体"/>
                <w:color w:val="auto"/>
                <w:sz w:val="24"/>
                <w:highlight w:val="none"/>
              </w:rPr>
            </w:pPr>
          </w:p>
        </w:tc>
        <w:tc>
          <w:tcPr>
            <w:tcW w:w="1539" w:type="dxa"/>
            <w:vAlign w:val="center"/>
          </w:tcPr>
          <w:p w14:paraId="29AD356D">
            <w:pPr>
              <w:ind w:firstLine="630" w:firstLineChars="300"/>
              <w:jc w:val="center"/>
              <w:rPr>
                <w:rFonts w:ascii="宋体" w:hAnsi="宋体"/>
                <w:color w:val="auto"/>
                <w:szCs w:val="21"/>
                <w:highlight w:val="none"/>
              </w:rPr>
            </w:pPr>
          </w:p>
        </w:tc>
        <w:tc>
          <w:tcPr>
            <w:tcW w:w="1555" w:type="dxa"/>
            <w:vAlign w:val="center"/>
          </w:tcPr>
          <w:p w14:paraId="45813224">
            <w:pPr>
              <w:ind w:firstLine="630" w:firstLineChars="300"/>
              <w:jc w:val="center"/>
              <w:rPr>
                <w:rFonts w:ascii="宋体" w:hAnsi="宋体"/>
                <w:color w:val="auto"/>
                <w:szCs w:val="21"/>
                <w:highlight w:val="none"/>
              </w:rPr>
            </w:pPr>
          </w:p>
        </w:tc>
        <w:tc>
          <w:tcPr>
            <w:tcW w:w="1577" w:type="dxa"/>
            <w:vAlign w:val="center"/>
          </w:tcPr>
          <w:p w14:paraId="05FE890E">
            <w:pPr>
              <w:jc w:val="center"/>
              <w:rPr>
                <w:rFonts w:ascii="宋体" w:hAnsi="宋体" w:cs="宋体"/>
                <w:color w:val="auto"/>
                <w:szCs w:val="21"/>
                <w:highlight w:val="none"/>
              </w:rPr>
            </w:pPr>
            <w:r>
              <w:rPr>
                <w:rFonts w:ascii="宋体" w:hAnsi="宋体" w:cs="宋体"/>
                <w:color w:val="auto"/>
                <w:szCs w:val="21"/>
                <w:highlight w:val="none"/>
              </w:rPr>
              <w:t>…</w:t>
            </w:r>
          </w:p>
        </w:tc>
        <w:tc>
          <w:tcPr>
            <w:tcW w:w="1962" w:type="dxa"/>
            <w:vAlign w:val="center"/>
          </w:tcPr>
          <w:p w14:paraId="19D4BC2A">
            <w:pPr>
              <w:jc w:val="center"/>
              <w:rPr>
                <w:rFonts w:ascii="宋体" w:hAnsi="宋体"/>
                <w:color w:val="auto"/>
                <w:szCs w:val="21"/>
                <w:highlight w:val="none"/>
              </w:rPr>
            </w:pPr>
          </w:p>
        </w:tc>
      </w:tr>
    </w:tbl>
    <w:p w14:paraId="2FBD1478">
      <w:pPr>
        <w:autoSpaceDE w:val="0"/>
        <w:autoSpaceDN w:val="0"/>
        <w:adjustRightInd w:val="0"/>
        <w:ind w:firstLine="422" w:firstLineChars="200"/>
        <w:rPr>
          <w:rFonts w:ascii="宋体" w:hAnsi="宋体"/>
          <w:b/>
          <w:color w:val="auto"/>
          <w:szCs w:val="21"/>
          <w:highlight w:val="none"/>
          <w:lang w:val="zh-CN"/>
        </w:rPr>
      </w:pPr>
      <w:r>
        <w:rPr>
          <w:rFonts w:hint="eastAsia" w:ascii="宋体" w:hAnsi="宋体"/>
          <w:b/>
          <w:color w:val="auto"/>
          <w:szCs w:val="21"/>
          <w:highlight w:val="none"/>
          <w:lang w:val="zh-CN"/>
        </w:rPr>
        <w:t>注：</w:t>
      </w:r>
    </w:p>
    <w:p w14:paraId="75C1F376">
      <w:pPr>
        <w:autoSpaceDE w:val="0"/>
        <w:autoSpaceDN w:val="0"/>
        <w:adjustRightInd w:val="0"/>
        <w:ind w:firstLine="562" w:firstLineChars="200"/>
        <w:rPr>
          <w:rFonts w:ascii="宋体" w:hAnsi="宋体"/>
          <w:b/>
          <w:color w:val="auto"/>
          <w:sz w:val="28"/>
          <w:szCs w:val="28"/>
          <w:highlight w:val="none"/>
          <w:lang w:val="zh-CN"/>
        </w:rPr>
      </w:pPr>
      <w:r>
        <w:rPr>
          <w:rFonts w:ascii="宋体" w:hAnsi="宋体"/>
          <w:b/>
          <w:color w:val="auto"/>
          <w:sz w:val="28"/>
          <w:szCs w:val="28"/>
          <w:highlight w:val="none"/>
          <w:lang w:val="zh-CN"/>
        </w:rPr>
        <w:t>1</w:t>
      </w:r>
      <w:r>
        <w:rPr>
          <w:rFonts w:hint="eastAsia" w:ascii="宋体" w:hAnsi="宋体"/>
          <w:b/>
          <w:color w:val="auto"/>
          <w:sz w:val="28"/>
          <w:szCs w:val="28"/>
          <w:highlight w:val="none"/>
          <w:lang w:val="zh-CN"/>
        </w:rPr>
        <w:t>.供应商应逐一说明投标产品和服务响应，直接拷贝招标文件技术要求的按照无效投标处理；</w:t>
      </w:r>
    </w:p>
    <w:p w14:paraId="5AAD7424">
      <w:pPr>
        <w:autoSpaceDE w:val="0"/>
        <w:autoSpaceDN w:val="0"/>
        <w:adjustRightInd w:val="0"/>
        <w:ind w:firstLine="420" w:firstLineChars="200"/>
        <w:rPr>
          <w:rFonts w:hint="default" w:ascii="宋体" w:hAnsi="宋体" w:eastAsia="宋体" w:cs="宋体"/>
          <w:color w:val="auto"/>
          <w:szCs w:val="21"/>
          <w:highlight w:val="none"/>
          <w:lang w:val="en-US" w:eastAsia="zh-CN"/>
        </w:rPr>
      </w:pPr>
      <w:r>
        <w:rPr>
          <w:rFonts w:ascii="宋体" w:hAnsi="宋体" w:cs="宋体"/>
          <w:color w:val="auto"/>
          <w:szCs w:val="21"/>
          <w:highlight w:val="none"/>
          <w:lang w:val="zh-CN"/>
        </w:rPr>
        <w:t>2</w:t>
      </w:r>
      <w:r>
        <w:rPr>
          <w:rFonts w:hint="eastAsia" w:ascii="宋体" w:hAnsi="宋体" w:cs="宋体"/>
          <w:color w:val="auto"/>
          <w:szCs w:val="21"/>
          <w:highlight w:val="none"/>
          <w:lang w:val="zh-CN"/>
        </w:rPr>
        <w:t>.如果行数不够，请自行增加。</w:t>
      </w:r>
    </w:p>
    <w:p w14:paraId="4FA5B81C">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DC83B39">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BA961F5">
      <w:pPr>
        <w:spacing w:line="360" w:lineRule="auto"/>
        <w:jc w:val="right"/>
        <w:rPr>
          <w:rFonts w:ascii="宋体" w:hAnsi="宋体"/>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14" w:name="_Toc20556"/>
    </w:p>
    <w:p w14:paraId="002ABD09">
      <w:pPr>
        <w:jc w:val="center"/>
        <w:rPr>
          <w:b/>
          <w:bCs/>
          <w:color w:val="auto"/>
          <w:sz w:val="28"/>
          <w:szCs w:val="28"/>
          <w:highlight w:val="none"/>
        </w:rPr>
      </w:pPr>
      <w:r>
        <w:rPr>
          <w:rFonts w:hint="eastAsia"/>
          <w:b/>
          <w:bCs/>
          <w:color w:val="auto"/>
          <w:sz w:val="28"/>
          <w:szCs w:val="28"/>
          <w:highlight w:val="none"/>
        </w:rPr>
        <w:t>货物的详细配置清单</w:t>
      </w:r>
      <w:bookmarkEnd w:id="114"/>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1862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vAlign w:val="center"/>
          </w:tcPr>
          <w:p w14:paraId="18BF6253">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36" w:type="dxa"/>
            <w:vAlign w:val="center"/>
          </w:tcPr>
          <w:p w14:paraId="1FB041C5">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154" w:type="dxa"/>
            <w:vAlign w:val="center"/>
          </w:tcPr>
          <w:p w14:paraId="2F8A109F">
            <w:pPr>
              <w:spacing w:line="360" w:lineRule="auto"/>
              <w:jc w:val="center"/>
              <w:rPr>
                <w:rFonts w:ascii="宋体" w:hAnsi="宋体"/>
                <w:color w:val="auto"/>
                <w:szCs w:val="21"/>
                <w:highlight w:val="none"/>
              </w:rPr>
            </w:pPr>
            <w:r>
              <w:rPr>
                <w:rFonts w:hint="eastAsia" w:ascii="宋体" w:hAnsi="宋体"/>
                <w:color w:val="auto"/>
                <w:szCs w:val="21"/>
                <w:highlight w:val="none"/>
              </w:rPr>
              <w:t>品牌、规格型号</w:t>
            </w:r>
          </w:p>
        </w:tc>
        <w:tc>
          <w:tcPr>
            <w:tcW w:w="1171" w:type="dxa"/>
            <w:vAlign w:val="center"/>
          </w:tcPr>
          <w:p w14:paraId="3D2FA0FC">
            <w:pPr>
              <w:spacing w:line="360" w:lineRule="auto"/>
              <w:jc w:val="center"/>
              <w:rPr>
                <w:rFonts w:ascii="宋体" w:hAnsi="宋体"/>
                <w:color w:val="auto"/>
                <w:szCs w:val="21"/>
                <w:highlight w:val="none"/>
              </w:rPr>
            </w:pPr>
            <w:r>
              <w:rPr>
                <w:rFonts w:hint="eastAsia" w:ascii="宋体" w:hAnsi="宋体"/>
                <w:color w:val="auto"/>
                <w:szCs w:val="21"/>
                <w:highlight w:val="none"/>
              </w:rPr>
              <w:t>产地</w:t>
            </w:r>
          </w:p>
        </w:tc>
        <w:tc>
          <w:tcPr>
            <w:tcW w:w="2180" w:type="dxa"/>
            <w:vAlign w:val="center"/>
          </w:tcPr>
          <w:p w14:paraId="403F354A">
            <w:pPr>
              <w:spacing w:line="360" w:lineRule="auto"/>
              <w:ind w:left="261"/>
              <w:jc w:val="center"/>
              <w:rPr>
                <w:rFonts w:ascii="宋体" w:hAnsi="宋体"/>
                <w:color w:val="auto"/>
                <w:szCs w:val="21"/>
                <w:highlight w:val="none"/>
              </w:rPr>
            </w:pPr>
            <w:r>
              <w:rPr>
                <w:rFonts w:hint="eastAsia" w:ascii="宋体" w:hAnsi="宋体"/>
                <w:color w:val="auto"/>
                <w:szCs w:val="21"/>
                <w:highlight w:val="none"/>
              </w:rPr>
              <w:t>生产厂家</w:t>
            </w:r>
          </w:p>
        </w:tc>
        <w:tc>
          <w:tcPr>
            <w:tcW w:w="1532" w:type="dxa"/>
            <w:vAlign w:val="center"/>
          </w:tcPr>
          <w:p w14:paraId="74AA107D">
            <w:pPr>
              <w:spacing w:line="360" w:lineRule="auto"/>
              <w:jc w:val="center"/>
              <w:rPr>
                <w:rFonts w:ascii="宋体" w:hAnsi="宋体"/>
                <w:color w:val="auto"/>
                <w:szCs w:val="21"/>
                <w:highlight w:val="none"/>
              </w:rPr>
            </w:pPr>
            <w:r>
              <w:rPr>
                <w:rFonts w:hint="eastAsia" w:ascii="宋体" w:hAnsi="宋体"/>
                <w:color w:val="auto"/>
                <w:szCs w:val="21"/>
                <w:highlight w:val="none"/>
              </w:rPr>
              <w:t>详细配置清单</w:t>
            </w:r>
          </w:p>
        </w:tc>
      </w:tr>
      <w:tr w14:paraId="2082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2917BE83">
            <w:pPr>
              <w:numPr>
                <w:ilvl w:val="0"/>
                <w:numId w:val="16"/>
              </w:numPr>
              <w:spacing w:line="360" w:lineRule="auto"/>
              <w:rPr>
                <w:rFonts w:ascii="宋体" w:hAnsi="宋体"/>
                <w:color w:val="auto"/>
                <w:szCs w:val="21"/>
                <w:highlight w:val="none"/>
              </w:rPr>
            </w:pPr>
          </w:p>
        </w:tc>
        <w:tc>
          <w:tcPr>
            <w:tcW w:w="1436" w:type="dxa"/>
            <w:shd w:val="clear" w:color="auto" w:fill="FFFFFF"/>
            <w:vAlign w:val="center"/>
          </w:tcPr>
          <w:p w14:paraId="7CD5DF6A">
            <w:pPr>
              <w:widowControl/>
              <w:spacing w:line="360" w:lineRule="auto"/>
              <w:jc w:val="center"/>
              <w:textAlignment w:val="center"/>
              <w:rPr>
                <w:rFonts w:ascii="宋体" w:hAnsi="宋体"/>
                <w:color w:val="auto"/>
                <w:szCs w:val="21"/>
                <w:highlight w:val="none"/>
              </w:rPr>
            </w:pPr>
          </w:p>
        </w:tc>
        <w:tc>
          <w:tcPr>
            <w:tcW w:w="2154" w:type="dxa"/>
          </w:tcPr>
          <w:p w14:paraId="33BF0885">
            <w:pPr>
              <w:spacing w:line="360" w:lineRule="auto"/>
              <w:rPr>
                <w:rFonts w:ascii="宋体" w:hAnsi="宋体"/>
                <w:color w:val="auto"/>
                <w:szCs w:val="21"/>
                <w:highlight w:val="none"/>
              </w:rPr>
            </w:pPr>
          </w:p>
        </w:tc>
        <w:tc>
          <w:tcPr>
            <w:tcW w:w="1171" w:type="dxa"/>
          </w:tcPr>
          <w:p w14:paraId="52EF80A6">
            <w:pPr>
              <w:spacing w:line="360" w:lineRule="auto"/>
              <w:rPr>
                <w:rFonts w:ascii="宋体" w:hAnsi="宋体"/>
                <w:color w:val="auto"/>
                <w:szCs w:val="21"/>
                <w:highlight w:val="none"/>
              </w:rPr>
            </w:pPr>
          </w:p>
        </w:tc>
        <w:tc>
          <w:tcPr>
            <w:tcW w:w="2180" w:type="dxa"/>
          </w:tcPr>
          <w:p w14:paraId="6DFCF5E4">
            <w:pPr>
              <w:spacing w:line="360" w:lineRule="auto"/>
              <w:rPr>
                <w:rFonts w:ascii="宋体" w:hAnsi="宋体"/>
                <w:color w:val="auto"/>
                <w:szCs w:val="21"/>
                <w:highlight w:val="none"/>
              </w:rPr>
            </w:pPr>
          </w:p>
        </w:tc>
        <w:tc>
          <w:tcPr>
            <w:tcW w:w="1532" w:type="dxa"/>
          </w:tcPr>
          <w:p w14:paraId="4677089A">
            <w:pPr>
              <w:spacing w:line="360" w:lineRule="auto"/>
              <w:rPr>
                <w:rFonts w:ascii="宋体" w:hAnsi="宋体"/>
                <w:color w:val="auto"/>
                <w:szCs w:val="21"/>
                <w:highlight w:val="none"/>
              </w:rPr>
            </w:pPr>
          </w:p>
        </w:tc>
      </w:tr>
      <w:tr w14:paraId="45BE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13A8DA48">
            <w:pPr>
              <w:numPr>
                <w:ilvl w:val="0"/>
                <w:numId w:val="16"/>
              </w:numPr>
              <w:spacing w:line="360" w:lineRule="auto"/>
              <w:rPr>
                <w:rFonts w:ascii="宋体" w:hAnsi="宋体"/>
                <w:color w:val="auto"/>
                <w:szCs w:val="21"/>
                <w:highlight w:val="none"/>
              </w:rPr>
            </w:pPr>
          </w:p>
        </w:tc>
        <w:tc>
          <w:tcPr>
            <w:tcW w:w="1436" w:type="dxa"/>
            <w:shd w:val="clear" w:color="auto" w:fill="FFFFFF"/>
            <w:vAlign w:val="center"/>
          </w:tcPr>
          <w:p w14:paraId="37F28121">
            <w:pPr>
              <w:widowControl/>
              <w:spacing w:line="360" w:lineRule="auto"/>
              <w:jc w:val="center"/>
              <w:textAlignment w:val="center"/>
              <w:rPr>
                <w:rFonts w:ascii="宋体" w:hAnsi="宋体"/>
                <w:color w:val="auto"/>
                <w:szCs w:val="21"/>
                <w:highlight w:val="none"/>
              </w:rPr>
            </w:pPr>
          </w:p>
        </w:tc>
        <w:tc>
          <w:tcPr>
            <w:tcW w:w="2154" w:type="dxa"/>
          </w:tcPr>
          <w:p w14:paraId="2C1014D1">
            <w:pPr>
              <w:spacing w:line="360" w:lineRule="auto"/>
              <w:rPr>
                <w:rFonts w:ascii="宋体" w:hAnsi="宋体"/>
                <w:color w:val="auto"/>
                <w:szCs w:val="21"/>
                <w:highlight w:val="none"/>
              </w:rPr>
            </w:pPr>
          </w:p>
        </w:tc>
        <w:tc>
          <w:tcPr>
            <w:tcW w:w="1171" w:type="dxa"/>
          </w:tcPr>
          <w:p w14:paraId="4C531013">
            <w:pPr>
              <w:spacing w:line="360" w:lineRule="auto"/>
              <w:rPr>
                <w:rFonts w:ascii="宋体" w:hAnsi="宋体"/>
                <w:color w:val="auto"/>
                <w:szCs w:val="21"/>
                <w:highlight w:val="none"/>
              </w:rPr>
            </w:pPr>
          </w:p>
        </w:tc>
        <w:tc>
          <w:tcPr>
            <w:tcW w:w="2180" w:type="dxa"/>
          </w:tcPr>
          <w:p w14:paraId="4E150149">
            <w:pPr>
              <w:spacing w:line="360" w:lineRule="auto"/>
              <w:rPr>
                <w:rFonts w:ascii="宋体" w:hAnsi="宋体"/>
                <w:color w:val="auto"/>
                <w:szCs w:val="21"/>
                <w:highlight w:val="none"/>
              </w:rPr>
            </w:pPr>
          </w:p>
        </w:tc>
        <w:tc>
          <w:tcPr>
            <w:tcW w:w="1532" w:type="dxa"/>
          </w:tcPr>
          <w:p w14:paraId="6883D072">
            <w:pPr>
              <w:spacing w:line="360" w:lineRule="auto"/>
              <w:rPr>
                <w:rFonts w:ascii="宋体" w:hAnsi="宋体"/>
                <w:color w:val="auto"/>
                <w:szCs w:val="21"/>
                <w:highlight w:val="none"/>
              </w:rPr>
            </w:pPr>
          </w:p>
        </w:tc>
      </w:tr>
      <w:tr w14:paraId="66CD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4464E9E">
            <w:pPr>
              <w:numPr>
                <w:ilvl w:val="0"/>
                <w:numId w:val="16"/>
              </w:numPr>
              <w:spacing w:line="360" w:lineRule="auto"/>
              <w:rPr>
                <w:rFonts w:ascii="宋体" w:hAnsi="宋体"/>
                <w:color w:val="auto"/>
                <w:szCs w:val="21"/>
                <w:highlight w:val="none"/>
              </w:rPr>
            </w:pPr>
          </w:p>
        </w:tc>
        <w:tc>
          <w:tcPr>
            <w:tcW w:w="1436" w:type="dxa"/>
            <w:shd w:val="clear" w:color="auto" w:fill="FFFFFF"/>
            <w:vAlign w:val="center"/>
          </w:tcPr>
          <w:p w14:paraId="76569915">
            <w:pPr>
              <w:widowControl/>
              <w:spacing w:line="360" w:lineRule="auto"/>
              <w:jc w:val="center"/>
              <w:textAlignment w:val="center"/>
              <w:rPr>
                <w:rFonts w:ascii="宋体" w:hAnsi="宋体"/>
                <w:color w:val="auto"/>
                <w:szCs w:val="21"/>
                <w:highlight w:val="none"/>
              </w:rPr>
            </w:pPr>
          </w:p>
        </w:tc>
        <w:tc>
          <w:tcPr>
            <w:tcW w:w="2154" w:type="dxa"/>
          </w:tcPr>
          <w:p w14:paraId="6D1280D5">
            <w:pPr>
              <w:spacing w:line="360" w:lineRule="auto"/>
              <w:rPr>
                <w:rFonts w:ascii="宋体" w:hAnsi="宋体"/>
                <w:color w:val="auto"/>
                <w:szCs w:val="21"/>
                <w:highlight w:val="none"/>
              </w:rPr>
            </w:pPr>
          </w:p>
        </w:tc>
        <w:tc>
          <w:tcPr>
            <w:tcW w:w="1171" w:type="dxa"/>
          </w:tcPr>
          <w:p w14:paraId="0329CCA9">
            <w:pPr>
              <w:spacing w:line="360" w:lineRule="auto"/>
              <w:rPr>
                <w:rFonts w:ascii="宋体" w:hAnsi="宋体"/>
                <w:color w:val="auto"/>
                <w:szCs w:val="21"/>
                <w:highlight w:val="none"/>
              </w:rPr>
            </w:pPr>
          </w:p>
        </w:tc>
        <w:tc>
          <w:tcPr>
            <w:tcW w:w="2180" w:type="dxa"/>
          </w:tcPr>
          <w:p w14:paraId="68140AB1">
            <w:pPr>
              <w:spacing w:line="360" w:lineRule="auto"/>
              <w:rPr>
                <w:rFonts w:ascii="宋体" w:hAnsi="宋体"/>
                <w:color w:val="auto"/>
                <w:szCs w:val="21"/>
                <w:highlight w:val="none"/>
              </w:rPr>
            </w:pPr>
          </w:p>
        </w:tc>
        <w:tc>
          <w:tcPr>
            <w:tcW w:w="1532" w:type="dxa"/>
          </w:tcPr>
          <w:p w14:paraId="2D7E20CB">
            <w:pPr>
              <w:spacing w:line="360" w:lineRule="auto"/>
              <w:rPr>
                <w:rFonts w:ascii="宋体" w:hAnsi="宋体"/>
                <w:color w:val="auto"/>
                <w:szCs w:val="21"/>
                <w:highlight w:val="none"/>
              </w:rPr>
            </w:pPr>
          </w:p>
        </w:tc>
      </w:tr>
      <w:tr w14:paraId="0AD7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48C91289">
            <w:pPr>
              <w:spacing w:line="360" w:lineRule="auto"/>
              <w:rPr>
                <w:rFonts w:ascii="宋体" w:hAnsi="宋体"/>
                <w:color w:val="auto"/>
                <w:szCs w:val="21"/>
                <w:highlight w:val="none"/>
              </w:rPr>
            </w:pPr>
            <w:r>
              <w:rPr>
                <w:rFonts w:ascii="宋体" w:hAnsi="宋体"/>
                <w:color w:val="auto"/>
                <w:szCs w:val="21"/>
                <w:highlight w:val="none"/>
              </w:rPr>
              <w:t>…</w:t>
            </w:r>
          </w:p>
        </w:tc>
        <w:tc>
          <w:tcPr>
            <w:tcW w:w="1436" w:type="dxa"/>
            <w:shd w:val="clear" w:color="auto" w:fill="FFFFFF"/>
            <w:vAlign w:val="center"/>
          </w:tcPr>
          <w:p w14:paraId="57F82295">
            <w:pPr>
              <w:widowControl/>
              <w:spacing w:line="360" w:lineRule="auto"/>
              <w:jc w:val="center"/>
              <w:textAlignment w:val="center"/>
              <w:rPr>
                <w:rFonts w:ascii="宋体" w:hAnsi="宋体"/>
                <w:color w:val="auto"/>
                <w:szCs w:val="21"/>
                <w:highlight w:val="none"/>
              </w:rPr>
            </w:pPr>
          </w:p>
        </w:tc>
        <w:tc>
          <w:tcPr>
            <w:tcW w:w="2154" w:type="dxa"/>
          </w:tcPr>
          <w:p w14:paraId="13AF6F1B">
            <w:pPr>
              <w:spacing w:line="360" w:lineRule="auto"/>
              <w:rPr>
                <w:rFonts w:ascii="宋体" w:hAnsi="宋体"/>
                <w:color w:val="auto"/>
                <w:szCs w:val="21"/>
                <w:highlight w:val="none"/>
              </w:rPr>
            </w:pPr>
          </w:p>
        </w:tc>
        <w:tc>
          <w:tcPr>
            <w:tcW w:w="1171" w:type="dxa"/>
          </w:tcPr>
          <w:p w14:paraId="4375BCB6">
            <w:pPr>
              <w:spacing w:line="360" w:lineRule="auto"/>
              <w:rPr>
                <w:rFonts w:ascii="宋体" w:hAnsi="宋体"/>
                <w:color w:val="auto"/>
                <w:szCs w:val="21"/>
                <w:highlight w:val="none"/>
              </w:rPr>
            </w:pPr>
          </w:p>
        </w:tc>
        <w:tc>
          <w:tcPr>
            <w:tcW w:w="2180" w:type="dxa"/>
          </w:tcPr>
          <w:p w14:paraId="2AA08C45">
            <w:pPr>
              <w:spacing w:line="360" w:lineRule="auto"/>
              <w:rPr>
                <w:rFonts w:ascii="宋体" w:hAnsi="宋体"/>
                <w:color w:val="auto"/>
                <w:szCs w:val="21"/>
                <w:highlight w:val="none"/>
              </w:rPr>
            </w:pPr>
          </w:p>
        </w:tc>
        <w:tc>
          <w:tcPr>
            <w:tcW w:w="1532" w:type="dxa"/>
          </w:tcPr>
          <w:p w14:paraId="2CA470F9">
            <w:pPr>
              <w:spacing w:line="360" w:lineRule="auto"/>
              <w:rPr>
                <w:rFonts w:ascii="宋体" w:hAnsi="宋体"/>
                <w:color w:val="auto"/>
                <w:szCs w:val="21"/>
                <w:highlight w:val="none"/>
              </w:rPr>
            </w:pPr>
          </w:p>
        </w:tc>
      </w:tr>
    </w:tbl>
    <w:p w14:paraId="0AEC0858">
      <w:pPr>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注：</w:t>
      </w:r>
      <w:r>
        <w:rPr>
          <w:rFonts w:hint="eastAsia" w:ascii="宋体" w:hAnsi="宋体" w:cs="宋体"/>
          <w:color w:val="auto"/>
          <w:szCs w:val="21"/>
          <w:highlight w:val="none"/>
          <w:lang w:val="zh-CN"/>
        </w:rPr>
        <w:t>如果行数不够，请自行增加。</w:t>
      </w:r>
    </w:p>
    <w:p w14:paraId="63123E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44181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3955390">
      <w:pPr>
        <w:spacing w:line="360" w:lineRule="auto"/>
        <w:rPr>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15" w:name="_Toc15134"/>
      <w:bookmarkStart w:id="116" w:name="_Toc18438"/>
    </w:p>
    <w:p w14:paraId="6519EEE1">
      <w:pPr>
        <w:spacing w:line="360" w:lineRule="auto"/>
        <w:rPr>
          <w:b/>
          <w:color w:val="auto"/>
          <w:sz w:val="28"/>
          <w:szCs w:val="28"/>
          <w:highlight w:val="none"/>
        </w:rPr>
      </w:pPr>
      <w:r>
        <w:rPr>
          <w:rFonts w:hint="eastAsia"/>
          <w:b/>
          <w:color w:val="auto"/>
          <w:sz w:val="28"/>
          <w:szCs w:val="28"/>
          <w:highlight w:val="none"/>
        </w:rPr>
        <w:t>附件</w:t>
      </w:r>
      <w:bookmarkEnd w:id="115"/>
      <w:bookmarkEnd w:id="116"/>
      <w:r>
        <w:rPr>
          <w:rFonts w:hint="eastAsia"/>
          <w:b/>
          <w:color w:val="auto"/>
          <w:sz w:val="28"/>
          <w:szCs w:val="28"/>
          <w:highlight w:val="none"/>
        </w:rPr>
        <w:t>4</w:t>
      </w:r>
    </w:p>
    <w:p w14:paraId="523D054F">
      <w:pPr>
        <w:spacing w:line="400" w:lineRule="exact"/>
        <w:ind w:firstLine="562" w:firstLineChars="200"/>
        <w:rPr>
          <w:b/>
          <w:color w:val="auto"/>
          <w:sz w:val="28"/>
          <w:szCs w:val="28"/>
          <w:highlight w:val="none"/>
        </w:rPr>
      </w:pPr>
    </w:p>
    <w:p w14:paraId="0EE8EF1E">
      <w:pPr>
        <w:jc w:val="center"/>
        <w:rPr>
          <w:rFonts w:ascii="宋体"/>
          <w:b/>
          <w:color w:val="auto"/>
          <w:sz w:val="30"/>
          <w:szCs w:val="30"/>
          <w:highlight w:val="none"/>
        </w:rPr>
      </w:pPr>
      <w:r>
        <w:rPr>
          <w:rFonts w:hint="eastAsia" w:ascii="宋体"/>
          <w:b/>
          <w:color w:val="auto"/>
          <w:sz w:val="30"/>
          <w:szCs w:val="30"/>
          <w:highlight w:val="none"/>
        </w:rPr>
        <w:t>服务承诺书</w:t>
      </w:r>
    </w:p>
    <w:p w14:paraId="71FC9680">
      <w:pPr>
        <w:ind w:firstLine="480" w:firstLineChars="200"/>
        <w:rPr>
          <w:rFonts w:ascii="宋体"/>
          <w:color w:val="auto"/>
          <w:sz w:val="24"/>
          <w:highlight w:val="none"/>
        </w:rPr>
      </w:pPr>
    </w:p>
    <w:p w14:paraId="1FEEF0C7">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2B37755B">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C54EF5D">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000BB9CC">
      <w:pPr>
        <w:spacing w:line="600" w:lineRule="exact"/>
        <w:rPr>
          <w:rFonts w:ascii="宋体"/>
          <w:color w:val="auto"/>
          <w:sz w:val="24"/>
          <w:highlight w:val="none"/>
        </w:rPr>
      </w:pPr>
      <w:r>
        <w:rPr>
          <w:rFonts w:hint="eastAsia" w:ascii="宋体"/>
          <w:color w:val="auto"/>
          <w:sz w:val="24"/>
          <w:highlight w:val="none"/>
        </w:rPr>
        <w:t> </w:t>
      </w:r>
    </w:p>
    <w:p w14:paraId="68BD01D5">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C3737C7">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452FAD05">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440C8443">
      <w:pPr>
        <w:pStyle w:val="12"/>
        <w:ind w:firstLine="400"/>
        <w:rPr>
          <w:color w:val="auto"/>
          <w:highlight w:val="none"/>
        </w:rPr>
      </w:pPr>
    </w:p>
    <w:bookmarkEnd w:id="110"/>
    <w:bookmarkEnd w:id="111"/>
    <w:p w14:paraId="33410FF8">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3FAA9CD7">
      <w:pPr>
        <w:jc w:val="center"/>
        <w:rPr>
          <w:rFonts w:ascii="宋体"/>
          <w:b/>
          <w:color w:val="auto"/>
          <w:sz w:val="44"/>
          <w:szCs w:val="44"/>
          <w:highlight w:val="none"/>
        </w:rPr>
      </w:pPr>
      <w:bookmarkStart w:id="117" w:name="_Toc449028953"/>
      <w:bookmarkStart w:id="118" w:name="_Toc387149626"/>
    </w:p>
    <w:p w14:paraId="4E81442D">
      <w:pPr>
        <w:jc w:val="center"/>
        <w:rPr>
          <w:rFonts w:ascii="宋体"/>
          <w:b/>
          <w:color w:val="auto"/>
          <w:sz w:val="44"/>
          <w:szCs w:val="44"/>
          <w:highlight w:val="none"/>
        </w:rPr>
      </w:pPr>
      <w:r>
        <w:rPr>
          <w:rFonts w:hint="eastAsia" w:ascii="宋体"/>
          <w:b/>
          <w:color w:val="auto"/>
          <w:sz w:val="44"/>
          <w:szCs w:val="44"/>
          <w:highlight w:val="none"/>
        </w:rPr>
        <w:t>技术标</w:t>
      </w:r>
      <w:bookmarkEnd w:id="117"/>
      <w:bookmarkEnd w:id="118"/>
    </w:p>
    <w:p w14:paraId="4B080D5A">
      <w:pPr>
        <w:jc w:val="center"/>
        <w:rPr>
          <w:rFonts w:ascii="宋体"/>
          <w:color w:val="auto"/>
          <w:sz w:val="32"/>
          <w:szCs w:val="32"/>
          <w:highlight w:val="none"/>
        </w:rPr>
      </w:pPr>
      <w:r>
        <w:rPr>
          <w:rFonts w:hint="eastAsia" w:ascii="宋体"/>
          <w:color w:val="auto"/>
          <w:sz w:val="32"/>
          <w:szCs w:val="32"/>
          <w:highlight w:val="none"/>
        </w:rPr>
        <w:t>（投标文件二）</w:t>
      </w:r>
    </w:p>
    <w:p w14:paraId="3A385EEC">
      <w:pPr>
        <w:jc w:val="center"/>
        <w:rPr>
          <w:rFonts w:eastAsia="黑体"/>
          <w:color w:val="auto"/>
          <w:sz w:val="44"/>
          <w:szCs w:val="44"/>
          <w:highlight w:val="none"/>
        </w:rPr>
      </w:pPr>
    </w:p>
    <w:p w14:paraId="7E782C91">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0324ED1">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9D80B3F">
      <w:pPr>
        <w:rPr>
          <w:rFonts w:ascii="宋体"/>
          <w:color w:val="auto"/>
          <w:sz w:val="28"/>
          <w:szCs w:val="28"/>
          <w:highlight w:val="none"/>
        </w:rPr>
      </w:pPr>
    </w:p>
    <w:p w14:paraId="39BAA0C1">
      <w:pPr>
        <w:rPr>
          <w:rFonts w:ascii="宋体"/>
          <w:color w:val="auto"/>
          <w:sz w:val="28"/>
          <w:szCs w:val="28"/>
          <w:highlight w:val="none"/>
        </w:rPr>
      </w:pPr>
    </w:p>
    <w:p w14:paraId="2683D6B5">
      <w:pP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42134B11">
      <w:pPr>
        <w:pStyle w:val="12"/>
        <w:ind w:firstLine="560"/>
        <w:rPr>
          <w:rFonts w:ascii="宋体"/>
          <w:color w:val="auto"/>
          <w:sz w:val="28"/>
          <w:szCs w:val="28"/>
          <w:highlight w:val="none"/>
        </w:rPr>
      </w:pPr>
      <w:r>
        <w:rPr>
          <w:rFonts w:hint="eastAsia" w:ascii="宋体"/>
          <w:color w:val="auto"/>
          <w:sz w:val="28"/>
          <w:szCs w:val="28"/>
          <w:highlight w:val="none"/>
        </w:rPr>
        <w:br w:type="page"/>
      </w:r>
    </w:p>
    <w:p w14:paraId="59F78E1C">
      <w:pPr>
        <w:rPr>
          <w:rFonts w:ascii="宋体"/>
          <w:color w:val="auto"/>
          <w:sz w:val="28"/>
          <w:szCs w:val="28"/>
          <w:highlight w:val="none"/>
        </w:rPr>
      </w:pPr>
    </w:p>
    <w:p w14:paraId="2E5BD2C4">
      <w:pPr>
        <w:pStyle w:val="12"/>
        <w:ind w:firstLine="400"/>
        <w:rPr>
          <w:color w:val="auto"/>
          <w:highlight w:val="none"/>
        </w:rPr>
      </w:pPr>
    </w:p>
    <w:p w14:paraId="3F80AACD">
      <w:pPr>
        <w:spacing w:line="400" w:lineRule="exact"/>
        <w:rPr>
          <w:b/>
          <w:color w:val="auto"/>
          <w:sz w:val="36"/>
          <w:szCs w:val="36"/>
          <w:highlight w:val="none"/>
        </w:rPr>
      </w:pPr>
    </w:p>
    <w:p w14:paraId="5EFA0CEF">
      <w:pPr>
        <w:spacing w:line="400" w:lineRule="exact"/>
        <w:jc w:val="center"/>
        <w:rPr>
          <w:b/>
          <w:color w:val="auto"/>
          <w:sz w:val="36"/>
          <w:szCs w:val="36"/>
          <w:highlight w:val="none"/>
        </w:rPr>
      </w:pPr>
      <w:r>
        <w:rPr>
          <w:rFonts w:hint="eastAsia"/>
          <w:b/>
          <w:color w:val="auto"/>
          <w:sz w:val="36"/>
          <w:szCs w:val="36"/>
          <w:highlight w:val="none"/>
        </w:rPr>
        <w:t>目   录</w:t>
      </w:r>
    </w:p>
    <w:p w14:paraId="3003C5F9">
      <w:pPr>
        <w:spacing w:line="44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（1）管网压力保护方案；</w:t>
      </w:r>
    </w:p>
    <w:p w14:paraId="1C7C8DD0">
      <w:pPr>
        <w:spacing w:line="440" w:lineRule="exact"/>
        <w:ind w:left="420" w:leftChars="200"/>
        <w:jc w:val="left"/>
        <w:rPr>
          <w:rFonts w:ascii="宋体" w:hAnsi="宋体" w:cs="宋体"/>
          <w:color w:val="auto"/>
          <w:szCs w:val="21"/>
          <w:highlight w:val="none"/>
        </w:rPr>
      </w:pPr>
      <w:r>
        <w:rPr>
          <w:rFonts w:hint="eastAsia" w:ascii="宋体" w:hAnsi="宋体" w:cs="宋体"/>
          <w:bCs/>
          <w:color w:val="auto"/>
          <w:szCs w:val="21"/>
          <w:highlight w:val="none"/>
        </w:rPr>
        <w:t>（2）售后服务方案。</w:t>
      </w:r>
      <w:r>
        <w:rPr>
          <w:rFonts w:hint="eastAsia" w:ascii="宋体" w:hAnsi="宋体" w:cs="宋体"/>
          <w:bCs/>
          <w:color w:val="auto"/>
          <w:szCs w:val="21"/>
          <w:highlight w:val="none"/>
        </w:rPr>
        <w:br w:type="textWrapping"/>
      </w:r>
    </w:p>
    <w:p w14:paraId="6C1BFB9D">
      <w:pPr>
        <w:adjustRightInd w:val="0"/>
        <w:snapToGrid w:val="0"/>
        <w:spacing w:line="560" w:lineRule="exact"/>
        <w:rPr>
          <w:rFonts w:ascii="宋体" w:hAnsi="宋体"/>
          <w:b/>
          <w:bCs/>
          <w:color w:val="auto"/>
          <w:sz w:val="24"/>
          <w:highlight w:val="none"/>
        </w:rPr>
      </w:pPr>
    </w:p>
    <w:p w14:paraId="7AE3C7D0">
      <w:pP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042B51ED">
      <w:pPr>
        <w:pStyle w:val="17"/>
        <w:rPr>
          <w:color w:val="auto"/>
          <w:highlight w:val="none"/>
        </w:rPr>
      </w:pPr>
    </w:p>
    <w:p w14:paraId="5449DD81">
      <w:pPr>
        <w:spacing w:line="400" w:lineRule="exact"/>
        <w:ind w:firstLine="562" w:firstLineChars="200"/>
        <w:rPr>
          <w:b/>
          <w:color w:val="auto"/>
          <w:sz w:val="28"/>
          <w:szCs w:val="28"/>
          <w:highlight w:val="none"/>
        </w:rPr>
      </w:pPr>
    </w:p>
    <w:p w14:paraId="0DDB258B">
      <w:pPr>
        <w:spacing w:line="400" w:lineRule="exact"/>
        <w:ind w:firstLine="562" w:firstLineChars="200"/>
        <w:rPr>
          <w:b/>
          <w:color w:val="auto"/>
          <w:sz w:val="28"/>
          <w:szCs w:val="28"/>
          <w:highlight w:val="none"/>
        </w:rPr>
      </w:pPr>
    </w:p>
    <w:p w14:paraId="5071C882">
      <w:pPr>
        <w:spacing w:line="400" w:lineRule="exact"/>
        <w:ind w:firstLine="562" w:firstLineChars="200"/>
        <w:rPr>
          <w:b/>
          <w:color w:val="auto"/>
          <w:sz w:val="28"/>
          <w:szCs w:val="28"/>
          <w:highlight w:val="none"/>
        </w:rPr>
      </w:pPr>
    </w:p>
    <w:p w14:paraId="30FAD4E7">
      <w:pPr>
        <w:spacing w:line="480" w:lineRule="auto"/>
        <w:rPr>
          <w:b/>
          <w:color w:val="auto"/>
          <w:sz w:val="28"/>
          <w:szCs w:val="28"/>
          <w:highlight w:val="none"/>
        </w:rPr>
      </w:pPr>
      <w:r>
        <w:rPr>
          <w:rFonts w:hint="eastAsia"/>
          <w:b/>
          <w:color w:val="auto"/>
          <w:sz w:val="28"/>
          <w:szCs w:val="28"/>
          <w:highlight w:val="none"/>
        </w:rPr>
        <w:br w:type="page"/>
      </w:r>
    </w:p>
    <w:p w14:paraId="5AD0335D">
      <w:pPr>
        <w:spacing w:line="300" w:lineRule="exact"/>
        <w:rPr>
          <w:rFonts w:ascii="宋体"/>
          <w:color w:val="auto"/>
          <w:sz w:val="24"/>
          <w:highlight w:val="none"/>
          <w:u w:val="single"/>
        </w:rPr>
      </w:pPr>
    </w:p>
    <w:p w14:paraId="51C20DBF">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ABE7A1A">
      <w:pPr>
        <w:jc w:val="center"/>
        <w:rPr>
          <w:rFonts w:ascii="宋体"/>
          <w:color w:val="auto"/>
          <w:sz w:val="24"/>
          <w:highlight w:val="none"/>
        </w:rPr>
      </w:pPr>
      <w:r>
        <w:rPr>
          <w:rFonts w:hint="eastAsia" w:ascii="宋体" w:hAnsi="宋体"/>
          <w:b/>
          <w:color w:val="auto"/>
          <w:sz w:val="28"/>
          <w:szCs w:val="28"/>
          <w:highlight w:val="none"/>
        </w:rPr>
        <w:t>三、商务标格式文件</w:t>
      </w:r>
    </w:p>
    <w:p w14:paraId="7E032D0C">
      <w:pPr>
        <w:jc w:val="center"/>
        <w:rPr>
          <w:rFonts w:eastAsia="黑体"/>
          <w:color w:val="auto"/>
          <w:sz w:val="20"/>
          <w:highlight w:val="none"/>
        </w:rPr>
      </w:pPr>
    </w:p>
    <w:p w14:paraId="04B8936E">
      <w:pPr>
        <w:rPr>
          <w:rFonts w:ascii="宋体"/>
          <w:color w:val="auto"/>
          <w:sz w:val="20"/>
          <w:highlight w:val="none"/>
        </w:rPr>
      </w:pPr>
    </w:p>
    <w:p w14:paraId="4A943AA7">
      <w:pPr>
        <w:pStyle w:val="12"/>
        <w:ind w:firstLine="400"/>
        <w:rPr>
          <w:color w:val="auto"/>
          <w:highlight w:val="none"/>
        </w:rPr>
      </w:pPr>
    </w:p>
    <w:p w14:paraId="3ED4C3E5">
      <w:pPr>
        <w:jc w:val="center"/>
        <w:rPr>
          <w:rFonts w:ascii="宋体"/>
          <w:b/>
          <w:color w:val="auto"/>
          <w:sz w:val="44"/>
          <w:szCs w:val="44"/>
          <w:highlight w:val="none"/>
        </w:rPr>
      </w:pPr>
      <w:bookmarkStart w:id="119" w:name="_Toc449028954"/>
      <w:r>
        <w:rPr>
          <w:rFonts w:hint="eastAsia" w:ascii="宋体"/>
          <w:b/>
          <w:color w:val="auto"/>
          <w:sz w:val="44"/>
          <w:szCs w:val="44"/>
          <w:highlight w:val="none"/>
        </w:rPr>
        <w:t>商务标</w:t>
      </w:r>
      <w:bookmarkEnd w:id="119"/>
    </w:p>
    <w:p w14:paraId="4D35A9B6">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08726819">
      <w:pPr>
        <w:jc w:val="center"/>
        <w:rPr>
          <w:rFonts w:ascii="宋体"/>
          <w:color w:val="auto"/>
          <w:sz w:val="36"/>
          <w:szCs w:val="36"/>
          <w:highlight w:val="none"/>
        </w:rPr>
      </w:pPr>
    </w:p>
    <w:p w14:paraId="564348A0">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79DA7E99">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F4C542A">
      <w:pPr>
        <w:rPr>
          <w:rFonts w:ascii="宋体"/>
          <w:color w:val="auto"/>
          <w:sz w:val="28"/>
          <w:szCs w:val="28"/>
          <w:highlight w:val="none"/>
        </w:rPr>
      </w:pPr>
    </w:p>
    <w:p w14:paraId="397DAB9D">
      <w:pPr>
        <w:rPr>
          <w:rFonts w:ascii="宋体"/>
          <w:color w:val="auto"/>
          <w:sz w:val="28"/>
          <w:szCs w:val="28"/>
          <w:highlight w:val="none"/>
        </w:rPr>
      </w:pPr>
    </w:p>
    <w:p w14:paraId="60847598">
      <w:pPr>
        <w:rPr>
          <w:rFonts w:ascii="宋体"/>
          <w:color w:val="auto"/>
          <w:sz w:val="28"/>
          <w:szCs w:val="28"/>
          <w:highlight w:val="none"/>
        </w:rPr>
      </w:pPr>
    </w:p>
    <w:p w14:paraId="3093E004">
      <w:pPr>
        <w:rPr>
          <w:rFonts w:ascii="宋体"/>
          <w:color w:val="auto"/>
          <w:sz w:val="28"/>
          <w:szCs w:val="28"/>
          <w:highlight w:val="none"/>
        </w:rPr>
      </w:pPr>
    </w:p>
    <w:p w14:paraId="43C54BE0">
      <w:pPr>
        <w:rPr>
          <w:rFonts w:ascii="宋体"/>
          <w:color w:val="auto"/>
          <w:sz w:val="28"/>
          <w:szCs w:val="28"/>
          <w:highlight w:val="none"/>
        </w:rPr>
      </w:pPr>
    </w:p>
    <w:p w14:paraId="75BC99D7">
      <w:pPr>
        <w:rPr>
          <w:rFonts w:ascii="宋体"/>
          <w:color w:val="auto"/>
          <w:sz w:val="28"/>
          <w:szCs w:val="28"/>
          <w:highlight w:val="none"/>
        </w:rPr>
      </w:pPr>
    </w:p>
    <w:p w14:paraId="08548BE9">
      <w:pPr>
        <w:rPr>
          <w:rFonts w:ascii="宋体"/>
          <w:color w:val="auto"/>
          <w:sz w:val="28"/>
          <w:szCs w:val="28"/>
          <w:highlight w:val="none"/>
        </w:rPr>
      </w:pPr>
    </w:p>
    <w:p w14:paraId="3146E923">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43B6D0D">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61C0BBA">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B3E006C">
      <w:pPr>
        <w:spacing w:line="720" w:lineRule="auto"/>
        <w:jc w:val="center"/>
        <w:rPr>
          <w:rFonts w:ascii="宋体"/>
          <w:b/>
          <w:color w:val="auto"/>
          <w:sz w:val="36"/>
          <w:szCs w:val="36"/>
          <w:highlight w:val="none"/>
        </w:rPr>
      </w:pPr>
    </w:p>
    <w:p w14:paraId="77122876">
      <w:pPr>
        <w:spacing w:line="400" w:lineRule="exact"/>
        <w:ind w:firstLine="562" w:firstLineChars="200"/>
        <w:rPr>
          <w:b/>
          <w:color w:val="auto"/>
          <w:sz w:val="28"/>
          <w:szCs w:val="28"/>
          <w:highlight w:val="none"/>
        </w:rPr>
      </w:pPr>
    </w:p>
    <w:p w14:paraId="22717D65">
      <w:pPr>
        <w:spacing w:line="440" w:lineRule="exact"/>
        <w:ind w:firstLine="730" w:firstLineChars="202"/>
        <w:jc w:val="left"/>
        <w:rPr>
          <w:rFonts w:hint="default" w:ascii="宋体" w:eastAsia="宋体"/>
          <w:color w:val="auto"/>
          <w:szCs w:val="21"/>
          <w:highlight w:val="none"/>
          <w:lang w:val="en-US" w:eastAsia="zh-CN"/>
        </w:rPr>
      </w:pPr>
      <w:r>
        <w:rPr>
          <w:b/>
          <w:color w:val="auto"/>
          <w:sz w:val="36"/>
          <w:szCs w:val="36"/>
          <w:highlight w:val="none"/>
        </w:rPr>
        <w:br w:type="page"/>
      </w:r>
      <w:r>
        <w:rPr>
          <w:rFonts w:hint="eastAsia"/>
          <w:b/>
          <w:color w:val="auto"/>
          <w:sz w:val="36"/>
          <w:szCs w:val="36"/>
          <w:highlight w:val="none"/>
          <w:lang w:val="en-US" w:eastAsia="zh-CN"/>
        </w:rPr>
        <w:t>本项目无商务标内容，无须提供相关材料</w:t>
      </w:r>
    </w:p>
    <w:p w14:paraId="7200D49B">
      <w:pPr>
        <w:jc w:val="center"/>
        <w:rPr>
          <w:rFonts w:ascii="宋体"/>
          <w:b/>
          <w:color w:val="auto"/>
          <w:sz w:val="28"/>
          <w:szCs w:val="28"/>
          <w:highlight w:val="none"/>
        </w:rPr>
      </w:pPr>
    </w:p>
    <w:p w14:paraId="38CBF0F5">
      <w:pPr>
        <w:snapToGrid w:val="0"/>
        <w:spacing w:line="460" w:lineRule="exact"/>
        <w:ind w:left="2940" w:leftChars="1400" w:firstLine="964" w:firstLineChars="300"/>
        <w:rPr>
          <w:rFonts w:ascii="宋体"/>
          <w:b/>
          <w:color w:val="auto"/>
          <w:sz w:val="32"/>
          <w:szCs w:val="32"/>
          <w:highlight w:val="none"/>
        </w:rPr>
      </w:pPr>
    </w:p>
    <w:p w14:paraId="46A83A92">
      <w:pPr>
        <w:snapToGrid w:val="0"/>
        <w:spacing w:line="460" w:lineRule="exact"/>
        <w:ind w:left="2940" w:leftChars="1400" w:firstLine="964" w:firstLineChars="300"/>
        <w:rPr>
          <w:rFonts w:ascii="宋体"/>
          <w:b/>
          <w:color w:val="auto"/>
          <w:sz w:val="32"/>
          <w:szCs w:val="32"/>
          <w:highlight w:val="none"/>
        </w:rPr>
      </w:pPr>
    </w:p>
    <w:p w14:paraId="00259FBC">
      <w:pPr>
        <w:snapToGrid w:val="0"/>
        <w:spacing w:line="460" w:lineRule="exact"/>
        <w:ind w:left="2940" w:leftChars="1400" w:firstLine="964" w:firstLineChars="300"/>
        <w:rPr>
          <w:rFonts w:ascii="宋体"/>
          <w:b/>
          <w:color w:val="auto"/>
          <w:sz w:val="32"/>
          <w:szCs w:val="32"/>
          <w:highlight w:val="none"/>
        </w:rPr>
      </w:pPr>
    </w:p>
    <w:p w14:paraId="455CF073">
      <w:pPr>
        <w:snapToGrid w:val="0"/>
        <w:spacing w:line="460" w:lineRule="exact"/>
        <w:ind w:left="2940" w:leftChars="1400" w:firstLine="964" w:firstLineChars="300"/>
        <w:rPr>
          <w:rFonts w:ascii="宋体"/>
          <w:b/>
          <w:color w:val="auto"/>
          <w:sz w:val="32"/>
          <w:szCs w:val="32"/>
          <w:highlight w:val="none"/>
        </w:rPr>
      </w:pPr>
    </w:p>
    <w:p w14:paraId="602EE89E">
      <w:pPr>
        <w:snapToGrid w:val="0"/>
        <w:spacing w:line="460" w:lineRule="exact"/>
        <w:ind w:left="2940" w:leftChars="1400" w:firstLine="964" w:firstLineChars="300"/>
        <w:rPr>
          <w:rFonts w:ascii="宋体"/>
          <w:b/>
          <w:color w:val="auto"/>
          <w:sz w:val="32"/>
          <w:szCs w:val="32"/>
          <w:highlight w:val="none"/>
        </w:rPr>
      </w:pPr>
    </w:p>
    <w:p w14:paraId="34702B71">
      <w:pPr>
        <w:snapToGrid w:val="0"/>
        <w:spacing w:line="460" w:lineRule="exact"/>
        <w:ind w:left="2940" w:leftChars="1400" w:firstLine="964" w:firstLineChars="300"/>
        <w:rPr>
          <w:rFonts w:ascii="宋体"/>
          <w:b/>
          <w:color w:val="auto"/>
          <w:sz w:val="32"/>
          <w:szCs w:val="32"/>
          <w:highlight w:val="none"/>
        </w:rPr>
      </w:pPr>
    </w:p>
    <w:p w14:paraId="424FE1B3">
      <w:pPr>
        <w:outlineLvl w:val="0"/>
        <w:rPr>
          <w:rFonts w:ascii="宋体" w:hAnsi="宋体" w:cs="宋体"/>
          <w:color w:val="auto"/>
          <w:sz w:val="28"/>
          <w:szCs w:val="28"/>
          <w:highlight w:val="none"/>
        </w:rPr>
      </w:pPr>
      <w:r>
        <w:rPr>
          <w:rFonts w:ascii="宋体" w:hAnsi="宋体"/>
          <w:b/>
          <w:color w:val="auto"/>
          <w:sz w:val="30"/>
          <w:szCs w:val="30"/>
          <w:highlight w:val="none"/>
        </w:rPr>
        <w:br w:type="page"/>
      </w:r>
      <w:bookmarkStart w:id="120" w:name="_Toc11016"/>
      <w:r>
        <w:rPr>
          <w:rFonts w:hint="eastAsia" w:ascii="宋体" w:hAnsi="宋体" w:cs="宋体"/>
          <w:b/>
          <w:color w:val="auto"/>
          <w:sz w:val="28"/>
          <w:szCs w:val="28"/>
          <w:highlight w:val="none"/>
          <w:lang w:bidi="ar"/>
        </w:rPr>
        <w:t>附件1</w:t>
      </w:r>
      <w:bookmarkEnd w:id="120"/>
    </w:p>
    <w:p w14:paraId="50DE2812">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关于联合惩戒失信行为 加强信用查询管理的通知</w:t>
      </w:r>
    </w:p>
    <w:p w14:paraId="1AC628A7">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一、失信行为联合惩戒的范围和查询渠道</w:t>
      </w:r>
    </w:p>
    <w:p w14:paraId="361877DE">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在我市公共资源交易活动中对存在下列失信行为的投标人、法定代表人及其项目经理（建造师）实施联合惩戒，禁止参与我市公共资源交易活动。</w:t>
      </w:r>
    </w:p>
    <w:p w14:paraId="7DBAE73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（一）工程建设项目</w:t>
      </w:r>
    </w:p>
    <w:p w14:paraId="451BF5A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1、“信用中国”网站（www.creditchina.gov.cn）查询投标人、法定代表人及其项目经理(建造师)以下失信行为：</w:t>
      </w:r>
    </w:p>
    <w:p w14:paraId="6C3144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784A25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008D740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③被列入“拖欠农民工工资失信联合惩戒对象名单”的；</w:t>
      </w:r>
    </w:p>
    <w:p w14:paraId="4E7DD37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④被列入 “严重失信主体名单”的；</w:t>
      </w:r>
    </w:p>
    <w:p w14:paraId="3A0FDE6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⑤在“信用中国”网站上披露的仍在公示期的严重失信行为(具体行为类别及判定依据见附件2)的。</w:t>
      </w:r>
    </w:p>
    <w:p w14:paraId="2FBAB7F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2、国家企业信用信息公示系统网站（www.gsxt.gov.cn）查询投标人以下失信行为：</w:t>
      </w:r>
    </w:p>
    <w:p w14:paraId="2BBD69D0">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①被列入“经营异常名录”或者“严重违法失信名单”的。</w:t>
      </w:r>
    </w:p>
    <w:p w14:paraId="28A7505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3、由投标人、法定代表人及其项目经理(建造师)进行承诺，不进行现场网上信用查询的失信行为：</w:t>
      </w:r>
    </w:p>
    <w:p w14:paraId="6D83BB8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①前三年有行贿犯罪行为的单位和个人；</w:t>
      </w:r>
    </w:p>
    <w:p w14:paraId="6AC81A8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②被滁州市县两级公管部门取消在一定期限内的投标资格且在取消期限内的；</w:t>
      </w:r>
    </w:p>
    <w:p w14:paraId="76C7DF6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③被滁州市县两级各行业主管部门取消在一定期限内的投标资格且在取消期限内的；</w:t>
      </w:r>
    </w:p>
    <w:p w14:paraId="7C6DA05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④因拖欠农民工工资被县级及以上有关行政主管部门限制投标资格且在限制期限内的；</w:t>
      </w:r>
    </w:p>
    <w:p w14:paraId="66B8ACB7">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B8EE945">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（二）政府采购项目</w:t>
      </w:r>
    </w:p>
    <w:p w14:paraId="4E98166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1、“信用中国”网站（www.creditchina.gov.cn）查询供应商、法定代表人及其项目负责人以下失信行为：</w:t>
      </w:r>
    </w:p>
    <w:p w14:paraId="388C593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D2B02F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6333F4B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 “严重失信主体名单”的；</w:t>
      </w:r>
    </w:p>
    <w:p w14:paraId="0C77063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④在“信用中国”网站上披露的仍在公示期的严重失信行为(具体行为类别及判定依据见附件2)的。</w:t>
      </w:r>
    </w:p>
    <w:p w14:paraId="6DD7796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lang w:bidi="ar"/>
        </w:rPr>
        <w:t>www.gsxt.gov.cn）</w:t>
      </w:r>
      <w:r>
        <w:rPr>
          <w:rFonts w:hint="eastAsia" w:ascii="宋体" w:hAnsi="宋体" w:cs="宋体"/>
          <w:bCs/>
          <w:color w:val="auto"/>
          <w:kern w:val="0"/>
          <w:sz w:val="24"/>
          <w:highlight w:val="none"/>
          <w:lang w:bidi="ar"/>
        </w:rPr>
        <w:fldChar w:fldCharType="end"/>
      </w:r>
      <w:r>
        <w:rPr>
          <w:rFonts w:hint="eastAsia" w:ascii="宋体" w:hAnsi="宋体" w:cs="宋体"/>
          <w:bCs/>
          <w:color w:val="auto"/>
          <w:kern w:val="0"/>
          <w:sz w:val="24"/>
          <w:highlight w:val="none"/>
          <w:lang w:bidi="ar"/>
        </w:rPr>
        <w:t>查询供应商以下失信行为：</w:t>
      </w:r>
    </w:p>
    <w:p w14:paraId="322054F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21" w:name="OLE_LINK102"/>
      <w:bookmarkStart w:id="122" w:name="OLE_LINK100"/>
      <w:bookmarkStart w:id="123" w:name="OLE_LINK101"/>
      <w:r>
        <w:rPr>
          <w:rFonts w:hint="eastAsia" w:ascii="宋体" w:hAnsi="宋体" w:cs="宋体"/>
          <w:bCs/>
          <w:color w:val="auto"/>
          <w:kern w:val="0"/>
          <w:sz w:val="24"/>
          <w:highlight w:val="none"/>
          <w:lang w:bidi="ar"/>
        </w:rPr>
        <w:t>被列入“经营异常名录”或者“严重违法失信名单”的</w:t>
      </w:r>
      <w:bookmarkEnd w:id="121"/>
      <w:bookmarkEnd w:id="122"/>
      <w:bookmarkEnd w:id="123"/>
      <w:r>
        <w:rPr>
          <w:rFonts w:hint="eastAsia" w:ascii="宋体" w:hAnsi="宋体" w:cs="宋体"/>
          <w:bCs/>
          <w:color w:val="auto"/>
          <w:kern w:val="0"/>
          <w:sz w:val="24"/>
          <w:highlight w:val="none"/>
          <w:lang w:bidi="ar"/>
        </w:rPr>
        <w:t>。</w:t>
      </w:r>
    </w:p>
    <w:p w14:paraId="78DEAE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3、中国政府采购网站（</w:t>
      </w:r>
      <w:bookmarkStart w:id="124" w:name="OLE_LINK95"/>
      <w:bookmarkStart w:id="125" w:name="OLE_LINK96"/>
      <w:r>
        <w:rPr>
          <w:rFonts w:hint="eastAsia" w:ascii="宋体" w:hAnsi="宋体" w:cs="宋体"/>
          <w:bCs/>
          <w:color w:val="auto"/>
          <w:kern w:val="0"/>
          <w:sz w:val="24"/>
          <w:highlight w:val="none"/>
          <w:lang w:bidi="ar"/>
        </w:rPr>
        <w:fldChar w:fldCharType="begin"/>
      </w:r>
      <w:r>
        <w:rPr>
          <w:rFonts w:hint="eastAsia" w:ascii="宋体" w:hAnsi="宋体" w:cs="宋体"/>
          <w:bCs/>
          <w:color w:val="auto"/>
          <w:kern w:val="0"/>
          <w:sz w:val="24"/>
          <w:highlight w:val="none"/>
          <w:lang w:bidi="ar"/>
        </w:rPr>
        <w:instrText xml:space="preserve"> HYPERLINK "http://www.ccgp.gov.cn" </w:instrText>
      </w:r>
      <w:r>
        <w:rPr>
          <w:rFonts w:hint="eastAsia" w:ascii="宋体" w:hAnsi="宋体" w:cs="宋体"/>
          <w:bCs/>
          <w:color w:val="auto"/>
          <w:kern w:val="0"/>
          <w:sz w:val="24"/>
          <w:highlight w:val="none"/>
          <w:lang w:bidi="ar"/>
        </w:rPr>
        <w:fldChar w:fldCharType="separate"/>
      </w:r>
      <w:r>
        <w:rPr>
          <w:rFonts w:hint="eastAsia" w:ascii="宋体" w:hAnsi="宋体" w:cs="宋体"/>
          <w:bCs/>
          <w:color w:val="auto"/>
          <w:kern w:val="0"/>
          <w:sz w:val="24"/>
          <w:highlight w:val="none"/>
          <w:lang w:bidi="ar"/>
        </w:rPr>
        <w:t>www.ccgp.gov.cn</w:t>
      </w:r>
      <w:r>
        <w:rPr>
          <w:rFonts w:hint="eastAsia" w:ascii="宋体" w:hAnsi="宋体" w:cs="宋体"/>
          <w:bCs/>
          <w:color w:val="auto"/>
          <w:kern w:val="0"/>
          <w:sz w:val="24"/>
          <w:highlight w:val="none"/>
          <w:lang w:bidi="ar"/>
        </w:rPr>
        <w:fldChar w:fldCharType="end"/>
      </w:r>
      <w:bookmarkEnd w:id="124"/>
      <w:bookmarkEnd w:id="125"/>
      <w:r>
        <w:rPr>
          <w:rFonts w:hint="eastAsia" w:ascii="宋体" w:hAnsi="宋体" w:cs="宋体"/>
          <w:bCs/>
          <w:color w:val="auto"/>
          <w:kern w:val="0"/>
          <w:sz w:val="24"/>
          <w:highlight w:val="none"/>
          <w:lang w:bidi="ar"/>
        </w:rPr>
        <w:t>）查询以下失信行为：</w:t>
      </w:r>
    </w:p>
    <w:p w14:paraId="70D380A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26" w:name="OLE_LINK106"/>
      <w:bookmarkStart w:id="127" w:name="OLE_LINK105"/>
      <w:bookmarkStart w:id="128" w:name="OLE_LINK104"/>
      <w:r>
        <w:rPr>
          <w:rFonts w:hint="eastAsia" w:ascii="宋体" w:hAnsi="宋体" w:cs="宋体"/>
          <w:bCs/>
          <w:color w:val="auto"/>
          <w:kern w:val="0"/>
          <w:sz w:val="24"/>
          <w:highlight w:val="none"/>
          <w:lang w:bidi="ar"/>
        </w:rPr>
        <w:t>被列入“政府采购严重违法失信行为信息记录”的</w:t>
      </w:r>
      <w:bookmarkEnd w:id="126"/>
      <w:bookmarkEnd w:id="127"/>
      <w:bookmarkEnd w:id="128"/>
      <w:r>
        <w:rPr>
          <w:rFonts w:hint="eastAsia" w:ascii="宋体" w:hAnsi="宋体" w:cs="宋体"/>
          <w:bCs/>
          <w:color w:val="auto"/>
          <w:kern w:val="0"/>
          <w:sz w:val="24"/>
          <w:highlight w:val="none"/>
          <w:lang w:bidi="ar"/>
        </w:rPr>
        <w:t>。</w:t>
      </w:r>
    </w:p>
    <w:p w14:paraId="58C44615">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4、由竞争主体进行承诺，不进行现场网上信用查询的失信行为：</w:t>
      </w:r>
    </w:p>
    <w:p w14:paraId="42B9691D">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①前三年有行贿犯罪行为的单位和个人。</w:t>
      </w:r>
    </w:p>
    <w:p w14:paraId="26F41C51">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二、在开评标活动中的查询程序</w:t>
      </w:r>
    </w:p>
    <w:p w14:paraId="0C66AFF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C8ABB9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7924AB9">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3、项目单位及其委托的代理机构应当做好信用查询结果截图和记录留存。</w:t>
      </w:r>
    </w:p>
    <w:p w14:paraId="7A697D8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三、相关要求</w:t>
      </w:r>
    </w:p>
    <w:p w14:paraId="5FDC37C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FAC8F0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0E7F954">
      <w:pPr>
        <w:widowControl/>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9FA9290">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2、“信用中国”查询的严重失信行为判定依据为各行业主管部门下发的联合惩戒文件中规定的行为（按附件2执行）。</w:t>
      </w:r>
    </w:p>
    <w:p w14:paraId="7AB2BE13">
      <w:pPr>
        <w:widowControl/>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lang w:bidi="ar"/>
        </w:rPr>
        <w:t>3、资格预审的项目以递交资格预审申请文件截止时间查询为准；资格后审的项目以递交投标文件截止时间查询为准。</w:t>
      </w:r>
    </w:p>
    <w:p w14:paraId="72008421">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5412A599">
      <w:pPr>
        <w:pStyle w:val="31"/>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56A2BC9A">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附件2</w:t>
      </w:r>
    </w:p>
    <w:p w14:paraId="0E86B5C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“信用中国”查询的严重失信行为类别及判定依据</w:t>
      </w:r>
    </w:p>
    <w:p w14:paraId="45D4BB79">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411FF3E0">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“信用中国”查询的严重失信行为判定依据为各行业主管部门下发的联合惩戒文件中规定的行为。下面将部分类别的严重失信行为列举如下：</w:t>
      </w:r>
    </w:p>
    <w:p w14:paraId="622F8E3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一、安全生产领域严重失信行为：</w:t>
      </w:r>
    </w:p>
    <w:p w14:paraId="1BAB28B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（一）下列发生生产安全事故的生产经营单位及其有关人员应当列入严重失信主体名单：</w:t>
      </w:r>
    </w:p>
    <w:p w14:paraId="12F065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1、发生特别重大、重大生产安全事故的生产经营单位及其主要负责人，以及经调查认定对该事故发生负有责任，应当列入名单的其他单位和人员；</w:t>
      </w:r>
    </w:p>
    <w:p w14:paraId="09DCCB6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2、12个月内累计发生2起以上较大生产安全事故的生产经营单位及其主要负责人；</w:t>
      </w:r>
    </w:p>
    <w:p w14:paraId="33E43C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1D440E5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4、瞒报、谎报生产安全事故的生产经营单位及其有关责任人员；</w:t>
      </w:r>
    </w:p>
    <w:p w14:paraId="05E1CC6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5、发生生产安全事故后，不立即组织抢救或者在事故调查处理期间擅离职守或者逃匿的生产经营单位主要负责人。</w:t>
      </w:r>
    </w:p>
    <w:p w14:paraId="2069326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（二）下列未发生生产安全事故，但因安全生产违法行为，受到行政处罚的生产经营单位或者机构及其有关人员，应当列入严重失信主体名单：</w:t>
      </w:r>
    </w:p>
    <w:p w14:paraId="100EB7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1、未依法取得安全生产相关许可或者许可被暂扣、吊销期间从事相关生产经营活动的生产经营单位及其主要负责人；</w:t>
      </w:r>
    </w:p>
    <w:p w14:paraId="389306E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2、承担安全评价、认证、检测、检验职责的机构及其直接责任人员租借资质、挂靠、出具虚假报告或者证书的；</w:t>
      </w:r>
    </w:p>
    <w:p w14:paraId="1A2EE68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3、在应急管理部门作出行政处罚后，有执行能力拒不执行或者逃避执行的生产经营单位及其主要负责人；</w:t>
      </w:r>
    </w:p>
    <w:p w14:paraId="52D8749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4、其他违反安全生产法律法规受到行政处罚，且性质恶劣、情节严重的。</w:t>
      </w:r>
    </w:p>
    <w:p w14:paraId="273E729B">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依据：《安全生产严重失信主体名单管理办法》（2023年8月8日应急管理部令第11号）</w:t>
      </w:r>
    </w:p>
    <w:p w14:paraId="72177A6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1A81A02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二、环境保护领域严重失信行为：</w:t>
      </w:r>
    </w:p>
    <w:p w14:paraId="43EB0B3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（一）因为环境违法构成环境犯罪的；</w:t>
      </w:r>
    </w:p>
    <w:p w14:paraId="67031A8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（二）建设项目环境影响评价文件未按规定通过审批，擅自开工建设的；</w:t>
      </w:r>
    </w:p>
    <w:p w14:paraId="4158E2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（三）建设项目环保设施未建成、环保措施未落实、未通过竣工环保验收或者验收不合格，主体工程正式投入生产或者使用的；</w:t>
      </w:r>
    </w:p>
    <w:p w14:paraId="7832F3D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（四）建设项目性质、规模、地点、采用的生产工艺或者防治污染、防止生态破坏的措施发生重大变动，未重新报批环境影响评价文件，擅自投入生产或者使用的；</w:t>
      </w:r>
    </w:p>
    <w:p w14:paraId="3B86F9E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（五）主要污染物排放总量超过控制指标的；</w:t>
      </w:r>
    </w:p>
    <w:p w14:paraId="1284B8E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（六）私设暗管或者利用渗井、渗坑、裂隙、溶洞等排放、倾倒、处置水污染物，或者通过私设旁路排放大气污染物的；</w:t>
      </w:r>
    </w:p>
    <w:p w14:paraId="7F482F6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（七）非法排放、倾倒、处置危险废物，或者向无经营许可证或者超出经营许可范围的单位或个人提供或者委托其收集、贮存、利用、处置危险废物的；</w:t>
      </w:r>
    </w:p>
    <w:p w14:paraId="502F151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（八）环境违法行为造成集中式生活饮用水水源取水中断的；</w:t>
      </w:r>
    </w:p>
    <w:p w14:paraId="7C11B15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（九）环境违法行为对生活饮用水水源保护区、自然保护区、国家重点生态功能区、风景名胜区、居住功能区、基本农田保护区等环境敏感区造成重大不利影响的；</w:t>
      </w:r>
    </w:p>
    <w:p w14:paraId="647702B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（十）违法从事自然资源开发、交通基础设施建设，以及其他开发建设活动，造成严重生态破坏的；</w:t>
      </w:r>
    </w:p>
    <w:p w14:paraId="02D8AB4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（十一）发生较大及以上突发环境事件的；</w:t>
      </w:r>
    </w:p>
    <w:p w14:paraId="701D35A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（十二）被环保部门挂牌督办，整改逾期未完成的；</w:t>
      </w:r>
    </w:p>
    <w:p w14:paraId="0409CFF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（十三）以暴力、威胁等方式拒绝、阻挠环保部门工作人员现场检查的；</w:t>
      </w:r>
    </w:p>
    <w:p w14:paraId="0BA9C5D6">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（十四）违反重污染天气应急预案有关规定，对重污染天气响应不力的。</w:t>
      </w:r>
    </w:p>
    <w:p w14:paraId="00F07BA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依据：《关于对环境保护领域失信生产经营单位及其有关人员开展联合惩戒的合作备忘录》、《企业环境信用评价办法（试行）》（环发〔2013〕150号）</w:t>
      </w:r>
    </w:p>
    <w:p w14:paraId="7402249B">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1EC920E">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三、公共资源交易领域严重失信行为</w:t>
      </w:r>
    </w:p>
    <w:p w14:paraId="249E7C6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（一）违反法律规定，必须进行招标的项目而不招标的，将必须进行招标的项目化整为零或者以其他任何方式规避招标的； </w:t>
      </w:r>
    </w:p>
    <w:p w14:paraId="3434BE1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（二）招标代理机构违反法律规定，泄露应当保密的与招标投标活动有关的情况和资料的，或者与招标人、投标人串通损害 国家利益、社会公共利益或者他人合法权益的；</w:t>
      </w:r>
    </w:p>
    <w:p w14:paraId="5C6AD9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（三）招标人以不合理的条件限制或者排斥潜在投标人的，对潜在投标人实行歧视待遇的，强制要求投标人组成联合体共同 投标的，或者限制投标人之间竞争的；</w:t>
      </w:r>
    </w:p>
    <w:p w14:paraId="445CA3C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（四）依法必须进行招标的项目的招标人向他人透露已获取招标文件的潜在投标人的名称、数量或者可能影响公平竞争的有 关招标投标的其他情况的，或者泄露标底的；</w:t>
      </w:r>
    </w:p>
    <w:p w14:paraId="444EE00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（五）投标人相互串通投标或者与招标人串通投标的，投标人以向招标人或者评标委员会成员行贿的手段谋取中标的； </w:t>
      </w:r>
    </w:p>
    <w:p w14:paraId="658D4D5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（六）投标人以他人名义投标或者以其他方式弄虚作假，骗取中标的；</w:t>
      </w:r>
    </w:p>
    <w:p w14:paraId="500226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（七）依法必须进行招标的项目，招标人违反法律规定，与投标人就投标价格、投标方案等实质性内容进行谈判的；</w:t>
      </w:r>
    </w:p>
    <w:p w14:paraId="64E9560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6D8BB9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（九）招标人在评标委员会依法推荐的中标候选人以外确定中标人的，依法必须进行招标的项目在所有投标被评标委员会否 决后自行确定中标人的； </w:t>
      </w:r>
    </w:p>
    <w:p w14:paraId="6526221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4CD2710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（十一）招标人与中标人不按照招标文件和中标人的投标文件订立合同的，或者招标人、中标人订立背离合同实质性内容的 协议的； </w:t>
      </w:r>
    </w:p>
    <w:p w14:paraId="4A3C5BA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（十二）中标人不按照与招标人订立的合同履行义务，情节严重的； </w:t>
      </w:r>
    </w:p>
    <w:p w14:paraId="213AD7B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F072B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4D2CD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（十五）采购人对应当实行集中采购的政府采购项目，不委托集中采购机构实行集中采购的； </w:t>
      </w:r>
    </w:p>
    <w:p w14:paraId="315A33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（十六）采购人、采购代理机构违反法律规定隐匿、销毁应当保存的采购文件或者伪造、变造采购文件的； </w:t>
      </w:r>
    </w:p>
    <w:p w14:paraId="7A7B0AF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273F8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（十八）疫苗生产企业向县级疾病预防控制机构以外的单位或者个人销售第二类疫苗的； </w:t>
      </w:r>
    </w:p>
    <w:p w14:paraId="64034149">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（十九）存在其他违反公共资源交易法律法规行为的。</w:t>
      </w:r>
    </w:p>
    <w:p w14:paraId="6572894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依据：《关于对公共资源交易领域严重失信主体开展联合惩戒的备忘录》（发改法规〔2018〕457号）</w:t>
      </w:r>
    </w:p>
    <w:p w14:paraId="7F78547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5CD483F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四、社会保险领域严重失信行为</w:t>
      </w:r>
    </w:p>
    <w:p w14:paraId="13A8025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（一）用人单位未按相关规定参加社会保险且拒不整改的； </w:t>
      </w:r>
    </w:p>
    <w:p w14:paraId="4F9D9CF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（二）用人单位未如实申报社会保险缴费基数且拒不整改的； </w:t>
      </w:r>
    </w:p>
    <w:p w14:paraId="7C523CA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（三）应缴纳社会保险费却拒不缴纳的； </w:t>
      </w:r>
    </w:p>
    <w:p w14:paraId="6CF347F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（四）隐匿、转移、侵占、挪用社会保险费款、基金或者违规投资运营的；</w:t>
      </w:r>
    </w:p>
    <w:p w14:paraId="6E6149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（五）以欺诈、伪造证明材料或者其他手段参加、申报社会保险和骗取社会保险基金支出或社会保险待遇的； </w:t>
      </w:r>
    </w:p>
    <w:p w14:paraId="5A9ED2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（六）非法获取、出售或变相交易社会保险个人权益数据的； </w:t>
      </w:r>
    </w:p>
    <w:p w14:paraId="5438771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（七）社会保险服务机构违反服务协议或相关规定的； </w:t>
      </w:r>
    </w:p>
    <w:p w14:paraId="177D70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0684CBE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（九）其他违反法律法规规定的。</w:t>
      </w:r>
    </w:p>
    <w:p w14:paraId="14C7DD48">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依据：《关于对社会保险领域严重失信企业及其有关人员实施联合惩戒的合作备忘录》（发改财金〔2018〕1704号）</w:t>
      </w:r>
    </w:p>
    <w:p w14:paraId="5E9C337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3567B07A">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五、建筑市场领域严重失信行为</w:t>
      </w:r>
    </w:p>
    <w:p w14:paraId="608AB84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（一）利用虚假材料、以欺骗手段取得企业资质的；</w:t>
      </w:r>
    </w:p>
    <w:p w14:paraId="2132770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（二）发生转包、出借资质，受到行政处罚的；</w:t>
      </w:r>
    </w:p>
    <w:p w14:paraId="11DBFA8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1328EAF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（四）经法院判决或仲裁机构裁决，认定为拖欠工程款,且拒不履行生效法律文书确定的义务的。</w:t>
      </w:r>
    </w:p>
    <w:p w14:paraId="0B8D8935">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各级住房城乡建设主管部门应当参照建筑市场主体“黑名单”，对被人力资源社会保障行政部门列入拖欠农民工工资“黑名单”的建筑市场各方主体加强监管。</w:t>
      </w:r>
    </w:p>
    <w:p w14:paraId="3BC1466D">
      <w:pPr>
        <w:widowControl/>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lang w:bidi="ar"/>
        </w:rPr>
        <w:t>依据：《建筑市场信用管理暂行办法》（建市〔2017〕241号）</w:t>
      </w:r>
    </w:p>
    <w:p w14:paraId="40BA349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211B25B8">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六、政府采购严重失信行为</w:t>
      </w:r>
    </w:p>
    <w:p w14:paraId="3A75863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供应商、采购代理机构在三年内受到财政部门作出下列情形之一的行政处罚，列入政府采购严重违法失信行为记录名单。</w:t>
      </w:r>
    </w:p>
    <w:p w14:paraId="01190FC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（一）三万元以上罚款；</w:t>
      </w:r>
    </w:p>
    <w:p w14:paraId="717C03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（二）在一至三年内禁止参加政府采购活动（处罚期限届满的除外）；</w:t>
      </w:r>
    </w:p>
    <w:p w14:paraId="743AF7D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（三）在一至三年内禁止代理政府采购业务（处罚期限届满的除外）；</w:t>
      </w:r>
    </w:p>
    <w:p w14:paraId="73AAF01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（四）撤销政府采购代理机构资格（仅针对《政府采购法》第78条修改前作出的处罚决定）。</w:t>
      </w:r>
    </w:p>
    <w:p w14:paraId="46ADEF82">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依据：《关于报送政府采购严重违法失信行为信息记录的通知》（财办库〔2014〕526号）</w:t>
      </w:r>
    </w:p>
    <w:p w14:paraId="29AB1C3D">
      <w:pPr>
        <w:widowControl/>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22E7D7F8">
      <w:pPr>
        <w:widowControl/>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lang w:bidi="ar"/>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lang w:bidi="ar"/>
        </w:rPr>
        <w:t>。</w:t>
      </w:r>
    </w:p>
    <w:p w14:paraId="6F048979">
      <w:pPr>
        <w:pStyle w:val="2"/>
        <w:rPr>
          <w:rFonts w:ascii="宋体"/>
          <w:b w:val="0"/>
          <w:color w:val="auto"/>
          <w:szCs w:val="32"/>
          <w:highlight w:val="none"/>
        </w:rPr>
      </w:pPr>
      <w:bookmarkStart w:id="129" w:name="_Toc449028957"/>
      <w:r>
        <w:rPr>
          <w:rFonts w:ascii="宋体"/>
          <w:b w:val="0"/>
          <w:color w:val="auto"/>
          <w:szCs w:val="32"/>
          <w:highlight w:val="none"/>
        </w:rPr>
        <w:br w:type="page"/>
      </w:r>
      <w:bookmarkStart w:id="130" w:name="_Toc25631"/>
      <w:bookmarkStart w:id="131" w:name="_Toc58430333"/>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29"/>
      <w:bookmarkEnd w:id="130"/>
      <w:bookmarkEnd w:id="131"/>
    </w:p>
    <w:p w14:paraId="4622EF40">
      <w:pPr>
        <w:spacing w:line="440" w:lineRule="exact"/>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303B8484">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18E45722">
            <w:pPr>
              <w:spacing w:line="440" w:lineRule="exact"/>
              <w:ind w:firstLine="560" w:firstLineChars="200"/>
              <w:rPr>
                <w:rFonts w:ascii="宋体" w:cs="宋体"/>
                <w:color w:val="auto"/>
                <w:sz w:val="28"/>
                <w:szCs w:val="28"/>
                <w:highlight w:val="none"/>
              </w:rPr>
            </w:pPr>
          </w:p>
          <w:p w14:paraId="5B73DFAC">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滁州市二次供水设备合格供应商采购项目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68B6EBE1">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招标单位：滁州市自来水有限公司</w:t>
            </w:r>
          </w:p>
          <w:p w14:paraId="42CE69DF">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委托代理人：胡佳文</w:t>
            </w:r>
          </w:p>
          <w:p w14:paraId="59839CF4">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联系电话：0550-3033017</w:t>
            </w:r>
          </w:p>
          <w:p w14:paraId="6AD990A6">
            <w:pPr>
              <w:spacing w:line="540" w:lineRule="exact"/>
              <w:ind w:firstLine="7140" w:firstLineChars="2550"/>
              <w:rPr>
                <w:rFonts w:ascii="宋体" w:cs="宋体"/>
                <w:color w:val="auto"/>
                <w:sz w:val="28"/>
                <w:szCs w:val="28"/>
                <w:highlight w:val="none"/>
              </w:rPr>
            </w:pPr>
          </w:p>
          <w:p w14:paraId="15BC7017">
            <w:pPr>
              <w:spacing w:line="54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737D6D59">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2025年</w:t>
            </w:r>
            <w:r>
              <w:rPr>
                <w:rFonts w:hint="eastAsia" w:ascii="宋体" w:cs="宋体"/>
                <w:color w:val="auto"/>
                <w:sz w:val="28"/>
                <w:szCs w:val="28"/>
                <w:highlight w:val="none"/>
                <w:lang w:val="en-US" w:eastAsia="zh-CN"/>
              </w:rPr>
              <w:t>11</w:t>
            </w:r>
            <w:r>
              <w:rPr>
                <w:rFonts w:hint="eastAsia" w:ascii="宋体" w:cs="宋体"/>
                <w:color w:val="auto"/>
                <w:sz w:val="28"/>
                <w:szCs w:val="28"/>
                <w:highlight w:val="none"/>
              </w:rPr>
              <w:t>月</w:t>
            </w:r>
          </w:p>
        </w:tc>
      </w:tr>
      <w:tr w14:paraId="58F133A4">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60CCD4B0">
            <w:pPr>
              <w:spacing w:line="440" w:lineRule="exact"/>
              <w:rPr>
                <w:rFonts w:ascii="宋体" w:cs="宋体"/>
                <w:color w:val="auto"/>
                <w:sz w:val="28"/>
                <w:szCs w:val="28"/>
                <w:highlight w:val="none"/>
              </w:rPr>
            </w:pPr>
          </w:p>
          <w:p w14:paraId="1B309B9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40C892F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1C61CB4B">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22B2237">
            <w:pPr>
              <w:spacing w:line="520" w:lineRule="exact"/>
              <w:ind w:firstLine="6300" w:firstLineChars="2250"/>
              <w:rPr>
                <w:rFonts w:ascii="宋体" w:cs="宋体"/>
                <w:color w:val="auto"/>
                <w:sz w:val="28"/>
                <w:szCs w:val="28"/>
                <w:highlight w:val="none"/>
              </w:rPr>
            </w:pPr>
          </w:p>
          <w:p w14:paraId="1135599A">
            <w:pPr>
              <w:pStyle w:val="12"/>
              <w:rPr>
                <w:color w:val="auto"/>
                <w:kern w:val="2"/>
                <w:sz w:val="21"/>
                <w:szCs w:val="24"/>
                <w:highlight w:val="none"/>
              </w:rPr>
            </w:pPr>
          </w:p>
          <w:p w14:paraId="6B967311">
            <w:pPr>
              <w:spacing w:line="520" w:lineRule="exact"/>
              <w:ind w:firstLine="6580" w:firstLineChars="2350"/>
              <w:rPr>
                <w:rFonts w:ascii="宋体" w:cs="宋体"/>
                <w:color w:val="auto"/>
                <w:sz w:val="28"/>
                <w:szCs w:val="28"/>
                <w:highlight w:val="none"/>
              </w:rPr>
            </w:pPr>
          </w:p>
          <w:p w14:paraId="3CB7A91C">
            <w:pPr>
              <w:spacing w:line="52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33ECBB8E">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2025年</w:t>
            </w:r>
            <w:r>
              <w:rPr>
                <w:rFonts w:hint="eastAsia" w:ascii="宋体" w:cs="宋体"/>
                <w:color w:val="auto"/>
                <w:sz w:val="28"/>
                <w:szCs w:val="28"/>
                <w:highlight w:val="none"/>
                <w:lang w:val="en-US" w:eastAsia="zh-CN"/>
              </w:rPr>
              <w:t>11</w:t>
            </w:r>
            <w:r>
              <w:rPr>
                <w:rFonts w:hint="eastAsia" w:ascii="宋体" w:cs="宋体"/>
                <w:color w:val="auto"/>
                <w:sz w:val="28"/>
                <w:szCs w:val="28"/>
                <w:highlight w:val="none"/>
              </w:rPr>
              <w:t>月</w:t>
            </w:r>
          </w:p>
        </w:tc>
      </w:tr>
    </w:tbl>
    <w:p w14:paraId="7F0B1C1A">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863C93-3AE6-4D6F-BEE0-A72B38FD80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2" w:fontKey="{EBCDA20D-3382-4799-AAE1-2B38266AF1E4}"/>
  </w:font>
  <w:font w:name="仿宋">
    <w:panose1 w:val="02010609060101010101"/>
    <w:charset w:val="86"/>
    <w:family w:val="modern"/>
    <w:pitch w:val="default"/>
    <w:sig w:usb0="800002BF" w:usb1="38CF7CFA" w:usb2="00000016" w:usb3="00000000" w:csb0="00040001" w:csb1="00000000"/>
    <w:embedRegular r:id="rId3" w:fontKey="{B8AA15DD-EB3D-45B8-8D35-694CAAF6D3B6}"/>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20B0604020202020204"/>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4" w:fontKey="{5A0730D5-D7FC-4093-AA79-5FF5D79185DD}"/>
  </w:font>
  <w:font w:name="华文中宋">
    <w:panose1 w:val="02010600040101010101"/>
    <w:charset w:val="86"/>
    <w:family w:val="auto"/>
    <w:pitch w:val="default"/>
    <w:sig w:usb0="00000287" w:usb1="080F0000" w:usb2="00000000" w:usb3="00000000" w:csb0="0004009F" w:csb1="DFD70000"/>
    <w:embedRegular r:id="rId5" w:fontKey="{6A558F6D-B055-4C9F-874A-A333B786017F}"/>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1C5C0">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8718">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E69502">
                          <w:pPr>
                            <w:pStyle w:val="23"/>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63E69502">
                    <w:pPr>
                      <w:pStyle w:val="23"/>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265E">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34E5">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0B736"/>
    <w:multiLevelType w:val="singleLevel"/>
    <w:tmpl w:val="C660B736"/>
    <w:lvl w:ilvl="0" w:tentative="0">
      <w:start w:val="2"/>
      <w:numFmt w:val="decimal"/>
      <w:lvlText w:val="(%1)"/>
      <w:lvlJc w:val="left"/>
      <w:pPr>
        <w:tabs>
          <w:tab w:val="left" w:pos="312"/>
        </w:tabs>
      </w:pPr>
    </w:lvl>
  </w:abstractNum>
  <w:abstractNum w:abstractNumId="1">
    <w:nsid w:val="00000005"/>
    <w:multiLevelType w:val="multilevel"/>
    <w:tmpl w:val="00000005"/>
    <w:lvl w:ilvl="0" w:tentative="0">
      <w:start w:val="1"/>
      <w:numFmt w:val="chineseCountingThousand"/>
      <w:pStyle w:val="101"/>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decimal"/>
      <w:pStyle w:val="9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2"/>
    <w:multiLevelType w:val="multilevel"/>
    <w:tmpl w:val="00000012"/>
    <w:lvl w:ilvl="0" w:tentative="0">
      <w:start w:val="1"/>
      <w:numFmt w:val="chineseCountingThousand"/>
      <w:pStyle w:val="117"/>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7">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BFB47AE"/>
    <w:multiLevelType w:val="singleLevel"/>
    <w:tmpl w:val="2BFB47AE"/>
    <w:lvl w:ilvl="0" w:tentative="0">
      <w:start w:val="2"/>
      <w:numFmt w:val="decimal"/>
      <w:suff w:val="nothing"/>
      <w:lvlText w:val="（%1）"/>
      <w:lvlJc w:val="left"/>
      <w:pPr>
        <w:ind w:left="-30"/>
      </w:pPr>
    </w:lvl>
  </w:abstractNum>
  <w:abstractNum w:abstractNumId="9">
    <w:nsid w:val="493AC9C0"/>
    <w:multiLevelType w:val="singleLevel"/>
    <w:tmpl w:val="493AC9C0"/>
    <w:lvl w:ilvl="0" w:tentative="0">
      <w:start w:val="1"/>
      <w:numFmt w:val="chineseCounting"/>
      <w:suff w:val="nothing"/>
      <w:lvlText w:val="（%1）"/>
      <w:lvlJc w:val="left"/>
      <w:pPr>
        <w:ind w:left="409" w:firstLine="420"/>
      </w:pPr>
      <w:rPr>
        <w:rFonts w:hint="eastAsia"/>
      </w:rPr>
    </w:lvl>
  </w:abstractNum>
  <w:abstractNum w:abstractNumId="10">
    <w:nsid w:val="56E7F9F2"/>
    <w:multiLevelType w:val="singleLevel"/>
    <w:tmpl w:val="56E7F9F2"/>
    <w:lvl w:ilvl="0" w:tentative="0">
      <w:start w:val="3"/>
      <w:numFmt w:val="decimal"/>
      <w:suff w:val="nothing"/>
      <w:lvlText w:val="（%1）"/>
      <w:lvlJc w:val="left"/>
    </w:lvl>
  </w:abstractNum>
  <w:abstractNum w:abstractNumId="11">
    <w:nsid w:val="56E7FA3E"/>
    <w:multiLevelType w:val="singleLevel"/>
    <w:tmpl w:val="56E7FA3E"/>
    <w:lvl w:ilvl="0" w:tentative="0">
      <w:start w:val="6"/>
      <w:numFmt w:val="decimal"/>
      <w:suff w:val="nothing"/>
      <w:lvlText w:val="（%1）"/>
      <w:lvlJc w:val="left"/>
    </w:lvl>
  </w:abstractNum>
  <w:abstractNum w:abstractNumId="12">
    <w:nsid w:val="58E8E588"/>
    <w:multiLevelType w:val="singleLevel"/>
    <w:tmpl w:val="58E8E588"/>
    <w:lvl w:ilvl="0" w:tentative="0">
      <w:start w:val="1"/>
      <w:numFmt w:val="decimal"/>
      <w:lvlText w:val="%1."/>
      <w:lvlJc w:val="left"/>
      <w:pPr>
        <w:ind w:left="425" w:hanging="425"/>
      </w:pPr>
      <w:rPr>
        <w:rFonts w:hint="default"/>
      </w:rPr>
    </w:lvl>
  </w:abstractNum>
  <w:abstractNum w:abstractNumId="13">
    <w:nsid w:val="5D873223"/>
    <w:multiLevelType w:val="singleLevel"/>
    <w:tmpl w:val="5D873223"/>
    <w:lvl w:ilvl="0" w:tentative="0">
      <w:start w:val="1"/>
      <w:numFmt w:val="decimal"/>
      <w:suff w:val="nothing"/>
      <w:lvlText w:val="（%1）"/>
      <w:lvlJc w:val="left"/>
    </w:lvl>
  </w:abstractNum>
  <w:abstractNum w:abstractNumId="14">
    <w:nsid w:val="63FC147D"/>
    <w:multiLevelType w:val="multilevel"/>
    <w:tmpl w:val="63FC147D"/>
    <w:lvl w:ilvl="0" w:tentative="0">
      <w:start w:val="4"/>
      <w:numFmt w:val="decimal"/>
      <w:lvlText w:val="%1、"/>
      <w:lvlJc w:val="left"/>
      <w:pPr>
        <w:tabs>
          <w:tab w:val="left" w:pos="832"/>
        </w:tabs>
        <w:ind w:left="832" w:hanging="360"/>
      </w:pPr>
      <w:rPr>
        <w:rFonts w:hint="default"/>
        <w:b/>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15">
    <w:nsid w:val="78460BCF"/>
    <w:multiLevelType w:val="singleLevel"/>
    <w:tmpl w:val="78460BCF"/>
    <w:lvl w:ilvl="0" w:tentative="0">
      <w:start w:val="4"/>
      <w:numFmt w:val="chineseCounting"/>
      <w:suff w:val="space"/>
      <w:lvlText w:val="第%1章"/>
      <w:lvlJc w:val="left"/>
      <w:rPr>
        <w:rFonts w:hint="eastAsia"/>
      </w:r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6"/>
  </w:num>
  <w:num w:numId="8">
    <w:abstractNumId w:val="15"/>
  </w:num>
  <w:num w:numId="9">
    <w:abstractNumId w:val="8"/>
  </w:num>
  <w:num w:numId="10">
    <w:abstractNumId w:val="14"/>
  </w:num>
  <w:num w:numId="11">
    <w:abstractNumId w:val="10"/>
  </w:num>
  <w:num w:numId="12">
    <w:abstractNumId w:val="11"/>
  </w:num>
  <w:num w:numId="13">
    <w:abstractNumId w:val="9"/>
  </w:num>
  <w:num w:numId="14">
    <w:abstractNumId w:val="13"/>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9368B"/>
    <w:rsid w:val="007678C6"/>
    <w:rsid w:val="007D541D"/>
    <w:rsid w:val="007F45BE"/>
    <w:rsid w:val="008005F7"/>
    <w:rsid w:val="008201B4"/>
    <w:rsid w:val="00833AB6"/>
    <w:rsid w:val="00853109"/>
    <w:rsid w:val="008766D7"/>
    <w:rsid w:val="008C7661"/>
    <w:rsid w:val="008E0C60"/>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6947F9"/>
    <w:rsid w:val="017820F0"/>
    <w:rsid w:val="01826A17"/>
    <w:rsid w:val="01CB7DA6"/>
    <w:rsid w:val="01D9415D"/>
    <w:rsid w:val="01DA5E9C"/>
    <w:rsid w:val="01DB6127"/>
    <w:rsid w:val="01DE01EE"/>
    <w:rsid w:val="01F71A6A"/>
    <w:rsid w:val="0219028B"/>
    <w:rsid w:val="022E6257"/>
    <w:rsid w:val="023850C1"/>
    <w:rsid w:val="02443CCC"/>
    <w:rsid w:val="02477318"/>
    <w:rsid w:val="0255285E"/>
    <w:rsid w:val="026B1259"/>
    <w:rsid w:val="02827B99"/>
    <w:rsid w:val="029F2E1F"/>
    <w:rsid w:val="02BC3AEB"/>
    <w:rsid w:val="02CF2BF4"/>
    <w:rsid w:val="02D079EE"/>
    <w:rsid w:val="02E1227E"/>
    <w:rsid w:val="02E54D69"/>
    <w:rsid w:val="02F254D6"/>
    <w:rsid w:val="02F53218"/>
    <w:rsid w:val="030355FF"/>
    <w:rsid w:val="0327014D"/>
    <w:rsid w:val="0341645D"/>
    <w:rsid w:val="035241C7"/>
    <w:rsid w:val="036363D4"/>
    <w:rsid w:val="0366447A"/>
    <w:rsid w:val="03682F8A"/>
    <w:rsid w:val="037E320E"/>
    <w:rsid w:val="038A570F"/>
    <w:rsid w:val="039E11BA"/>
    <w:rsid w:val="03A2514E"/>
    <w:rsid w:val="03B409DD"/>
    <w:rsid w:val="03B43BF6"/>
    <w:rsid w:val="03C03826"/>
    <w:rsid w:val="03C30C20"/>
    <w:rsid w:val="03D1158F"/>
    <w:rsid w:val="03D96696"/>
    <w:rsid w:val="03DB41BC"/>
    <w:rsid w:val="03EF7C67"/>
    <w:rsid w:val="03FE7EAB"/>
    <w:rsid w:val="041C543C"/>
    <w:rsid w:val="04221DEB"/>
    <w:rsid w:val="04435676"/>
    <w:rsid w:val="044E498E"/>
    <w:rsid w:val="04651CD8"/>
    <w:rsid w:val="046A5576"/>
    <w:rsid w:val="04754611"/>
    <w:rsid w:val="04A942BA"/>
    <w:rsid w:val="04AB3862"/>
    <w:rsid w:val="04BF3332"/>
    <w:rsid w:val="04F01EE9"/>
    <w:rsid w:val="04F76DD4"/>
    <w:rsid w:val="05085485"/>
    <w:rsid w:val="050B6D23"/>
    <w:rsid w:val="053242B0"/>
    <w:rsid w:val="05373674"/>
    <w:rsid w:val="053E4A03"/>
    <w:rsid w:val="05455577"/>
    <w:rsid w:val="05465FAD"/>
    <w:rsid w:val="054B0F4A"/>
    <w:rsid w:val="05880374"/>
    <w:rsid w:val="058F1702"/>
    <w:rsid w:val="05A351AD"/>
    <w:rsid w:val="05DE3CE5"/>
    <w:rsid w:val="05E82BC0"/>
    <w:rsid w:val="05F477B7"/>
    <w:rsid w:val="05F652DD"/>
    <w:rsid w:val="061816F7"/>
    <w:rsid w:val="062278D0"/>
    <w:rsid w:val="06370ACC"/>
    <w:rsid w:val="06632AA3"/>
    <w:rsid w:val="06836B5F"/>
    <w:rsid w:val="06A50AB1"/>
    <w:rsid w:val="06A55ADF"/>
    <w:rsid w:val="06A64F55"/>
    <w:rsid w:val="06C453DB"/>
    <w:rsid w:val="06D82C35"/>
    <w:rsid w:val="06DA075B"/>
    <w:rsid w:val="06F224DF"/>
    <w:rsid w:val="06F2558C"/>
    <w:rsid w:val="06F9554A"/>
    <w:rsid w:val="070659F4"/>
    <w:rsid w:val="0721282E"/>
    <w:rsid w:val="07371FAF"/>
    <w:rsid w:val="075239E7"/>
    <w:rsid w:val="07750484"/>
    <w:rsid w:val="077E035E"/>
    <w:rsid w:val="0788465B"/>
    <w:rsid w:val="07950B26"/>
    <w:rsid w:val="07AD2313"/>
    <w:rsid w:val="07B13BB2"/>
    <w:rsid w:val="07B611C8"/>
    <w:rsid w:val="07B76CEE"/>
    <w:rsid w:val="07E0529D"/>
    <w:rsid w:val="07ED2710"/>
    <w:rsid w:val="07F613C5"/>
    <w:rsid w:val="08140B8B"/>
    <w:rsid w:val="08143A40"/>
    <w:rsid w:val="081E6D6D"/>
    <w:rsid w:val="08252E8C"/>
    <w:rsid w:val="08293B60"/>
    <w:rsid w:val="082C4FE6"/>
    <w:rsid w:val="08362309"/>
    <w:rsid w:val="08395955"/>
    <w:rsid w:val="084A1910"/>
    <w:rsid w:val="084F5934"/>
    <w:rsid w:val="085D1644"/>
    <w:rsid w:val="08607386"/>
    <w:rsid w:val="08713341"/>
    <w:rsid w:val="08732C15"/>
    <w:rsid w:val="088A4403"/>
    <w:rsid w:val="088A5A8D"/>
    <w:rsid w:val="08A13C26"/>
    <w:rsid w:val="08BF40AC"/>
    <w:rsid w:val="08C07429"/>
    <w:rsid w:val="08D35DAA"/>
    <w:rsid w:val="08D51B22"/>
    <w:rsid w:val="08E27D9B"/>
    <w:rsid w:val="08E92ED7"/>
    <w:rsid w:val="08EE00FD"/>
    <w:rsid w:val="08FA50E4"/>
    <w:rsid w:val="09186F33"/>
    <w:rsid w:val="092B6141"/>
    <w:rsid w:val="0935241C"/>
    <w:rsid w:val="09524F20"/>
    <w:rsid w:val="097035F9"/>
    <w:rsid w:val="099217C1"/>
    <w:rsid w:val="09963123"/>
    <w:rsid w:val="09981838"/>
    <w:rsid w:val="09AC26AB"/>
    <w:rsid w:val="09B5283E"/>
    <w:rsid w:val="09C166B7"/>
    <w:rsid w:val="09C851E3"/>
    <w:rsid w:val="09CB469C"/>
    <w:rsid w:val="09CF3948"/>
    <w:rsid w:val="09D678FF"/>
    <w:rsid w:val="09E71B0D"/>
    <w:rsid w:val="09EF44EC"/>
    <w:rsid w:val="09F14739"/>
    <w:rsid w:val="0A03621B"/>
    <w:rsid w:val="0A2D3F49"/>
    <w:rsid w:val="0A7D7D7B"/>
    <w:rsid w:val="0A8712AB"/>
    <w:rsid w:val="0AA04DDE"/>
    <w:rsid w:val="0AB12DCE"/>
    <w:rsid w:val="0AB45767"/>
    <w:rsid w:val="0AC43BFC"/>
    <w:rsid w:val="0AD16319"/>
    <w:rsid w:val="0AD96F7B"/>
    <w:rsid w:val="0AEC4F01"/>
    <w:rsid w:val="0AF3628F"/>
    <w:rsid w:val="0AFE589C"/>
    <w:rsid w:val="0B343101"/>
    <w:rsid w:val="0B4B60CB"/>
    <w:rsid w:val="0B627EDA"/>
    <w:rsid w:val="0B704808"/>
    <w:rsid w:val="0B982B0E"/>
    <w:rsid w:val="0BA94BA0"/>
    <w:rsid w:val="0BAB31B1"/>
    <w:rsid w:val="0BAF62FB"/>
    <w:rsid w:val="0BC66C7D"/>
    <w:rsid w:val="0BCF2858"/>
    <w:rsid w:val="0BED3778"/>
    <w:rsid w:val="0C06355D"/>
    <w:rsid w:val="0C232BA4"/>
    <w:rsid w:val="0C2A577B"/>
    <w:rsid w:val="0C2D26E3"/>
    <w:rsid w:val="0C373ADB"/>
    <w:rsid w:val="0C37733F"/>
    <w:rsid w:val="0C3856AB"/>
    <w:rsid w:val="0C3C5A14"/>
    <w:rsid w:val="0C4274CE"/>
    <w:rsid w:val="0C6952DD"/>
    <w:rsid w:val="0CAD06C0"/>
    <w:rsid w:val="0CC53C5B"/>
    <w:rsid w:val="0CDA7CB4"/>
    <w:rsid w:val="0CDB7B95"/>
    <w:rsid w:val="0CE95B9C"/>
    <w:rsid w:val="0CEA5470"/>
    <w:rsid w:val="0D077DD0"/>
    <w:rsid w:val="0D2B61B4"/>
    <w:rsid w:val="0D3E4B53"/>
    <w:rsid w:val="0D4029FE"/>
    <w:rsid w:val="0D467F7C"/>
    <w:rsid w:val="0D4E4812"/>
    <w:rsid w:val="0D6B65B1"/>
    <w:rsid w:val="0D8544BC"/>
    <w:rsid w:val="0DA20C83"/>
    <w:rsid w:val="0DA707B9"/>
    <w:rsid w:val="0DE01542"/>
    <w:rsid w:val="0DF2282E"/>
    <w:rsid w:val="0DFD3DA4"/>
    <w:rsid w:val="0E100F06"/>
    <w:rsid w:val="0E24538F"/>
    <w:rsid w:val="0E46735F"/>
    <w:rsid w:val="0E4969BD"/>
    <w:rsid w:val="0E5928AD"/>
    <w:rsid w:val="0E5B4877"/>
    <w:rsid w:val="0E707BF7"/>
    <w:rsid w:val="0E7D0D45"/>
    <w:rsid w:val="0E8611C8"/>
    <w:rsid w:val="0E975183"/>
    <w:rsid w:val="0EAD1661"/>
    <w:rsid w:val="0EBE21D3"/>
    <w:rsid w:val="0EBF7B36"/>
    <w:rsid w:val="0EC51CF1"/>
    <w:rsid w:val="0ECC307F"/>
    <w:rsid w:val="0EED520D"/>
    <w:rsid w:val="0F0C791F"/>
    <w:rsid w:val="0F1A6FD6"/>
    <w:rsid w:val="0F4E7F38"/>
    <w:rsid w:val="0F582B65"/>
    <w:rsid w:val="0F891446"/>
    <w:rsid w:val="0F986232"/>
    <w:rsid w:val="0F9A13CF"/>
    <w:rsid w:val="0F9B000F"/>
    <w:rsid w:val="0F9D2C6D"/>
    <w:rsid w:val="0FB747DD"/>
    <w:rsid w:val="0FC1070A"/>
    <w:rsid w:val="0FC91CB4"/>
    <w:rsid w:val="0FD10D03"/>
    <w:rsid w:val="0FD710A5"/>
    <w:rsid w:val="0FD77F2D"/>
    <w:rsid w:val="0FD83CA6"/>
    <w:rsid w:val="10131364"/>
    <w:rsid w:val="101822F4"/>
    <w:rsid w:val="10207B26"/>
    <w:rsid w:val="105B218F"/>
    <w:rsid w:val="10616837"/>
    <w:rsid w:val="107E794C"/>
    <w:rsid w:val="10857989"/>
    <w:rsid w:val="10AC25CA"/>
    <w:rsid w:val="10B4201D"/>
    <w:rsid w:val="10CA7A92"/>
    <w:rsid w:val="10EF574B"/>
    <w:rsid w:val="10F845FF"/>
    <w:rsid w:val="110C1E59"/>
    <w:rsid w:val="110D0173"/>
    <w:rsid w:val="11125CD9"/>
    <w:rsid w:val="111D5E14"/>
    <w:rsid w:val="112951FE"/>
    <w:rsid w:val="11317B11"/>
    <w:rsid w:val="116E6670"/>
    <w:rsid w:val="117A3C75"/>
    <w:rsid w:val="11826A7D"/>
    <w:rsid w:val="118616F9"/>
    <w:rsid w:val="11904838"/>
    <w:rsid w:val="11A6405B"/>
    <w:rsid w:val="11B83956"/>
    <w:rsid w:val="11C40985"/>
    <w:rsid w:val="11C77276"/>
    <w:rsid w:val="11CC786A"/>
    <w:rsid w:val="11E93F48"/>
    <w:rsid w:val="11EC68FB"/>
    <w:rsid w:val="12046FD4"/>
    <w:rsid w:val="121420F8"/>
    <w:rsid w:val="12214445"/>
    <w:rsid w:val="12273D08"/>
    <w:rsid w:val="12324FEA"/>
    <w:rsid w:val="123D2FB3"/>
    <w:rsid w:val="124538DB"/>
    <w:rsid w:val="124949E7"/>
    <w:rsid w:val="125067AE"/>
    <w:rsid w:val="12637655"/>
    <w:rsid w:val="12A12A75"/>
    <w:rsid w:val="12C04A67"/>
    <w:rsid w:val="12C80001"/>
    <w:rsid w:val="12CD386A"/>
    <w:rsid w:val="12CF56B4"/>
    <w:rsid w:val="12D13580"/>
    <w:rsid w:val="12DB0575"/>
    <w:rsid w:val="12EF558E"/>
    <w:rsid w:val="12F747EA"/>
    <w:rsid w:val="12F92791"/>
    <w:rsid w:val="13033659"/>
    <w:rsid w:val="130354DD"/>
    <w:rsid w:val="13066050"/>
    <w:rsid w:val="13132BFE"/>
    <w:rsid w:val="132A7687"/>
    <w:rsid w:val="133236CD"/>
    <w:rsid w:val="134F1DF4"/>
    <w:rsid w:val="13557827"/>
    <w:rsid w:val="13631AD8"/>
    <w:rsid w:val="137F4B64"/>
    <w:rsid w:val="138B3117"/>
    <w:rsid w:val="138E7538"/>
    <w:rsid w:val="13904FC3"/>
    <w:rsid w:val="13C06B9F"/>
    <w:rsid w:val="13CD2CC1"/>
    <w:rsid w:val="140B464A"/>
    <w:rsid w:val="140D6614"/>
    <w:rsid w:val="14172FEE"/>
    <w:rsid w:val="14364B2C"/>
    <w:rsid w:val="1438503B"/>
    <w:rsid w:val="144933C4"/>
    <w:rsid w:val="145F3F52"/>
    <w:rsid w:val="14694230"/>
    <w:rsid w:val="14720C0D"/>
    <w:rsid w:val="147D0BDA"/>
    <w:rsid w:val="14860A3B"/>
    <w:rsid w:val="14942D6D"/>
    <w:rsid w:val="14972381"/>
    <w:rsid w:val="14AA2FD3"/>
    <w:rsid w:val="14B06F9F"/>
    <w:rsid w:val="14B52807"/>
    <w:rsid w:val="14BA1BCC"/>
    <w:rsid w:val="14C724CE"/>
    <w:rsid w:val="14CA5427"/>
    <w:rsid w:val="14DD669C"/>
    <w:rsid w:val="14DE1D5E"/>
    <w:rsid w:val="14E07884"/>
    <w:rsid w:val="14EA0703"/>
    <w:rsid w:val="14EB1A29"/>
    <w:rsid w:val="150572EB"/>
    <w:rsid w:val="150A448F"/>
    <w:rsid w:val="150C68CB"/>
    <w:rsid w:val="152229F1"/>
    <w:rsid w:val="154461CC"/>
    <w:rsid w:val="15597637"/>
    <w:rsid w:val="156142CF"/>
    <w:rsid w:val="15804BC3"/>
    <w:rsid w:val="15BD23EA"/>
    <w:rsid w:val="15C9430D"/>
    <w:rsid w:val="15D373E9"/>
    <w:rsid w:val="15E213DA"/>
    <w:rsid w:val="15E52C78"/>
    <w:rsid w:val="16210154"/>
    <w:rsid w:val="1633342F"/>
    <w:rsid w:val="164E6A70"/>
    <w:rsid w:val="16683008"/>
    <w:rsid w:val="168E3310"/>
    <w:rsid w:val="16A3587A"/>
    <w:rsid w:val="16A36DBB"/>
    <w:rsid w:val="16A50D85"/>
    <w:rsid w:val="16B81E85"/>
    <w:rsid w:val="16CF7F44"/>
    <w:rsid w:val="16E82A20"/>
    <w:rsid w:val="16F94C2D"/>
    <w:rsid w:val="16FE3FF2"/>
    <w:rsid w:val="171323AA"/>
    <w:rsid w:val="173B5246"/>
    <w:rsid w:val="17B63456"/>
    <w:rsid w:val="17B9616B"/>
    <w:rsid w:val="17DA4A5F"/>
    <w:rsid w:val="17F2764F"/>
    <w:rsid w:val="1833416F"/>
    <w:rsid w:val="18524B4C"/>
    <w:rsid w:val="185C36C6"/>
    <w:rsid w:val="18737F6A"/>
    <w:rsid w:val="187D1E98"/>
    <w:rsid w:val="187D53EA"/>
    <w:rsid w:val="18A817AE"/>
    <w:rsid w:val="18B21538"/>
    <w:rsid w:val="18BB7749"/>
    <w:rsid w:val="18C44192"/>
    <w:rsid w:val="18D9512F"/>
    <w:rsid w:val="18ED431E"/>
    <w:rsid w:val="18F558C8"/>
    <w:rsid w:val="18F877F3"/>
    <w:rsid w:val="1901601B"/>
    <w:rsid w:val="19070275"/>
    <w:rsid w:val="19106B6F"/>
    <w:rsid w:val="19235F91"/>
    <w:rsid w:val="193C7053"/>
    <w:rsid w:val="193F7C64"/>
    <w:rsid w:val="196C36C2"/>
    <w:rsid w:val="196D1903"/>
    <w:rsid w:val="19724162"/>
    <w:rsid w:val="198F1879"/>
    <w:rsid w:val="19B47531"/>
    <w:rsid w:val="19C214C4"/>
    <w:rsid w:val="19D0740C"/>
    <w:rsid w:val="19F70AC5"/>
    <w:rsid w:val="19F85670"/>
    <w:rsid w:val="19F94F44"/>
    <w:rsid w:val="1A04015C"/>
    <w:rsid w:val="1A1324AA"/>
    <w:rsid w:val="1A2B77F4"/>
    <w:rsid w:val="1A2F16BB"/>
    <w:rsid w:val="1A33220D"/>
    <w:rsid w:val="1A501008"/>
    <w:rsid w:val="1A766595"/>
    <w:rsid w:val="1A8C59F8"/>
    <w:rsid w:val="1AA57FC0"/>
    <w:rsid w:val="1AAC1FB7"/>
    <w:rsid w:val="1AAE61FB"/>
    <w:rsid w:val="1AB01AA7"/>
    <w:rsid w:val="1AB23324"/>
    <w:rsid w:val="1ADF554D"/>
    <w:rsid w:val="1AED13C7"/>
    <w:rsid w:val="1B1069E9"/>
    <w:rsid w:val="1B193AF0"/>
    <w:rsid w:val="1B2D30F7"/>
    <w:rsid w:val="1B590390"/>
    <w:rsid w:val="1B7747F3"/>
    <w:rsid w:val="1B79254B"/>
    <w:rsid w:val="1B972C67"/>
    <w:rsid w:val="1BA55384"/>
    <w:rsid w:val="1BD712B5"/>
    <w:rsid w:val="1BDD4B1E"/>
    <w:rsid w:val="1BE76F28"/>
    <w:rsid w:val="1C177904"/>
    <w:rsid w:val="1C284B16"/>
    <w:rsid w:val="1C5A26D3"/>
    <w:rsid w:val="1C5D0DA4"/>
    <w:rsid w:val="1C5F6917"/>
    <w:rsid w:val="1C6F5742"/>
    <w:rsid w:val="1C76287C"/>
    <w:rsid w:val="1C7B0977"/>
    <w:rsid w:val="1C872925"/>
    <w:rsid w:val="1C9E0082"/>
    <w:rsid w:val="1CAA693B"/>
    <w:rsid w:val="1CB14442"/>
    <w:rsid w:val="1CC66428"/>
    <w:rsid w:val="1CC80B99"/>
    <w:rsid w:val="1CCB0E1A"/>
    <w:rsid w:val="1D0113C9"/>
    <w:rsid w:val="1D0A2DA7"/>
    <w:rsid w:val="1D1140B4"/>
    <w:rsid w:val="1D2B18B9"/>
    <w:rsid w:val="1D3E783E"/>
    <w:rsid w:val="1D630F86"/>
    <w:rsid w:val="1D7019C1"/>
    <w:rsid w:val="1D752B34"/>
    <w:rsid w:val="1D7E5E8C"/>
    <w:rsid w:val="1D836591"/>
    <w:rsid w:val="1DB55626"/>
    <w:rsid w:val="1DB7314C"/>
    <w:rsid w:val="1DC15D79"/>
    <w:rsid w:val="1DC53ABB"/>
    <w:rsid w:val="1DC85AE6"/>
    <w:rsid w:val="1DDB503E"/>
    <w:rsid w:val="1DE84D03"/>
    <w:rsid w:val="1DE85A9D"/>
    <w:rsid w:val="1DF13B3B"/>
    <w:rsid w:val="1DFB572F"/>
    <w:rsid w:val="1E0E2B0B"/>
    <w:rsid w:val="1E1660C5"/>
    <w:rsid w:val="1E1B192D"/>
    <w:rsid w:val="1E205195"/>
    <w:rsid w:val="1E276322"/>
    <w:rsid w:val="1E5F2F8D"/>
    <w:rsid w:val="1E650DFA"/>
    <w:rsid w:val="1E982F7E"/>
    <w:rsid w:val="1EAC45D3"/>
    <w:rsid w:val="1EC71AB5"/>
    <w:rsid w:val="1ECF4FD3"/>
    <w:rsid w:val="1ED0096A"/>
    <w:rsid w:val="1ED7455A"/>
    <w:rsid w:val="1EDB6610"/>
    <w:rsid w:val="1EF34658"/>
    <w:rsid w:val="1F02489B"/>
    <w:rsid w:val="1F095D51"/>
    <w:rsid w:val="1F132604"/>
    <w:rsid w:val="1F242A63"/>
    <w:rsid w:val="1F2627EB"/>
    <w:rsid w:val="1F294332"/>
    <w:rsid w:val="1F2A62AD"/>
    <w:rsid w:val="1F3233D2"/>
    <w:rsid w:val="1F4804CC"/>
    <w:rsid w:val="1F624061"/>
    <w:rsid w:val="1FEB1DE0"/>
    <w:rsid w:val="1FEF6DB8"/>
    <w:rsid w:val="1FF64400"/>
    <w:rsid w:val="200D799B"/>
    <w:rsid w:val="201E4F4F"/>
    <w:rsid w:val="20256A93"/>
    <w:rsid w:val="20384A18"/>
    <w:rsid w:val="20390790"/>
    <w:rsid w:val="203F5E7C"/>
    <w:rsid w:val="205055EF"/>
    <w:rsid w:val="206C46C2"/>
    <w:rsid w:val="20976AB4"/>
    <w:rsid w:val="20A81514"/>
    <w:rsid w:val="20AB6760"/>
    <w:rsid w:val="20B16579"/>
    <w:rsid w:val="20C95670"/>
    <w:rsid w:val="20D65FDF"/>
    <w:rsid w:val="20E85D1A"/>
    <w:rsid w:val="210055F8"/>
    <w:rsid w:val="21052421"/>
    <w:rsid w:val="2126121F"/>
    <w:rsid w:val="216B1A91"/>
    <w:rsid w:val="217B0F40"/>
    <w:rsid w:val="218A192D"/>
    <w:rsid w:val="21A972E1"/>
    <w:rsid w:val="21BF0821"/>
    <w:rsid w:val="21F816C1"/>
    <w:rsid w:val="221C5C74"/>
    <w:rsid w:val="222B0959"/>
    <w:rsid w:val="222F1E4B"/>
    <w:rsid w:val="223C6316"/>
    <w:rsid w:val="223F755C"/>
    <w:rsid w:val="2240564F"/>
    <w:rsid w:val="224F6049"/>
    <w:rsid w:val="22575E31"/>
    <w:rsid w:val="225A37DA"/>
    <w:rsid w:val="22816594"/>
    <w:rsid w:val="22A00653"/>
    <w:rsid w:val="22A52EFA"/>
    <w:rsid w:val="22A567AC"/>
    <w:rsid w:val="22A77054"/>
    <w:rsid w:val="22AA3280"/>
    <w:rsid w:val="22BD2FB3"/>
    <w:rsid w:val="22CB1F7F"/>
    <w:rsid w:val="22CC31F6"/>
    <w:rsid w:val="22D43C96"/>
    <w:rsid w:val="22DB5B2F"/>
    <w:rsid w:val="22EC6903"/>
    <w:rsid w:val="22FB3ADB"/>
    <w:rsid w:val="23076924"/>
    <w:rsid w:val="2318468D"/>
    <w:rsid w:val="23214B81"/>
    <w:rsid w:val="23250B58"/>
    <w:rsid w:val="23287A3B"/>
    <w:rsid w:val="234C2589"/>
    <w:rsid w:val="234E0C74"/>
    <w:rsid w:val="23563287"/>
    <w:rsid w:val="235D595F"/>
    <w:rsid w:val="2366667A"/>
    <w:rsid w:val="236B1B92"/>
    <w:rsid w:val="23725A46"/>
    <w:rsid w:val="23773AAF"/>
    <w:rsid w:val="239F4DAE"/>
    <w:rsid w:val="23A75A11"/>
    <w:rsid w:val="23D46034"/>
    <w:rsid w:val="23DD1433"/>
    <w:rsid w:val="23ED1676"/>
    <w:rsid w:val="23EF1892"/>
    <w:rsid w:val="23F37F14"/>
    <w:rsid w:val="23F956E8"/>
    <w:rsid w:val="23FA0237"/>
    <w:rsid w:val="24015121"/>
    <w:rsid w:val="24264B88"/>
    <w:rsid w:val="24305A06"/>
    <w:rsid w:val="2447702E"/>
    <w:rsid w:val="24765B0F"/>
    <w:rsid w:val="247C0C4C"/>
    <w:rsid w:val="247C50B5"/>
    <w:rsid w:val="248F4E23"/>
    <w:rsid w:val="249B0281"/>
    <w:rsid w:val="24A55645"/>
    <w:rsid w:val="24C22B02"/>
    <w:rsid w:val="24D570AE"/>
    <w:rsid w:val="24D6035C"/>
    <w:rsid w:val="24E01EF1"/>
    <w:rsid w:val="24E2777A"/>
    <w:rsid w:val="24F51DFC"/>
    <w:rsid w:val="250C30B2"/>
    <w:rsid w:val="25423C43"/>
    <w:rsid w:val="256B13EC"/>
    <w:rsid w:val="25924268"/>
    <w:rsid w:val="25987D07"/>
    <w:rsid w:val="25E67FEE"/>
    <w:rsid w:val="25F3318F"/>
    <w:rsid w:val="2629095F"/>
    <w:rsid w:val="262E5F76"/>
    <w:rsid w:val="26355556"/>
    <w:rsid w:val="263B7010"/>
    <w:rsid w:val="263C7979"/>
    <w:rsid w:val="264B2FCC"/>
    <w:rsid w:val="264E5249"/>
    <w:rsid w:val="2650413E"/>
    <w:rsid w:val="265359DC"/>
    <w:rsid w:val="26551754"/>
    <w:rsid w:val="267C13D7"/>
    <w:rsid w:val="26834513"/>
    <w:rsid w:val="26A10E3D"/>
    <w:rsid w:val="26AC3A6A"/>
    <w:rsid w:val="26B96187"/>
    <w:rsid w:val="26BE763B"/>
    <w:rsid w:val="26E730BC"/>
    <w:rsid w:val="270135A4"/>
    <w:rsid w:val="271635D9"/>
    <w:rsid w:val="2751016E"/>
    <w:rsid w:val="27716366"/>
    <w:rsid w:val="279F3713"/>
    <w:rsid w:val="27B45CC5"/>
    <w:rsid w:val="27B84691"/>
    <w:rsid w:val="27BD1CA7"/>
    <w:rsid w:val="27C923FA"/>
    <w:rsid w:val="27CA464D"/>
    <w:rsid w:val="27CB7F20"/>
    <w:rsid w:val="27E91720"/>
    <w:rsid w:val="27F136A9"/>
    <w:rsid w:val="27F21934"/>
    <w:rsid w:val="27F6382B"/>
    <w:rsid w:val="27FD20A3"/>
    <w:rsid w:val="280F14ED"/>
    <w:rsid w:val="280F3776"/>
    <w:rsid w:val="281C4C20"/>
    <w:rsid w:val="284B596A"/>
    <w:rsid w:val="28527CD1"/>
    <w:rsid w:val="287C7ABF"/>
    <w:rsid w:val="28844573"/>
    <w:rsid w:val="28AA3FD9"/>
    <w:rsid w:val="28C52BC1"/>
    <w:rsid w:val="28D472A8"/>
    <w:rsid w:val="28E9787B"/>
    <w:rsid w:val="29441132"/>
    <w:rsid w:val="29581C87"/>
    <w:rsid w:val="29890753"/>
    <w:rsid w:val="298962E5"/>
    <w:rsid w:val="29934A6D"/>
    <w:rsid w:val="29A24CB1"/>
    <w:rsid w:val="29B50E88"/>
    <w:rsid w:val="29B72649"/>
    <w:rsid w:val="29CD1E2A"/>
    <w:rsid w:val="29CF0CB6"/>
    <w:rsid w:val="29CF7F37"/>
    <w:rsid w:val="2A0C29B8"/>
    <w:rsid w:val="2A0E5104"/>
    <w:rsid w:val="2A131C98"/>
    <w:rsid w:val="2A570E85"/>
    <w:rsid w:val="2A6C5D2A"/>
    <w:rsid w:val="2A830F86"/>
    <w:rsid w:val="2A8745B6"/>
    <w:rsid w:val="2A922F77"/>
    <w:rsid w:val="2A9860B3"/>
    <w:rsid w:val="2A9A1E2C"/>
    <w:rsid w:val="2A9F5694"/>
    <w:rsid w:val="2AA23A25"/>
    <w:rsid w:val="2AAA6513"/>
    <w:rsid w:val="2AD15C14"/>
    <w:rsid w:val="2AE71AF4"/>
    <w:rsid w:val="2B045837"/>
    <w:rsid w:val="2B07429B"/>
    <w:rsid w:val="2B0D0850"/>
    <w:rsid w:val="2B154372"/>
    <w:rsid w:val="2B1E737A"/>
    <w:rsid w:val="2B230073"/>
    <w:rsid w:val="2B520958"/>
    <w:rsid w:val="2B634913"/>
    <w:rsid w:val="2B85488A"/>
    <w:rsid w:val="2BA07916"/>
    <w:rsid w:val="2BD10619"/>
    <w:rsid w:val="2BEC2B5B"/>
    <w:rsid w:val="2BFF63EA"/>
    <w:rsid w:val="2C002162"/>
    <w:rsid w:val="2C063C1D"/>
    <w:rsid w:val="2C0E0D23"/>
    <w:rsid w:val="2C246995"/>
    <w:rsid w:val="2C3562B0"/>
    <w:rsid w:val="2C385DA0"/>
    <w:rsid w:val="2C4944EB"/>
    <w:rsid w:val="2C4B162F"/>
    <w:rsid w:val="2C5D1363"/>
    <w:rsid w:val="2C5F50DB"/>
    <w:rsid w:val="2C792640"/>
    <w:rsid w:val="2C8B4122"/>
    <w:rsid w:val="2C9C1E8B"/>
    <w:rsid w:val="2CA91FCE"/>
    <w:rsid w:val="2CB847EB"/>
    <w:rsid w:val="2CD72C54"/>
    <w:rsid w:val="2CEA709A"/>
    <w:rsid w:val="2D016BD6"/>
    <w:rsid w:val="2D022235"/>
    <w:rsid w:val="2D031F0A"/>
    <w:rsid w:val="2D0F08AF"/>
    <w:rsid w:val="2D1C7470"/>
    <w:rsid w:val="2D2125B0"/>
    <w:rsid w:val="2D2C76B3"/>
    <w:rsid w:val="2D371BB4"/>
    <w:rsid w:val="2D3B78F6"/>
    <w:rsid w:val="2D7C1CBC"/>
    <w:rsid w:val="2D8017AD"/>
    <w:rsid w:val="2D8868B3"/>
    <w:rsid w:val="2DAC4350"/>
    <w:rsid w:val="2DEA30CA"/>
    <w:rsid w:val="2E0C3040"/>
    <w:rsid w:val="2E0F1AF1"/>
    <w:rsid w:val="2E1755ED"/>
    <w:rsid w:val="2E3A7BAD"/>
    <w:rsid w:val="2E56250D"/>
    <w:rsid w:val="2E623354"/>
    <w:rsid w:val="2E6A4E27"/>
    <w:rsid w:val="2E876B6B"/>
    <w:rsid w:val="2E9B12B3"/>
    <w:rsid w:val="2EC851B9"/>
    <w:rsid w:val="2ED33B5E"/>
    <w:rsid w:val="2EDA313F"/>
    <w:rsid w:val="2EE53D89"/>
    <w:rsid w:val="2EEC10D1"/>
    <w:rsid w:val="2F030EDA"/>
    <w:rsid w:val="2F0412C1"/>
    <w:rsid w:val="2F104DB2"/>
    <w:rsid w:val="2F171C9D"/>
    <w:rsid w:val="2F202F46"/>
    <w:rsid w:val="2F2E6FE6"/>
    <w:rsid w:val="2F43007A"/>
    <w:rsid w:val="2F47268D"/>
    <w:rsid w:val="2F484F80"/>
    <w:rsid w:val="2F8F5CD7"/>
    <w:rsid w:val="2F926074"/>
    <w:rsid w:val="2F971630"/>
    <w:rsid w:val="2FA774C5"/>
    <w:rsid w:val="2FB44E46"/>
    <w:rsid w:val="2FCA005B"/>
    <w:rsid w:val="2FFF4CAE"/>
    <w:rsid w:val="300246FB"/>
    <w:rsid w:val="30042C3B"/>
    <w:rsid w:val="301F1BC4"/>
    <w:rsid w:val="30204B81"/>
    <w:rsid w:val="302E5110"/>
    <w:rsid w:val="303A5A64"/>
    <w:rsid w:val="30473135"/>
    <w:rsid w:val="304E74D7"/>
    <w:rsid w:val="305111DE"/>
    <w:rsid w:val="30823A8E"/>
    <w:rsid w:val="30901D07"/>
    <w:rsid w:val="309317F7"/>
    <w:rsid w:val="30AC28B9"/>
    <w:rsid w:val="30C85944"/>
    <w:rsid w:val="30D95A3C"/>
    <w:rsid w:val="30E12562"/>
    <w:rsid w:val="30E84AF7"/>
    <w:rsid w:val="31103BE8"/>
    <w:rsid w:val="31490108"/>
    <w:rsid w:val="315736D8"/>
    <w:rsid w:val="3166515D"/>
    <w:rsid w:val="31684A32"/>
    <w:rsid w:val="316D029A"/>
    <w:rsid w:val="317403C7"/>
    <w:rsid w:val="3179559F"/>
    <w:rsid w:val="317E6003"/>
    <w:rsid w:val="319B6BB5"/>
    <w:rsid w:val="31A1154D"/>
    <w:rsid w:val="31A17F44"/>
    <w:rsid w:val="31AD053C"/>
    <w:rsid w:val="31CB6D6E"/>
    <w:rsid w:val="31CC4FC0"/>
    <w:rsid w:val="31D64091"/>
    <w:rsid w:val="31DE2F46"/>
    <w:rsid w:val="31E340B8"/>
    <w:rsid w:val="32056724"/>
    <w:rsid w:val="320B1E88"/>
    <w:rsid w:val="3220530C"/>
    <w:rsid w:val="325B29A2"/>
    <w:rsid w:val="3268280F"/>
    <w:rsid w:val="32690A61"/>
    <w:rsid w:val="326D226F"/>
    <w:rsid w:val="32755BEE"/>
    <w:rsid w:val="32785148"/>
    <w:rsid w:val="327B2543"/>
    <w:rsid w:val="328533C1"/>
    <w:rsid w:val="32935A2E"/>
    <w:rsid w:val="32A4546A"/>
    <w:rsid w:val="32B31CDC"/>
    <w:rsid w:val="32ED1980"/>
    <w:rsid w:val="32F1304C"/>
    <w:rsid w:val="32F50547"/>
    <w:rsid w:val="33094881"/>
    <w:rsid w:val="33110642"/>
    <w:rsid w:val="333F3794"/>
    <w:rsid w:val="335A57BD"/>
    <w:rsid w:val="339E5D33"/>
    <w:rsid w:val="33E12879"/>
    <w:rsid w:val="33EC17CD"/>
    <w:rsid w:val="33EF143A"/>
    <w:rsid w:val="33EF1C73"/>
    <w:rsid w:val="33FA6F1E"/>
    <w:rsid w:val="340661A5"/>
    <w:rsid w:val="34076784"/>
    <w:rsid w:val="340903E3"/>
    <w:rsid w:val="340E30B9"/>
    <w:rsid w:val="341E3ACD"/>
    <w:rsid w:val="34303B21"/>
    <w:rsid w:val="343678CD"/>
    <w:rsid w:val="34480B4A"/>
    <w:rsid w:val="345968B4"/>
    <w:rsid w:val="345A0C5F"/>
    <w:rsid w:val="345B087E"/>
    <w:rsid w:val="3463198D"/>
    <w:rsid w:val="346D120F"/>
    <w:rsid w:val="34702AF7"/>
    <w:rsid w:val="347A2085"/>
    <w:rsid w:val="347F27BE"/>
    <w:rsid w:val="34897199"/>
    <w:rsid w:val="34945B3E"/>
    <w:rsid w:val="34AD7661"/>
    <w:rsid w:val="34B01E1E"/>
    <w:rsid w:val="34E16FD5"/>
    <w:rsid w:val="34E94961"/>
    <w:rsid w:val="34EA39B0"/>
    <w:rsid w:val="35171719"/>
    <w:rsid w:val="351A1559"/>
    <w:rsid w:val="352E7D40"/>
    <w:rsid w:val="354B26A0"/>
    <w:rsid w:val="357243F8"/>
    <w:rsid w:val="35853917"/>
    <w:rsid w:val="35906305"/>
    <w:rsid w:val="359C73A0"/>
    <w:rsid w:val="35A10512"/>
    <w:rsid w:val="35A26038"/>
    <w:rsid w:val="35AA3A3A"/>
    <w:rsid w:val="35AA4722"/>
    <w:rsid w:val="35CF507F"/>
    <w:rsid w:val="35D54660"/>
    <w:rsid w:val="360B340E"/>
    <w:rsid w:val="36401AD9"/>
    <w:rsid w:val="365E28A7"/>
    <w:rsid w:val="366B14C0"/>
    <w:rsid w:val="3679323D"/>
    <w:rsid w:val="369342FF"/>
    <w:rsid w:val="369D456C"/>
    <w:rsid w:val="36A8455A"/>
    <w:rsid w:val="36AE738B"/>
    <w:rsid w:val="36C95F72"/>
    <w:rsid w:val="36DF3C16"/>
    <w:rsid w:val="36E27034"/>
    <w:rsid w:val="36ED1FA3"/>
    <w:rsid w:val="36F36DEE"/>
    <w:rsid w:val="36F6663C"/>
    <w:rsid w:val="370E607B"/>
    <w:rsid w:val="372E4027"/>
    <w:rsid w:val="373F79B1"/>
    <w:rsid w:val="374342B4"/>
    <w:rsid w:val="37537F32"/>
    <w:rsid w:val="376C4F8C"/>
    <w:rsid w:val="376F2F1F"/>
    <w:rsid w:val="377C4D93"/>
    <w:rsid w:val="378400EB"/>
    <w:rsid w:val="3786627E"/>
    <w:rsid w:val="37904CE2"/>
    <w:rsid w:val="37976071"/>
    <w:rsid w:val="379D00C8"/>
    <w:rsid w:val="379F2985"/>
    <w:rsid w:val="37C03BF9"/>
    <w:rsid w:val="37E1109A"/>
    <w:rsid w:val="37E97122"/>
    <w:rsid w:val="37F35CB8"/>
    <w:rsid w:val="38196BCF"/>
    <w:rsid w:val="382D2531"/>
    <w:rsid w:val="383A697D"/>
    <w:rsid w:val="383C09C6"/>
    <w:rsid w:val="384F4255"/>
    <w:rsid w:val="385633E2"/>
    <w:rsid w:val="386F79F1"/>
    <w:rsid w:val="38767A34"/>
    <w:rsid w:val="38795776"/>
    <w:rsid w:val="388859B9"/>
    <w:rsid w:val="388D2FD0"/>
    <w:rsid w:val="389205E6"/>
    <w:rsid w:val="38983E4E"/>
    <w:rsid w:val="38A84A79"/>
    <w:rsid w:val="38A8605B"/>
    <w:rsid w:val="39074B30"/>
    <w:rsid w:val="39290F4A"/>
    <w:rsid w:val="392C0A3B"/>
    <w:rsid w:val="392C39E3"/>
    <w:rsid w:val="39400042"/>
    <w:rsid w:val="39490357"/>
    <w:rsid w:val="397877DC"/>
    <w:rsid w:val="3999678C"/>
    <w:rsid w:val="39A6259B"/>
    <w:rsid w:val="39D377DB"/>
    <w:rsid w:val="39F50E2C"/>
    <w:rsid w:val="3A223DCB"/>
    <w:rsid w:val="3A3462BA"/>
    <w:rsid w:val="3A39340F"/>
    <w:rsid w:val="3A58475F"/>
    <w:rsid w:val="3A5E7E93"/>
    <w:rsid w:val="3A6E6C87"/>
    <w:rsid w:val="3AB46F3A"/>
    <w:rsid w:val="3AD13648"/>
    <w:rsid w:val="3ADB44C6"/>
    <w:rsid w:val="3AE0388B"/>
    <w:rsid w:val="3AF9494C"/>
    <w:rsid w:val="3B1C0596"/>
    <w:rsid w:val="3B2319C9"/>
    <w:rsid w:val="3B5B1163"/>
    <w:rsid w:val="3B7A3054"/>
    <w:rsid w:val="3B84063D"/>
    <w:rsid w:val="3B8701AA"/>
    <w:rsid w:val="3B8875E3"/>
    <w:rsid w:val="3B955700"/>
    <w:rsid w:val="3B9E18E7"/>
    <w:rsid w:val="3BC27434"/>
    <w:rsid w:val="3BC95C98"/>
    <w:rsid w:val="3BCB453B"/>
    <w:rsid w:val="3BD46CE9"/>
    <w:rsid w:val="3BD75940"/>
    <w:rsid w:val="3BDD7DCA"/>
    <w:rsid w:val="3BF42260"/>
    <w:rsid w:val="3C265C15"/>
    <w:rsid w:val="3C284C49"/>
    <w:rsid w:val="3C2D0D52"/>
    <w:rsid w:val="3C522566"/>
    <w:rsid w:val="3C541BC5"/>
    <w:rsid w:val="3C65673D"/>
    <w:rsid w:val="3C722C08"/>
    <w:rsid w:val="3C7C5F7D"/>
    <w:rsid w:val="3C9506A5"/>
    <w:rsid w:val="3C9C7C85"/>
    <w:rsid w:val="3C9E3DCB"/>
    <w:rsid w:val="3CA31014"/>
    <w:rsid w:val="3CB123E6"/>
    <w:rsid w:val="3CDB6174"/>
    <w:rsid w:val="3D050477"/>
    <w:rsid w:val="3D14341C"/>
    <w:rsid w:val="3D3D4FC4"/>
    <w:rsid w:val="3D404852"/>
    <w:rsid w:val="3D477BF1"/>
    <w:rsid w:val="3D4A76E1"/>
    <w:rsid w:val="3D4B17B4"/>
    <w:rsid w:val="3D5D5666"/>
    <w:rsid w:val="3DB668C6"/>
    <w:rsid w:val="3DEB4A20"/>
    <w:rsid w:val="3DF062BF"/>
    <w:rsid w:val="3E0618F6"/>
    <w:rsid w:val="3E0869AC"/>
    <w:rsid w:val="3E246184"/>
    <w:rsid w:val="3E2C6DE7"/>
    <w:rsid w:val="3E3068D7"/>
    <w:rsid w:val="3E3175F3"/>
    <w:rsid w:val="3E32264F"/>
    <w:rsid w:val="3E3E1A04"/>
    <w:rsid w:val="3E53454B"/>
    <w:rsid w:val="3E6F204E"/>
    <w:rsid w:val="3E815973"/>
    <w:rsid w:val="3E88151A"/>
    <w:rsid w:val="3E894239"/>
    <w:rsid w:val="3E8D3D29"/>
    <w:rsid w:val="3E9450B8"/>
    <w:rsid w:val="3EB5502E"/>
    <w:rsid w:val="3EB63280"/>
    <w:rsid w:val="3EC62D97"/>
    <w:rsid w:val="3EF913BF"/>
    <w:rsid w:val="3F0D6C18"/>
    <w:rsid w:val="3F1735F3"/>
    <w:rsid w:val="3F364D39"/>
    <w:rsid w:val="3F505A98"/>
    <w:rsid w:val="3F6207BA"/>
    <w:rsid w:val="3F7B1DD4"/>
    <w:rsid w:val="3F810615"/>
    <w:rsid w:val="3F843560"/>
    <w:rsid w:val="3F8C5D8F"/>
    <w:rsid w:val="3F8E7D59"/>
    <w:rsid w:val="3F984C13"/>
    <w:rsid w:val="3FA72BC9"/>
    <w:rsid w:val="3FBD063E"/>
    <w:rsid w:val="3FC45529"/>
    <w:rsid w:val="3FC90D91"/>
    <w:rsid w:val="3FCF3ECE"/>
    <w:rsid w:val="3FD919BA"/>
    <w:rsid w:val="3FDC2B4A"/>
    <w:rsid w:val="3FFD010D"/>
    <w:rsid w:val="400A40D9"/>
    <w:rsid w:val="401A783F"/>
    <w:rsid w:val="401F452F"/>
    <w:rsid w:val="40330901"/>
    <w:rsid w:val="40515724"/>
    <w:rsid w:val="405F16F6"/>
    <w:rsid w:val="408B38B3"/>
    <w:rsid w:val="40955117"/>
    <w:rsid w:val="409B6EA7"/>
    <w:rsid w:val="40B27A77"/>
    <w:rsid w:val="40D40AAB"/>
    <w:rsid w:val="40D77011"/>
    <w:rsid w:val="40E90FBF"/>
    <w:rsid w:val="40F40090"/>
    <w:rsid w:val="40FB76BC"/>
    <w:rsid w:val="41036525"/>
    <w:rsid w:val="41072D28"/>
    <w:rsid w:val="41173D7E"/>
    <w:rsid w:val="411E335F"/>
    <w:rsid w:val="412344D1"/>
    <w:rsid w:val="4125450E"/>
    <w:rsid w:val="412973EA"/>
    <w:rsid w:val="41AA69A0"/>
    <w:rsid w:val="41B45A71"/>
    <w:rsid w:val="41F71B81"/>
    <w:rsid w:val="42010DBE"/>
    <w:rsid w:val="42044303"/>
    <w:rsid w:val="42075BA1"/>
    <w:rsid w:val="42424E2B"/>
    <w:rsid w:val="426B25D4"/>
    <w:rsid w:val="4278084D"/>
    <w:rsid w:val="428611BC"/>
    <w:rsid w:val="42927B60"/>
    <w:rsid w:val="42B77DB9"/>
    <w:rsid w:val="42BD2703"/>
    <w:rsid w:val="42C27D1A"/>
    <w:rsid w:val="42E04834"/>
    <w:rsid w:val="43140A2D"/>
    <w:rsid w:val="432A41C2"/>
    <w:rsid w:val="43301127"/>
    <w:rsid w:val="43364990"/>
    <w:rsid w:val="434150E2"/>
    <w:rsid w:val="4355293C"/>
    <w:rsid w:val="4359067E"/>
    <w:rsid w:val="436117D4"/>
    <w:rsid w:val="436B215F"/>
    <w:rsid w:val="437049F2"/>
    <w:rsid w:val="43842246"/>
    <w:rsid w:val="43996CCD"/>
    <w:rsid w:val="43A7763B"/>
    <w:rsid w:val="43B92ECB"/>
    <w:rsid w:val="43BE0166"/>
    <w:rsid w:val="440E3217"/>
    <w:rsid w:val="440F0504"/>
    <w:rsid w:val="4421185F"/>
    <w:rsid w:val="442962A2"/>
    <w:rsid w:val="4437557C"/>
    <w:rsid w:val="444C2BC0"/>
    <w:rsid w:val="444F71A2"/>
    <w:rsid w:val="4452279A"/>
    <w:rsid w:val="445361E5"/>
    <w:rsid w:val="445A79DC"/>
    <w:rsid w:val="447C0AC8"/>
    <w:rsid w:val="4482717F"/>
    <w:rsid w:val="44A21CDC"/>
    <w:rsid w:val="44D05FB9"/>
    <w:rsid w:val="44D75CFE"/>
    <w:rsid w:val="44E5721A"/>
    <w:rsid w:val="44F22B38"/>
    <w:rsid w:val="44F248E6"/>
    <w:rsid w:val="45091C30"/>
    <w:rsid w:val="45244CBC"/>
    <w:rsid w:val="452B1E36"/>
    <w:rsid w:val="452B6B92"/>
    <w:rsid w:val="452F4FBA"/>
    <w:rsid w:val="45350C77"/>
    <w:rsid w:val="453C0257"/>
    <w:rsid w:val="453C7EA3"/>
    <w:rsid w:val="454B3FF6"/>
    <w:rsid w:val="45682DFA"/>
    <w:rsid w:val="456C5AB9"/>
    <w:rsid w:val="4577128F"/>
    <w:rsid w:val="45952817"/>
    <w:rsid w:val="45A863B8"/>
    <w:rsid w:val="45BB6D3C"/>
    <w:rsid w:val="45C73FC5"/>
    <w:rsid w:val="45E71F71"/>
    <w:rsid w:val="45F91CA4"/>
    <w:rsid w:val="46017508"/>
    <w:rsid w:val="460F14C8"/>
    <w:rsid w:val="46130FB8"/>
    <w:rsid w:val="46132D66"/>
    <w:rsid w:val="46342CDD"/>
    <w:rsid w:val="46431B1A"/>
    <w:rsid w:val="464E1FF0"/>
    <w:rsid w:val="466366B9"/>
    <w:rsid w:val="46713F31"/>
    <w:rsid w:val="46955E71"/>
    <w:rsid w:val="469C7200"/>
    <w:rsid w:val="46C10A14"/>
    <w:rsid w:val="46D67F86"/>
    <w:rsid w:val="46F448C2"/>
    <w:rsid w:val="46F56910"/>
    <w:rsid w:val="46FD6FFB"/>
    <w:rsid w:val="47060D7D"/>
    <w:rsid w:val="473F67A2"/>
    <w:rsid w:val="474536E0"/>
    <w:rsid w:val="47463365"/>
    <w:rsid w:val="47596E9F"/>
    <w:rsid w:val="476B55F6"/>
    <w:rsid w:val="47777325"/>
    <w:rsid w:val="477E4B57"/>
    <w:rsid w:val="47863A0C"/>
    <w:rsid w:val="47925F0D"/>
    <w:rsid w:val="47A876DF"/>
    <w:rsid w:val="47AA76FA"/>
    <w:rsid w:val="47B370C9"/>
    <w:rsid w:val="47B444B5"/>
    <w:rsid w:val="47B510B6"/>
    <w:rsid w:val="48027536"/>
    <w:rsid w:val="48042FA6"/>
    <w:rsid w:val="4812081B"/>
    <w:rsid w:val="481C57BF"/>
    <w:rsid w:val="48240342"/>
    <w:rsid w:val="48343468"/>
    <w:rsid w:val="485578E8"/>
    <w:rsid w:val="48680CE3"/>
    <w:rsid w:val="487516C9"/>
    <w:rsid w:val="48A147B6"/>
    <w:rsid w:val="48A73C3A"/>
    <w:rsid w:val="48D367DD"/>
    <w:rsid w:val="48E82D4D"/>
    <w:rsid w:val="48F007F6"/>
    <w:rsid w:val="48F14EB5"/>
    <w:rsid w:val="491D5CAA"/>
    <w:rsid w:val="49537DE0"/>
    <w:rsid w:val="495518E8"/>
    <w:rsid w:val="49584F34"/>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8B3EC0"/>
    <w:rsid w:val="4AAC4A05"/>
    <w:rsid w:val="4AB112AD"/>
    <w:rsid w:val="4AB918F6"/>
    <w:rsid w:val="4ACF7478"/>
    <w:rsid w:val="4AD14F9E"/>
    <w:rsid w:val="4AE051E1"/>
    <w:rsid w:val="4AEB42B2"/>
    <w:rsid w:val="4AF403AA"/>
    <w:rsid w:val="4AFD616C"/>
    <w:rsid w:val="4B0B04B0"/>
    <w:rsid w:val="4B3E2640"/>
    <w:rsid w:val="4B447AD4"/>
    <w:rsid w:val="4B7050AD"/>
    <w:rsid w:val="4B717B63"/>
    <w:rsid w:val="4B92297F"/>
    <w:rsid w:val="4BA30828"/>
    <w:rsid w:val="4BA93D64"/>
    <w:rsid w:val="4BB90D4F"/>
    <w:rsid w:val="4BBE0554"/>
    <w:rsid w:val="4BBF20A9"/>
    <w:rsid w:val="4BCB40E3"/>
    <w:rsid w:val="4BD20FCE"/>
    <w:rsid w:val="4BD74836"/>
    <w:rsid w:val="4BED5E07"/>
    <w:rsid w:val="4BF70A34"/>
    <w:rsid w:val="4BFD1393"/>
    <w:rsid w:val="4C012F97"/>
    <w:rsid w:val="4C194E4E"/>
    <w:rsid w:val="4C1C26CD"/>
    <w:rsid w:val="4C2555A1"/>
    <w:rsid w:val="4C2C2DD4"/>
    <w:rsid w:val="4C3F1BAE"/>
    <w:rsid w:val="4C41120B"/>
    <w:rsid w:val="4C5C4D3B"/>
    <w:rsid w:val="4C5D5CA7"/>
    <w:rsid w:val="4C76404F"/>
    <w:rsid w:val="4C8147A2"/>
    <w:rsid w:val="4C96649F"/>
    <w:rsid w:val="4CB26A62"/>
    <w:rsid w:val="4CCA7AE1"/>
    <w:rsid w:val="4CE216E4"/>
    <w:rsid w:val="4CEE0366"/>
    <w:rsid w:val="4CF569B5"/>
    <w:rsid w:val="4CFB4947"/>
    <w:rsid w:val="4CFC1854"/>
    <w:rsid w:val="4D04165B"/>
    <w:rsid w:val="4D11448E"/>
    <w:rsid w:val="4D267823"/>
    <w:rsid w:val="4D275D07"/>
    <w:rsid w:val="4D3A507C"/>
    <w:rsid w:val="4D5325E2"/>
    <w:rsid w:val="4D5F2D35"/>
    <w:rsid w:val="4D6848C0"/>
    <w:rsid w:val="4D8602C2"/>
    <w:rsid w:val="4D9E5143"/>
    <w:rsid w:val="4D9F75D5"/>
    <w:rsid w:val="4DAE03C1"/>
    <w:rsid w:val="4DC22D80"/>
    <w:rsid w:val="4DC97603"/>
    <w:rsid w:val="4DE163BF"/>
    <w:rsid w:val="4DF72F6D"/>
    <w:rsid w:val="4DFE10C7"/>
    <w:rsid w:val="4E07740D"/>
    <w:rsid w:val="4E086F29"/>
    <w:rsid w:val="4E140B6A"/>
    <w:rsid w:val="4E1B739A"/>
    <w:rsid w:val="4E21448E"/>
    <w:rsid w:val="4E233D62"/>
    <w:rsid w:val="4E2875CB"/>
    <w:rsid w:val="4E407F3C"/>
    <w:rsid w:val="4E41243B"/>
    <w:rsid w:val="4E676345"/>
    <w:rsid w:val="4E6C17FA"/>
    <w:rsid w:val="4E8B5D8F"/>
    <w:rsid w:val="4E943545"/>
    <w:rsid w:val="4EB86BA1"/>
    <w:rsid w:val="4ECC43FA"/>
    <w:rsid w:val="4EE94FAC"/>
    <w:rsid w:val="4F0B3CA6"/>
    <w:rsid w:val="4F107345"/>
    <w:rsid w:val="4F1847B3"/>
    <w:rsid w:val="4F2314B3"/>
    <w:rsid w:val="4F271630"/>
    <w:rsid w:val="4F3B50DC"/>
    <w:rsid w:val="4F5D5052"/>
    <w:rsid w:val="4F691C49"/>
    <w:rsid w:val="4F813436"/>
    <w:rsid w:val="4FB619EF"/>
    <w:rsid w:val="4FBD1F95"/>
    <w:rsid w:val="4FC861DA"/>
    <w:rsid w:val="4FFB544B"/>
    <w:rsid w:val="500A342C"/>
    <w:rsid w:val="500D6A78"/>
    <w:rsid w:val="500F69BB"/>
    <w:rsid w:val="50406E4E"/>
    <w:rsid w:val="505B77CA"/>
    <w:rsid w:val="50970A38"/>
    <w:rsid w:val="509B22D6"/>
    <w:rsid w:val="50A126B7"/>
    <w:rsid w:val="50A82C45"/>
    <w:rsid w:val="50AE094F"/>
    <w:rsid w:val="50DB294E"/>
    <w:rsid w:val="50DC3D6E"/>
    <w:rsid w:val="50F06140"/>
    <w:rsid w:val="510936E3"/>
    <w:rsid w:val="510A2FB8"/>
    <w:rsid w:val="51145BE4"/>
    <w:rsid w:val="511856D5"/>
    <w:rsid w:val="51321C80"/>
    <w:rsid w:val="515661FD"/>
    <w:rsid w:val="516A3A56"/>
    <w:rsid w:val="517255BD"/>
    <w:rsid w:val="517B5C63"/>
    <w:rsid w:val="518C4D4D"/>
    <w:rsid w:val="51A46F68"/>
    <w:rsid w:val="51A76D92"/>
    <w:rsid w:val="51B13335"/>
    <w:rsid w:val="51D75590"/>
    <w:rsid w:val="521D3CB5"/>
    <w:rsid w:val="523302EC"/>
    <w:rsid w:val="52426781"/>
    <w:rsid w:val="52454FAD"/>
    <w:rsid w:val="524B15B3"/>
    <w:rsid w:val="528374C6"/>
    <w:rsid w:val="528B1ED6"/>
    <w:rsid w:val="52A5743C"/>
    <w:rsid w:val="52A70D2C"/>
    <w:rsid w:val="52AD50FC"/>
    <w:rsid w:val="52BE405A"/>
    <w:rsid w:val="52E361B6"/>
    <w:rsid w:val="52E837CD"/>
    <w:rsid w:val="52FB52AE"/>
    <w:rsid w:val="531210C9"/>
    <w:rsid w:val="532742F5"/>
    <w:rsid w:val="53607807"/>
    <w:rsid w:val="538434F5"/>
    <w:rsid w:val="538A03E0"/>
    <w:rsid w:val="539835FD"/>
    <w:rsid w:val="53A2397B"/>
    <w:rsid w:val="53B92A73"/>
    <w:rsid w:val="53BB67EB"/>
    <w:rsid w:val="53C71634"/>
    <w:rsid w:val="53D224B3"/>
    <w:rsid w:val="53EB1FF8"/>
    <w:rsid w:val="53EC2E48"/>
    <w:rsid w:val="53F45760"/>
    <w:rsid w:val="5406215C"/>
    <w:rsid w:val="547B176D"/>
    <w:rsid w:val="547C41CC"/>
    <w:rsid w:val="549E694A"/>
    <w:rsid w:val="54A379AB"/>
    <w:rsid w:val="54B27BEE"/>
    <w:rsid w:val="54BD0C40"/>
    <w:rsid w:val="54D659D2"/>
    <w:rsid w:val="54E477E8"/>
    <w:rsid w:val="54F75F49"/>
    <w:rsid w:val="54FC355F"/>
    <w:rsid w:val="55204DD9"/>
    <w:rsid w:val="55284354"/>
    <w:rsid w:val="55432F3C"/>
    <w:rsid w:val="554A42CB"/>
    <w:rsid w:val="5560589C"/>
    <w:rsid w:val="5563713A"/>
    <w:rsid w:val="556C4241"/>
    <w:rsid w:val="5579695E"/>
    <w:rsid w:val="558C043F"/>
    <w:rsid w:val="559807C9"/>
    <w:rsid w:val="55A133E3"/>
    <w:rsid w:val="55B87486"/>
    <w:rsid w:val="55C404FA"/>
    <w:rsid w:val="55C45E2B"/>
    <w:rsid w:val="55CC345F"/>
    <w:rsid w:val="55F04E72"/>
    <w:rsid w:val="56203207"/>
    <w:rsid w:val="562A2C28"/>
    <w:rsid w:val="562C2ED7"/>
    <w:rsid w:val="564D4072"/>
    <w:rsid w:val="56610227"/>
    <w:rsid w:val="567B54EE"/>
    <w:rsid w:val="567C4958"/>
    <w:rsid w:val="56846C29"/>
    <w:rsid w:val="5689497F"/>
    <w:rsid w:val="56917593"/>
    <w:rsid w:val="56A53E84"/>
    <w:rsid w:val="56A703F5"/>
    <w:rsid w:val="56C97471"/>
    <w:rsid w:val="56D64EB7"/>
    <w:rsid w:val="56E314E0"/>
    <w:rsid w:val="57282705"/>
    <w:rsid w:val="574C75A3"/>
    <w:rsid w:val="574D2F08"/>
    <w:rsid w:val="5774562F"/>
    <w:rsid w:val="57754BF2"/>
    <w:rsid w:val="57B10631"/>
    <w:rsid w:val="57BD6FD6"/>
    <w:rsid w:val="57CA16F3"/>
    <w:rsid w:val="57CA3880"/>
    <w:rsid w:val="57E417E0"/>
    <w:rsid w:val="57EE53E1"/>
    <w:rsid w:val="57F32A52"/>
    <w:rsid w:val="57FE50EE"/>
    <w:rsid w:val="58073B8C"/>
    <w:rsid w:val="580E7831"/>
    <w:rsid w:val="58256929"/>
    <w:rsid w:val="583F3E8F"/>
    <w:rsid w:val="586B76C2"/>
    <w:rsid w:val="58A40196"/>
    <w:rsid w:val="58BF0B2C"/>
    <w:rsid w:val="58D67320"/>
    <w:rsid w:val="58F534B4"/>
    <w:rsid w:val="593432C8"/>
    <w:rsid w:val="593E026C"/>
    <w:rsid w:val="593E5EF4"/>
    <w:rsid w:val="593F3A1A"/>
    <w:rsid w:val="594D6137"/>
    <w:rsid w:val="5989503C"/>
    <w:rsid w:val="59977C6E"/>
    <w:rsid w:val="599B50F5"/>
    <w:rsid w:val="59A25D4A"/>
    <w:rsid w:val="59AA17DC"/>
    <w:rsid w:val="59B14918"/>
    <w:rsid w:val="59B15C2B"/>
    <w:rsid w:val="59B25F2D"/>
    <w:rsid w:val="59D86349"/>
    <w:rsid w:val="59DB3743"/>
    <w:rsid w:val="59DD0C04"/>
    <w:rsid w:val="59EC76FE"/>
    <w:rsid w:val="5A034978"/>
    <w:rsid w:val="5A040EEC"/>
    <w:rsid w:val="5A16280E"/>
    <w:rsid w:val="5A1B5A10"/>
    <w:rsid w:val="5A266807"/>
    <w:rsid w:val="5A2C21F1"/>
    <w:rsid w:val="5A3A3464"/>
    <w:rsid w:val="5A6977D7"/>
    <w:rsid w:val="5A6E45B7"/>
    <w:rsid w:val="5A7476F4"/>
    <w:rsid w:val="5A963B0E"/>
    <w:rsid w:val="5AA955EF"/>
    <w:rsid w:val="5ACC2E57"/>
    <w:rsid w:val="5ACD39D4"/>
    <w:rsid w:val="5AEB3E5A"/>
    <w:rsid w:val="5B044F1C"/>
    <w:rsid w:val="5B070568"/>
    <w:rsid w:val="5B1C2265"/>
    <w:rsid w:val="5B2E3D47"/>
    <w:rsid w:val="5B33135D"/>
    <w:rsid w:val="5B435A44"/>
    <w:rsid w:val="5B4672E2"/>
    <w:rsid w:val="5B4A6DD2"/>
    <w:rsid w:val="5B572513"/>
    <w:rsid w:val="5B773CF2"/>
    <w:rsid w:val="5B953DC6"/>
    <w:rsid w:val="5B9B5880"/>
    <w:rsid w:val="5BB7600F"/>
    <w:rsid w:val="5BCD355F"/>
    <w:rsid w:val="5BF037E6"/>
    <w:rsid w:val="5BFD3E45"/>
    <w:rsid w:val="5C0F2714"/>
    <w:rsid w:val="5C2A09B2"/>
    <w:rsid w:val="5C3A263A"/>
    <w:rsid w:val="5C4A4BB0"/>
    <w:rsid w:val="5C531CB7"/>
    <w:rsid w:val="5C814A76"/>
    <w:rsid w:val="5CAE513F"/>
    <w:rsid w:val="5CAF25EE"/>
    <w:rsid w:val="5CAF7F16"/>
    <w:rsid w:val="5CBE74EA"/>
    <w:rsid w:val="5CC56713"/>
    <w:rsid w:val="5CC71DD8"/>
    <w:rsid w:val="5CCE3A33"/>
    <w:rsid w:val="5CD66444"/>
    <w:rsid w:val="5CED210B"/>
    <w:rsid w:val="5CF82EF2"/>
    <w:rsid w:val="5CF9414D"/>
    <w:rsid w:val="5CF9552F"/>
    <w:rsid w:val="5D0631CD"/>
    <w:rsid w:val="5D0B433F"/>
    <w:rsid w:val="5D17501F"/>
    <w:rsid w:val="5D1F7DEB"/>
    <w:rsid w:val="5D213B63"/>
    <w:rsid w:val="5D2E44D2"/>
    <w:rsid w:val="5D3C6BEF"/>
    <w:rsid w:val="5D431D2B"/>
    <w:rsid w:val="5D4569AE"/>
    <w:rsid w:val="5D5E0913"/>
    <w:rsid w:val="5D6F2B20"/>
    <w:rsid w:val="5D79399F"/>
    <w:rsid w:val="5D7C6FEB"/>
    <w:rsid w:val="5D883BE2"/>
    <w:rsid w:val="5D9B5E1F"/>
    <w:rsid w:val="5DA36C6E"/>
    <w:rsid w:val="5DAF116F"/>
    <w:rsid w:val="5DB426F2"/>
    <w:rsid w:val="5DB95E7E"/>
    <w:rsid w:val="5DF11787"/>
    <w:rsid w:val="5E0771FD"/>
    <w:rsid w:val="5E2733FB"/>
    <w:rsid w:val="5E647215"/>
    <w:rsid w:val="5E6F6B70"/>
    <w:rsid w:val="5E7128C8"/>
    <w:rsid w:val="5E785A05"/>
    <w:rsid w:val="5E7E5BC7"/>
    <w:rsid w:val="5EA467FA"/>
    <w:rsid w:val="5EAC5CC5"/>
    <w:rsid w:val="5EBB3B43"/>
    <w:rsid w:val="5EC24ED2"/>
    <w:rsid w:val="5ECF669A"/>
    <w:rsid w:val="5EE17A4E"/>
    <w:rsid w:val="5EF64B7B"/>
    <w:rsid w:val="5F131BD1"/>
    <w:rsid w:val="5F1C68EB"/>
    <w:rsid w:val="5F304531"/>
    <w:rsid w:val="5F3A658F"/>
    <w:rsid w:val="5F4B6DF9"/>
    <w:rsid w:val="5F5244A8"/>
    <w:rsid w:val="5F5E109E"/>
    <w:rsid w:val="5F675CE8"/>
    <w:rsid w:val="5F6D7533"/>
    <w:rsid w:val="5F904FD0"/>
    <w:rsid w:val="5F9E101E"/>
    <w:rsid w:val="5FA171DD"/>
    <w:rsid w:val="5FD80582"/>
    <w:rsid w:val="5FE377F5"/>
    <w:rsid w:val="60326087"/>
    <w:rsid w:val="603E7754"/>
    <w:rsid w:val="604D407A"/>
    <w:rsid w:val="605E0C2A"/>
    <w:rsid w:val="6061582C"/>
    <w:rsid w:val="60787F3E"/>
    <w:rsid w:val="60803296"/>
    <w:rsid w:val="60940AF0"/>
    <w:rsid w:val="609D64AA"/>
    <w:rsid w:val="60A27B32"/>
    <w:rsid w:val="60BE5D83"/>
    <w:rsid w:val="60DD3A26"/>
    <w:rsid w:val="60E51508"/>
    <w:rsid w:val="60F82E2D"/>
    <w:rsid w:val="60FC0223"/>
    <w:rsid w:val="614A3DAA"/>
    <w:rsid w:val="6155027F"/>
    <w:rsid w:val="616821E1"/>
    <w:rsid w:val="61730B8F"/>
    <w:rsid w:val="61776447"/>
    <w:rsid w:val="618463A2"/>
    <w:rsid w:val="618741B1"/>
    <w:rsid w:val="61B2747F"/>
    <w:rsid w:val="61B90451"/>
    <w:rsid w:val="61DE0274"/>
    <w:rsid w:val="61E73B15"/>
    <w:rsid w:val="61EA259B"/>
    <w:rsid w:val="61EB473F"/>
    <w:rsid w:val="61FC6D54"/>
    <w:rsid w:val="622540F5"/>
    <w:rsid w:val="62344338"/>
    <w:rsid w:val="623B7475"/>
    <w:rsid w:val="62405FC3"/>
    <w:rsid w:val="62482F7C"/>
    <w:rsid w:val="62677DAD"/>
    <w:rsid w:val="6281113E"/>
    <w:rsid w:val="62854B94"/>
    <w:rsid w:val="62935219"/>
    <w:rsid w:val="62CD6AEC"/>
    <w:rsid w:val="62D94595"/>
    <w:rsid w:val="62F85366"/>
    <w:rsid w:val="63103C43"/>
    <w:rsid w:val="631E6C0A"/>
    <w:rsid w:val="633B34A5"/>
    <w:rsid w:val="6347009B"/>
    <w:rsid w:val="63566066"/>
    <w:rsid w:val="63901A42"/>
    <w:rsid w:val="6397551B"/>
    <w:rsid w:val="63B86FB2"/>
    <w:rsid w:val="63C45248"/>
    <w:rsid w:val="63C60FC0"/>
    <w:rsid w:val="63CB65D6"/>
    <w:rsid w:val="63D41366"/>
    <w:rsid w:val="63E56E13"/>
    <w:rsid w:val="63E94CAF"/>
    <w:rsid w:val="64032214"/>
    <w:rsid w:val="640E2967"/>
    <w:rsid w:val="64153CF6"/>
    <w:rsid w:val="6419594B"/>
    <w:rsid w:val="64264155"/>
    <w:rsid w:val="644C769A"/>
    <w:rsid w:val="64520AA6"/>
    <w:rsid w:val="64664551"/>
    <w:rsid w:val="647153D0"/>
    <w:rsid w:val="64805613"/>
    <w:rsid w:val="6486074F"/>
    <w:rsid w:val="64B96D77"/>
    <w:rsid w:val="64BB2AEF"/>
    <w:rsid w:val="64CB26DD"/>
    <w:rsid w:val="64DE67DD"/>
    <w:rsid w:val="64FD6C64"/>
    <w:rsid w:val="650171EE"/>
    <w:rsid w:val="65055B18"/>
    <w:rsid w:val="65297A59"/>
    <w:rsid w:val="65433804"/>
    <w:rsid w:val="65556AA0"/>
    <w:rsid w:val="65684D07"/>
    <w:rsid w:val="657D2B9C"/>
    <w:rsid w:val="6593581A"/>
    <w:rsid w:val="65956E9C"/>
    <w:rsid w:val="65A215B9"/>
    <w:rsid w:val="65BD63F3"/>
    <w:rsid w:val="65BF484F"/>
    <w:rsid w:val="65D406EA"/>
    <w:rsid w:val="66542B2C"/>
    <w:rsid w:val="665723A3"/>
    <w:rsid w:val="667B400E"/>
    <w:rsid w:val="66911D59"/>
    <w:rsid w:val="66D178F7"/>
    <w:rsid w:val="66D437D5"/>
    <w:rsid w:val="66E005EB"/>
    <w:rsid w:val="66E53E53"/>
    <w:rsid w:val="66E55C01"/>
    <w:rsid w:val="66EA7812"/>
    <w:rsid w:val="6704527C"/>
    <w:rsid w:val="673F1F3F"/>
    <w:rsid w:val="673F79B4"/>
    <w:rsid w:val="67442824"/>
    <w:rsid w:val="674A1F08"/>
    <w:rsid w:val="67795693"/>
    <w:rsid w:val="677A0A3F"/>
    <w:rsid w:val="67902011"/>
    <w:rsid w:val="67987117"/>
    <w:rsid w:val="67A43BE0"/>
    <w:rsid w:val="67AB6E4B"/>
    <w:rsid w:val="67B37F71"/>
    <w:rsid w:val="67CE6C86"/>
    <w:rsid w:val="67D31319"/>
    <w:rsid w:val="67D72D6F"/>
    <w:rsid w:val="67DC6D5A"/>
    <w:rsid w:val="67E206D5"/>
    <w:rsid w:val="67F23A74"/>
    <w:rsid w:val="68354966"/>
    <w:rsid w:val="683E4D48"/>
    <w:rsid w:val="685A261F"/>
    <w:rsid w:val="6865349E"/>
    <w:rsid w:val="68655F18"/>
    <w:rsid w:val="68B00491"/>
    <w:rsid w:val="68C14BF3"/>
    <w:rsid w:val="68E41866"/>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13D10"/>
    <w:rsid w:val="698E07D2"/>
    <w:rsid w:val="69AB0D0D"/>
    <w:rsid w:val="69B27B43"/>
    <w:rsid w:val="69BE0005"/>
    <w:rsid w:val="69DF2DDC"/>
    <w:rsid w:val="69EA352F"/>
    <w:rsid w:val="69EB2192"/>
    <w:rsid w:val="6A026ACA"/>
    <w:rsid w:val="6A3C0286"/>
    <w:rsid w:val="6A570136"/>
    <w:rsid w:val="6A695DCD"/>
    <w:rsid w:val="6A731776"/>
    <w:rsid w:val="6A753740"/>
    <w:rsid w:val="6A782CE4"/>
    <w:rsid w:val="6A7A6FA8"/>
    <w:rsid w:val="6A7E2C0A"/>
    <w:rsid w:val="6A802F8E"/>
    <w:rsid w:val="6AAD4C88"/>
    <w:rsid w:val="6ABA55F7"/>
    <w:rsid w:val="6AC10733"/>
    <w:rsid w:val="6ACD7255"/>
    <w:rsid w:val="6AD2649C"/>
    <w:rsid w:val="6AE17565"/>
    <w:rsid w:val="6AF01018"/>
    <w:rsid w:val="6AFE3735"/>
    <w:rsid w:val="6B2111D2"/>
    <w:rsid w:val="6B361E7E"/>
    <w:rsid w:val="6B3C7DBA"/>
    <w:rsid w:val="6B3D4EC2"/>
    <w:rsid w:val="6B43383E"/>
    <w:rsid w:val="6B623CC4"/>
    <w:rsid w:val="6B6F63E1"/>
    <w:rsid w:val="6B8071BE"/>
    <w:rsid w:val="6BB16221"/>
    <w:rsid w:val="6BD46244"/>
    <w:rsid w:val="6BE40B7D"/>
    <w:rsid w:val="6BE45953"/>
    <w:rsid w:val="6BE94F3A"/>
    <w:rsid w:val="6BF40694"/>
    <w:rsid w:val="6C061F17"/>
    <w:rsid w:val="6C0E5BFA"/>
    <w:rsid w:val="6C150D37"/>
    <w:rsid w:val="6C2F1E55"/>
    <w:rsid w:val="6C376EFF"/>
    <w:rsid w:val="6C661592"/>
    <w:rsid w:val="6C741E4F"/>
    <w:rsid w:val="6C774720"/>
    <w:rsid w:val="6C787517"/>
    <w:rsid w:val="6C8251EB"/>
    <w:rsid w:val="6C914D27"/>
    <w:rsid w:val="6CAA6CFE"/>
    <w:rsid w:val="6CC369E5"/>
    <w:rsid w:val="6CDC7AA6"/>
    <w:rsid w:val="6D013FEB"/>
    <w:rsid w:val="6D1930EC"/>
    <w:rsid w:val="6D1A412B"/>
    <w:rsid w:val="6D2F407A"/>
    <w:rsid w:val="6DA71186"/>
    <w:rsid w:val="6DB30918"/>
    <w:rsid w:val="6DB620A5"/>
    <w:rsid w:val="6DC42A14"/>
    <w:rsid w:val="6DCF4F15"/>
    <w:rsid w:val="6DD036A3"/>
    <w:rsid w:val="6DE81D0F"/>
    <w:rsid w:val="6DE85FD7"/>
    <w:rsid w:val="6DF76B0A"/>
    <w:rsid w:val="6E054DB3"/>
    <w:rsid w:val="6E0D5EB7"/>
    <w:rsid w:val="6E1A0994"/>
    <w:rsid w:val="6E7004A6"/>
    <w:rsid w:val="6EBD3E7A"/>
    <w:rsid w:val="6EBD700A"/>
    <w:rsid w:val="6EC72090"/>
    <w:rsid w:val="6ED53771"/>
    <w:rsid w:val="6EFD2502"/>
    <w:rsid w:val="6F082DD5"/>
    <w:rsid w:val="6F1352D6"/>
    <w:rsid w:val="6F5B1156"/>
    <w:rsid w:val="6F5E1724"/>
    <w:rsid w:val="6F6618A9"/>
    <w:rsid w:val="6F71097A"/>
    <w:rsid w:val="6F743FC6"/>
    <w:rsid w:val="6F783707"/>
    <w:rsid w:val="6F7D7049"/>
    <w:rsid w:val="6F963F3C"/>
    <w:rsid w:val="6FE1043B"/>
    <w:rsid w:val="6FF670D1"/>
    <w:rsid w:val="700B760E"/>
    <w:rsid w:val="700D7F77"/>
    <w:rsid w:val="701C72EB"/>
    <w:rsid w:val="703B0F88"/>
    <w:rsid w:val="703B4AE4"/>
    <w:rsid w:val="706E310B"/>
    <w:rsid w:val="70794B97"/>
    <w:rsid w:val="70860455"/>
    <w:rsid w:val="70860D62"/>
    <w:rsid w:val="70891C83"/>
    <w:rsid w:val="708C17E3"/>
    <w:rsid w:val="70981F36"/>
    <w:rsid w:val="70CD6084"/>
    <w:rsid w:val="70D016D0"/>
    <w:rsid w:val="70ED2282"/>
    <w:rsid w:val="70F35BF8"/>
    <w:rsid w:val="7101188A"/>
    <w:rsid w:val="710B44B6"/>
    <w:rsid w:val="71160F53"/>
    <w:rsid w:val="711A0B9D"/>
    <w:rsid w:val="713C4FB8"/>
    <w:rsid w:val="71491244"/>
    <w:rsid w:val="714B51FB"/>
    <w:rsid w:val="71582A07"/>
    <w:rsid w:val="716F2C97"/>
    <w:rsid w:val="71723A41"/>
    <w:rsid w:val="717943B6"/>
    <w:rsid w:val="71916F49"/>
    <w:rsid w:val="71A33B87"/>
    <w:rsid w:val="71AB63BC"/>
    <w:rsid w:val="71AE4713"/>
    <w:rsid w:val="71B27028"/>
    <w:rsid w:val="71D25565"/>
    <w:rsid w:val="71D945B4"/>
    <w:rsid w:val="71F11C1F"/>
    <w:rsid w:val="72225745"/>
    <w:rsid w:val="723314F1"/>
    <w:rsid w:val="724A62A9"/>
    <w:rsid w:val="72646574"/>
    <w:rsid w:val="727F33AE"/>
    <w:rsid w:val="72802C82"/>
    <w:rsid w:val="72A8433C"/>
    <w:rsid w:val="72AA7CFF"/>
    <w:rsid w:val="72BD1CA1"/>
    <w:rsid w:val="72C07522"/>
    <w:rsid w:val="72D468CD"/>
    <w:rsid w:val="73156124"/>
    <w:rsid w:val="731A30D6"/>
    <w:rsid w:val="7320374B"/>
    <w:rsid w:val="73426189"/>
    <w:rsid w:val="734C0DB6"/>
    <w:rsid w:val="73584999"/>
    <w:rsid w:val="735A3B0C"/>
    <w:rsid w:val="7361796E"/>
    <w:rsid w:val="737427E7"/>
    <w:rsid w:val="737C78ED"/>
    <w:rsid w:val="739369E5"/>
    <w:rsid w:val="739B4217"/>
    <w:rsid w:val="73AD5CF9"/>
    <w:rsid w:val="73B057E9"/>
    <w:rsid w:val="73D94D40"/>
    <w:rsid w:val="740D2C3B"/>
    <w:rsid w:val="742E508B"/>
    <w:rsid w:val="744877CF"/>
    <w:rsid w:val="74692D8A"/>
    <w:rsid w:val="74716D26"/>
    <w:rsid w:val="7472484C"/>
    <w:rsid w:val="74933140"/>
    <w:rsid w:val="74B81FE2"/>
    <w:rsid w:val="74B86703"/>
    <w:rsid w:val="74BD1F6B"/>
    <w:rsid w:val="74CE23CA"/>
    <w:rsid w:val="74E813D5"/>
    <w:rsid w:val="74FF4332"/>
    <w:rsid w:val="750E0AAE"/>
    <w:rsid w:val="751C1388"/>
    <w:rsid w:val="75581C94"/>
    <w:rsid w:val="755F3023"/>
    <w:rsid w:val="75874327"/>
    <w:rsid w:val="75995FB8"/>
    <w:rsid w:val="75A1188D"/>
    <w:rsid w:val="75B50E95"/>
    <w:rsid w:val="75CA0DE4"/>
    <w:rsid w:val="75CD4430"/>
    <w:rsid w:val="75D25EEA"/>
    <w:rsid w:val="75F75951"/>
    <w:rsid w:val="75FC4D15"/>
    <w:rsid w:val="75FE0A8D"/>
    <w:rsid w:val="76097029"/>
    <w:rsid w:val="76133C04"/>
    <w:rsid w:val="76375666"/>
    <w:rsid w:val="764A4CEF"/>
    <w:rsid w:val="766C1E9B"/>
    <w:rsid w:val="76880357"/>
    <w:rsid w:val="769D2054"/>
    <w:rsid w:val="76AA4771"/>
    <w:rsid w:val="76CC0B8C"/>
    <w:rsid w:val="76E13170"/>
    <w:rsid w:val="76E311A3"/>
    <w:rsid w:val="76E41A31"/>
    <w:rsid w:val="77132317"/>
    <w:rsid w:val="772938E8"/>
    <w:rsid w:val="7734344E"/>
    <w:rsid w:val="774424D0"/>
    <w:rsid w:val="77813724"/>
    <w:rsid w:val="77972F48"/>
    <w:rsid w:val="7798554B"/>
    <w:rsid w:val="77A2369A"/>
    <w:rsid w:val="77B561D9"/>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70B6C"/>
    <w:rsid w:val="786C4C30"/>
    <w:rsid w:val="7874661E"/>
    <w:rsid w:val="78827754"/>
    <w:rsid w:val="78B91B03"/>
    <w:rsid w:val="78BE2756"/>
    <w:rsid w:val="78D12489"/>
    <w:rsid w:val="78E957D1"/>
    <w:rsid w:val="78EA354B"/>
    <w:rsid w:val="79711576"/>
    <w:rsid w:val="7973634F"/>
    <w:rsid w:val="797F0066"/>
    <w:rsid w:val="79862855"/>
    <w:rsid w:val="79AB7B9C"/>
    <w:rsid w:val="79C36276"/>
    <w:rsid w:val="79D33BD7"/>
    <w:rsid w:val="79E65AC0"/>
    <w:rsid w:val="79F44681"/>
    <w:rsid w:val="7A010B4C"/>
    <w:rsid w:val="7A0712A8"/>
    <w:rsid w:val="7A1A5F3C"/>
    <w:rsid w:val="7A293BFF"/>
    <w:rsid w:val="7A2E3F8E"/>
    <w:rsid w:val="7A440A39"/>
    <w:rsid w:val="7A486B67"/>
    <w:rsid w:val="7A5C5D83"/>
    <w:rsid w:val="7A63380E"/>
    <w:rsid w:val="7A7C01D3"/>
    <w:rsid w:val="7A7E002C"/>
    <w:rsid w:val="7A8734B8"/>
    <w:rsid w:val="7A8A6D94"/>
    <w:rsid w:val="7A911ED0"/>
    <w:rsid w:val="7AB64546"/>
    <w:rsid w:val="7AC04563"/>
    <w:rsid w:val="7AC14BDA"/>
    <w:rsid w:val="7ACB4729"/>
    <w:rsid w:val="7AE220D3"/>
    <w:rsid w:val="7AE70BAE"/>
    <w:rsid w:val="7AEA7832"/>
    <w:rsid w:val="7AEC455F"/>
    <w:rsid w:val="7B05466C"/>
    <w:rsid w:val="7B0703E4"/>
    <w:rsid w:val="7B0F54EB"/>
    <w:rsid w:val="7B197943"/>
    <w:rsid w:val="7B4927AB"/>
    <w:rsid w:val="7B4D1357"/>
    <w:rsid w:val="7B641393"/>
    <w:rsid w:val="7B6E2F9B"/>
    <w:rsid w:val="7B89704B"/>
    <w:rsid w:val="7B98702C"/>
    <w:rsid w:val="7BC71922"/>
    <w:rsid w:val="7BC77B74"/>
    <w:rsid w:val="7BD04C7A"/>
    <w:rsid w:val="7BD57CCF"/>
    <w:rsid w:val="7BF85AB6"/>
    <w:rsid w:val="7C022E76"/>
    <w:rsid w:val="7C213B75"/>
    <w:rsid w:val="7C305719"/>
    <w:rsid w:val="7C3163FF"/>
    <w:rsid w:val="7C365A76"/>
    <w:rsid w:val="7C896BD7"/>
    <w:rsid w:val="7C8B6DF3"/>
    <w:rsid w:val="7C8D6749"/>
    <w:rsid w:val="7CA61385"/>
    <w:rsid w:val="7CB718F6"/>
    <w:rsid w:val="7CCC0C02"/>
    <w:rsid w:val="7CE24C65"/>
    <w:rsid w:val="7CE64C01"/>
    <w:rsid w:val="7CFB7AD5"/>
    <w:rsid w:val="7D07647A"/>
    <w:rsid w:val="7D0E5A5A"/>
    <w:rsid w:val="7D123C1F"/>
    <w:rsid w:val="7D1467DB"/>
    <w:rsid w:val="7D2C7C8E"/>
    <w:rsid w:val="7D625DA6"/>
    <w:rsid w:val="7D871368"/>
    <w:rsid w:val="7D8B70AB"/>
    <w:rsid w:val="7D931348"/>
    <w:rsid w:val="7DC12ACC"/>
    <w:rsid w:val="7DD32800"/>
    <w:rsid w:val="7DF14781"/>
    <w:rsid w:val="7DFA2E1C"/>
    <w:rsid w:val="7DFF69C7"/>
    <w:rsid w:val="7E0D3978"/>
    <w:rsid w:val="7E3A287F"/>
    <w:rsid w:val="7E3F7E95"/>
    <w:rsid w:val="7E677CA0"/>
    <w:rsid w:val="7E6873EC"/>
    <w:rsid w:val="7E822156"/>
    <w:rsid w:val="7E9E4BBC"/>
    <w:rsid w:val="7EB10D93"/>
    <w:rsid w:val="7EB459DD"/>
    <w:rsid w:val="7ECD724F"/>
    <w:rsid w:val="7EE22D5E"/>
    <w:rsid w:val="7EF02C27"/>
    <w:rsid w:val="7EF23159"/>
    <w:rsid w:val="7EF91AB2"/>
    <w:rsid w:val="7EFB3E85"/>
    <w:rsid w:val="7F016EF9"/>
    <w:rsid w:val="7F030EC3"/>
    <w:rsid w:val="7F0E20E8"/>
    <w:rsid w:val="7F177E9D"/>
    <w:rsid w:val="7F2729DE"/>
    <w:rsid w:val="7F390D88"/>
    <w:rsid w:val="7F841BB1"/>
    <w:rsid w:val="7F8C2C66"/>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2"/>
    <w:qFormat/>
    <w:uiPriority w:val="0"/>
    <w:pPr>
      <w:adjustRightInd w:val="0"/>
      <w:spacing w:line="360" w:lineRule="atLeast"/>
      <w:ind w:firstLine="482"/>
      <w:textAlignment w:val="baseline"/>
    </w:pPr>
    <w:rPr>
      <w:kern w:val="0"/>
      <w:sz w:val="24"/>
      <w:szCs w:val="20"/>
    </w:rPr>
  </w:style>
  <w:style w:type="paragraph" w:styleId="12">
    <w:name w:val="Body Text First Indent 2"/>
    <w:basedOn w:val="13"/>
    <w:next w:val="1"/>
    <w:link w:val="54"/>
    <w:qFormat/>
    <w:uiPriority w:val="0"/>
    <w:pPr>
      <w:ind w:left="420" w:firstLine="420" w:firstLineChars="200"/>
    </w:pPr>
    <w:rPr>
      <w:kern w:val="0"/>
      <w:sz w:val="20"/>
      <w:szCs w:val="20"/>
    </w:rPr>
  </w:style>
  <w:style w:type="paragraph" w:styleId="13">
    <w:name w:val="Body Text Indent"/>
    <w:basedOn w:val="1"/>
    <w:next w:val="14"/>
    <w:link w:val="53"/>
    <w:qFormat/>
    <w:uiPriority w:val="0"/>
    <w:pPr>
      <w:spacing w:after="120"/>
      <w:ind w:left="200" w:leftChars="200"/>
    </w:pPr>
  </w:style>
  <w:style w:type="paragraph" w:styleId="14">
    <w:name w:val="envelope return"/>
    <w:basedOn w:val="1"/>
    <w:next w:val="9"/>
    <w:qFormat/>
    <w:uiPriority w:val="0"/>
    <w:pPr>
      <w:snapToGrid w:val="0"/>
    </w:pPr>
    <w:rPr>
      <w:rFonts w:ascii="Arial" w:hAnsi="Arial"/>
    </w:rPr>
  </w:style>
  <w:style w:type="paragraph" w:styleId="15">
    <w:name w:val="Document Map"/>
    <w:basedOn w:val="1"/>
    <w:next w:val="1"/>
    <w:qFormat/>
    <w:uiPriority w:val="0"/>
    <w:pPr>
      <w:widowControl/>
      <w:shd w:val="clear" w:color="000000" w:fill="000080"/>
      <w:spacing w:line="357" w:lineRule="atLeast"/>
    </w:pPr>
    <w:rPr>
      <w:color w:val="000000"/>
    </w:rPr>
  </w:style>
  <w:style w:type="paragraph" w:styleId="16">
    <w:name w:val="annotation text"/>
    <w:basedOn w:val="1"/>
    <w:link w:val="60"/>
    <w:qFormat/>
    <w:uiPriority w:val="0"/>
    <w:pPr>
      <w:jc w:val="left"/>
    </w:pPr>
  </w:style>
  <w:style w:type="paragraph" w:styleId="17">
    <w:name w:val="Body Text"/>
    <w:basedOn w:val="1"/>
    <w:qFormat/>
    <w:uiPriority w:val="0"/>
    <w:pPr>
      <w:spacing w:after="120"/>
    </w:pPr>
  </w:style>
  <w:style w:type="paragraph" w:styleId="18">
    <w:name w:val="toc 3"/>
    <w:basedOn w:val="1"/>
    <w:next w:val="1"/>
    <w:qFormat/>
    <w:uiPriority w:val="0"/>
    <w:pPr>
      <w:tabs>
        <w:tab w:val="right" w:leader="dot" w:pos="9288"/>
      </w:tabs>
      <w:ind w:left="400" w:leftChars="400"/>
    </w:pPr>
    <w:rPr>
      <w:rFonts w:ascii="宋体"/>
    </w:rPr>
  </w:style>
  <w:style w:type="paragraph" w:styleId="19">
    <w:name w:val="Plain Text"/>
    <w:basedOn w:val="1"/>
    <w:link w:val="61"/>
    <w:qFormat/>
    <w:uiPriority w:val="0"/>
    <w:rPr>
      <w:rFonts w:ascii="宋体"/>
      <w:color w:val="000000"/>
      <w:szCs w:val="20"/>
      <w:u w:color="000000"/>
    </w:rPr>
  </w:style>
  <w:style w:type="paragraph" w:styleId="20">
    <w:name w:val="Date"/>
    <w:basedOn w:val="1"/>
    <w:next w:val="1"/>
    <w:link w:val="62"/>
    <w:qFormat/>
    <w:uiPriority w:val="0"/>
    <w:rPr>
      <w:rFonts w:ascii="Arial" w:hAnsi="Arial" w:eastAsia="仿宋_GB2312"/>
      <w:color w:val="000000"/>
      <w:sz w:val="32"/>
      <w:szCs w:val="20"/>
      <w:u w:color="000000"/>
    </w:rPr>
  </w:style>
  <w:style w:type="paragraph" w:styleId="21">
    <w:name w:val="Body Text Indent 2"/>
    <w:basedOn w:val="1"/>
    <w:link w:val="63"/>
    <w:qFormat/>
    <w:uiPriority w:val="0"/>
    <w:pPr>
      <w:spacing w:after="120" w:line="480" w:lineRule="auto"/>
      <w:ind w:left="420" w:leftChars="200"/>
    </w:pPr>
  </w:style>
  <w:style w:type="paragraph" w:styleId="22">
    <w:name w:val="Balloon Text"/>
    <w:basedOn w:val="1"/>
    <w:link w:val="64"/>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7">
    <w:name w:val="List"/>
    <w:basedOn w:val="1"/>
    <w:next w:val="1"/>
    <w:qFormat/>
    <w:uiPriority w:val="0"/>
    <w:pPr>
      <w:ind w:left="420" w:hanging="420"/>
    </w:pPr>
    <w:rPr>
      <w:rFonts w:ascii="Arial" w:hAnsi="Arial" w:eastAsia="楷体_GB2312"/>
      <w:sz w:val="28"/>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0"/>
    <w:pPr>
      <w:ind w:left="20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6"/>
    <w:next w:val="16"/>
    <w:link w:val="67"/>
    <w:qFormat/>
    <w:uiPriority w:val="0"/>
    <w:rPr>
      <w:b/>
      <w:bCs/>
    </w:rPr>
  </w:style>
  <w:style w:type="paragraph" w:styleId="34">
    <w:name w:val="Body Text First Indent"/>
    <w:basedOn w:val="17"/>
    <w:qFormat/>
    <w:uiPriority w:val="0"/>
    <w:pPr>
      <w:ind w:firstLine="420" w:firstLineChars="1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Times New Roman" w:hAnsi="Times New Roman" w:eastAsia="宋体" w:cs="Times New Roman"/>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333333"/>
      <w:u w:val="none"/>
    </w:rPr>
  </w:style>
  <w:style w:type="character" w:styleId="41">
    <w:name w:val="Emphasis"/>
    <w:qFormat/>
    <w:uiPriority w:val="0"/>
    <w:rPr>
      <w:rFonts w:ascii="Times New Roman" w:hAnsi="Times New Roman" w:eastAsia="宋体" w:cs="Times New Roman"/>
      <w:i/>
      <w:iCs/>
    </w:rPr>
  </w:style>
  <w:style w:type="character" w:styleId="42">
    <w:name w:val="HTML Definition"/>
    <w:qFormat/>
    <w:uiPriority w:val="0"/>
    <w:rPr>
      <w:rFonts w:ascii="Times New Roman" w:hAnsi="Times New Roman" w:eastAsia="宋体" w:cs="Times New Roman"/>
    </w:rPr>
  </w:style>
  <w:style w:type="character" w:styleId="43">
    <w:name w:val="HTML Typewriter"/>
    <w:qFormat/>
    <w:uiPriority w:val="0"/>
    <w:rPr>
      <w:rFonts w:hint="default" w:ascii="monospace" w:hAnsi="monospace" w:eastAsia="monospace" w:cs="monospace"/>
      <w:sz w:val="20"/>
    </w:rPr>
  </w:style>
  <w:style w:type="character" w:styleId="44">
    <w:name w:val="HTML Acronym"/>
    <w:qFormat/>
    <w:uiPriority w:val="0"/>
    <w:rPr>
      <w:rFonts w:ascii="Times New Roman" w:hAnsi="Times New Roman" w:eastAsia="宋体" w:cs="Times New Roman"/>
    </w:rPr>
  </w:style>
  <w:style w:type="character" w:styleId="45">
    <w:name w:val="HTML Variable"/>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333333"/>
      <w:u w:val="none"/>
    </w:rPr>
  </w:style>
  <w:style w:type="character" w:styleId="47">
    <w:name w:val="HTML Code"/>
    <w:qFormat/>
    <w:uiPriority w:val="0"/>
    <w:rPr>
      <w:rFonts w:hint="default" w:ascii="monospace" w:hAnsi="monospace" w:eastAsia="monospace" w:cs="monospace"/>
      <w:sz w:val="20"/>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Cite"/>
    <w:qFormat/>
    <w:uiPriority w:val="0"/>
    <w:rPr>
      <w:rFonts w:ascii="Times New Roman" w:hAnsi="Times New Roman" w:eastAsia="宋体" w:cs="Times New Roman"/>
    </w:rPr>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ascii="monospace" w:hAnsi="monospace" w:eastAsia="monospace" w:cs="monospace"/>
    </w:rPr>
  </w:style>
  <w:style w:type="paragraph" w:customStyle="1" w:styleId="5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3">
    <w:name w:val="正文文本缩进 Char"/>
    <w:link w:val="13"/>
    <w:qFormat/>
    <w:uiPriority w:val="0"/>
    <w:rPr>
      <w:rFonts w:ascii="Times New Roman" w:hAnsi="Times New Roman" w:eastAsia="宋体" w:cs="Times New Roman"/>
      <w:kern w:val="2"/>
      <w:sz w:val="21"/>
      <w:szCs w:val="24"/>
    </w:rPr>
  </w:style>
  <w:style w:type="character" w:customStyle="1" w:styleId="54">
    <w:name w:val="正文首行缩进 2 Char"/>
    <w:link w:val="12"/>
    <w:qFormat/>
    <w:uiPriority w:val="0"/>
    <w:rPr>
      <w:rFonts w:ascii="Times New Roman" w:hAnsi="Times New Roman" w:eastAsia="宋体" w:cs="Times New Roman"/>
    </w:rPr>
  </w:style>
  <w:style w:type="character" w:customStyle="1" w:styleId="55">
    <w:name w:val="标题 1 Char"/>
    <w:link w:val="2"/>
    <w:qFormat/>
    <w:uiPriority w:val="0"/>
    <w:rPr>
      <w:rFonts w:ascii="Times New Roman" w:hAnsi="Times New Roman" w:eastAsia="宋体" w:cs="Times New Roman"/>
      <w:b/>
      <w:bCs/>
      <w:kern w:val="44"/>
      <w:sz w:val="32"/>
      <w:szCs w:val="44"/>
    </w:rPr>
  </w:style>
  <w:style w:type="character" w:customStyle="1" w:styleId="56">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7">
    <w:name w:val="标题 5 Char"/>
    <w:link w:val="6"/>
    <w:qFormat/>
    <w:uiPriority w:val="0"/>
    <w:rPr>
      <w:rFonts w:ascii="Times New Roman" w:hAnsi="Times New Roman" w:eastAsia="宋体" w:cs="Times New Roman"/>
      <w:b/>
      <w:bCs/>
      <w:kern w:val="2"/>
      <w:sz w:val="28"/>
      <w:szCs w:val="28"/>
    </w:rPr>
  </w:style>
  <w:style w:type="character" w:customStyle="1" w:styleId="58">
    <w:name w:val="标题 6 Char"/>
    <w:link w:val="7"/>
    <w:qFormat/>
    <w:uiPriority w:val="0"/>
    <w:rPr>
      <w:rFonts w:ascii="Cambria" w:hAnsi="Cambria" w:eastAsia="宋体" w:cs="Times New Roman"/>
      <w:b/>
      <w:bCs/>
      <w:kern w:val="2"/>
      <w:sz w:val="24"/>
      <w:szCs w:val="24"/>
    </w:rPr>
  </w:style>
  <w:style w:type="character" w:customStyle="1" w:styleId="59">
    <w:name w:val="标题 7 Char"/>
    <w:link w:val="8"/>
    <w:qFormat/>
    <w:uiPriority w:val="0"/>
    <w:rPr>
      <w:rFonts w:ascii="Times New Roman" w:hAnsi="Times New Roman" w:eastAsia="宋体" w:cs="Times New Roman"/>
      <w:b/>
      <w:bCs/>
      <w:kern w:val="2"/>
      <w:sz w:val="24"/>
      <w:szCs w:val="24"/>
    </w:rPr>
  </w:style>
  <w:style w:type="character" w:customStyle="1" w:styleId="60">
    <w:name w:val="批注文字 Char"/>
    <w:link w:val="16"/>
    <w:qFormat/>
    <w:uiPriority w:val="0"/>
    <w:rPr>
      <w:rFonts w:ascii="Times New Roman" w:hAnsi="Times New Roman" w:eastAsia="宋体" w:cs="Times New Roman"/>
      <w:kern w:val="2"/>
      <w:sz w:val="21"/>
      <w:szCs w:val="24"/>
    </w:rPr>
  </w:style>
  <w:style w:type="character" w:customStyle="1" w:styleId="61">
    <w:name w:val="纯文本 Char"/>
    <w:link w:val="19"/>
    <w:qFormat/>
    <w:uiPriority w:val="0"/>
    <w:rPr>
      <w:rFonts w:ascii="宋体" w:hAnsi="Times New Roman" w:eastAsia="宋体" w:cs="Times New Roman"/>
      <w:color w:val="000000"/>
      <w:kern w:val="2"/>
      <w:sz w:val="21"/>
      <w:u w:val="none" w:color="000000"/>
      <w:lang w:val="en-US" w:eastAsia="zh-CN" w:bidi="ar-SA"/>
    </w:rPr>
  </w:style>
  <w:style w:type="character" w:customStyle="1" w:styleId="62">
    <w:name w:val="日期 Char"/>
    <w:link w:val="20"/>
    <w:qFormat/>
    <w:uiPriority w:val="0"/>
    <w:rPr>
      <w:rFonts w:ascii="Arial" w:hAnsi="Arial" w:eastAsia="仿宋_GB2312" w:cs="Times New Roman"/>
      <w:color w:val="000000"/>
      <w:kern w:val="2"/>
      <w:sz w:val="32"/>
      <w:u w:val="none" w:color="000000"/>
    </w:rPr>
  </w:style>
  <w:style w:type="character" w:customStyle="1" w:styleId="63">
    <w:name w:val="正文文本缩进 2 Char"/>
    <w:link w:val="21"/>
    <w:qFormat/>
    <w:uiPriority w:val="0"/>
    <w:rPr>
      <w:rFonts w:ascii="Times New Roman" w:hAnsi="Times New Roman" w:eastAsia="宋体" w:cs="Times New Roman"/>
      <w:kern w:val="2"/>
      <w:sz w:val="21"/>
      <w:szCs w:val="24"/>
    </w:rPr>
  </w:style>
  <w:style w:type="character" w:customStyle="1" w:styleId="64">
    <w:name w:val="批注框文本 Char"/>
    <w:link w:val="22"/>
    <w:qFormat/>
    <w:uiPriority w:val="0"/>
    <w:rPr>
      <w:rFonts w:ascii="Times New Roman" w:hAnsi="Times New Roman" w:eastAsia="宋体" w:cs="Times New Roman"/>
      <w:kern w:val="2"/>
      <w:sz w:val="18"/>
      <w:szCs w:val="18"/>
    </w:rPr>
  </w:style>
  <w:style w:type="character" w:customStyle="1" w:styleId="65">
    <w:name w:val="页脚 Char"/>
    <w:link w:val="23"/>
    <w:qFormat/>
    <w:uiPriority w:val="0"/>
    <w:rPr>
      <w:rFonts w:ascii="Times New Roman" w:hAnsi="Times New Roman" w:eastAsia="宋体" w:cs="Times New Roman"/>
      <w:kern w:val="2"/>
      <w:sz w:val="18"/>
      <w:szCs w:val="18"/>
    </w:rPr>
  </w:style>
  <w:style w:type="character" w:customStyle="1" w:styleId="66">
    <w:name w:val="页眉 Char"/>
    <w:link w:val="24"/>
    <w:qFormat/>
    <w:uiPriority w:val="0"/>
    <w:rPr>
      <w:rFonts w:ascii="Times New Roman" w:hAnsi="Times New Roman" w:eastAsia="宋体" w:cs="Times New Roman"/>
      <w:kern w:val="2"/>
      <w:sz w:val="18"/>
      <w:szCs w:val="18"/>
    </w:rPr>
  </w:style>
  <w:style w:type="character" w:customStyle="1" w:styleId="67">
    <w:name w:val="批注主题 Char"/>
    <w:link w:val="33"/>
    <w:qFormat/>
    <w:uiPriority w:val="0"/>
    <w:rPr>
      <w:rFonts w:ascii="Times New Roman" w:hAnsi="Times New Roman" w:eastAsia="宋体" w:cs="Times New Roman"/>
      <w:b/>
      <w:bCs/>
      <w:kern w:val="2"/>
      <w:sz w:val="21"/>
      <w:szCs w:val="24"/>
    </w:rPr>
  </w:style>
  <w:style w:type="character" w:customStyle="1" w:styleId="68">
    <w:name w:val="图表 Char Char"/>
    <w:link w:val="69"/>
    <w:qFormat/>
    <w:uiPriority w:val="0"/>
    <w:rPr>
      <w:rFonts w:ascii="Times New Roman" w:hAnsi="Times New Roman" w:eastAsia="宋体" w:cs="Times New Roman"/>
      <w:kern w:val="2"/>
      <w:sz w:val="21"/>
      <w:szCs w:val="21"/>
    </w:rPr>
  </w:style>
  <w:style w:type="paragraph" w:customStyle="1" w:styleId="69">
    <w:name w:val="图表"/>
    <w:basedOn w:val="1"/>
    <w:next w:val="1"/>
    <w:link w:val="68"/>
    <w:qFormat/>
    <w:uiPriority w:val="0"/>
    <w:pPr>
      <w:jc w:val="center"/>
    </w:pPr>
    <w:rPr>
      <w:szCs w:val="21"/>
    </w:rPr>
  </w:style>
  <w:style w:type="character" w:customStyle="1" w:styleId="70">
    <w:name w:val="【正文】 Char Char"/>
    <w:link w:val="71"/>
    <w:qFormat/>
    <w:uiPriority w:val="0"/>
    <w:rPr>
      <w:rFonts w:ascii="Times New Roman" w:hAnsi="Times New Roman" w:eastAsia="宋体" w:cs="DokChampa"/>
      <w:kern w:val="2"/>
      <w:sz w:val="24"/>
      <w:szCs w:val="22"/>
    </w:rPr>
  </w:style>
  <w:style w:type="paragraph" w:customStyle="1" w:styleId="71">
    <w:name w:val="【正文】"/>
    <w:basedOn w:val="1"/>
    <w:link w:val="70"/>
    <w:qFormat/>
    <w:uiPriority w:val="0"/>
    <w:pPr>
      <w:spacing w:line="360" w:lineRule="auto"/>
      <w:ind w:firstLine="480" w:firstLineChars="200"/>
    </w:pPr>
    <w:rPr>
      <w:sz w:val="24"/>
      <w:szCs w:val="22"/>
    </w:rPr>
  </w:style>
  <w:style w:type="character" w:customStyle="1" w:styleId="72">
    <w:name w:val="selected"/>
    <w:qFormat/>
    <w:uiPriority w:val="0"/>
    <w:rPr>
      <w:rFonts w:ascii="Times New Roman" w:hAnsi="Times New Roman" w:eastAsia="宋体" w:cs="Times New Roman"/>
      <w:shd w:val="clear" w:color="auto" w:fill="B00006"/>
    </w:rPr>
  </w:style>
  <w:style w:type="character" w:customStyle="1" w:styleId="73">
    <w:name w:val="font21"/>
    <w:basedOn w:val="37"/>
    <w:qFormat/>
    <w:uiPriority w:val="0"/>
    <w:rPr>
      <w:rFonts w:hint="eastAsia" w:ascii="宋体" w:hAnsi="宋体" w:eastAsia="宋体" w:cs="宋体"/>
      <w:color w:val="000000"/>
      <w:sz w:val="18"/>
      <w:szCs w:val="18"/>
      <w:u w:val="none"/>
    </w:rPr>
  </w:style>
  <w:style w:type="character" w:customStyle="1" w:styleId="74">
    <w:name w:val="bds_nopic"/>
    <w:qFormat/>
    <w:uiPriority w:val="0"/>
    <w:rPr>
      <w:rFonts w:ascii="Times New Roman" w:hAnsi="Times New Roman" w:eastAsia="宋体" w:cs="Times New Roman"/>
    </w:rPr>
  </w:style>
  <w:style w:type="character" w:customStyle="1" w:styleId="75">
    <w:name w:val="NormalCharacter"/>
    <w:qFormat/>
    <w:uiPriority w:val="0"/>
    <w:rPr>
      <w:rFonts w:ascii="Times New Roman" w:hAnsi="Times New Roman" w:eastAsia="宋体" w:cs="Times New Roman"/>
      <w:kern w:val="2"/>
      <w:sz w:val="21"/>
      <w:szCs w:val="24"/>
      <w:lang w:val="en-US" w:eastAsia="zh-CN" w:bidi="ar-SA"/>
    </w:rPr>
  </w:style>
  <w:style w:type="character" w:customStyle="1" w:styleId="76">
    <w:name w:val="gpa"/>
    <w:qFormat/>
    <w:uiPriority w:val="0"/>
    <w:rPr>
      <w:rFonts w:ascii="Arial" w:hAnsi="Arial" w:eastAsia="宋体" w:cs="Arial"/>
      <w:sz w:val="15"/>
      <w:szCs w:val="15"/>
    </w:rPr>
  </w:style>
  <w:style w:type="character" w:customStyle="1" w:styleId="77">
    <w:name w:val="正文首行缩进 2 Char1"/>
    <w:qFormat/>
    <w:uiPriority w:val="0"/>
    <w:rPr>
      <w:rFonts w:ascii="Times New Roman" w:hAnsi="Times New Roman" w:eastAsia="宋体" w:cs="Times New Roman"/>
    </w:rPr>
  </w:style>
  <w:style w:type="character" w:customStyle="1" w:styleId="78">
    <w:name w:val="列出段落 Char"/>
    <w:link w:val="79"/>
    <w:qFormat/>
    <w:uiPriority w:val="0"/>
    <w:rPr>
      <w:rFonts w:ascii="Calibri" w:hAnsi="Calibri" w:eastAsia="宋体" w:cs="Times New Roman"/>
      <w:kern w:val="2"/>
      <w:sz w:val="21"/>
      <w:szCs w:val="22"/>
      <w:lang w:val="en-US" w:eastAsia="zh-CN" w:bidi="ar-SA"/>
    </w:rPr>
  </w:style>
  <w:style w:type="paragraph" w:customStyle="1" w:styleId="79">
    <w:name w:val="List Paragraph1"/>
    <w:basedOn w:val="1"/>
    <w:link w:val="78"/>
    <w:qFormat/>
    <w:uiPriority w:val="0"/>
    <w:pPr>
      <w:spacing w:line="312" w:lineRule="auto"/>
      <w:ind w:firstLine="420" w:firstLineChars="200"/>
    </w:pPr>
    <w:rPr>
      <w:rFonts w:ascii="Calibri" w:hAnsi="Calibri"/>
      <w:szCs w:val="22"/>
    </w:rPr>
  </w:style>
  <w:style w:type="character" w:customStyle="1" w:styleId="80">
    <w:name w:val="bds_nopic2"/>
    <w:qFormat/>
    <w:uiPriority w:val="0"/>
    <w:rPr>
      <w:rFonts w:ascii="Times New Roman" w:hAnsi="Times New Roman" w:eastAsia="宋体" w:cs="Times New Roman"/>
    </w:rPr>
  </w:style>
  <w:style w:type="character" w:customStyle="1" w:styleId="81">
    <w:name w:val="font61"/>
    <w:qFormat/>
    <w:uiPriority w:val="0"/>
    <w:rPr>
      <w:rFonts w:hint="default" w:ascii="MS Sans Serif" w:hAnsi="MS Sans Serif" w:eastAsia="MS Sans Serif" w:cs="MS Sans Serif"/>
      <w:color w:val="000000"/>
      <w:sz w:val="18"/>
      <w:szCs w:val="18"/>
      <w:u w:val="none"/>
    </w:rPr>
  </w:style>
  <w:style w:type="character" w:customStyle="1" w:styleId="82">
    <w:name w:val="bds_more1"/>
    <w:qFormat/>
    <w:uiPriority w:val="0"/>
    <w:rPr>
      <w:rFonts w:ascii="Times New Roman" w:hAnsi="Times New Roman" w:eastAsia="宋体" w:cs="Times New Roman"/>
    </w:rPr>
  </w:style>
  <w:style w:type="character" w:customStyle="1" w:styleId="83">
    <w:name w:val="font71"/>
    <w:qFormat/>
    <w:uiPriority w:val="0"/>
    <w:rPr>
      <w:rFonts w:hint="default" w:ascii="MS Sans Serif" w:hAnsi="MS Sans Serif" w:eastAsia="MS Sans Serif" w:cs="MS Sans Serif"/>
      <w:color w:val="000000"/>
      <w:sz w:val="18"/>
      <w:szCs w:val="18"/>
      <w:u w:val="none"/>
    </w:rPr>
  </w:style>
  <w:style w:type="character" w:customStyle="1" w:styleId="84">
    <w:name w:val="first-child"/>
    <w:qFormat/>
    <w:uiPriority w:val="0"/>
    <w:rPr>
      <w:rFonts w:ascii="Times New Roman" w:hAnsi="Times New Roman" w:eastAsia="宋体" w:cs="Times New Roman"/>
    </w:rPr>
  </w:style>
  <w:style w:type="character" w:customStyle="1" w:styleId="85">
    <w:name w:val="bds_nopic1"/>
    <w:qFormat/>
    <w:uiPriority w:val="0"/>
    <w:rPr>
      <w:rFonts w:ascii="Times New Roman" w:hAnsi="Times New Roman" w:eastAsia="宋体" w:cs="Times New Roman"/>
    </w:rPr>
  </w:style>
  <w:style w:type="character" w:customStyle="1" w:styleId="86">
    <w:name w:val="layui-this"/>
    <w:qFormat/>
    <w:uiPriority w:val="0"/>
    <w:rPr>
      <w:rFonts w:ascii="Times New Roman" w:hAnsi="Times New Roman" w:eastAsia="宋体" w:cs="Times New Roman"/>
      <w:bdr w:val="single" w:color="EEEEEE" w:sz="6" w:space="0"/>
      <w:shd w:val="clear" w:color="auto" w:fill="FFFFFF"/>
    </w:rPr>
  </w:style>
  <w:style w:type="character" w:customStyle="1" w:styleId="87">
    <w:name w:val="font81"/>
    <w:qFormat/>
    <w:uiPriority w:val="0"/>
    <w:rPr>
      <w:rFonts w:ascii="Arial Unicode MS" w:hAnsi="Arial Unicode MS" w:eastAsia="Arial Unicode MS" w:cs="Arial Unicode MS"/>
      <w:color w:val="000000"/>
      <w:sz w:val="18"/>
      <w:szCs w:val="18"/>
      <w:u w:val="none"/>
    </w:rPr>
  </w:style>
  <w:style w:type="character" w:customStyle="1" w:styleId="88">
    <w:name w:val="apple-converted-space"/>
    <w:qFormat/>
    <w:uiPriority w:val="0"/>
    <w:rPr>
      <w:rFonts w:ascii="Times New Roman" w:hAnsi="Times New Roman" w:eastAsia="宋体" w:cs="Times New Roman"/>
    </w:rPr>
  </w:style>
  <w:style w:type="character" w:customStyle="1" w:styleId="89">
    <w:name w:val="displayarti"/>
    <w:qFormat/>
    <w:uiPriority w:val="0"/>
    <w:rPr>
      <w:rFonts w:ascii="Times New Roman" w:hAnsi="Times New Roman" w:eastAsia="宋体" w:cs="Times New Roman"/>
      <w:color w:val="FFFFFF"/>
      <w:shd w:val="clear" w:color="auto" w:fill="A00000"/>
    </w:rPr>
  </w:style>
  <w:style w:type="character" w:customStyle="1" w:styleId="90">
    <w:name w:val="font131"/>
    <w:qFormat/>
    <w:uiPriority w:val="0"/>
    <w:rPr>
      <w:rFonts w:hint="eastAsia" w:ascii="宋体" w:hAnsi="宋体" w:eastAsia="宋体" w:cs="宋体"/>
      <w:b/>
      <w:bCs/>
      <w:color w:val="000000"/>
      <w:sz w:val="20"/>
      <w:szCs w:val="20"/>
      <w:u w:val="none"/>
    </w:rPr>
  </w:style>
  <w:style w:type="character" w:customStyle="1" w:styleId="91">
    <w:name w:val="bds_more2"/>
    <w:qFormat/>
    <w:uiPriority w:val="0"/>
    <w:rPr>
      <w:rFonts w:ascii="Times New Roman" w:hAnsi="Times New Roman" w:eastAsia="宋体" w:cs="Times New Roman"/>
    </w:rPr>
  </w:style>
  <w:style w:type="character" w:customStyle="1" w:styleId="92">
    <w:name w:val="bds_more"/>
    <w:qFormat/>
    <w:uiPriority w:val="0"/>
    <w:rPr>
      <w:rFonts w:hint="eastAsia" w:ascii="宋体" w:hAnsi="宋体" w:eastAsia="宋体" w:cs="宋体"/>
    </w:rPr>
  </w:style>
  <w:style w:type="paragraph" w:customStyle="1" w:styleId="93">
    <w:name w:val="Char Char Char Char"/>
    <w:basedOn w:val="1"/>
    <w:qFormat/>
    <w:uiPriority w:val="0"/>
    <w:rPr>
      <w:rFonts w:ascii="Tahoma" w:hAnsi="Tahoma"/>
      <w:sz w:val="24"/>
      <w:szCs w:val="20"/>
    </w:rPr>
  </w:style>
  <w:style w:type="paragraph" w:customStyle="1" w:styleId="94">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5">
    <w:name w:val="Table Paragraph"/>
    <w:basedOn w:val="1"/>
    <w:qFormat/>
    <w:uiPriority w:val="0"/>
    <w:rPr>
      <w:rFonts w:ascii="宋体" w:hAnsi="宋体" w:cs="宋体"/>
      <w:lang w:val="zh-CN" w:bidi="zh-CN"/>
    </w:rPr>
  </w:style>
  <w:style w:type="paragraph" w:customStyle="1" w:styleId="96">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7">
    <w:name w:val="正文 New"/>
    <w:next w:val="98"/>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8">
    <w:name w:val="正文缩进1"/>
    <w:basedOn w:val="1"/>
    <w:next w:val="15"/>
    <w:qFormat/>
    <w:uiPriority w:val="0"/>
    <w:pPr>
      <w:spacing w:line="360" w:lineRule="atLeast"/>
      <w:ind w:firstLine="482"/>
    </w:pPr>
    <w:rPr>
      <w:sz w:val="24"/>
    </w:rPr>
  </w:style>
  <w:style w:type="paragraph" w:customStyle="1" w:styleId="99">
    <w:name w:val="Char Char Char Char Char Char Char1 Char"/>
    <w:basedOn w:val="1"/>
    <w:qFormat/>
    <w:uiPriority w:val="0"/>
    <w:rPr>
      <w:rFonts w:ascii="Tahoma" w:hAnsi="Tahoma"/>
      <w:sz w:val="24"/>
      <w:szCs w:val="20"/>
    </w:rPr>
  </w:style>
  <w:style w:type="paragraph" w:customStyle="1" w:styleId="100">
    <w:name w:val="Char"/>
    <w:basedOn w:val="1"/>
    <w:qFormat/>
    <w:uiPriority w:val="0"/>
  </w:style>
  <w:style w:type="paragraph" w:customStyle="1" w:styleId="101">
    <w:name w:val="（无样式）"/>
    <w:basedOn w:val="1"/>
    <w:qFormat/>
    <w:uiPriority w:val="0"/>
    <w:pPr>
      <w:widowControl/>
      <w:numPr>
        <w:ilvl w:val="0"/>
        <w:numId w:val="6"/>
      </w:numPr>
      <w:spacing w:line="360" w:lineRule="auto"/>
      <w:ind w:firstLine="0"/>
    </w:pPr>
    <w:rPr>
      <w:sz w:val="24"/>
      <w:szCs w:val="20"/>
    </w:rPr>
  </w:style>
  <w:style w:type="paragraph" w:customStyle="1" w:styleId="10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3">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4">
    <w:name w:val="_Style 102"/>
    <w:qFormat/>
    <w:uiPriority w:val="0"/>
    <w:rPr>
      <w:rFonts w:ascii="Times New Roman" w:hAnsi="Times New Roman" w:eastAsia="宋体" w:cs="Times New Roman"/>
      <w:kern w:val="2"/>
      <w:sz w:val="21"/>
      <w:szCs w:val="24"/>
      <w:lang w:val="en-US" w:eastAsia="zh-CN" w:bidi="ar-SA"/>
    </w:rPr>
  </w:style>
  <w:style w:type="paragraph" w:customStyle="1" w:styleId="105">
    <w:name w:val="Char1"/>
    <w:basedOn w:val="1"/>
    <w:next w:val="1"/>
    <w:qFormat/>
    <w:uiPriority w:val="0"/>
    <w:pPr>
      <w:widowControl/>
      <w:spacing w:line="360" w:lineRule="auto"/>
      <w:jc w:val="left"/>
    </w:pPr>
    <w:rPr>
      <w:kern w:val="0"/>
      <w:szCs w:val="20"/>
      <w:lang w:eastAsia="en-US"/>
    </w:rPr>
  </w:style>
  <w:style w:type="paragraph" w:customStyle="1" w:styleId="106">
    <w:name w:val="_Style 2"/>
    <w:basedOn w:val="1"/>
    <w:qFormat/>
    <w:uiPriority w:val="0"/>
  </w:style>
  <w:style w:type="paragraph" w:customStyle="1" w:styleId="107">
    <w:name w:val="列出段落2"/>
    <w:basedOn w:val="1"/>
    <w:qFormat/>
    <w:uiPriority w:val="0"/>
    <w:pPr>
      <w:ind w:firstLine="420" w:firstLineChars="200"/>
    </w:pPr>
    <w:rPr>
      <w:rFonts w:ascii="Calibri" w:hAnsi="Calibri"/>
      <w:szCs w:val="22"/>
    </w:rPr>
  </w:style>
  <w:style w:type="paragraph" w:customStyle="1" w:styleId="108">
    <w:name w:val="*正文"/>
    <w:basedOn w:val="1"/>
    <w:qFormat/>
    <w:uiPriority w:val="0"/>
    <w:pPr>
      <w:widowControl/>
      <w:snapToGrid w:val="0"/>
      <w:ind w:firstLine="560"/>
      <w:jc w:val="left"/>
    </w:pPr>
    <w:rPr>
      <w:rFonts w:ascii="仿宋_GB2312"/>
      <w:color w:val="191919"/>
      <w:sz w:val="28"/>
      <w:szCs w:val="28"/>
    </w:rPr>
  </w:style>
  <w:style w:type="paragraph" w:customStyle="1" w:styleId="109">
    <w:name w:val="列出段落1"/>
    <w:basedOn w:val="1"/>
    <w:qFormat/>
    <w:uiPriority w:val="0"/>
    <w:pPr>
      <w:ind w:firstLine="420" w:firstLineChars="200"/>
    </w:pPr>
  </w:style>
  <w:style w:type="paragraph" w:customStyle="1" w:styleId="110">
    <w:name w:val="HtmlNormal"/>
    <w:basedOn w:val="1"/>
    <w:qFormat/>
    <w:uiPriority w:val="0"/>
    <w:pPr>
      <w:widowControl/>
      <w:spacing w:before="100" w:beforeAutospacing="1" w:after="100" w:afterAutospacing="1"/>
      <w:jc w:val="left"/>
    </w:pPr>
    <w:rPr>
      <w:rFonts w:ascii="宋体" w:hAnsi="宋体"/>
      <w:kern w:val="0"/>
      <w:sz w:val="24"/>
    </w:rPr>
  </w:style>
  <w:style w:type="paragraph" w:styleId="111">
    <w:name w:val="List Paragraph"/>
    <w:basedOn w:val="1"/>
    <w:qFormat/>
    <w:uiPriority w:val="0"/>
    <w:pPr>
      <w:spacing w:line="360" w:lineRule="auto"/>
      <w:ind w:firstLine="420" w:firstLineChars="200"/>
    </w:pPr>
    <w:rPr>
      <w:rFonts w:ascii="宋体" w:hAnsi="宋体" w:cs="宋体"/>
      <w:sz w:val="24"/>
    </w:rPr>
  </w:style>
  <w:style w:type="paragraph" w:customStyle="1" w:styleId="112">
    <w:name w:val="列出段落11"/>
    <w:basedOn w:val="1"/>
    <w:qFormat/>
    <w:uiPriority w:val="0"/>
    <w:pPr>
      <w:spacing w:after="120" w:line="360" w:lineRule="auto"/>
      <w:ind w:firstLine="420" w:firstLineChars="200"/>
    </w:pPr>
    <w:rPr>
      <w:rFonts w:ascii="Calibri" w:hAnsi="Calibri"/>
      <w:szCs w:val="22"/>
    </w:rPr>
  </w:style>
  <w:style w:type="paragraph" w:customStyle="1" w:styleId="113">
    <w:name w:val="_Style 4"/>
    <w:basedOn w:val="1"/>
    <w:qFormat/>
    <w:uiPriority w:val="0"/>
    <w:pPr>
      <w:adjustRightInd w:val="0"/>
      <w:ind w:firstLine="420" w:firstLineChars="200"/>
      <w:jc w:val="left"/>
      <w:textAlignment w:val="baseline"/>
    </w:pPr>
    <w:rPr>
      <w:kern w:val="0"/>
      <w:szCs w:val="20"/>
    </w:rPr>
  </w:style>
  <w:style w:type="paragraph" w:customStyle="1" w:styleId="114">
    <w:name w:val="List Paragraph2"/>
    <w:basedOn w:val="1"/>
    <w:qFormat/>
    <w:uiPriority w:val="0"/>
    <w:pPr>
      <w:spacing w:line="360" w:lineRule="auto"/>
      <w:ind w:firstLine="420"/>
    </w:pPr>
    <w:rPr>
      <w:color w:val="000000"/>
      <w:sz w:val="24"/>
      <w:szCs w:val="21"/>
    </w:rPr>
  </w:style>
  <w:style w:type="paragraph" w:customStyle="1" w:styleId="115">
    <w:name w:val="正文文字 8"/>
    <w:basedOn w:val="1"/>
    <w:next w:val="1"/>
    <w:qFormat/>
    <w:uiPriority w:val="0"/>
    <w:pPr>
      <w:ind w:left="240"/>
    </w:pPr>
    <w:rPr>
      <w:sz w:val="16"/>
    </w:rPr>
  </w:style>
  <w:style w:type="paragraph" w:customStyle="1" w:styleId="116">
    <w:name w:val="样式1"/>
    <w:basedOn w:val="1"/>
    <w:qFormat/>
    <w:uiPriority w:val="0"/>
    <w:pPr>
      <w:spacing w:line="360" w:lineRule="auto"/>
      <w:jc w:val="center"/>
    </w:pPr>
    <w:rPr>
      <w:b/>
      <w:sz w:val="30"/>
      <w:szCs w:val="30"/>
    </w:rPr>
  </w:style>
  <w:style w:type="paragraph" w:customStyle="1" w:styleId="117">
    <w:name w:val="列表2"/>
    <w:basedOn w:val="1"/>
    <w:next w:val="1"/>
    <w:qFormat/>
    <w:uiPriority w:val="0"/>
    <w:pPr>
      <w:numPr>
        <w:ilvl w:val="0"/>
        <w:numId w:val="7"/>
      </w:numPr>
      <w:spacing w:line="200" w:lineRule="atLeast"/>
    </w:pPr>
    <w:rPr>
      <w:rFonts w:eastAsia="仿宋"/>
      <w:sz w:val="28"/>
    </w:rPr>
  </w:style>
  <w:style w:type="paragraph" w:customStyle="1" w:styleId="118">
    <w:name w:val="标题3-副本"/>
    <w:basedOn w:val="26"/>
    <w:qFormat/>
    <w:uiPriority w:val="0"/>
    <w:pPr>
      <w:numPr>
        <w:ilvl w:val="0"/>
        <w:numId w:val="0"/>
      </w:numPr>
      <w:ind w:left="840"/>
    </w:pPr>
    <w:rPr>
      <w:rFonts w:ascii="Times New Roman" w:hAnsi="Times New Roman"/>
    </w:rPr>
  </w:style>
  <w:style w:type="paragraph" w:customStyle="1" w:styleId="119">
    <w:name w:val="_Style 117"/>
    <w:basedOn w:val="1"/>
    <w:next w:val="1"/>
    <w:qFormat/>
    <w:uiPriority w:val="0"/>
    <w:pPr>
      <w:pBdr>
        <w:bottom w:val="single" w:color="auto" w:sz="6" w:space="1"/>
      </w:pBdr>
      <w:jc w:val="center"/>
    </w:pPr>
    <w:rPr>
      <w:rFonts w:ascii="Arial"/>
      <w:vanish/>
      <w:sz w:val="16"/>
    </w:rPr>
  </w:style>
  <w:style w:type="paragraph" w:customStyle="1" w:styleId="120">
    <w:name w:val="_Style 118"/>
    <w:basedOn w:val="1"/>
    <w:next w:val="1"/>
    <w:qFormat/>
    <w:uiPriority w:val="0"/>
    <w:pPr>
      <w:pBdr>
        <w:top w:val="single" w:color="auto" w:sz="6" w:space="1"/>
      </w:pBdr>
      <w:jc w:val="center"/>
    </w:pPr>
    <w:rPr>
      <w:rFonts w:ascii="Arial"/>
      <w:vanish/>
      <w:sz w:val="16"/>
    </w:rPr>
  </w:style>
  <w:style w:type="paragraph" w:customStyle="1" w:styleId="121">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2">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3">
    <w:name w:val="font11"/>
    <w:qFormat/>
    <w:uiPriority w:val="0"/>
    <w:rPr>
      <w:rFonts w:hint="eastAsia" w:ascii="宋体" w:hAnsi="宋体" w:eastAsia="宋体" w:cs="宋体"/>
      <w:color w:val="000000"/>
      <w:sz w:val="16"/>
      <w:szCs w:val="16"/>
      <w:u w:val="none"/>
    </w:rPr>
  </w:style>
  <w:style w:type="character" w:customStyle="1" w:styleId="124">
    <w:name w:val="font31"/>
    <w:basedOn w:val="37"/>
    <w:qFormat/>
    <w:uiPriority w:val="0"/>
    <w:rPr>
      <w:rFonts w:ascii="宋体" w:hAnsi="宋体" w:eastAsia="宋体" w:cs="宋体"/>
      <w:color w:val="000000"/>
      <w:sz w:val="16"/>
      <w:szCs w:val="16"/>
      <w:u w:val="none"/>
    </w:rPr>
  </w:style>
  <w:style w:type="character" w:customStyle="1" w:styleId="125">
    <w:name w:val="font41"/>
    <w:basedOn w:val="37"/>
    <w:qFormat/>
    <w:uiPriority w:val="0"/>
    <w:rPr>
      <w:rFonts w:hint="eastAsia" w:ascii="宋体" w:hAnsi="宋体" w:eastAsia="宋体" w:cs="宋体"/>
      <w:color w:val="000000"/>
      <w:sz w:val="21"/>
      <w:szCs w:val="21"/>
      <w:u w:val="none"/>
    </w:rPr>
  </w:style>
  <w:style w:type="character" w:customStyle="1" w:styleId="126">
    <w:name w:val="hover"/>
    <w:basedOn w:val="37"/>
    <w:qFormat/>
    <w:uiPriority w:val="0"/>
  </w:style>
  <w:style w:type="character" w:customStyle="1" w:styleId="127">
    <w:name w:val="hover1"/>
    <w:basedOn w:val="37"/>
    <w:qFormat/>
    <w:uiPriority w:val="0"/>
    <w:rPr>
      <w:color w:val="2590EB"/>
    </w:rPr>
  </w:style>
  <w:style w:type="character" w:customStyle="1" w:styleId="128">
    <w:name w:val="hover2"/>
    <w:basedOn w:val="37"/>
    <w:qFormat/>
    <w:uiPriority w:val="0"/>
    <w:rPr>
      <w:color w:val="2590EB"/>
    </w:rPr>
  </w:style>
  <w:style w:type="character" w:customStyle="1" w:styleId="129">
    <w:name w:val="hover3"/>
    <w:basedOn w:val="37"/>
    <w:qFormat/>
    <w:uiPriority w:val="0"/>
    <w:rPr>
      <w:color w:val="2590EB"/>
      <w:shd w:val="clear" w:color="auto" w:fill="E9F4FD"/>
    </w:rPr>
  </w:style>
  <w:style w:type="table" w:customStyle="1" w:styleId="130">
    <w:name w:val="Table Normal"/>
    <w:semiHidden/>
    <w:unhideWhenUsed/>
    <w:qFormat/>
    <w:uiPriority w:val="0"/>
    <w:tblPr>
      <w:tblCellMar>
        <w:top w:w="0" w:type="dxa"/>
        <w:left w:w="0" w:type="dxa"/>
        <w:bottom w:w="0" w:type="dxa"/>
        <w:right w:w="0" w:type="dxa"/>
      </w:tblCellMar>
    </w:tblPr>
  </w:style>
  <w:style w:type="paragraph" w:customStyle="1" w:styleId="131">
    <w:name w:val="Table Text"/>
    <w:basedOn w:val="1"/>
    <w:semiHidden/>
    <w:qFormat/>
    <w:uiPriority w:val="0"/>
    <w:rPr>
      <w:rFonts w:ascii="宋体" w:hAnsi="宋体" w:eastAsia="宋体" w:cs="宋体"/>
      <w:sz w:val="24"/>
      <w:szCs w:val="24"/>
      <w:lang w:val="en-US" w:eastAsia="en-US" w:bidi="ar-SA"/>
    </w:rPr>
  </w:style>
  <w:style w:type="character" w:customStyle="1" w:styleId="132">
    <w:name w:val="mini-outputtext1"/>
    <w:basedOn w:val="37"/>
    <w:uiPriority w:val="0"/>
  </w:style>
  <w:style w:type="character" w:customStyle="1" w:styleId="133">
    <w:name w:val="hover4"/>
    <w:basedOn w:val="37"/>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103</Pages>
  <Words>11657</Words>
  <Characters>12906</Characters>
  <Lines>367</Lines>
  <Paragraphs>103</Paragraphs>
  <TotalTime>52</TotalTime>
  <ScaleCrop>false</ScaleCrop>
  <LinksUpToDate>false</LinksUpToDate>
  <CharactersWithSpaces>13367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2025-08-18T01:34:00Z</dcterms:created>
  <dc:creator>陈倩倩</dc:creator>
  <cp:lastModifiedBy>韦韦</cp:lastModifiedBy>
  <cp:lastPrinted>2023-02-03T03:19:00Z</cp:lastPrinted>
  <dcterms:modified xsi:type="dcterms:W3CDTF">2025-11-28T05:56:08Z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9C8E8AD2534C4C2094F6435B48B681CA_13</vt:lpwstr>
  </property>
  <property fmtid="{D5CDD505-2E9C-101B-9397-08002B2CF9AE}" pid="4" name="KSOTemplateDocerSaveRecord">
    <vt:lpwstr>eyJoZGlkIjoiZmQ5MGI3YTdkMjVkZTZjM2ZjZTQ5YjMxYTJjZjRlOWEiLCJ1c2VySWQiOiIzNjE4MjQ5In0=</vt:lpwstr>
  </property>
</Properties>
</file>