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15058843"/>
      <w:bookmarkStart w:id="1" w:name="_Toc506107265"/>
      <w:bookmarkStart w:id="2" w:name="_Toc324404811"/>
      <w:bookmarkStart w:id="3" w:name="_Toc246996898"/>
      <w:bookmarkStart w:id="4" w:name="_Toc461631222"/>
      <w:bookmarkStart w:id="5" w:name="_Toc296602400"/>
      <w:bookmarkStart w:id="6" w:name="_Toc247085669"/>
      <w:bookmarkStart w:id="7" w:name="OLE_LINK5"/>
      <w:bookmarkStart w:id="8" w:name="OLE_LINK1"/>
      <w:bookmarkStart w:id="9" w:name="OLE_LINK2"/>
      <w:bookmarkStart w:id="10" w:name="OLE_LINK3"/>
      <w:bookmarkStart w:id="11" w:name="OLE_LINK4"/>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创业北苑小区西侧断头路及小区内部分基础设施微改造工程（二次）</w:t>
      </w:r>
    </w:p>
    <w:p w14:paraId="0076B829">
      <w:pPr>
        <w:pStyle w:val="2"/>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7F6ED0D">
      <w:pPr>
        <w:rPr>
          <w:color w:val="auto"/>
          <w:highlight w:val="none"/>
        </w:rPr>
      </w:pPr>
    </w:p>
    <w:p w14:paraId="0FDB5A08">
      <w:pPr>
        <w:pStyle w:val="2"/>
        <w:rPr>
          <w:color w:val="auto"/>
          <w:highlight w:val="none"/>
        </w:rPr>
      </w:pPr>
    </w:p>
    <w:p w14:paraId="7DF49CF7">
      <w:pPr>
        <w:jc w:val="center"/>
        <w:rPr>
          <w:rFonts w:hint="eastAsia" w:ascii="宋体" w:hAnsi="宋体" w:eastAsia="宋体" w:cs="宋体"/>
          <w:color w:val="auto"/>
          <w:highlight w:val="none"/>
        </w:rPr>
      </w:pPr>
      <w:r>
        <w:rPr>
          <w:rFonts w:hint="eastAsia" w:ascii="宋体" w:hAnsi="宋体" w:eastAsia="宋体" w:cs="宋体"/>
          <w:color w:val="auto"/>
          <w:highlight w:val="none"/>
        </w:rPr>
        <w:t>项目编号：HXJY1110001056720001</w:t>
      </w:r>
    </w:p>
    <w:p w14:paraId="79E5B4C1">
      <w:pPr>
        <w:rPr>
          <w:color w:val="auto"/>
          <w:highlight w:val="none"/>
        </w:rPr>
      </w:pPr>
    </w:p>
    <w:p w14:paraId="4E3D3D10">
      <w:pPr>
        <w:pStyle w:val="2"/>
        <w:rPr>
          <w:color w:val="auto"/>
          <w:highlight w:val="none"/>
        </w:rPr>
      </w:pPr>
    </w:p>
    <w:p w14:paraId="041A5E3F">
      <w:pPr>
        <w:rPr>
          <w:color w:val="auto"/>
          <w:highlight w:val="none"/>
        </w:rPr>
      </w:pPr>
    </w:p>
    <w:p w14:paraId="5043FF4A">
      <w:pPr>
        <w:rPr>
          <w:color w:val="auto"/>
          <w:highlight w:val="none"/>
        </w:rPr>
      </w:pPr>
    </w:p>
    <w:p w14:paraId="2E5D9C52">
      <w:pPr>
        <w:pStyle w:val="2"/>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ind w:left="2249" w:hanging="2249" w:hangingChars="700"/>
        <w:rPr>
          <w:rFonts w:hint="eastAsia" w:ascii="宋体"/>
          <w:b/>
          <w:color w:val="auto"/>
          <w:sz w:val="32"/>
          <w:szCs w:val="32"/>
          <w:highlight w:val="none"/>
        </w:rPr>
      </w:pPr>
      <w:bookmarkStart w:id="12" w:name="_Toc20499"/>
      <w:bookmarkStart w:id="13" w:name="_Toc25057"/>
      <w:bookmarkStart w:id="14" w:name="_Toc32059"/>
      <w:bookmarkStart w:id="15" w:name="_Toc22225"/>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安徽省滁州市琅琊区清流街道创业北路社区居民委员会</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41DC6623">
      <w:pPr>
        <w:spacing w:before="156" w:beforeLines="50" w:after="156" w:afterLines="50" w:line="700" w:lineRule="exact"/>
        <w:jc w:val="center"/>
        <w:rPr>
          <w:rFonts w:hint="eastAsia" w:eastAsia="宋体"/>
          <w:color w:val="auto"/>
          <w:highlight w:val="none"/>
          <w:lang w:eastAsia="zh-CN"/>
        </w:rPr>
      </w:pP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 xml:space="preserve">6 </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 xml:space="preserve"> 6 </w:t>
      </w:r>
      <w:r>
        <w:rPr>
          <w:rFonts w:hint="eastAsia" w:ascii="宋体"/>
          <w:b/>
          <w:color w:val="auto"/>
          <w:sz w:val="32"/>
          <w:szCs w:val="32"/>
          <w:highlight w:val="none"/>
        </w:rPr>
        <w:t>月</w:t>
      </w:r>
    </w:p>
    <w:p w14:paraId="197AFA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 w:val="44"/>
          <w:szCs w:val="44"/>
          <w:highlight w:val="none"/>
        </w:rPr>
      </w:pPr>
      <w:r>
        <w:rPr>
          <w:rFonts w:hint="eastAsia"/>
          <w:color w:val="auto"/>
          <w:sz w:val="44"/>
          <w:szCs w:val="44"/>
          <w:highlight w:val="none"/>
        </w:rPr>
        <w:br w:type="page"/>
      </w: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52042287"/>
      <w:bookmarkStart w:id="17" w:name="_Toc179632527"/>
      <w:bookmarkStart w:id="18" w:name="_Toc152045511"/>
      <w:bookmarkStart w:id="19" w:name="_Toc144974479"/>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F034AD5">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_Toc10023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 xml:space="preserve">第六章  </w:t>
      </w:r>
      <w:r>
        <w:rPr>
          <w:rFonts w:hint="eastAsia" w:ascii="宋体" w:hAnsi="宋体" w:eastAsia="宋体" w:cs="宋体"/>
          <w:b w:val="0"/>
          <w:bCs w:val="0"/>
          <w:color w:val="auto"/>
          <w:sz w:val="28"/>
          <w:szCs w:val="28"/>
          <w:highlight w:val="none"/>
          <w:lang w:val="en-US" w:eastAsia="zh-CN"/>
        </w:rPr>
        <w:t>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_Toc10023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第七章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2"/>
        <w:spacing w:line="700" w:lineRule="exact"/>
        <w:ind w:left="0" w:leftChars="0" w:firstLine="480"/>
        <w:jc w:val="left"/>
        <w:rPr>
          <w:color w:val="auto"/>
          <w:sz w:val="24"/>
          <w:szCs w:val="24"/>
          <w:highlight w:val="none"/>
        </w:rPr>
      </w:pPr>
    </w:p>
    <w:p w14:paraId="6AA5C02C">
      <w:pPr>
        <w:pStyle w:val="43"/>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12261"/>
      <w:bookmarkStart w:id="21" w:name="_Toc78803320"/>
      <w:bookmarkStart w:id="22" w:name="_Toc21980"/>
      <w:bookmarkStart w:id="23" w:name="_Toc7325"/>
      <w:bookmarkStart w:id="24" w:name="_Toc152045527"/>
      <w:bookmarkStart w:id="25" w:name="_Toc246996916"/>
      <w:bookmarkStart w:id="26" w:name="_Toc144974495"/>
      <w:bookmarkStart w:id="27" w:name="_Toc506107267"/>
      <w:bookmarkStart w:id="28" w:name="_Toc35424883"/>
      <w:bookmarkStart w:id="29" w:name="_Toc247085687"/>
      <w:bookmarkStart w:id="30" w:name="_Toc15058844"/>
      <w:bookmarkStart w:id="31" w:name="_Toc324404813"/>
      <w:bookmarkStart w:id="32" w:name="_Toc152042303"/>
      <w:bookmarkStart w:id="33" w:name="_Toc35425050"/>
      <w:bookmarkStart w:id="34" w:name="_Toc246996173"/>
      <w:bookmarkStart w:id="35" w:name="_Toc179632544"/>
      <w:r>
        <w:rPr>
          <w:rFonts w:hint="eastAsia"/>
          <w:bCs/>
          <w:color w:val="auto"/>
          <w:szCs w:val="32"/>
          <w:highlight w:val="none"/>
        </w:rPr>
        <w:t>招标公告信息</w:t>
      </w:r>
      <w:bookmarkEnd w:id="20"/>
      <w:bookmarkEnd w:id="21"/>
      <w:bookmarkEnd w:id="22"/>
      <w:bookmarkEnd w:id="23"/>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614"/>
        <w:gridCol w:w="1876"/>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创业北苑小区西侧断头路及小区内部分基础设施微改造工程（二次）</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HXJY1110001056720001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03D21CE">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1、投标人要求：须具备建设行政主管部门颁发的</w:t>
            </w:r>
            <w:r>
              <w:rPr>
                <w:rFonts w:hint="eastAsia" w:ascii="宋体" w:hAnsi="宋体" w:cs="宋体"/>
                <w:bCs/>
                <w:color w:val="auto"/>
                <w:kern w:val="0"/>
                <w:sz w:val="21"/>
                <w:szCs w:val="21"/>
                <w:highlight w:val="none"/>
                <w:lang w:val="en-US" w:eastAsia="zh-CN" w:bidi="ar"/>
              </w:rPr>
              <w:t>市政公用</w:t>
            </w:r>
            <w:r>
              <w:rPr>
                <w:rFonts w:hint="eastAsia" w:ascii="宋体" w:hAnsi="宋体" w:eastAsia="宋体" w:cs="宋体"/>
                <w:bCs/>
                <w:color w:val="auto"/>
                <w:kern w:val="0"/>
                <w:sz w:val="21"/>
                <w:szCs w:val="21"/>
                <w:highlight w:val="none"/>
                <w:lang w:val="en-US" w:eastAsia="zh-CN" w:bidi="ar"/>
              </w:rPr>
              <w:t>工程施工总承包叁级（或以上）资质</w:t>
            </w:r>
            <w:r>
              <w:rPr>
                <w:rFonts w:hint="eastAsia" w:ascii="宋体" w:hAnsi="宋体" w:cs="宋体"/>
                <w:bCs/>
                <w:color w:val="auto"/>
                <w:kern w:val="0"/>
                <w:sz w:val="21"/>
                <w:szCs w:val="21"/>
                <w:highlight w:val="none"/>
                <w:lang w:val="en-US" w:eastAsia="zh-CN" w:bidi="ar"/>
              </w:rPr>
              <w:t>，且具有有效的企业安全生产许可证；</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2、项目经理（建造师）要求：</w:t>
            </w:r>
            <w:r>
              <w:rPr>
                <w:rFonts w:hint="eastAsia" w:ascii="宋体" w:hAnsi="宋体" w:cs="宋体"/>
                <w:bCs/>
                <w:color w:val="auto"/>
                <w:kern w:val="0"/>
                <w:sz w:val="21"/>
                <w:szCs w:val="21"/>
                <w:highlight w:val="none"/>
                <w:lang w:val="en-US" w:eastAsia="zh-CN" w:bidi="ar"/>
              </w:rPr>
              <w:t>须</w:t>
            </w:r>
            <w:r>
              <w:rPr>
                <w:rFonts w:hint="eastAsia" w:ascii="宋体" w:hAnsi="宋体" w:eastAsia="宋体" w:cs="宋体"/>
                <w:bCs/>
                <w:color w:val="auto"/>
                <w:kern w:val="0"/>
                <w:sz w:val="21"/>
                <w:szCs w:val="21"/>
                <w:highlight w:val="none"/>
                <w:lang w:val="en-US" w:eastAsia="zh-CN" w:bidi="ar"/>
              </w:rPr>
              <w:t>具有注册在投标单位的</w:t>
            </w:r>
            <w:r>
              <w:rPr>
                <w:rFonts w:hint="eastAsia" w:ascii="宋体" w:hAnsi="宋体" w:cs="宋体"/>
                <w:bCs/>
                <w:color w:val="auto"/>
                <w:kern w:val="0"/>
                <w:sz w:val="21"/>
                <w:szCs w:val="21"/>
                <w:highlight w:val="none"/>
                <w:lang w:val="en-US" w:eastAsia="zh-CN" w:bidi="ar"/>
              </w:rPr>
              <w:t>市政公用</w:t>
            </w:r>
            <w:r>
              <w:rPr>
                <w:rFonts w:hint="eastAsia" w:ascii="宋体" w:hAnsi="宋体" w:eastAsia="宋体" w:cs="宋体"/>
                <w:bCs/>
                <w:color w:val="auto"/>
                <w:kern w:val="0"/>
                <w:sz w:val="21"/>
                <w:szCs w:val="21"/>
                <w:highlight w:val="none"/>
                <w:lang w:val="en-US" w:eastAsia="zh-CN" w:bidi="ar"/>
              </w:rPr>
              <w:t>工程专业二级（或以上）注册建造师资格，且具备有效的安全生产考核合格(B类)证书。</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5.5万元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招标人提供的工程量清单中的全部内容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16</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16</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w:t>
            </w:r>
            <w:r>
              <w:rPr>
                <w:rFonts w:hint="eastAsia" w:ascii="宋体" w:hAnsi="宋体" w:cs="宋体"/>
                <w:b/>
                <w:bCs/>
                <w:color w:val="auto"/>
                <w:kern w:val="0"/>
                <w:sz w:val="21"/>
                <w:szCs w:val="21"/>
                <w:highlight w:val="none"/>
                <w:lang w:val="en-US" w:eastAsia="zh-CN"/>
              </w:rPr>
              <w:t>管理</w:t>
            </w:r>
            <w:r>
              <w:rPr>
                <w:rFonts w:hint="eastAsia" w:ascii="宋体" w:hAnsi="宋体" w:eastAsia="宋体" w:cs="宋体"/>
                <w:b/>
                <w:bCs/>
                <w:color w:val="auto"/>
                <w:kern w:val="0"/>
                <w:sz w:val="21"/>
                <w:szCs w:val="21"/>
                <w:highlight w:val="none"/>
              </w:rPr>
              <w:t>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本工程建设内容包括</w:t>
            </w:r>
            <w:r>
              <w:rPr>
                <w:rFonts w:hint="eastAsia" w:ascii="宋体" w:hAnsi="宋体" w:cs="宋体"/>
                <w:bCs/>
                <w:color w:val="auto"/>
                <w:kern w:val="0"/>
                <w:sz w:val="21"/>
                <w:szCs w:val="21"/>
                <w:highlight w:val="none"/>
                <w:lang w:val="en-US" w:eastAsia="zh-CN" w:bidi="ar"/>
              </w:rPr>
              <w:t>：9#楼非机动车棚排水沟修整、创业北苑小区西侧园路顺接、26#楼雨水管连接、13#楼西侧混凝土地坪等</w:t>
            </w:r>
            <w:r>
              <w:rPr>
                <w:rFonts w:hint="eastAsia" w:ascii="宋体" w:hAnsi="宋体" w:eastAsia="宋体" w:cs="宋体"/>
                <w:bCs/>
                <w:color w:val="auto"/>
                <w:kern w:val="0"/>
                <w:sz w:val="21"/>
                <w:szCs w:val="21"/>
                <w:highlight w:val="none"/>
                <w:lang w:val="en-US" w:eastAsia="zh-CN" w:bidi="ar"/>
              </w:rPr>
              <w:t>，具体内容详见工程量清单。</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5.5万元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bidi="ar"/>
              </w:rPr>
              <w:t>自筹</w:t>
            </w:r>
            <w:r>
              <w:rPr>
                <w:rFonts w:hint="eastAsia" w:ascii="宋体" w:hAnsi="宋体" w:eastAsia="宋体" w:cs="宋体"/>
                <w:color w:val="auto"/>
                <w:kern w:val="0"/>
                <w:sz w:val="21"/>
                <w:szCs w:val="21"/>
                <w:highlight w:val="none"/>
                <w:lang w:val="en-US" w:eastAsia="zh-CN" w:bidi="ar"/>
              </w:rPr>
              <w:t>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是否要求提交投标保证金：</w:t>
            </w:r>
            <w:r>
              <w:rPr>
                <w:rFonts w:hint="eastAsia" w:ascii="宋体" w:hAnsi="宋体" w:cs="宋体"/>
                <w:color w:val="auto"/>
                <w:kern w:val="2"/>
                <w:sz w:val="21"/>
                <w:szCs w:val="21"/>
                <w:highlight w:val="none"/>
                <w:lang w:val="en-US" w:eastAsia="zh-CN" w:bidi="ar"/>
              </w:rPr>
              <w:t>不</w:t>
            </w:r>
            <w:r>
              <w:rPr>
                <w:rFonts w:hint="eastAsia" w:ascii="宋体" w:hAnsi="宋体" w:eastAsia="宋体" w:cs="宋体"/>
                <w:color w:val="auto"/>
                <w:kern w:val="2"/>
                <w:sz w:val="21"/>
                <w:szCs w:val="21"/>
                <w:highlight w:val="none"/>
                <w:lang w:val="en-US" w:eastAsia="zh-CN" w:bidi="ar"/>
              </w:rPr>
              <w:t>要求。</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4945622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833B8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https://www.czctgczx.com/）网站下载本项目招标文件，或从滁州市城投工程咨询管理有限公司（https://www.czctgczx.com/）网站，点击项目招标公告下方【我要投标】，登录新点电子交易平台后在【滁州专区】（https://www.etrading.cn/BREpointSSO/login/oauth2login?regioncode=DQ_ChuZhou）下载本项目招标文件。</w:t>
            </w:r>
          </w:p>
          <w:p w14:paraId="4E56C85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标正通使用相关问题请拨打服务电话：0512-58188013。</w:t>
            </w:r>
          </w:p>
          <w:p w14:paraId="407D404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1A46FB7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5.本项目采用不见面开标，投标人登录滁州市城投工程咨询管理有限公司不见面开标系统参与网上开标（网址：http://js.etrading.cn/EpointBidOpening/bidopeninghallaction/hall/login）。</w:t>
            </w:r>
          </w:p>
          <w:p w14:paraId="3CB8136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4AE4FEF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w:t>
            </w: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8</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4791"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安徽省滁州市琅琊区清流街道创业北路社区居民委员会</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滁州市创业北路886号</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kern w:val="0"/>
                <w:sz w:val="21"/>
                <w:szCs w:val="21"/>
                <w:highlight w:val="none"/>
                <w:lang w:val="en-US" w:eastAsia="zh-CN" w:bidi="ar"/>
              </w:rPr>
              <w:t>苏丹</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0550-2590508</w:t>
            </w:r>
          </w:p>
        </w:tc>
        <w:tc>
          <w:tcPr>
            <w:tcW w:w="4792"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联系人：胡国庆</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中国招标公共服务平台（http://www.cebpubservice.com/）、安徽省招标投标信息网（www.ahtba.org.cn）、滁州市城投工程咨询管理有限公司（https://www.czctgczx.com/）网站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7" w:name="_Toc18989"/>
      <w:bookmarkStart w:id="38" w:name="_Toc22947"/>
      <w:bookmarkStart w:id="39" w:name="_Toc8980"/>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8B4F0B">
      <w:pPr>
        <w:spacing w:beforeLines="50" w:afterLines="50" w:line="440" w:lineRule="exact"/>
        <w:jc w:val="center"/>
        <w:rPr>
          <w:b/>
          <w:bCs/>
          <w:color w:val="auto"/>
          <w:sz w:val="28"/>
          <w:szCs w:val="28"/>
          <w:highlight w:val="none"/>
        </w:rPr>
      </w:pPr>
      <w:bookmarkStart w:id="40" w:name="_Toc152042304"/>
      <w:bookmarkStart w:id="41" w:name="_Toc506107268"/>
      <w:bookmarkStart w:id="42" w:name="_Toc144974496"/>
      <w:bookmarkStart w:id="43" w:name="_Toc324404814"/>
      <w:bookmarkStart w:id="44" w:name="_Toc35425051"/>
      <w:bookmarkStart w:id="45" w:name="_Toc246996917"/>
      <w:bookmarkStart w:id="46" w:name="_Toc152045528"/>
      <w:bookmarkStart w:id="47" w:name="_Toc179632545"/>
      <w:bookmarkStart w:id="48" w:name="_Toc246996174"/>
      <w:bookmarkStart w:id="49" w:name="_Toc35424884"/>
      <w:bookmarkStart w:id="50" w:name="_Toc247085688"/>
      <w:bookmarkStart w:id="51" w:name="_Toc15058845"/>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246996175"/>
            <w:bookmarkStart w:id="53" w:name="_Toc247085689"/>
            <w:bookmarkStart w:id="54" w:name="_Toc152045529"/>
            <w:bookmarkStart w:id="55" w:name="_Toc144974497"/>
            <w:bookmarkStart w:id="56" w:name="_Toc506107269"/>
            <w:bookmarkStart w:id="57" w:name="_Toc246996918"/>
            <w:bookmarkStart w:id="58" w:name="_Toc324404815"/>
            <w:bookmarkStart w:id="59" w:name="_Toc152042305"/>
            <w:bookmarkStart w:id="60" w:name="_Toc179632546"/>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综合评估法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不高于30个日历天。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每推迟一天，按</w:t>
            </w:r>
            <w:r>
              <w:rPr>
                <w:rFonts w:hint="eastAsia" w:ascii="宋体" w:hAnsi="宋体" w:cs="宋体"/>
                <w:color w:val="auto"/>
                <w:sz w:val="21"/>
                <w:szCs w:val="21"/>
                <w:highlight w:val="none"/>
                <w:lang w:val="en-US" w:eastAsia="zh-CN"/>
              </w:rPr>
              <w:t>1000元/天</w:t>
            </w:r>
            <w:r>
              <w:rPr>
                <w:rFonts w:hint="eastAsia" w:ascii="宋体" w:hAnsi="宋体" w:cs="宋体"/>
                <w:color w:val="auto"/>
                <w:sz w:val="21"/>
                <w:szCs w:val="21"/>
                <w:highlight w:val="none"/>
              </w:rPr>
              <w:t xml:space="preserve">处以违约金。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11</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日17时后以澄清公告形式在滁州市城投工程咨询管理有限公司（https://www.czctgczx.com/）网站发布，请各位投标人注意查看有关澄清内容，如不及时查看造成后果由投标人自负。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 xml:space="preserve"> 53055.00 </w:t>
            </w:r>
            <w:r>
              <w:rPr>
                <w:rFonts w:hint="eastAsia" w:ascii="宋体" w:hAnsi="宋体" w:cs="宋体"/>
                <w:color w:val="auto"/>
                <w:sz w:val="21"/>
                <w:szCs w:val="21"/>
                <w:highlight w:val="none"/>
              </w:rPr>
              <w:t>元（其中含暂列金额</w:t>
            </w:r>
            <w:r>
              <w:rPr>
                <w:rFonts w:hint="eastAsia" w:ascii="宋体" w:hAnsi="宋体" w:cs="宋体"/>
                <w:color w:val="auto"/>
                <w:sz w:val="21"/>
                <w:szCs w:val="21"/>
                <w:highlight w:val="none"/>
                <w:u w:val="single"/>
                <w:lang w:val="en-US" w:eastAsia="zh-CN"/>
              </w:rPr>
              <w:t xml:space="preserve"> 3000 </w:t>
            </w:r>
            <w:r>
              <w:rPr>
                <w:rFonts w:hint="eastAsia" w:ascii="宋体" w:hAnsi="宋体" w:cs="宋体"/>
                <w:color w:val="auto"/>
                <w:sz w:val="21"/>
                <w:szCs w:val="21"/>
                <w:highlight w:val="none"/>
              </w:rPr>
              <w:t>元），应当包括总价、各单位工程的分部分项工程费、措施项目费、其他项目费、不可竞争性费用和税金。</w:t>
            </w:r>
            <w:r>
              <w:rPr>
                <w:rFonts w:hint="eastAsia" w:ascii="宋体" w:hAnsi="宋体" w:cs="宋体"/>
                <w:color w:val="auto"/>
                <w:sz w:val="21"/>
                <w:szCs w:val="21"/>
                <w:highlight w:val="none"/>
                <w:lang w:val="en-US" w:eastAsia="zh-CN"/>
              </w:rPr>
              <w:t>具体内容详见附件。</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bookmarkStart w:id="977" w:name="_GoBack"/>
            <w:bookmarkEnd w:id="977"/>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2"/>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（投标人中标后须递交与网上电子投标文件完全一致的纸质版投标文件，并按要求加盖单位章；份数：正本1份，副本</w:t>
            </w:r>
            <w:r>
              <w:rPr>
                <w:rFonts w:hint="eastAsia" w:hAnsi="宋体" w:cs="宋体"/>
                <w:b/>
                <w:color w:val="auto"/>
                <w:kern w:val="0"/>
                <w:szCs w:val="21"/>
                <w:highlight w:val="none"/>
                <w:lang w:val="en-US" w:eastAsia="zh-CN"/>
              </w:rPr>
              <w:t>2</w:t>
            </w:r>
            <w:r>
              <w:rPr>
                <w:rFonts w:hint="eastAsia" w:ascii="宋体" w:hAnsi="宋体" w:cs="宋体"/>
                <w:b/>
                <w:color w:val="auto"/>
                <w:kern w:val="0"/>
                <w:szCs w:val="21"/>
                <w:highlight w:val="none"/>
              </w:rPr>
              <w:t>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09FACAF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评标委员会</w:t>
            </w:r>
            <w:r>
              <w:rPr>
                <w:rFonts w:hint="eastAsia" w:ascii="宋体" w:hAnsi="宋体" w:cs="宋体"/>
                <w:color w:val="auto"/>
                <w:kern w:val="2"/>
                <w:sz w:val="21"/>
                <w:szCs w:val="21"/>
                <w:highlight w:val="none"/>
                <w:u w:val="single" w:color="auto"/>
                <w:lang w:val="en-US" w:eastAsia="zh-CN" w:bidi="ar"/>
              </w:rPr>
              <w:t>共3人，其中招标人代表0人，专家评委3人</w:t>
            </w:r>
            <w:r>
              <w:rPr>
                <w:rFonts w:hint="eastAsia" w:ascii="宋体" w:hAnsi="宋体" w:eastAsia="宋体" w:cs="宋体"/>
                <w:color w:val="auto"/>
                <w:kern w:val="2"/>
                <w:sz w:val="21"/>
                <w:szCs w:val="21"/>
                <w:highlight w:val="none"/>
                <w:u w:color="000000"/>
                <w:lang w:val="en-US" w:eastAsia="zh-CN" w:bidi="ar"/>
              </w:rPr>
              <w:t>；</w:t>
            </w:r>
          </w:p>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评标专家确定方式：专家评委由招标人在开标前从专家库中随机抽取。</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411138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752A23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3EC9598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837" w:type="dxa"/>
            <w:tcBorders>
              <w:top w:val="single" w:color="auto" w:sz="4" w:space="0"/>
              <w:left w:val="single" w:color="auto" w:sz="4" w:space="0"/>
              <w:right w:val="single" w:color="auto" w:sz="4" w:space="0"/>
            </w:tcBorders>
            <w:noWrap/>
            <w:vAlign w:val="center"/>
          </w:tcPr>
          <w:p w14:paraId="4DFD74D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否</w:t>
            </w:r>
          </w:p>
        </w:tc>
      </w:tr>
      <w:tr w14:paraId="6F8B86CC">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0D7E07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right w:val="single" w:color="auto" w:sz="4" w:space="0"/>
            </w:tcBorders>
            <w:noWrap/>
            <w:vAlign w:val="center"/>
          </w:tcPr>
          <w:p w14:paraId="3F4DC3E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中标结果公示媒介</w:t>
            </w:r>
          </w:p>
        </w:tc>
        <w:tc>
          <w:tcPr>
            <w:tcW w:w="6837" w:type="dxa"/>
            <w:tcBorders>
              <w:top w:val="single" w:color="auto" w:sz="4" w:space="0"/>
              <w:left w:val="single" w:color="auto" w:sz="4" w:space="0"/>
              <w:right w:val="single" w:color="auto" w:sz="4" w:space="0"/>
            </w:tcBorders>
            <w:noWrap/>
            <w:vAlign w:val="center"/>
          </w:tcPr>
          <w:p w14:paraId="149EF425">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71E62F93">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公示期限： 1日</w:t>
            </w:r>
            <w:r>
              <w:rPr>
                <w:rFonts w:hint="eastAsia" w:ascii="宋体" w:hAnsi="宋体" w:cs="宋体"/>
                <w:b w:val="0"/>
                <w:bCs w:val="0"/>
                <w:color w:val="auto"/>
                <w:sz w:val="21"/>
                <w:szCs w:val="21"/>
                <w:highlight w:val="none"/>
                <w:lang w:eastAsia="zh-CN"/>
              </w:rPr>
              <w:t>。</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7374211F">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是否要求提交履约担保：要求</w:t>
            </w:r>
          </w:p>
          <w:p w14:paraId="19BD8AA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bCs/>
                <w:color w:val="auto"/>
                <w:szCs w:val="21"/>
                <w:highlight w:val="none"/>
                <w:lang w:val="en-US" w:eastAsia="zh-CN"/>
              </w:rPr>
              <w:t>支持</w:t>
            </w:r>
            <w:r>
              <w:rPr>
                <w:rFonts w:hint="eastAsia" w:ascii="宋体" w:hAnsi="宋体" w:cs="宋体"/>
                <w:bCs/>
                <w:color w:val="auto"/>
                <w:szCs w:val="21"/>
                <w:highlight w:val="none"/>
              </w:rPr>
              <w:t>银行转账、银行电汇、银行保函、担保机构担保、保证保险使用</w:t>
            </w:r>
            <w:r>
              <w:rPr>
                <w:rFonts w:hint="eastAsia" w:ascii="宋体" w:hAnsi="宋体" w:cs="宋体"/>
                <w:color w:val="auto"/>
                <w:szCs w:val="21"/>
                <w:highlight w:val="none"/>
              </w:rPr>
              <w:t xml:space="preserve"> </w:t>
            </w:r>
          </w:p>
          <w:p w14:paraId="157AE18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3AA92A7D">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29DCBDC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51CFDBF7">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23F6196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合同签订前。</w:t>
            </w:r>
          </w:p>
          <w:p w14:paraId="509DB45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sz w:val="21"/>
                <w:szCs w:val="21"/>
                <w:highlight w:val="none"/>
                <w:lang w:val="en-US" w:eastAsia="zh-CN"/>
              </w:rPr>
              <w:t>其他相关要求：</w:t>
            </w:r>
            <w:r>
              <w:rPr>
                <w:rFonts w:hint="eastAsia" w:ascii="宋体" w:hAnsi="宋体" w:cs="宋体"/>
                <w:color w:val="auto"/>
                <w:sz w:val="21"/>
                <w:szCs w:val="21"/>
                <w:highlight w:val="none"/>
                <w:lang w:val="en-US" w:eastAsia="zh-CN"/>
              </w:rPr>
              <w:t>须符合招标人要求</w:t>
            </w:r>
            <w:r>
              <w:rPr>
                <w:rFonts w:hint="eastAsia" w:ascii="宋体" w:hAnsi="宋体" w:cs="宋体"/>
                <w:color w:val="auto"/>
                <w:szCs w:val="21"/>
                <w:highlight w:val="none"/>
              </w:rPr>
              <w:t>。 </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1500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评审专家劳务费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中标单位，由中标单位在领取中标通知书时，一次性支付给代理机构。</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93F698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91EE79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材料</w:t>
            </w:r>
          </w:p>
          <w:p w14:paraId="266246D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0F0334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钢材首选使用马钢、南钢等为代表的一类钢厂的生产产品；（2）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 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3）业主对主要设备及材料有特殊要求的，需提供不少于三个推荐品牌供参考，对于招标人推荐品牌的材料设备，投标人可选用推荐品牌或不低于推荐品牌性能、技术水平、质量标准的其它品牌，如采用其它品牌的，应在投标文件中注明并提供相关技术参数、业绩等供评标委员会评审，未注明或未提供相关技术参数、业绩的或经评标委员会评审未通过的，中标后只能从招标人推荐品牌中进行选择，价格不予调整；招标人选择推荐品牌之外的除外。（4）对于业主推荐品牌的材料，投标人如认为业主推荐的品牌有限定性、唯一性、明显不在同一档次等级的或者其他异议的，应在疑问提出的截止时间前通过交易中心电子交易平台提交。（5）品牌推荐表中所选品牌的产品均为该品牌中档及以上的产品，中标人须在材料设备进场前将样品或技术参数报招标人认可。（6）要求提供产品厂家授权、承诺的，中标后签订合同前提供，中标候选人未在合同签订期限内提供的，视为放弃中标资格，投标保证金不予退还。</w:t>
            </w:r>
          </w:p>
        </w:tc>
      </w:tr>
      <w:tr w14:paraId="5951C98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AEE854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工程质量管理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27960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被发包人项目组日常检查、专项检查或第三方巡查等检查出未按设计文件和相关规范施工，存在质量隐患的，必须按要求和规定时限整改到位，同时每次处以2000-50000元的违约金。对拒不执行或整改不力的，加重处罚。情节严重的，发包人有权解除合同，并追偿经济损失。</w:t>
            </w:r>
          </w:p>
          <w:p w14:paraId="2B39E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（2）质量缺陷责任期内出现质量问题，发包人书面通知承包人，在规定时间内不及时处理的，发包人有权直接委托其他单位进行维修，相关费用直接从工程质保金（运维保证金）中支付。</w:t>
            </w:r>
          </w:p>
        </w:tc>
      </w:tr>
      <w:tr w14:paraId="201D2D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704463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安全文明管理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B0C5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16F3E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（2）执行按关于印发《滁州市建筑工地围挡提档升级标准》的通知（建质﹝2022﹞34号文）执行。</w:t>
            </w:r>
          </w:p>
        </w:tc>
      </w:tr>
      <w:tr w14:paraId="2101D35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82787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489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1、施工过程中，项目管理及施工人员以外的无关人员一律不得留宿施工现场，项目负责人负责管理及清理出场；</w:t>
            </w:r>
          </w:p>
          <w:p w14:paraId="757AB3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2、施工过程中，严格执行国家及地方针对环保、禁噪、防尘、防护等措施，必须满足当地行政主管部门相关规定及要求。</w:t>
            </w:r>
          </w:p>
          <w:p w14:paraId="50B82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3、施工场地及周边场地、道路、绿化、管线、围墙等，若被施工方损坏，施工方必须无偿按照原貌恢复。</w:t>
            </w:r>
          </w:p>
          <w:p w14:paraId="61601C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4、投标人自行勘察施工现场情况，因投标人未踏勘现场而造成的损失由投标人承担。</w:t>
            </w:r>
          </w:p>
          <w:p w14:paraId="05127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5、在工程建设过程中，出现质量、安全、进度、文明施工、扬尘污染、人员不在岗履职等违约行为的，发包人将给予违约处罚；如承包人拒不缴纳违约金的，发包人有权从履约保证金中直接扣除。</w:t>
            </w:r>
          </w:p>
          <w:p w14:paraId="17DF52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6、项目经理部需在醒目位置公示经监理、业主审定批准的月进度计划表，否则，当月不支付当月工程进度款。</w:t>
            </w:r>
          </w:p>
          <w:p w14:paraId="0C6069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7、本项目施工难度较大，投标人在标前应自行踏勘现场，充分考虑难度系数和不可预见因素。施工期间的协调工作由承包人自行解决，此部分费用包含在投标报价中。</w:t>
            </w:r>
          </w:p>
        </w:tc>
      </w:tr>
      <w:tr w14:paraId="5D6DB4C2">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FB78CFF">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文明施工要求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1A7A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（1）公共环境</w:t>
            </w:r>
          </w:p>
          <w:p w14:paraId="48EDE7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①建筑工地采用砌体、钢结构或彩钢夹芯板等，不得使用彩钢板封闭管理，高度不低于3米；储备用地、路面施工应一律设置建筑围墙进行遮挡。环境卫生干净整洁，围墙内外无乱堆放现象，无生活垃圾；施工现场标识明显，四周设置围墙、围挡，并符合标准；施工车辆有硬化的进出通道和冲洗设备，无抛洒和污染路面现象。</w:t>
            </w:r>
          </w:p>
          <w:p w14:paraId="0768F3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②场内设有不少于15米硬化面，车辆进出工地实行密闭运输，有车辆冲洗平台和冲洗设备、临时厕所、垃圾收集容器、污水处理排放系统、降尘设备等设施；场内干净整洁，机械设备、物料等摆放有序，安全施工措施到位，文明施工氛围浓厚。能够开展文明工地创建，施工噪音、粉尘等达到国家环保要求。</w:t>
            </w:r>
          </w:p>
          <w:p w14:paraId="276639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（2）公益宣传</w:t>
            </w:r>
          </w:p>
          <w:p w14:paraId="322AE0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①运用建筑围挡宣传展示社会主义核心价值观12个主题词、市民文明行为规范，及时更新中宣部、中央文明办发布的“讲文明树新风”、“图说我们的价值观”通稿作品以及本市自创的公益广告（建筑围挡无破墙开洞现象，公益广告无污染、破旧现象）。</w:t>
            </w:r>
          </w:p>
          <w:p w14:paraId="6E2D99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②公益广告展示面积占围挡总面积的比例不少于50%，且公益广告要与商业广告穿插展示（每3块广告中必须要有1块公益广告），且单面围挡墙体均能看到公益宣传。步行30米，达到50%面积比例。 </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61" w:name="_Toc35425053"/>
      <w:bookmarkStart w:id="62" w:name="_Toc78803322"/>
      <w:bookmarkStart w:id="63" w:name="_Toc35424887"/>
      <w:bookmarkStart w:id="64" w:name="_Toc5813"/>
      <w:bookmarkStart w:id="65" w:name="_Toc15058846"/>
      <w:r>
        <w:rPr>
          <w:rFonts w:hint="eastAsia" w:ascii="宋体" w:hAnsi="宋体" w:eastAsia="宋体" w:cs="宋体"/>
          <w:color w:val="auto"/>
          <w:sz w:val="24"/>
          <w:szCs w:val="24"/>
          <w:highlight w:val="none"/>
        </w:rPr>
        <w:br w:type="page"/>
      </w:r>
    </w:p>
    <w:p w14:paraId="397CD072">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602C20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35425054"/>
      <w:bookmarkStart w:id="67" w:name="_Toc296602421"/>
      <w:bookmarkStart w:id="68" w:name="_Toc324404816"/>
      <w:bookmarkStart w:id="69" w:name="_Toc15058847"/>
      <w:bookmarkStart w:id="70" w:name="_Toc246996919"/>
      <w:bookmarkStart w:id="71" w:name="_Toc246996176"/>
      <w:bookmarkStart w:id="72" w:name="_Toc35424888"/>
      <w:bookmarkStart w:id="73" w:name="_Toc506107270"/>
      <w:bookmarkStart w:id="74" w:name="_Toc4678"/>
      <w:bookmarkStart w:id="75" w:name="_Toc247085690"/>
      <w:bookmarkStart w:id="76" w:name="_Toc179632547"/>
      <w:bookmarkStart w:id="77" w:name="_Toc152042306"/>
      <w:bookmarkStart w:id="78" w:name="_Toc152045530"/>
      <w:bookmarkStart w:id="79" w:name="_Toc78803323"/>
      <w:bookmarkStart w:id="80" w:name="_Toc144974498"/>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324404817"/>
      <w:bookmarkStart w:id="82" w:name="_Toc246996177"/>
      <w:bookmarkStart w:id="83" w:name="_Toc506107271"/>
      <w:bookmarkStart w:id="84" w:name="_Toc247085691"/>
      <w:bookmarkStart w:id="85" w:name="_Toc15058848"/>
      <w:bookmarkStart w:id="86" w:name="_Toc296602422"/>
      <w:bookmarkStart w:id="87" w:name="_Toc35424889"/>
      <w:bookmarkStart w:id="88" w:name="_Toc152042307"/>
      <w:bookmarkStart w:id="89" w:name="_Toc7142"/>
      <w:bookmarkStart w:id="90" w:name="_Toc78803324"/>
      <w:bookmarkStart w:id="91" w:name="_Toc246996920"/>
      <w:bookmarkStart w:id="92" w:name="_Toc144974499"/>
      <w:bookmarkStart w:id="93" w:name="_Toc35425055"/>
      <w:bookmarkStart w:id="94" w:name="_Toc179632548"/>
      <w:bookmarkStart w:id="95" w:name="_Toc152045531"/>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247085692"/>
      <w:bookmarkStart w:id="97" w:name="_Toc179632549"/>
      <w:bookmarkStart w:id="98" w:name="_Toc152045532"/>
      <w:bookmarkStart w:id="99" w:name="_Toc246996921"/>
      <w:bookmarkStart w:id="100" w:name="_Toc246996178"/>
      <w:bookmarkStart w:id="101" w:name="_Toc35424890"/>
      <w:bookmarkStart w:id="102" w:name="_Toc144974500"/>
      <w:bookmarkStart w:id="103" w:name="_Toc35425056"/>
      <w:bookmarkStart w:id="104" w:name="_Toc6330"/>
      <w:bookmarkStart w:id="105" w:name="_Toc15058849"/>
      <w:bookmarkStart w:id="106" w:name="_Toc152042308"/>
      <w:bookmarkStart w:id="107" w:name="_Toc506107272"/>
      <w:bookmarkStart w:id="108" w:name="_Toc78803325"/>
      <w:bookmarkStart w:id="109" w:name="_Toc296602423"/>
      <w:bookmarkStart w:id="110" w:name="_Toc324404818"/>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26897"/>
      <w:bookmarkStart w:id="112" w:name="_Toc144974502"/>
      <w:bookmarkStart w:id="113" w:name="_Toc15058850"/>
      <w:bookmarkStart w:id="114" w:name="_Toc152042310"/>
      <w:bookmarkStart w:id="115" w:name="_Toc247085693"/>
      <w:bookmarkStart w:id="116" w:name="_Toc296602424"/>
      <w:bookmarkStart w:id="117" w:name="_Toc179632551"/>
      <w:bookmarkStart w:id="118" w:name="_Toc506107273"/>
      <w:bookmarkStart w:id="119" w:name="_Toc35424891"/>
      <w:bookmarkStart w:id="120" w:name="_Toc35425057"/>
      <w:bookmarkStart w:id="121" w:name="_Toc246996922"/>
      <w:bookmarkStart w:id="122" w:name="_Toc246996179"/>
      <w:bookmarkStart w:id="123" w:name="_Toc324404819"/>
      <w:bookmarkStart w:id="124" w:name="_Toc78803326"/>
      <w:bookmarkStart w:id="125" w:name="_Toc152045534"/>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35424892"/>
      <w:bookmarkStart w:id="127" w:name="_Toc152045535"/>
      <w:bookmarkStart w:id="128" w:name="_Toc246996923"/>
      <w:bookmarkStart w:id="129" w:name="_Toc144974503"/>
      <w:bookmarkStart w:id="130" w:name="_Toc324404820"/>
      <w:bookmarkStart w:id="131" w:name="_Toc246996180"/>
      <w:bookmarkStart w:id="132" w:name="_Toc10179"/>
      <w:bookmarkStart w:id="133" w:name="_Toc152042311"/>
      <w:bookmarkStart w:id="134" w:name="_Toc296602425"/>
      <w:bookmarkStart w:id="135" w:name="_Toc179632552"/>
      <w:bookmarkStart w:id="136" w:name="_Toc35425058"/>
      <w:bookmarkStart w:id="137" w:name="_Toc15058851"/>
      <w:bookmarkStart w:id="138" w:name="_Toc506107274"/>
      <w:bookmarkStart w:id="139" w:name="_Toc78803327"/>
      <w:bookmarkStart w:id="140" w:name="_Toc247085694"/>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296602426"/>
      <w:bookmarkStart w:id="142" w:name="_Toc246996181"/>
      <w:bookmarkStart w:id="143" w:name="_Toc152045536"/>
      <w:bookmarkStart w:id="144" w:name="_Toc78803328"/>
      <w:bookmarkStart w:id="145" w:name="_Toc15058852"/>
      <w:bookmarkStart w:id="146" w:name="_Toc35425059"/>
      <w:bookmarkStart w:id="147" w:name="_Toc324404821"/>
      <w:bookmarkStart w:id="148" w:name="_Toc247085695"/>
      <w:bookmarkStart w:id="149" w:name="_Toc152042312"/>
      <w:bookmarkStart w:id="150" w:name="_Toc506107275"/>
      <w:bookmarkStart w:id="151" w:name="_Toc35424893"/>
      <w:bookmarkStart w:id="152" w:name="_Toc179632553"/>
      <w:bookmarkStart w:id="153" w:name="_Toc246996924"/>
      <w:bookmarkStart w:id="154" w:name="_Toc144974504"/>
      <w:bookmarkStart w:id="155" w:name="_Toc4092"/>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506107276"/>
      <w:bookmarkStart w:id="158" w:name="_Toc78803329"/>
      <w:bookmarkStart w:id="159" w:name="_Toc246996182"/>
      <w:bookmarkStart w:id="160" w:name="_Toc296602427"/>
      <w:bookmarkStart w:id="161" w:name="_Toc179632554"/>
      <w:bookmarkStart w:id="162" w:name="_Toc35425060"/>
      <w:bookmarkStart w:id="163" w:name="_Toc15058853"/>
      <w:bookmarkStart w:id="164" w:name="_Toc35424894"/>
      <w:bookmarkStart w:id="165" w:name="_Toc152042313"/>
      <w:bookmarkStart w:id="166" w:name="_Toc152045537"/>
      <w:bookmarkStart w:id="167" w:name="_Toc246996925"/>
      <w:bookmarkStart w:id="168" w:name="_Toc4119"/>
      <w:bookmarkStart w:id="169" w:name="_Toc324404822"/>
      <w:bookmarkStart w:id="170" w:name="_Toc247085696"/>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152042314"/>
      <w:bookmarkStart w:id="172" w:name="_Toc246996183"/>
      <w:bookmarkStart w:id="173" w:name="_Toc144974506"/>
      <w:bookmarkStart w:id="174" w:name="_Toc246996926"/>
      <w:bookmarkStart w:id="175" w:name="_Toc179632555"/>
      <w:bookmarkStart w:id="176" w:name="_Toc247085697"/>
      <w:bookmarkStart w:id="177" w:name="_Toc152045538"/>
      <w:r>
        <w:rPr>
          <w:rFonts w:hint="eastAsia" w:ascii="宋体" w:hAnsi="宋体" w:cs="宋体"/>
          <w:color w:val="auto"/>
          <w:szCs w:val="21"/>
          <w:highlight w:val="none"/>
        </w:rPr>
        <w:t>招标投标文件使用的语言文字为中文。专用术语使用外文的，应附有中文注释。</w:t>
      </w:r>
    </w:p>
    <w:p w14:paraId="32BE040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13408"/>
      <w:bookmarkStart w:id="179" w:name="_Toc78803330"/>
      <w:bookmarkStart w:id="180" w:name="_Toc506107277"/>
      <w:bookmarkStart w:id="181" w:name="_Toc35424895"/>
      <w:bookmarkStart w:id="182" w:name="_Toc296602428"/>
      <w:bookmarkStart w:id="183" w:name="_Toc35425061"/>
      <w:bookmarkStart w:id="184" w:name="_Toc324404823"/>
      <w:bookmarkStart w:id="185" w:name="_Toc15058854"/>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247527563"/>
      <w:bookmarkStart w:id="187" w:name="_Toc152045539"/>
      <w:bookmarkStart w:id="188" w:name="_Toc152042315"/>
      <w:bookmarkStart w:id="189" w:name="_Toc11493"/>
      <w:bookmarkStart w:id="190" w:name="_Toc506107278"/>
      <w:bookmarkStart w:id="191" w:name="_Toc247592876"/>
      <w:bookmarkStart w:id="192" w:name="_Toc35424896"/>
      <w:bookmarkStart w:id="193" w:name="_Toc324404824"/>
      <w:bookmarkStart w:id="194" w:name="_Toc35425062"/>
      <w:bookmarkStart w:id="195" w:name="_Toc247513962"/>
      <w:bookmarkStart w:id="196" w:name="_Toc144974507"/>
      <w:bookmarkStart w:id="197" w:name="_Toc15058855"/>
      <w:bookmarkStart w:id="198" w:name="_Toc78803331"/>
      <w:bookmarkStart w:id="199" w:name="_Toc296602429"/>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22954"/>
      <w:bookmarkStart w:id="201" w:name="_Toc35425063"/>
      <w:bookmarkStart w:id="202" w:name="_Toc247527564"/>
      <w:bookmarkStart w:id="203" w:name="_Toc152045540"/>
      <w:bookmarkStart w:id="204" w:name="_Toc506107279"/>
      <w:bookmarkStart w:id="205" w:name="_Toc324404825"/>
      <w:bookmarkStart w:id="206" w:name="_Toc35424897"/>
      <w:bookmarkStart w:id="207" w:name="_Toc152042316"/>
      <w:bookmarkStart w:id="208" w:name="_Toc144974508"/>
      <w:bookmarkStart w:id="209" w:name="_Toc247513963"/>
      <w:bookmarkStart w:id="210" w:name="_Toc296602430"/>
      <w:bookmarkStart w:id="211" w:name="_Toc78803332"/>
      <w:bookmarkStart w:id="212" w:name="_Toc15058856"/>
      <w:bookmarkStart w:id="213" w:name="_Toc247592877"/>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296602431"/>
      <w:bookmarkStart w:id="215" w:name="_Toc15058857"/>
      <w:bookmarkStart w:id="216" w:name="_Toc506107280"/>
      <w:bookmarkStart w:id="217" w:name="_Toc324404826"/>
      <w:bookmarkStart w:id="218" w:name="_Toc60061444"/>
      <w:bookmarkStart w:id="219" w:name="_Toc95223347"/>
      <w:bookmarkStart w:id="220" w:name="_Toc83301699"/>
      <w:bookmarkStart w:id="221" w:name="_Toc179632560"/>
      <w:bookmarkStart w:id="222" w:name="_Toc35424899"/>
      <w:bookmarkStart w:id="223" w:name="_Toc4012"/>
      <w:bookmarkStart w:id="224" w:name="_Toc506107281"/>
      <w:bookmarkStart w:id="225" w:name="_Toc246996930"/>
      <w:bookmarkStart w:id="226" w:name="_Toc35425065"/>
      <w:bookmarkStart w:id="227" w:name="_Toc152042318"/>
      <w:bookmarkStart w:id="228" w:name="_Toc246996187"/>
      <w:bookmarkStart w:id="229" w:name="_Toc78803334"/>
      <w:bookmarkStart w:id="230" w:name="_Toc15058858"/>
      <w:bookmarkStart w:id="231" w:name="_Toc144974510"/>
      <w:bookmarkStart w:id="232" w:name="_Toc324404827"/>
      <w:bookmarkStart w:id="233" w:name="_Toc247085701"/>
      <w:bookmarkStart w:id="234" w:name="_Toc152045542"/>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83301700"/>
      <w:bookmarkStart w:id="236" w:name="_Toc95223348"/>
      <w:bookmarkStart w:id="237" w:name="_Toc60061445"/>
      <w:r>
        <w:rPr>
          <w:rFonts w:hint="eastAsia" w:ascii="宋体" w:hAnsi="宋体" w:eastAsia="宋体" w:cs="宋体"/>
          <w:color w:val="auto"/>
          <w:highlight w:val="none"/>
        </w:rPr>
        <w:t>1.12 偏离</w:t>
      </w:r>
      <w:bookmarkEnd w:id="235"/>
      <w:bookmarkEnd w:id="236"/>
      <w:bookmarkEnd w:id="237"/>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617D22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144974511"/>
      <w:bookmarkStart w:id="239" w:name="_Toc35425066"/>
      <w:bookmarkStart w:id="240" w:name="_Toc246996188"/>
      <w:bookmarkStart w:id="241" w:name="_Toc506107282"/>
      <w:bookmarkStart w:id="242" w:name="_Toc78803335"/>
      <w:bookmarkStart w:id="243" w:name="_Toc15058859"/>
      <w:bookmarkStart w:id="244" w:name="_Toc13213"/>
      <w:bookmarkStart w:id="245" w:name="_Toc246996931"/>
      <w:bookmarkStart w:id="246" w:name="_Toc152045543"/>
      <w:bookmarkStart w:id="247" w:name="_Toc324404828"/>
      <w:bookmarkStart w:id="248" w:name="_Toc296602433"/>
      <w:bookmarkStart w:id="249" w:name="_Toc152042319"/>
      <w:bookmarkStart w:id="250" w:name="_Toc179632561"/>
      <w:bookmarkStart w:id="251" w:name="_Toc35424900"/>
      <w:bookmarkStart w:id="252" w:name="_Toc247085702"/>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246996932"/>
      <w:bookmarkStart w:id="254" w:name="_Toc144974512"/>
      <w:bookmarkStart w:id="255" w:name="_Toc152045544"/>
      <w:bookmarkStart w:id="256" w:name="_Toc179632562"/>
      <w:bookmarkStart w:id="257" w:name="_Toc506107283"/>
      <w:bookmarkStart w:id="258" w:name="_Toc152042320"/>
      <w:bookmarkStart w:id="259" w:name="_Toc296602434"/>
      <w:bookmarkStart w:id="260" w:name="_Toc15058860"/>
      <w:bookmarkStart w:id="261" w:name="_Toc35425067"/>
      <w:bookmarkStart w:id="262" w:name="_Toc32239"/>
      <w:bookmarkStart w:id="263" w:name="_Toc78803336"/>
      <w:bookmarkStart w:id="264" w:name="_Toc324404829"/>
      <w:bookmarkStart w:id="265" w:name="_Toc246996189"/>
      <w:bookmarkStart w:id="266" w:name="_Toc35424901"/>
      <w:bookmarkStart w:id="267" w:name="_Toc247085703"/>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8" w:name="_Toc152042321"/>
      <w:bookmarkStart w:id="269" w:name="_Toc144974513"/>
      <w:bookmarkStart w:id="270" w:name="_Toc24633"/>
      <w:bookmarkStart w:id="271" w:name="_Toc15058861"/>
      <w:bookmarkStart w:id="272" w:name="_Toc179632563"/>
      <w:bookmarkStart w:id="273" w:name="_Toc506107284"/>
      <w:bookmarkStart w:id="274" w:name="_Toc246996190"/>
      <w:bookmarkStart w:id="275" w:name="_Toc152045545"/>
      <w:bookmarkStart w:id="276" w:name="_Toc296602435"/>
      <w:bookmarkStart w:id="277" w:name="_Toc35424902"/>
      <w:bookmarkStart w:id="278" w:name="_Toc78803337"/>
      <w:bookmarkStart w:id="279" w:name="_Toc247085704"/>
      <w:bookmarkStart w:id="280" w:name="_Toc324404830"/>
      <w:bookmarkStart w:id="281" w:name="_Toc246996933"/>
      <w:bookmarkStart w:id="282" w:name="_Toc35425068"/>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“滁州市城投工程咨询管理有限公司”（https://www.czctgczx.com/）等</w:t>
      </w:r>
      <w:r>
        <w:rPr>
          <w:rFonts w:hint="eastAsia"/>
          <w:color w:val="auto"/>
          <w:spacing w:val="0"/>
          <w:sz w:val="21"/>
          <w:highlight w:val="none"/>
        </w:rPr>
        <w:t>网</w:t>
      </w:r>
      <w:r>
        <w:rPr>
          <w:rFonts w:hint="eastAsia"/>
          <w:color w:val="auto"/>
          <w:spacing w:val="0"/>
          <w:sz w:val="21"/>
          <w:highlight w:val="none"/>
          <w:lang w:val="en-US" w:eastAsia="zh-CN"/>
        </w:rPr>
        <w:t>站</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3" w:name="_Toc247085705"/>
      <w:bookmarkStart w:id="284" w:name="_Toc35424904"/>
      <w:bookmarkStart w:id="285" w:name="_Toc35425070"/>
      <w:bookmarkStart w:id="286" w:name="_Toc246996191"/>
      <w:bookmarkStart w:id="287" w:name="_Toc78803339"/>
      <w:bookmarkStart w:id="288" w:name="_Toc144974514"/>
      <w:bookmarkStart w:id="289" w:name="_Toc246996934"/>
      <w:bookmarkStart w:id="290" w:name="_Toc152042322"/>
      <w:bookmarkStart w:id="291" w:name="_Toc179632564"/>
      <w:bookmarkStart w:id="292" w:name="_Toc15058863"/>
      <w:bookmarkStart w:id="293" w:name="_Toc324404832"/>
      <w:bookmarkStart w:id="294" w:name="_Toc6464"/>
      <w:bookmarkStart w:id="295" w:name="_Toc152045546"/>
      <w:bookmarkStart w:id="296" w:name="_Toc506107285"/>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3998A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78803340"/>
      <w:bookmarkStart w:id="298" w:name="_Toc157"/>
      <w:bookmarkStart w:id="299" w:name="_Toc246996935"/>
      <w:bookmarkStart w:id="300" w:name="_Toc247085706"/>
      <w:bookmarkStart w:id="301" w:name="_Toc35425071"/>
      <w:bookmarkStart w:id="302" w:name="_Toc15058864"/>
      <w:bookmarkStart w:id="303" w:name="_Toc296602437"/>
      <w:bookmarkStart w:id="304" w:name="_Toc324404833"/>
      <w:bookmarkStart w:id="305" w:name="_Toc35424905"/>
      <w:bookmarkStart w:id="306" w:name="_Toc144974515"/>
      <w:bookmarkStart w:id="307" w:name="_Toc152042323"/>
      <w:bookmarkStart w:id="308" w:name="_Toc152045547"/>
      <w:bookmarkStart w:id="309" w:name="_Toc179632565"/>
      <w:bookmarkStart w:id="310" w:name="_Toc506107286"/>
      <w:bookmarkStart w:id="311" w:name="_Toc246996192"/>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15058865"/>
      <w:bookmarkStart w:id="313" w:name="_Toc6829"/>
      <w:bookmarkStart w:id="314" w:name="_Toc246996936"/>
      <w:bookmarkStart w:id="315" w:name="_Toc144974516"/>
      <w:bookmarkStart w:id="316" w:name="_Toc78803341"/>
      <w:bookmarkStart w:id="317" w:name="_Toc179632566"/>
      <w:bookmarkStart w:id="318" w:name="_Toc152042324"/>
      <w:bookmarkStart w:id="319" w:name="_Toc506107287"/>
      <w:bookmarkStart w:id="320" w:name="_Toc246996193"/>
      <w:bookmarkStart w:id="321" w:name="_Toc35424906"/>
      <w:bookmarkStart w:id="322" w:name="_Toc324404834"/>
      <w:bookmarkStart w:id="323" w:name="_Toc152045548"/>
      <w:bookmarkStart w:id="324" w:name="_Toc296602438"/>
      <w:bookmarkStart w:id="325" w:name="_Toc247085707"/>
      <w:bookmarkStart w:id="326" w:name="_Toc35425072"/>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152042325"/>
      <w:bookmarkStart w:id="328" w:name="_Toc35425073"/>
      <w:bookmarkStart w:id="329" w:name="_Toc296602439"/>
      <w:bookmarkStart w:id="330" w:name="_Toc246996194"/>
      <w:bookmarkStart w:id="331" w:name="_Toc31735"/>
      <w:bookmarkStart w:id="332" w:name="_Toc247085708"/>
      <w:bookmarkStart w:id="333" w:name="_Toc246996937"/>
      <w:bookmarkStart w:id="334" w:name="_Toc506107288"/>
      <w:bookmarkStart w:id="335" w:name="_Toc35424907"/>
      <w:bookmarkStart w:id="336" w:name="_Toc15058866"/>
      <w:bookmarkStart w:id="337" w:name="_Toc324404835"/>
      <w:bookmarkStart w:id="338" w:name="_Toc179632567"/>
      <w:bookmarkStart w:id="339" w:name="_Toc78803342"/>
      <w:bookmarkStart w:id="340" w:name="_Toc152045549"/>
      <w:bookmarkStart w:id="341" w:name="_Toc144974517"/>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246996195"/>
      <w:bookmarkStart w:id="343" w:name="_Toc506107289"/>
      <w:bookmarkStart w:id="344" w:name="_Toc296602440"/>
      <w:bookmarkStart w:id="345" w:name="_Toc10714"/>
      <w:bookmarkStart w:id="346" w:name="_Toc15058867"/>
      <w:bookmarkStart w:id="347" w:name="_Toc246996938"/>
      <w:bookmarkStart w:id="348" w:name="_Toc152045550"/>
      <w:bookmarkStart w:id="349" w:name="_Toc152042326"/>
      <w:bookmarkStart w:id="350" w:name="_Toc247085709"/>
      <w:bookmarkStart w:id="351" w:name="_Toc35425074"/>
      <w:bookmarkStart w:id="352" w:name="_Toc144974518"/>
      <w:bookmarkStart w:id="353" w:name="_Toc35424908"/>
      <w:bookmarkStart w:id="354" w:name="_Toc179632568"/>
      <w:bookmarkStart w:id="355" w:name="_Toc324404836"/>
      <w:bookmarkStart w:id="356" w:name="_Toc78803343"/>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506107290"/>
      <w:bookmarkStart w:id="358" w:name="_Toc15058868"/>
      <w:bookmarkStart w:id="359" w:name="_Toc19037"/>
      <w:bookmarkStart w:id="360" w:name="_Toc35425075"/>
      <w:bookmarkStart w:id="361" w:name="_Toc324404837"/>
      <w:bookmarkStart w:id="362" w:name="_Toc35424909"/>
      <w:bookmarkStart w:id="363" w:name="_Toc296602442"/>
      <w:bookmarkStart w:id="364" w:name="_Toc78803344"/>
      <w:bookmarkStart w:id="365" w:name="_Toc144974521"/>
      <w:bookmarkStart w:id="366" w:name="_Toc152045553"/>
      <w:bookmarkStart w:id="367" w:name="_Toc152042329"/>
      <w:bookmarkStart w:id="368" w:name="_Toc246996940"/>
      <w:bookmarkStart w:id="369" w:name="_Toc246996197"/>
      <w:bookmarkStart w:id="370" w:name="_Toc179632571"/>
      <w:bookmarkStart w:id="371" w:name="_Toc247085711"/>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72" w:name="_Toc246996942"/>
      <w:bookmarkStart w:id="373" w:name="_Toc144974523"/>
      <w:bookmarkStart w:id="374" w:name="_Toc324404838"/>
      <w:bookmarkStart w:id="375" w:name="_Toc247085713"/>
      <w:bookmarkStart w:id="376" w:name="_Toc152042331"/>
      <w:bookmarkStart w:id="377" w:name="_Toc152045555"/>
      <w:bookmarkStart w:id="378" w:name="_Toc246996199"/>
      <w:bookmarkStart w:id="379" w:name="_Toc179632573"/>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19455"/>
      <w:bookmarkStart w:id="381" w:name="_Toc35424910"/>
      <w:bookmarkStart w:id="382" w:name="_Toc78803345"/>
      <w:bookmarkStart w:id="383" w:name="_Toc35425076"/>
      <w:bookmarkStart w:id="384" w:name="_Toc506107291"/>
      <w:bookmarkStart w:id="385" w:name="_Toc15058869"/>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28D5FF5">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14473"/>
      <w:bookmarkStart w:id="387" w:name="_Toc35425077"/>
      <w:bookmarkStart w:id="388" w:name="_Toc78803346"/>
      <w:bookmarkStart w:id="389" w:name="_Toc15058870"/>
      <w:bookmarkStart w:id="390" w:name="_Toc35424911"/>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w:t>
      </w:r>
      <w:r>
        <w:rPr>
          <w:rFonts w:hint="eastAsia" w:ascii="宋体" w:hAnsi="宋体" w:cs="宋体"/>
          <w:b/>
          <w:bCs/>
          <w:color w:val="auto"/>
          <w:szCs w:val="21"/>
          <w:highlight w:val="none"/>
          <w:lang w:val="en-US" w:eastAsia="zh-CN"/>
        </w:rPr>
        <w:t>0512-58151515</w:t>
      </w:r>
      <w:r>
        <w:rPr>
          <w:rFonts w:hint="eastAsia" w:ascii="宋体" w:hAnsi="宋体" w:eastAsia="宋体" w:cs="宋体"/>
          <w:b/>
          <w:bCs/>
          <w:color w:val="auto"/>
          <w:szCs w:val="21"/>
          <w:highlight w:val="none"/>
          <w:lang w:val="en-US" w:eastAsia="zh-CN"/>
        </w:rPr>
        <w:t>（工作日）或者网站首页在线客服</w:t>
      </w:r>
      <w:r>
        <w:rPr>
          <w:rFonts w:hint="eastAsia" w:ascii="宋体" w:hAnsi="宋体" w:eastAsia="宋体" w:cs="宋体"/>
          <w:b/>
          <w:bCs/>
          <w:color w:val="auto"/>
          <w:szCs w:val="21"/>
          <w:highlight w:val="none"/>
          <w:u w:val="none"/>
          <w:lang w:val="en-US" w:eastAsia="zh-CN"/>
        </w:rPr>
        <w:t>。</w:t>
      </w:r>
    </w:p>
    <w:p w14:paraId="7418250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91" w:name="_Toc35424914"/>
      <w:bookmarkStart w:id="392" w:name="_Toc15058873"/>
      <w:bookmarkStart w:id="393" w:name="_Toc324404841"/>
      <w:bookmarkStart w:id="394" w:name="_Toc152045558"/>
      <w:bookmarkStart w:id="395" w:name="_Toc19572"/>
      <w:bookmarkStart w:id="396" w:name="_Toc296602446"/>
      <w:bookmarkStart w:id="397" w:name="_Toc247085716"/>
      <w:bookmarkStart w:id="398" w:name="_Toc152042334"/>
      <w:bookmarkStart w:id="399" w:name="_Toc35425080"/>
      <w:bookmarkStart w:id="400" w:name="_Toc246996202"/>
      <w:bookmarkStart w:id="401" w:name="_Toc246996945"/>
      <w:bookmarkStart w:id="402" w:name="_Toc78803347"/>
      <w:bookmarkStart w:id="403" w:name="_Toc506107294"/>
      <w:bookmarkStart w:id="404" w:name="_Toc179632576"/>
      <w:bookmarkStart w:id="405" w:name="_Toc144974526"/>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6" w:name="_Toc247085717"/>
      <w:bookmarkStart w:id="407" w:name="_Toc179632577"/>
      <w:bookmarkStart w:id="408" w:name="_Toc35425081"/>
      <w:bookmarkStart w:id="409" w:name="_Toc78803348"/>
      <w:bookmarkStart w:id="410" w:name="_Toc506107295"/>
      <w:bookmarkStart w:id="411" w:name="_Toc144974527"/>
      <w:bookmarkStart w:id="412" w:name="_Toc29639"/>
      <w:bookmarkStart w:id="413" w:name="_Toc246996203"/>
      <w:bookmarkStart w:id="414" w:name="_Toc246996946"/>
      <w:bookmarkStart w:id="415" w:name="_Toc35424915"/>
      <w:bookmarkStart w:id="416" w:name="_Toc152042335"/>
      <w:bookmarkStart w:id="417" w:name="_Toc324404842"/>
      <w:bookmarkStart w:id="418" w:name="_Toc15058874"/>
      <w:bookmarkStart w:id="419" w:name="_Toc152045559"/>
      <w:r>
        <w:rPr>
          <w:rFonts w:hint="eastAsia" w:ascii="宋体" w:hAnsi="宋体" w:eastAsia="宋体" w:cs="宋体"/>
          <w:color w:val="auto"/>
          <w:sz w:val="24"/>
          <w:szCs w:val="24"/>
          <w:highlight w:val="none"/>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3EC18D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152042336"/>
      <w:bookmarkStart w:id="421" w:name="_Toc78803349"/>
      <w:bookmarkStart w:id="422" w:name="_Toc35424916"/>
      <w:bookmarkStart w:id="423" w:name="_Toc246996947"/>
      <w:bookmarkStart w:id="424" w:name="_Toc324404843"/>
      <w:bookmarkStart w:id="425" w:name="_Toc35425082"/>
      <w:bookmarkStart w:id="426" w:name="_Toc144974528"/>
      <w:bookmarkStart w:id="427" w:name="_Toc15058875"/>
      <w:bookmarkStart w:id="428" w:name="_Toc247085718"/>
      <w:bookmarkStart w:id="429" w:name="_Toc246996204"/>
      <w:bookmarkStart w:id="430" w:name="_Toc506107296"/>
      <w:bookmarkStart w:id="431" w:name="_Toc296602448"/>
      <w:bookmarkStart w:id="432" w:name="_Toc13691"/>
      <w:bookmarkStart w:id="433" w:name="_Toc152045560"/>
      <w:bookmarkStart w:id="434" w:name="_Toc179632578"/>
      <w:r>
        <w:rPr>
          <w:rFonts w:hint="eastAsia" w:ascii="宋体" w:hAnsi="宋体" w:eastAsia="宋体" w:cs="宋体"/>
          <w:color w:val="auto"/>
          <w:highlight w:val="none"/>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5" w:name="_Toc179632579"/>
      <w:bookmarkStart w:id="436" w:name="_Toc144974529"/>
      <w:bookmarkStart w:id="437" w:name="_Toc15058876"/>
      <w:bookmarkStart w:id="438" w:name="_Toc152042337"/>
      <w:bookmarkStart w:id="439" w:name="_Toc35425083"/>
      <w:bookmarkStart w:id="440" w:name="_Toc152045561"/>
      <w:bookmarkStart w:id="441" w:name="_Toc506107297"/>
      <w:bookmarkStart w:id="442" w:name="_Toc296602449"/>
      <w:bookmarkStart w:id="443" w:name="_Toc247085719"/>
      <w:bookmarkStart w:id="444" w:name="_Toc78803350"/>
      <w:bookmarkStart w:id="445" w:name="_Toc324404844"/>
      <w:bookmarkStart w:id="446" w:name="_Toc35424917"/>
      <w:bookmarkStart w:id="447" w:name="_Toc246996205"/>
      <w:bookmarkStart w:id="448" w:name="_Toc32451"/>
      <w:bookmarkStart w:id="449" w:name="_Toc246996948"/>
      <w:r>
        <w:rPr>
          <w:rFonts w:hint="eastAsia" w:ascii="宋体" w:hAnsi="宋体" w:eastAsia="宋体" w:cs="宋体"/>
          <w:color w:val="auto"/>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0" w:name="_Toc296602450"/>
      <w:bookmarkStart w:id="451" w:name="_Toc324404845"/>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52" w:name="_Toc15058877"/>
      <w:bookmarkStart w:id="453" w:name="_Toc506107298"/>
      <w:r>
        <w:rPr>
          <w:rFonts w:hint="eastAsia" w:ascii="宋体" w:hAnsi="宋体" w:cs="宋体"/>
          <w:color w:val="auto"/>
          <w:szCs w:val="21"/>
          <w:highlight w:val="none"/>
        </w:rPr>
        <w:t>（1）</w:t>
      </w:r>
      <w:bookmarkEnd w:id="452"/>
      <w:bookmarkStart w:id="454"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4"/>
    </w:p>
    <w:p w14:paraId="7024519A">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50"/>
    <w:bookmarkEnd w:id="451"/>
    <w:bookmarkEnd w:id="453"/>
    <w:p w14:paraId="6DA8798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15058884"/>
      <w:bookmarkStart w:id="456" w:name="_Toc179632580"/>
      <w:bookmarkStart w:id="457" w:name="_Toc78803352"/>
      <w:bookmarkStart w:id="458" w:name="_Toc35425085"/>
      <w:bookmarkStart w:id="459" w:name="_Toc152042338"/>
      <w:bookmarkStart w:id="460" w:name="_Toc246996949"/>
      <w:bookmarkStart w:id="461" w:name="_Toc35424919"/>
      <w:bookmarkStart w:id="462" w:name="_Toc246996206"/>
      <w:bookmarkStart w:id="463" w:name="_Toc506107299"/>
      <w:bookmarkStart w:id="464" w:name="_Toc20689"/>
      <w:bookmarkStart w:id="465" w:name="_Toc324404846"/>
      <w:bookmarkStart w:id="466" w:name="_Toc152045562"/>
      <w:bookmarkStart w:id="467" w:name="_Toc144974530"/>
      <w:bookmarkStart w:id="468" w:name="_Toc247085720"/>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179632581"/>
      <w:bookmarkStart w:id="470" w:name="_Toc35424920"/>
      <w:bookmarkStart w:id="471" w:name="_Toc246996207"/>
      <w:bookmarkStart w:id="472" w:name="_Toc247085721"/>
      <w:bookmarkStart w:id="473" w:name="_Toc324404847"/>
      <w:bookmarkStart w:id="474" w:name="_Toc506107300"/>
      <w:bookmarkStart w:id="475" w:name="_Toc78803353"/>
      <w:bookmarkStart w:id="476" w:name="_Toc246996950"/>
      <w:bookmarkStart w:id="477" w:name="_Toc14249"/>
      <w:bookmarkStart w:id="478" w:name="_Toc296602452"/>
      <w:bookmarkStart w:id="479" w:name="_Toc144974531"/>
      <w:bookmarkStart w:id="480" w:name="_Toc35425086"/>
      <w:bookmarkStart w:id="481" w:name="_Toc152042339"/>
      <w:bookmarkStart w:id="482" w:name="_Toc15058885"/>
      <w:bookmarkStart w:id="483" w:name="_Toc152045563"/>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152042340"/>
      <w:bookmarkStart w:id="485" w:name="_Toc12948"/>
      <w:bookmarkStart w:id="486" w:name="_Toc35425087"/>
      <w:bookmarkStart w:id="487" w:name="_Toc296602453"/>
      <w:bookmarkStart w:id="488" w:name="_Toc144974532"/>
      <w:bookmarkStart w:id="489" w:name="_Toc246996951"/>
      <w:bookmarkStart w:id="490" w:name="_Toc246996208"/>
      <w:bookmarkStart w:id="491" w:name="_Toc78803354"/>
      <w:bookmarkStart w:id="492" w:name="_Toc324404848"/>
      <w:bookmarkStart w:id="493" w:name="_Toc152045564"/>
      <w:bookmarkStart w:id="494" w:name="_Toc35424921"/>
      <w:bookmarkStart w:id="495" w:name="_Toc247085722"/>
      <w:bookmarkStart w:id="496" w:name="_Toc506107301"/>
      <w:bookmarkStart w:id="497" w:name="_Toc15058886"/>
      <w:bookmarkStart w:id="498" w:name="_Toc179632582"/>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152045565"/>
      <w:bookmarkStart w:id="500" w:name="_Toc35424922"/>
      <w:bookmarkStart w:id="501" w:name="_Toc35425088"/>
      <w:bookmarkStart w:id="502" w:name="_Toc324404849"/>
      <w:bookmarkStart w:id="503" w:name="_Toc246996952"/>
      <w:bookmarkStart w:id="504" w:name="_Toc246996209"/>
      <w:bookmarkStart w:id="505" w:name="_Toc296602454"/>
      <w:bookmarkStart w:id="506" w:name="_Toc152042341"/>
      <w:bookmarkStart w:id="507" w:name="_Toc247085723"/>
      <w:bookmarkStart w:id="508" w:name="_Toc15058887"/>
      <w:bookmarkStart w:id="509" w:name="_Toc78803355"/>
      <w:bookmarkStart w:id="510" w:name="_Toc179632583"/>
      <w:bookmarkStart w:id="511" w:name="_Toc506107302"/>
      <w:bookmarkStart w:id="512" w:name="_Toc144974533"/>
      <w:bookmarkStart w:id="513" w:name="_Toc14892"/>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152045566"/>
      <w:bookmarkStart w:id="515" w:name="_Toc152042342"/>
      <w:bookmarkStart w:id="516" w:name="_Toc246996953"/>
      <w:bookmarkStart w:id="517" w:name="_Toc324404850"/>
      <w:bookmarkStart w:id="518" w:name="_Toc179632584"/>
      <w:bookmarkStart w:id="519" w:name="_Toc247085724"/>
      <w:bookmarkStart w:id="520" w:name="_Toc246996210"/>
      <w:bookmarkStart w:id="521" w:name="_Toc14497453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506107303"/>
      <w:bookmarkStart w:id="523" w:name="_Toc78803356"/>
      <w:bookmarkStart w:id="524" w:name="_Toc15058888"/>
      <w:bookmarkStart w:id="525" w:name="_Toc35425089"/>
      <w:bookmarkStart w:id="526" w:name="_Toc26182"/>
      <w:bookmarkStart w:id="527" w:name="_Toc35424923"/>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296602457"/>
      <w:bookmarkStart w:id="529" w:name="_Toc324404852"/>
      <w:bookmarkStart w:id="530" w:name="_Toc60061472"/>
      <w:bookmarkStart w:id="531" w:name="_Toc506107305"/>
      <w:bookmarkStart w:id="532" w:name="_Toc83301726"/>
      <w:bookmarkStart w:id="533" w:name="_Toc95223374"/>
      <w:bookmarkStart w:id="534" w:name="_Toc15058890"/>
      <w:bookmarkStart w:id="535" w:name="_Toc4204"/>
      <w:bookmarkStart w:id="536" w:name="_Toc324404853"/>
      <w:bookmarkStart w:id="537" w:name="_Toc35424927"/>
      <w:bookmarkStart w:id="538" w:name="_Toc152045568"/>
      <w:bookmarkStart w:id="539" w:name="_Toc246996212"/>
      <w:bookmarkStart w:id="540" w:name="_Toc506107306"/>
      <w:bookmarkStart w:id="541" w:name="_Toc15058891"/>
      <w:bookmarkStart w:id="542" w:name="_Toc14692"/>
      <w:bookmarkStart w:id="543" w:name="_Toc247085726"/>
      <w:bookmarkStart w:id="544" w:name="_Toc179632586"/>
      <w:bookmarkStart w:id="545" w:name="_Toc78803360"/>
      <w:bookmarkStart w:id="546" w:name="_Toc246996955"/>
      <w:bookmarkStart w:id="547" w:name="_Toc152042344"/>
      <w:bookmarkStart w:id="548" w:name="_Toc144974536"/>
      <w:bookmarkStart w:id="549" w:name="_Toc35425093"/>
      <w:bookmarkStart w:id="550" w:name="_Toc296602458"/>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95223375"/>
      <w:bookmarkStart w:id="552" w:name="_Toc83301727"/>
      <w:bookmarkStart w:id="553" w:name="_Toc60061474"/>
      <w:bookmarkStart w:id="554" w:name="_Toc296602460"/>
      <w:bookmarkStart w:id="555" w:name="_Toc246996957"/>
      <w:bookmarkStart w:id="556" w:name="_Toc324404855"/>
      <w:bookmarkStart w:id="557" w:name="_Toc506107308"/>
      <w:bookmarkStart w:id="558" w:name="_Toc35424930"/>
      <w:bookmarkStart w:id="559" w:name="_Toc35425096"/>
      <w:bookmarkStart w:id="560" w:name="_Toc78803363"/>
      <w:bookmarkStart w:id="561" w:name="_Toc152042346"/>
      <w:bookmarkStart w:id="562" w:name="_Toc144974538"/>
      <w:bookmarkStart w:id="563" w:name="_Toc152045570"/>
      <w:bookmarkStart w:id="564" w:name="_Toc247085728"/>
      <w:bookmarkStart w:id="565" w:name="_Toc179632588"/>
      <w:bookmarkStart w:id="566" w:name="_Toc11010"/>
      <w:bookmarkStart w:id="567" w:name="_Toc246996214"/>
      <w:bookmarkStart w:id="568" w:name="_Toc15058893"/>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95223376"/>
      <w:bookmarkStart w:id="570"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152045569"/>
      <w:bookmarkStart w:id="573" w:name="_Toc296602459"/>
      <w:bookmarkStart w:id="574" w:name="_Toc506107307"/>
      <w:bookmarkStart w:id="575" w:name="_Toc83301730"/>
      <w:bookmarkStart w:id="576" w:name="_Toc247085727"/>
      <w:bookmarkStart w:id="577" w:name="_Toc246996956"/>
      <w:bookmarkStart w:id="578" w:name="_Toc144974537"/>
      <w:bookmarkStart w:id="579" w:name="_Toc152042345"/>
      <w:bookmarkStart w:id="580" w:name="_Toc60061476"/>
      <w:bookmarkStart w:id="581" w:name="_Toc179632587"/>
      <w:bookmarkStart w:id="582" w:name="_Toc324404854"/>
      <w:bookmarkStart w:id="583" w:name="_Toc15058892"/>
      <w:bookmarkStart w:id="584" w:name="_Toc246996213"/>
      <w:bookmarkStart w:id="585" w:name="_Toc95223378"/>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83301731"/>
      <w:bookmarkStart w:id="587" w:name="_Toc60061477"/>
      <w:bookmarkStart w:id="588" w:name="_Toc95223379"/>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152042347"/>
      <w:bookmarkStart w:id="590" w:name="_Toc95223381"/>
      <w:bookmarkStart w:id="591" w:name="_Toc152045571"/>
      <w:bookmarkStart w:id="592" w:name="_Toc83301732"/>
      <w:bookmarkStart w:id="593" w:name="_Toc179632589"/>
      <w:bookmarkStart w:id="594" w:name="_Toc60061478"/>
      <w:bookmarkStart w:id="595" w:name="_Toc144974539"/>
      <w:bookmarkStart w:id="596" w:name="_Toc35425097"/>
      <w:bookmarkStart w:id="597" w:name="_Toc78803367"/>
      <w:bookmarkStart w:id="598" w:name="_Toc31686"/>
      <w:bookmarkStart w:id="599" w:name="_Toc35424931"/>
      <w:bookmarkStart w:id="600" w:name="_Toc26974"/>
      <w:bookmarkStart w:id="601" w:name="_Toc25375"/>
      <w:bookmarkStart w:id="602" w:name="_Toc324404864"/>
      <w:bookmarkStart w:id="603" w:name="_Toc35425105"/>
      <w:bookmarkStart w:id="604" w:name="_Toc35424939"/>
      <w:bookmarkStart w:id="605" w:name="_Toc15058902"/>
      <w:bookmarkStart w:id="606" w:name="_Toc506107317"/>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60061479"/>
      <w:bookmarkStart w:id="609" w:name="_Toc144974540"/>
      <w:bookmarkStart w:id="610" w:name="_Toc95223382"/>
      <w:bookmarkStart w:id="611" w:name="_Toc179632590"/>
      <w:bookmarkStart w:id="612" w:name="_Toc152042348"/>
      <w:bookmarkStart w:id="613" w:name="_Toc152045572"/>
      <w:bookmarkStart w:id="614" w:name="_Toc83301733"/>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144974541"/>
      <w:bookmarkStart w:id="616" w:name="_Toc152045573"/>
      <w:bookmarkStart w:id="617" w:name="_Toc152042349"/>
      <w:bookmarkStart w:id="618" w:name="_Toc95223383"/>
      <w:bookmarkStart w:id="619" w:name="_Toc60061480"/>
      <w:bookmarkStart w:id="620" w:name="_Toc83301734"/>
      <w:bookmarkStart w:id="621" w:name="_Toc179632591"/>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296590983"/>
      <w:bookmarkStart w:id="623" w:name="_Toc506107310"/>
      <w:bookmarkStart w:id="624" w:name="_Toc246996219"/>
      <w:bookmarkStart w:id="625" w:name="_Toc15058895"/>
      <w:bookmarkStart w:id="626" w:name="_Toc35425098"/>
      <w:bookmarkStart w:id="627" w:name="_Toc152042351"/>
      <w:bookmarkStart w:id="628" w:name="_Toc78803368"/>
      <w:bookmarkStart w:id="629" w:name="_Toc179632593"/>
      <w:bookmarkStart w:id="630" w:name="_Toc296602462"/>
      <w:bookmarkStart w:id="631" w:name="_Toc247085733"/>
      <w:bookmarkStart w:id="632" w:name="_Toc2855"/>
      <w:bookmarkStart w:id="633" w:name="_Toc152045575"/>
      <w:bookmarkStart w:id="634" w:name="_Toc35424932"/>
      <w:bookmarkStart w:id="635" w:name="_Toc324404857"/>
      <w:bookmarkStart w:id="636" w:name="_Toc144974543"/>
      <w:bookmarkStart w:id="637" w:name="_Toc15607"/>
      <w:bookmarkStart w:id="638" w:name="_Toc246996962"/>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35424933"/>
      <w:bookmarkStart w:id="640" w:name="_Toc152045576"/>
      <w:bookmarkStart w:id="641" w:name="_Toc324404858"/>
      <w:bookmarkStart w:id="642" w:name="_Toc32177"/>
      <w:bookmarkStart w:id="643" w:name="_Toc246996220"/>
      <w:bookmarkStart w:id="644" w:name="_Toc144974544"/>
      <w:bookmarkStart w:id="645" w:name="_Toc246996963"/>
      <w:bookmarkStart w:id="646" w:name="_Toc15058896"/>
      <w:bookmarkStart w:id="647" w:name="_Toc506107311"/>
      <w:bookmarkStart w:id="648" w:name="_Toc35425099"/>
      <w:bookmarkStart w:id="649" w:name="_Toc19779"/>
      <w:bookmarkStart w:id="650" w:name="_Toc247085734"/>
      <w:bookmarkStart w:id="651" w:name="_Toc179632594"/>
      <w:bookmarkStart w:id="652" w:name="_Toc152042352"/>
      <w:bookmarkStart w:id="653" w:name="_Toc78803369"/>
      <w:bookmarkStart w:id="654" w:name="_Toc296602463"/>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144974545"/>
      <w:bookmarkStart w:id="656" w:name="_Toc13043"/>
      <w:bookmarkStart w:id="657" w:name="_Toc15058897"/>
      <w:bookmarkStart w:id="658" w:name="_Toc152042353"/>
      <w:bookmarkStart w:id="659" w:name="_Toc296602464"/>
      <w:bookmarkStart w:id="660" w:name="_Toc35424934"/>
      <w:bookmarkStart w:id="661" w:name="_Toc247085735"/>
      <w:bookmarkStart w:id="662" w:name="_Toc246996221"/>
      <w:bookmarkStart w:id="663" w:name="_Toc506107312"/>
      <w:bookmarkStart w:id="664" w:name="_Toc152045577"/>
      <w:bookmarkStart w:id="665" w:name="_Toc179632595"/>
      <w:bookmarkStart w:id="666" w:name="_Toc78803370"/>
      <w:bookmarkStart w:id="667" w:name="_Toc12564"/>
      <w:bookmarkStart w:id="668" w:name="_Toc324404859"/>
      <w:bookmarkStart w:id="669" w:name="_Toc35425100"/>
      <w:bookmarkStart w:id="670" w:name="_Toc246996964"/>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179632596"/>
      <w:bookmarkStart w:id="672" w:name="_Toc324404860"/>
      <w:bookmarkStart w:id="673" w:name="_Toc506107313"/>
      <w:bookmarkStart w:id="674" w:name="_Toc78803371"/>
      <w:bookmarkStart w:id="675" w:name="_Toc296602465"/>
      <w:bookmarkStart w:id="676" w:name="_Toc152045578"/>
      <w:bookmarkStart w:id="677" w:name="_Toc152042354"/>
      <w:bookmarkStart w:id="678" w:name="_Toc247085736"/>
      <w:bookmarkStart w:id="679" w:name="_Toc32214"/>
      <w:bookmarkStart w:id="680" w:name="_Toc246996965"/>
      <w:bookmarkStart w:id="681" w:name="_Toc246996222"/>
      <w:bookmarkStart w:id="682" w:name="_Toc18329"/>
      <w:bookmarkStart w:id="683" w:name="_Toc15058898"/>
      <w:bookmarkStart w:id="684" w:name="_Toc35424935"/>
      <w:bookmarkStart w:id="685" w:name="_Toc35425101"/>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78803372"/>
      <w:bookmarkStart w:id="689" w:name="_Toc23607"/>
      <w:bookmarkStart w:id="690" w:name="_Toc296602466"/>
      <w:bookmarkStart w:id="691" w:name="_Toc2811"/>
      <w:bookmarkStart w:id="692" w:name="_Toc15058899"/>
      <w:bookmarkStart w:id="693" w:name="_Toc247085737"/>
      <w:bookmarkStart w:id="694" w:name="_Toc246996966"/>
      <w:bookmarkStart w:id="695" w:name="_Toc152042356"/>
      <w:bookmarkStart w:id="696" w:name="_Toc35424936"/>
      <w:bookmarkStart w:id="697" w:name="_Toc246996223"/>
      <w:bookmarkStart w:id="698" w:name="_Toc506107314"/>
      <w:bookmarkStart w:id="699" w:name="_Toc35425102"/>
      <w:bookmarkStart w:id="700" w:name="_Toc324404861"/>
      <w:bookmarkStart w:id="701" w:name="_Toc152045579"/>
      <w:bookmarkStart w:id="702" w:name="_Toc179632597"/>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247085738"/>
      <w:bookmarkStart w:id="704" w:name="_Toc324404862"/>
      <w:bookmarkStart w:id="705" w:name="_Toc20669"/>
      <w:bookmarkStart w:id="706" w:name="_Toc152045580"/>
      <w:bookmarkStart w:id="707" w:name="_Toc16463"/>
      <w:bookmarkStart w:id="708" w:name="_Toc246996224"/>
      <w:bookmarkStart w:id="709" w:name="_Toc35424937"/>
      <w:bookmarkStart w:id="710" w:name="_Toc35425103"/>
      <w:bookmarkStart w:id="711" w:name="_Toc152042357"/>
      <w:bookmarkStart w:id="712" w:name="_Toc78803373"/>
      <w:bookmarkStart w:id="713" w:name="_Toc506107315"/>
      <w:bookmarkStart w:id="714" w:name="_Toc15058900"/>
      <w:bookmarkStart w:id="715" w:name="_Toc179632598"/>
      <w:bookmarkStart w:id="716" w:name="_Toc31643"/>
      <w:bookmarkStart w:id="717" w:name="_Toc246996967"/>
      <w:bookmarkStart w:id="718" w:name="_Toc144974547"/>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5320A6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719" w:name="_Toc15058901"/>
      <w:r>
        <w:rPr>
          <w:rFonts w:hint="eastAsia" w:ascii="宋体" w:hAnsi="宋体" w:cs="宋体"/>
          <w:color w:val="auto"/>
          <w:szCs w:val="21"/>
          <w:highlight w:val="none"/>
        </w:rPr>
        <w:t>10.1变更交易方式</w:t>
      </w:r>
    </w:p>
    <w:p w14:paraId="1945AFD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重新招标后，投标截止时间结束后提交投标文件的投标人少于3家或者符合专业条件的投标人或对招标文件作出实质性响应的投标人不足3家的，招标人可采取竞争性谈判、单一来源采购方式进行项目发包。</w:t>
      </w:r>
    </w:p>
    <w:p w14:paraId="11A3CD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参加竞争性谈判、单一来源采购的投标人必须符合下列条件：①、投标资格符合招标文件要求；②、对招标文件作出实质性响应。</w:t>
      </w:r>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10.2需要补充的其他内容：见投标人须知前附表。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10676"/>
      <w:bookmarkStart w:id="721" w:name="_Toc5501"/>
      <w:bookmarkStart w:id="722" w:name="_Toc78803375"/>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bookmarkEnd w:id="722"/>
    </w:p>
    <w:p w14:paraId="339E13AA">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bookmarkStart w:id="723" w:name="_Toc15058903"/>
      <w:bookmarkStart w:id="724" w:name="_Toc506107318"/>
      <w:bookmarkStart w:id="725" w:name="_Toc35424940"/>
      <w:bookmarkStart w:id="726" w:name="_Toc324404865"/>
      <w:bookmarkStart w:id="727" w:name="_Toc35425106"/>
      <w:r>
        <w:rPr>
          <w:rFonts w:hint="eastAsia" w:ascii="宋体" w:hAnsi="宋体" w:eastAsia="宋体" w:cs="宋体"/>
          <w:color w:val="auto"/>
          <w:kern w:val="2"/>
          <w:sz w:val="21"/>
          <w:szCs w:val="21"/>
          <w:highlight w:val="none"/>
          <w:lang w:val="en-US" w:eastAsia="zh-CN" w:bidi="ar"/>
        </w:rPr>
        <w:t>先对解密成功的投标人报价按计算标准计算得分后汇总，总得分按照从高到低进行排序（如总得分相等，以投标报价低的优先，投标报价仍相等，由评标委员会或招标人随机抽取确定排名，不得并列）。对排序前三名的投标人资信、技术、商务标文件进行评审并确定中标候选人。若排序前三名的投标人资信或技术或商务标文件评审不通过，则按得分排序递补</w:t>
      </w:r>
      <w:r>
        <w:rPr>
          <w:rFonts w:hint="eastAsia" w:ascii="宋体" w:hAnsi="宋体" w:eastAsia="宋体" w:cs="宋体"/>
          <w:b/>
          <w:bCs w:val="0"/>
          <w:color w:val="auto"/>
          <w:kern w:val="2"/>
          <w:sz w:val="21"/>
          <w:szCs w:val="21"/>
          <w:highlight w:val="none"/>
          <w:lang w:val="en-US" w:eastAsia="zh-CN" w:bidi="ar"/>
        </w:rPr>
        <w:t>至3家</w:t>
      </w:r>
      <w:r>
        <w:rPr>
          <w:rFonts w:hint="eastAsia" w:ascii="宋体" w:hAnsi="宋体" w:eastAsia="宋体" w:cs="宋体"/>
          <w:color w:val="auto"/>
          <w:kern w:val="2"/>
          <w:sz w:val="21"/>
          <w:szCs w:val="21"/>
          <w:highlight w:val="none"/>
          <w:lang w:val="en-US" w:eastAsia="zh-CN" w:bidi="ar"/>
        </w:rPr>
        <w:t>投标人进行资信、技术、商务文件进行评审。</w:t>
      </w:r>
    </w:p>
    <w:p w14:paraId="1D8DE46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cs="Times New Roman"/>
          <w:b/>
          <w:bCs/>
          <w:color w:val="auto"/>
          <w:kern w:val="2"/>
          <w:sz w:val="28"/>
          <w:szCs w:val="28"/>
          <w:highlight w:val="none"/>
        </w:rPr>
      </w:pPr>
      <w:r>
        <w:rPr>
          <w:rFonts w:hint="eastAsia" w:ascii="宋体" w:hAnsi="宋体" w:eastAsia="宋体" w:cs="宋体"/>
          <w:b/>
          <w:bCs/>
          <w:color w:val="auto"/>
          <w:kern w:val="2"/>
          <w:sz w:val="28"/>
          <w:szCs w:val="28"/>
          <w:highlight w:val="none"/>
          <w:lang w:val="en-US" w:eastAsia="zh-CN" w:bidi="ar"/>
        </w:rPr>
        <w:t>（一）得分计算</w:t>
      </w:r>
    </w:p>
    <w:tbl>
      <w:tblPr>
        <w:tblStyle w:val="46"/>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6"/>
        <w:gridCol w:w="7685"/>
      </w:tblGrid>
      <w:tr w14:paraId="3A53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5118AC5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7685" w:type="dxa"/>
            <w:tcBorders>
              <w:top w:val="single" w:color="auto" w:sz="4" w:space="0"/>
              <w:left w:val="single" w:color="auto" w:sz="4" w:space="0"/>
              <w:bottom w:val="single" w:color="auto" w:sz="4" w:space="0"/>
              <w:right w:val="single" w:color="auto" w:sz="4" w:space="0"/>
            </w:tcBorders>
            <w:shd w:val="clear" w:color="auto" w:fill="auto"/>
            <w:vAlign w:val="center"/>
          </w:tcPr>
          <w:p w14:paraId="3D0795F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计算标准</w:t>
            </w:r>
          </w:p>
        </w:tc>
      </w:tr>
      <w:tr w14:paraId="6307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6A27287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报价评分</w:t>
            </w:r>
          </w:p>
          <w:p w14:paraId="0C7FB35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（100分）</w:t>
            </w:r>
          </w:p>
        </w:tc>
        <w:tc>
          <w:tcPr>
            <w:tcW w:w="7685" w:type="dxa"/>
            <w:tcBorders>
              <w:top w:val="single" w:color="auto" w:sz="4" w:space="0"/>
              <w:left w:val="single" w:color="auto" w:sz="4" w:space="0"/>
              <w:bottom w:val="single" w:color="auto" w:sz="4" w:space="0"/>
              <w:right w:val="single" w:color="auto" w:sz="4" w:space="0"/>
            </w:tcBorders>
            <w:shd w:val="clear" w:color="auto" w:fill="auto"/>
            <w:vAlign w:val="center"/>
          </w:tcPr>
          <w:p w14:paraId="5A52CBC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得分按下列步骤计算：</w:t>
            </w:r>
          </w:p>
          <w:p w14:paraId="4600B35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第一步：计算B值。</w:t>
            </w:r>
          </w:p>
          <w:p w14:paraId="43E79B1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①本项目T取值为50。</w:t>
            </w:r>
          </w:p>
          <w:p w14:paraId="5AAB0A8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②投标报价不超过A值的投标人数量为M。</w:t>
            </w:r>
          </w:p>
          <w:p w14:paraId="7F05B14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③若M 未超过 T 时，B值为符合上述条件的M个投标人投标报价的算术平均值。</w:t>
            </w:r>
          </w:p>
          <w:p w14:paraId="3990DF3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④若M 超过 T 时，B值为符合上述条件的M个投标人投标报价中去除(M-T)/2【M-T 为奇数时，则为(M-T+1)/2】个最高价和(M-T)/2【M-T为奇数时，则为(M-T-1)/2】个最低价后，剩余有效投标报价的算术平均值（如去高去低的最后一名存在报价相同的，则通过随机抽取确定被去除的投标人。只保留T个投标人的投标报价）。</w:t>
            </w:r>
          </w:p>
          <w:p w14:paraId="4699E5D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第二步：计算评标基准价F值。</w:t>
            </w:r>
          </w:p>
          <w:p w14:paraId="23FA3A86">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①F=B×（1-K），其中K为调整系数，K的取值为-0.5%（1号），0%（2号），0.5%（3号），1.0%（4号），1.5%（5号）。</w:t>
            </w:r>
          </w:p>
          <w:p w14:paraId="25F4000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第三步：计算报价偏差率。</w:t>
            </w:r>
          </w:p>
          <w:p w14:paraId="587E8F7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①偏差率=|（投标报价-评标基准价）/评标基准价|×100%</w:t>
            </w:r>
          </w:p>
          <w:p w14:paraId="4CC7269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第四步：计算报价得分</w:t>
            </w:r>
          </w:p>
          <w:p w14:paraId="418C901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①投标报价等于评标基准价的得满分。</w:t>
            </w:r>
          </w:p>
          <w:p w14:paraId="3B066451">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②投标报价高于评标基准价的，投标报价得分=报价满分值-偏差率×100×1</w:t>
            </w:r>
          </w:p>
          <w:p w14:paraId="367CE395">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③投标报价低于评标基准价的，投标报价得分=报价满分值-偏差率×100×0.5</w:t>
            </w:r>
          </w:p>
          <w:p w14:paraId="6A11EFDE">
            <w:pPr>
              <w:keepNext w:val="0"/>
              <w:keepLines w:val="0"/>
              <w:widowControl w:val="0"/>
              <w:suppressLineNumbers w:val="0"/>
              <w:adjustRightInd w:val="0"/>
              <w:snapToGrid w:val="0"/>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注：计算过程中，B值、评标基准价F值、偏差率、报价得分均保留两位小数，小数点后第三位四舍五入。</w:t>
            </w:r>
          </w:p>
        </w:tc>
      </w:tr>
    </w:tbl>
    <w:p w14:paraId="33149AA1">
      <w:pPr>
        <w:keepNext w:val="0"/>
        <w:keepLines w:val="0"/>
        <w:widowControl w:val="0"/>
        <w:suppressLineNumbers w:val="0"/>
        <w:adjustRightInd w:val="0"/>
        <w:snapToGrid w:val="0"/>
        <w:spacing w:before="0" w:beforeAutospacing="0" w:after="0" w:afterAutospacing="0" w:line="560" w:lineRule="exact"/>
        <w:ind w:left="0" w:right="0" w:firstLine="316" w:firstLineChars="150"/>
        <w:jc w:val="both"/>
        <w:rPr>
          <w:rFonts w:hint="eastAsia" w:ascii="黑体" w:hAnsi="宋体" w:eastAsia="黑体" w:cs="黑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注：1、投标人总报价如超过A值，A值=最高投标限价×（1-J） +（暂列金额+暂估价）×1.09×J（其中J=10%，该值由招标人根据具体项目情况自行设定），则商务标不得分，且该投标报价不参与B值计算。 </w:t>
      </w:r>
    </w:p>
    <w:p w14:paraId="6ECAF714">
      <w:pPr>
        <w:keepNext w:val="0"/>
        <w:keepLines w:val="0"/>
        <w:widowControl w:val="0"/>
        <w:suppressLineNumbers w:val="0"/>
        <w:adjustRightInd w:val="0"/>
        <w:snapToGrid w:val="0"/>
        <w:spacing w:before="0" w:beforeAutospacing="0" w:after="0" w:afterAutospacing="0" w:line="560" w:lineRule="exact"/>
        <w:ind w:left="0" w:right="0" w:firstLine="315" w:firstLineChars="15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2、本表所称投标报价是指</w:t>
      </w:r>
      <w:r>
        <w:rPr>
          <w:rFonts w:hint="eastAsia" w:ascii="宋体" w:hAnsi="宋体" w:eastAsia="宋体" w:cs="宋体"/>
          <w:b/>
          <w:bCs w:val="0"/>
          <w:color w:val="auto"/>
          <w:kern w:val="2"/>
          <w:sz w:val="21"/>
          <w:szCs w:val="21"/>
          <w:highlight w:val="none"/>
          <w:lang w:val="en-US" w:eastAsia="zh-CN" w:bidi="ar"/>
        </w:rPr>
        <w:t>解密成功后开标记录表中投标人的报价</w:t>
      </w:r>
      <w:r>
        <w:rPr>
          <w:rFonts w:hint="eastAsia" w:ascii="宋体" w:hAnsi="宋体" w:eastAsia="宋体" w:cs="宋体"/>
          <w:color w:val="auto"/>
          <w:kern w:val="2"/>
          <w:sz w:val="21"/>
          <w:szCs w:val="21"/>
          <w:highlight w:val="none"/>
          <w:lang w:val="en-US" w:eastAsia="zh-CN" w:bidi="ar"/>
        </w:rPr>
        <w:t>，报价以元为单位，保留两位小数，小数点后第三位四舍五入。</w:t>
      </w:r>
    </w:p>
    <w:p w14:paraId="29E62D91">
      <w:pPr>
        <w:keepNext w:val="0"/>
        <w:keepLines w:val="0"/>
        <w:widowControl w:val="0"/>
        <w:suppressLineNumbers w:val="0"/>
        <w:adjustRightInd w:val="0"/>
        <w:snapToGrid w:val="0"/>
        <w:spacing w:before="0" w:beforeAutospacing="0" w:after="0" w:afterAutospacing="0" w:line="560" w:lineRule="exact"/>
        <w:ind w:left="0" w:right="0" w:firstLine="315" w:firstLineChars="15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3、K值（评标基准价系数）的抽取：招标人现场随机抽取K值，评标委员会根据抽取的K值计算F值。</w:t>
      </w:r>
    </w:p>
    <w:p w14:paraId="37875F83">
      <w:pPr>
        <w:keepNext w:val="0"/>
        <w:keepLines w:val="0"/>
        <w:widowControl w:val="0"/>
        <w:suppressLineNumbers w:val="0"/>
        <w:adjustRightInd w:val="0"/>
        <w:snapToGrid w:val="0"/>
        <w:spacing w:before="0" w:beforeAutospacing="0" w:after="0" w:afterAutospacing="0" w:line="560" w:lineRule="exact"/>
        <w:ind w:left="0" w:right="0" w:firstLine="316" w:firstLineChars="150"/>
        <w:jc w:val="both"/>
        <w:rPr>
          <w:rFonts w:hint="default"/>
          <w:color w:val="auto"/>
          <w:highlight w:val="none"/>
          <w:lang w:val="en-US"/>
        </w:rPr>
      </w:pPr>
      <w:r>
        <w:rPr>
          <w:rFonts w:hint="eastAsia" w:ascii="宋体" w:hAnsi="宋体" w:eastAsia="宋体" w:cs="宋体"/>
          <w:b/>
          <w:bCs/>
          <w:color w:val="auto"/>
          <w:kern w:val="2"/>
          <w:sz w:val="21"/>
          <w:szCs w:val="21"/>
          <w:highlight w:val="none"/>
          <w:lang w:val="en-US" w:eastAsia="zh-CN" w:bidi="ar"/>
        </w:rPr>
        <w:t>4、评标办法中的评标基准价计算出来后，除数字计算错误外，其他情况均不再调整。</w:t>
      </w:r>
    </w:p>
    <w:p w14:paraId="663679ED">
      <w:pPr>
        <w:spacing w:beforeLines="50" w:afterLines="50" w:line="440" w:lineRule="exact"/>
        <w:jc w:val="center"/>
        <w:rPr>
          <w:rFonts w:hint="eastAsia" w:ascii="宋体" w:hAnsi="宋体" w:cs="宋体"/>
          <w:b/>
          <w:bCs/>
          <w:color w:val="auto"/>
          <w:sz w:val="28"/>
          <w:szCs w:val="22"/>
          <w:highlight w:val="none"/>
        </w:rPr>
      </w:pPr>
    </w:p>
    <w:p w14:paraId="2C0EA906">
      <w:pPr>
        <w:spacing w:beforeLines="50" w:afterLines="50" w:line="440" w:lineRule="exact"/>
        <w:jc w:val="center"/>
        <w:rPr>
          <w:rFonts w:hint="eastAsia" w:ascii="宋体" w:hAnsi="宋体" w:cs="宋体"/>
          <w:b/>
          <w:bCs/>
          <w:color w:val="auto"/>
          <w:sz w:val="28"/>
          <w:szCs w:val="22"/>
          <w:highlight w:val="none"/>
        </w:rPr>
      </w:pPr>
    </w:p>
    <w:p w14:paraId="5AAB9C2F">
      <w:pPr>
        <w:spacing w:beforeLines="50" w:afterLines="50" w:line="440" w:lineRule="exact"/>
        <w:jc w:val="center"/>
        <w:rPr>
          <w:rFonts w:hint="eastAsia" w:ascii="宋体" w:hAnsi="宋体" w:cs="宋体"/>
          <w:b/>
          <w:bCs/>
          <w:color w:val="auto"/>
          <w:sz w:val="28"/>
          <w:szCs w:val="22"/>
          <w:highlight w:val="none"/>
        </w:rPr>
      </w:pPr>
    </w:p>
    <w:p w14:paraId="4832DBA4">
      <w:pPr>
        <w:rPr>
          <w:rFonts w:hint="eastAsia" w:ascii="宋体" w:hAnsi="宋体" w:cs="宋体"/>
          <w:b/>
          <w:bCs/>
          <w:color w:val="auto"/>
          <w:sz w:val="28"/>
          <w:szCs w:val="22"/>
          <w:highlight w:val="none"/>
          <w:lang w:eastAsia="zh-CN"/>
        </w:rPr>
      </w:pPr>
      <w:r>
        <w:rPr>
          <w:rFonts w:hint="eastAsia" w:ascii="宋体" w:hAnsi="宋体" w:cs="宋体"/>
          <w:b/>
          <w:bCs/>
          <w:color w:val="auto"/>
          <w:sz w:val="28"/>
          <w:szCs w:val="22"/>
          <w:highlight w:val="none"/>
          <w:lang w:eastAsia="zh-CN"/>
        </w:rPr>
        <w:br w:type="page"/>
      </w:r>
    </w:p>
    <w:p w14:paraId="1680BB4F">
      <w:pPr>
        <w:spacing w:beforeLines="50" w:afterLines="50" w:line="440" w:lineRule="exact"/>
        <w:jc w:val="center"/>
        <w:rPr>
          <w:rFonts w:ascii="宋体" w:hAnsi="宋体" w:cs="宋体"/>
          <w:b/>
          <w:bCs/>
          <w:color w:val="auto"/>
          <w:sz w:val="28"/>
          <w:szCs w:val="22"/>
          <w:highlight w:val="none"/>
        </w:rPr>
      </w:pPr>
      <w:r>
        <w:rPr>
          <w:rFonts w:hint="eastAsia" w:ascii="宋体" w:hAnsi="宋体" w:cs="宋体"/>
          <w:b/>
          <w:bCs/>
          <w:color w:val="auto"/>
          <w:sz w:val="28"/>
          <w:szCs w:val="22"/>
          <w:highlight w:val="none"/>
          <w:lang w:eastAsia="zh-CN"/>
        </w:rPr>
        <w:t>（</w:t>
      </w:r>
      <w:r>
        <w:rPr>
          <w:rFonts w:hint="eastAsia" w:ascii="宋体" w:hAnsi="宋体" w:cs="宋体"/>
          <w:b/>
          <w:bCs/>
          <w:color w:val="auto"/>
          <w:sz w:val="28"/>
          <w:szCs w:val="22"/>
          <w:highlight w:val="none"/>
          <w:lang w:val="en-US" w:eastAsia="zh-CN"/>
        </w:rPr>
        <w:t>二</w:t>
      </w:r>
      <w:r>
        <w:rPr>
          <w:rFonts w:hint="eastAsia" w:ascii="宋体" w:hAnsi="宋体" w:cs="宋体"/>
          <w:b/>
          <w:bCs/>
          <w:color w:val="auto"/>
          <w:sz w:val="28"/>
          <w:szCs w:val="22"/>
          <w:highlight w:val="none"/>
          <w:lang w:eastAsia="zh-CN"/>
        </w:rPr>
        <w:t>）</w:t>
      </w:r>
      <w:r>
        <w:rPr>
          <w:rFonts w:hint="eastAsia" w:ascii="宋体" w:hAnsi="宋体" w:cs="宋体"/>
          <w:b/>
          <w:bCs/>
          <w:color w:val="auto"/>
          <w:sz w:val="28"/>
          <w:szCs w:val="22"/>
          <w:highlight w:val="none"/>
        </w:rPr>
        <w:t>资格审查办法前附表</w:t>
      </w:r>
      <w:bookmarkEnd w:id="723"/>
      <w:bookmarkEnd w:id="724"/>
      <w:bookmarkEnd w:id="725"/>
      <w:bookmarkEnd w:id="726"/>
      <w:bookmarkEnd w:id="727"/>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B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1D00DED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2D35A3F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2D85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5C79B4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BD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5" w:type="dxa"/>
            <w:vMerge w:val="continue"/>
            <w:noWrap/>
            <w:vAlign w:val="center"/>
          </w:tcPr>
          <w:p w14:paraId="322A555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8D5F02F">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7AB5FCCE">
            <w:pPr>
              <w:keepNext w:val="0"/>
              <w:keepLines w:val="0"/>
              <w:suppressLineNumbers w:val="0"/>
              <w:spacing w:before="0" w:beforeAutospacing="0" w:after="0" w:afterAutospacing="0" w:line="440" w:lineRule="exact"/>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项目管理机构</w:t>
            </w:r>
          </w:p>
        </w:tc>
        <w:tc>
          <w:tcPr>
            <w:tcW w:w="1860" w:type="dxa"/>
            <w:vMerge w:val="continue"/>
            <w:noWrap/>
            <w:vAlign w:val="center"/>
          </w:tcPr>
          <w:p w14:paraId="2A216D0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383FD738">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7"/>
        <w:spacing w:beforeLines="50" w:afterLines="50"/>
        <w:ind w:firstLine="422" w:firstLineChars="200"/>
        <w:rPr>
          <w:rFonts w:ascii="宋体" w:hAnsi="宋体" w:eastAsia="宋体" w:cs="宋体"/>
          <w:color w:val="auto"/>
          <w:highlight w:val="none"/>
        </w:rPr>
      </w:pPr>
      <w:bookmarkStart w:id="728" w:name="_Toc12549"/>
      <w:bookmarkStart w:id="729" w:name="_Toc35425108"/>
      <w:bookmarkStart w:id="730" w:name="_Toc35424942"/>
      <w:bookmarkStart w:id="731" w:name="_Toc78803377"/>
      <w:bookmarkStart w:id="732" w:name="_Toc324404867"/>
      <w:bookmarkStart w:id="733" w:name="_Toc15058909"/>
      <w:bookmarkStart w:id="734" w:name="_Toc506107320"/>
      <w:r>
        <w:rPr>
          <w:rFonts w:hint="eastAsia" w:ascii="宋体" w:hAnsi="宋体" w:eastAsia="宋体" w:cs="宋体"/>
          <w:color w:val="auto"/>
          <w:highlight w:val="none"/>
        </w:rPr>
        <w:t>2.审查办法</w:t>
      </w:r>
      <w:bookmarkEnd w:id="728"/>
      <w:bookmarkEnd w:id="729"/>
      <w:bookmarkEnd w:id="730"/>
      <w:bookmarkEnd w:id="731"/>
      <w:bookmarkEnd w:id="732"/>
      <w:bookmarkEnd w:id="733"/>
      <w:bookmarkEnd w:id="734"/>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7"/>
        <w:spacing w:beforeLines="50" w:afterLines="50"/>
        <w:ind w:firstLine="422" w:firstLineChars="200"/>
        <w:rPr>
          <w:rFonts w:ascii="宋体" w:hAnsi="宋体" w:eastAsia="宋体" w:cs="宋体"/>
          <w:color w:val="auto"/>
          <w:highlight w:val="none"/>
        </w:rPr>
      </w:pPr>
      <w:bookmarkStart w:id="735" w:name="_Toc324404868"/>
      <w:bookmarkStart w:id="736" w:name="_Toc35425109"/>
      <w:bookmarkStart w:id="737" w:name="_Toc78803378"/>
      <w:bookmarkStart w:id="738" w:name="_Toc15626"/>
      <w:bookmarkStart w:id="739" w:name="_Toc506107321"/>
      <w:bookmarkStart w:id="740" w:name="_Toc15058910"/>
      <w:bookmarkStart w:id="741" w:name="_Toc35424943"/>
      <w:r>
        <w:rPr>
          <w:rFonts w:hint="eastAsia" w:ascii="宋体" w:hAnsi="宋体" w:eastAsia="宋体" w:cs="宋体"/>
          <w:color w:val="auto"/>
          <w:highlight w:val="none"/>
        </w:rPr>
        <w:t>3.资格审查委员会和审查标准</w:t>
      </w:r>
      <w:bookmarkEnd w:id="735"/>
      <w:bookmarkEnd w:id="736"/>
      <w:bookmarkEnd w:id="737"/>
      <w:bookmarkEnd w:id="738"/>
      <w:bookmarkEnd w:id="739"/>
      <w:bookmarkEnd w:id="740"/>
      <w:bookmarkEnd w:id="741"/>
    </w:p>
    <w:p w14:paraId="247912DA">
      <w:pPr>
        <w:spacing w:line="440" w:lineRule="exact"/>
        <w:ind w:firstLine="420" w:firstLineChars="200"/>
        <w:jc w:val="left"/>
        <w:rPr>
          <w:rFonts w:hint="eastAsia" w:ascii="宋体" w:hAnsi="宋体" w:eastAsia="宋体" w:cs="宋体"/>
          <w:color w:val="auto"/>
          <w:szCs w:val="21"/>
          <w:highlight w:val="none"/>
        </w:rPr>
      </w:pPr>
      <w:bookmarkStart w:id="742" w:name="_Toc35425110"/>
      <w:bookmarkStart w:id="743" w:name="_Toc10330"/>
      <w:bookmarkStart w:id="744" w:name="_Toc324404869"/>
      <w:bookmarkStart w:id="745" w:name="_Toc78803379"/>
      <w:bookmarkStart w:id="746" w:name="_Toc15058911"/>
      <w:bookmarkStart w:id="747" w:name="_Toc35424944"/>
      <w:bookmarkStart w:id="748" w:name="_Toc506107322"/>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2"/>
      <w:bookmarkEnd w:id="743"/>
      <w:bookmarkEnd w:id="744"/>
      <w:bookmarkEnd w:id="745"/>
      <w:bookmarkEnd w:id="746"/>
      <w:bookmarkEnd w:id="747"/>
      <w:bookmarkEnd w:id="748"/>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9" w:name="_Toc506107323"/>
    </w:p>
    <w:p w14:paraId="10BAEF2B">
      <w:pPr>
        <w:pStyle w:val="6"/>
        <w:numPr>
          <w:ilvl w:val="0"/>
          <w:numId w:val="2"/>
        </w:numPr>
        <w:spacing w:beforeLines="50" w:afterLines="50"/>
        <w:rPr>
          <w:rFonts w:hint="eastAsia" w:ascii="Arial" w:hAnsi="Arial"/>
          <w:color w:val="auto"/>
          <w:kern w:val="0"/>
          <w:sz w:val="32"/>
          <w:szCs w:val="32"/>
          <w:highlight w:val="none"/>
        </w:rPr>
      </w:pPr>
      <w:bookmarkStart w:id="750" w:name="_Toc15058912"/>
      <w:bookmarkStart w:id="751" w:name="_Toc35425111"/>
      <w:bookmarkStart w:id="752" w:name="_Toc35424945"/>
      <w:r>
        <w:rPr>
          <w:rFonts w:hint="eastAsia"/>
          <w:color w:val="auto"/>
          <w:highlight w:val="none"/>
        </w:rPr>
        <w:br w:type="page"/>
      </w:r>
      <w:bookmarkStart w:id="753" w:name="_Toc78803380"/>
      <w:r>
        <w:rPr>
          <w:rFonts w:hint="eastAsia" w:ascii="Arial" w:hAnsi="Arial"/>
          <w:color w:val="auto"/>
          <w:kern w:val="0"/>
          <w:sz w:val="32"/>
          <w:szCs w:val="32"/>
          <w:highlight w:val="none"/>
        </w:rPr>
        <w:t xml:space="preserve"> </w:t>
      </w:r>
      <w:bookmarkStart w:id="754" w:name="_Toc30518"/>
      <w:bookmarkStart w:id="755" w:name="_Toc1286"/>
      <w:bookmarkStart w:id="756" w:name="_Toc32602"/>
      <w:r>
        <w:rPr>
          <w:rFonts w:hint="eastAsia" w:ascii="Arial" w:hAnsi="Arial"/>
          <w:color w:val="auto"/>
          <w:kern w:val="0"/>
          <w:sz w:val="32"/>
          <w:szCs w:val="32"/>
          <w:highlight w:val="none"/>
        </w:rPr>
        <w:t>评标办法</w:t>
      </w:r>
      <w:bookmarkEnd w:id="607"/>
      <w:bookmarkEnd w:id="749"/>
      <w:bookmarkEnd w:id="750"/>
      <w:bookmarkEnd w:id="751"/>
      <w:bookmarkEnd w:id="752"/>
      <w:bookmarkEnd w:id="753"/>
      <w:bookmarkEnd w:id="754"/>
      <w:bookmarkEnd w:id="755"/>
      <w:bookmarkEnd w:id="756"/>
    </w:p>
    <w:p w14:paraId="48D38EB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w:t>
      </w:r>
      <w:r>
        <w:rPr>
          <w:rFonts w:hint="eastAsia" w:cs="Times New Roman"/>
          <w:b/>
          <w:color w:val="auto"/>
          <w:sz w:val="24"/>
          <w:szCs w:val="24"/>
          <w:highlight w:val="none"/>
          <w:lang w:val="en-US" w:eastAsia="zh-CN"/>
        </w:rPr>
        <w:t>技术标评审</w:t>
      </w:r>
    </w:p>
    <w:tbl>
      <w:tblPr>
        <w:tblStyle w:val="46"/>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8"/>
        <w:gridCol w:w="1276"/>
        <w:gridCol w:w="675"/>
        <w:gridCol w:w="545"/>
        <w:gridCol w:w="2135"/>
        <w:gridCol w:w="4452"/>
      </w:tblGrid>
      <w:tr w14:paraId="3036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jc w:val="center"/>
        </w:trPr>
        <w:tc>
          <w:tcPr>
            <w:tcW w:w="2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4D0C0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4D889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w:t>
            </w:r>
            <w:bookmarkStart w:id="757" w:name="_Toc246996995"/>
            <w:r>
              <w:rPr>
                <w:rFonts w:hint="eastAsia" w:ascii="宋体" w:hAnsi="宋体" w:eastAsia="宋体" w:cs="宋体"/>
                <w:color w:val="auto"/>
                <w:kern w:val="2"/>
                <w:sz w:val="21"/>
                <w:szCs w:val="21"/>
                <w:highlight w:val="none"/>
                <w:lang w:val="en-US" w:eastAsia="zh-CN" w:bidi="ar"/>
              </w:rPr>
              <w:t>审因</w:t>
            </w:r>
            <w:bookmarkEnd w:id="757"/>
            <w:bookmarkStart w:id="758" w:name="_Toc60061510"/>
            <w:bookmarkEnd w:id="758"/>
            <w:r>
              <w:rPr>
                <w:rFonts w:hint="eastAsia" w:ascii="宋体" w:hAnsi="宋体" w:eastAsia="宋体" w:cs="宋体"/>
                <w:color w:val="auto"/>
                <w:kern w:val="2"/>
                <w:sz w:val="21"/>
                <w:szCs w:val="21"/>
                <w:highlight w:val="none"/>
                <w:lang w:val="en-US" w:eastAsia="zh-CN" w:bidi="ar"/>
              </w:rPr>
              <w:t>素</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69E200F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4F42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shd w:val="clear" w:color="auto" w:fill="auto"/>
            <w:vAlign w:val="center"/>
          </w:tcPr>
          <w:p w14:paraId="66660A2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4.1.1</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401A102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w:t>
            </w:r>
          </w:p>
          <w:p w14:paraId="4FEB3C9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标准</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9D4602">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投标人名称</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5A3D27B">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与营业执照、资质证书、安全生产许可证一致。</w:t>
            </w:r>
          </w:p>
        </w:tc>
      </w:tr>
      <w:tr w14:paraId="6A7B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A55D6C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4B56D9F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A68B1A">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D22691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符合第八章“投标文件格式”的要求，否则经评委会一致认定后</w:t>
            </w:r>
            <w:r>
              <w:rPr>
                <w:rFonts w:hint="default" w:ascii="Times New Roman" w:hAnsi="Times New Roman"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按照无效投标处理。</w:t>
            </w:r>
          </w:p>
        </w:tc>
      </w:tr>
      <w:tr w14:paraId="0C58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shd w:val="clear" w:color="auto" w:fill="auto"/>
            <w:vAlign w:val="center"/>
          </w:tcPr>
          <w:p w14:paraId="41F5CF3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4.1.2</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0F91028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响应性评审标准（初步评审）</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BBF235">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投标内容</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95B983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符合第一章“投标人须知”规定。</w:t>
            </w:r>
          </w:p>
        </w:tc>
      </w:tr>
      <w:tr w14:paraId="1053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B42C3B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2EB25B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502B0E">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权利义务</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97FBAA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符合第四章“合同条款及格式”规定。</w:t>
            </w:r>
          </w:p>
        </w:tc>
      </w:tr>
      <w:tr w14:paraId="3E10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311621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62788B2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59C493">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技术标准和要求</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84EF80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符合第七章“技术标准和要求”规定。</w:t>
            </w:r>
          </w:p>
        </w:tc>
      </w:tr>
      <w:tr w14:paraId="6C46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6E6DA7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349F450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响应性评审标准（符合性评审）</w:t>
            </w:r>
          </w:p>
        </w:tc>
        <w:tc>
          <w:tcPr>
            <w:tcW w:w="675" w:type="dxa"/>
            <w:vMerge w:val="restart"/>
            <w:tcBorders>
              <w:top w:val="nil"/>
              <w:left w:val="single" w:color="auto" w:sz="4" w:space="0"/>
              <w:bottom w:val="single" w:color="auto" w:sz="4" w:space="0"/>
              <w:right w:val="single" w:color="auto" w:sz="4" w:space="0"/>
            </w:tcBorders>
            <w:shd w:val="clear" w:color="auto" w:fill="auto"/>
            <w:vAlign w:val="center"/>
          </w:tcPr>
          <w:p w14:paraId="7128F72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2D6B9A7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20E9B1F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584515F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196E400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134DDB2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7110079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5CDEC6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工程概况</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242137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描述是否准确。</w:t>
            </w:r>
          </w:p>
        </w:tc>
      </w:tr>
      <w:tr w14:paraId="66B3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C1BB1F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4B456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2D593D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B53979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1FB5449B">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主要施工方法</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4BDCFD4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各主要分部施工方法符合项目实际，须有详尽的施工技术方案，工艺先进、方法科学合理、可行，能指导具体施工并确保安全。</w:t>
            </w:r>
          </w:p>
        </w:tc>
      </w:tr>
      <w:tr w14:paraId="3C96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9FA70D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7C9648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79E542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5825537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171FFF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拟投入的主要物资计划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7D036EB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投入的施工材料有详细计划且计划周密，数量、选型配置、进场数量、时间安排合理，满足施工需要。</w:t>
            </w:r>
          </w:p>
        </w:tc>
      </w:tr>
      <w:tr w14:paraId="0D62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003A3AB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2E7687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6BB1CF0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06FEE85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69C46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拟投入的主要施工机械、设备计划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90402C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投入的施工机械、设备、机具有详细计划且计划周密，设备数量、选型配置、进场数量、时间 合理、满足施工需要。</w:t>
            </w:r>
          </w:p>
        </w:tc>
      </w:tr>
      <w:tr w14:paraId="23DD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BBEC3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18A228A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367389D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1C0ACAC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B14F91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劳动力安排计划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4AE4015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各主要施工工序应有详细周密的劳动力安排计划明细，有各工种劳动力安排计划。劳动力投入经济合理，满足施工需要。</w:t>
            </w:r>
          </w:p>
        </w:tc>
      </w:tr>
      <w:tr w14:paraId="7A5C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99A7BC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D2C22D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22EBA4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28131DE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46C3E2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确保工程质量的技术组织措施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76E6709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施工项目应有专门的质量技术管理班子和制度，且人员配备合理，制度健全，主要工序应有质量技术保证措施和手段，自控体系完整，能有效的保证技术质量，达到承诺的质量标准。</w:t>
            </w:r>
          </w:p>
        </w:tc>
      </w:tr>
      <w:tr w14:paraId="0FE6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D6B43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2FA84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5D31E9A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5A52864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C9EE6A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确保安全生产的技术组织措施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375568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施工项目应有专门的安全管理人员和制度，且人员配备合理，制度健全，各道工序安全技术措施针对性强，符合实际且满足有关安全技术标准要求。现场防火、社会治安安全措施得力。</w:t>
            </w:r>
          </w:p>
        </w:tc>
      </w:tr>
      <w:tr w14:paraId="66D0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71E7EDA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CA68D3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3DAA26C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23C9929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042B43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确保工期的技术组织措施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6EBD14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7151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E66234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844D33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4FCF79E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3E581D5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D3690D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确保文明施工的技术组织措施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247CEE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针对本工程特点，应有现场文明施工计划，环境保护措施，且计划措施内容应达到“安全文明示范工地”标准。各项措施周全、具体、有效。有具体实现现场文明施工目标的承诺。</w:t>
            </w:r>
          </w:p>
        </w:tc>
      </w:tr>
      <w:tr w14:paraId="4563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74376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4F727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16230D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C52396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69371D4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工程施工重点和难点及保证措施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8758B1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是否正确（本条内容须与前附表要求对应）。</w:t>
            </w:r>
          </w:p>
        </w:tc>
      </w:tr>
      <w:tr w14:paraId="69B2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2A02BC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7C609E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94A0F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634F73F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13768A6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危大工程安全管理（如有）</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top"/>
          </w:tcPr>
          <w:p w14:paraId="635C254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根据招标人在招标文件中列明的危大工程清单及结合招标项目实际情况补充完善危大工程清单，编制专项施工方案并明确相应的安全管理措施。</w:t>
            </w:r>
          </w:p>
        </w:tc>
      </w:tr>
      <w:tr w14:paraId="7014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D6E4A0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931DBC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46A535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6D9A508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712E0A1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施工总平面布置图</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2117534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应有施工总平面布置图，安排科学合理，符合本项目施工实际要求。</w:t>
            </w:r>
          </w:p>
        </w:tc>
      </w:tr>
      <w:tr w14:paraId="1CBE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15C58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65318A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7827857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0619CA1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57C0600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施工组织设计整体</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03E773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针对性、完整性符合要求。</w:t>
            </w:r>
          </w:p>
        </w:tc>
      </w:tr>
      <w:tr w14:paraId="4B33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3B4EB8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B16D3A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1B4438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DA9E4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4884AD9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其他内容（如有）</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2E82215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tc>
      </w:tr>
    </w:tbl>
    <w:p w14:paraId="65A1DC2A">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default" w:ascii="宋体" w:hAnsi="宋体" w:eastAsia="宋体" w:cs="宋体"/>
          <w:color w:val="auto"/>
          <w:kern w:val="2"/>
          <w:sz w:val="21"/>
          <w:szCs w:val="21"/>
          <w:highlight w:val="none"/>
          <w:lang w:val="en-US"/>
        </w:rPr>
      </w:pPr>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w:t>
      </w:r>
      <w:r>
        <w:rPr>
          <w:rFonts w:hint="eastAsia" w:cs="Times New Roman"/>
          <w:b/>
          <w:color w:val="auto"/>
          <w:sz w:val="24"/>
          <w:szCs w:val="24"/>
          <w:highlight w:val="none"/>
          <w:lang w:val="en-US" w:eastAsia="zh-CN"/>
        </w:rPr>
        <w:t>二</w:t>
      </w:r>
      <w:r>
        <w:rPr>
          <w:rFonts w:hint="eastAsia" w:ascii="Times New Roman" w:hAnsi="Times New Roman" w:eastAsia="宋体" w:cs="Times New Roman"/>
          <w:b/>
          <w:color w:val="auto"/>
          <w:sz w:val="24"/>
          <w:szCs w:val="24"/>
          <w:highlight w:val="none"/>
          <w:lang w:val="en-US" w:eastAsia="zh-CN"/>
        </w:rPr>
        <w:t>）商务标评审</w:t>
      </w:r>
    </w:p>
    <w:tbl>
      <w:tblPr>
        <w:tblStyle w:val="46"/>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794"/>
      </w:tblGrid>
      <w:tr w14:paraId="0046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11C3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bookmarkStart w:id="759" w:name="_Toc324404872"/>
            <w:bookmarkStart w:id="760" w:name="_Toc152045589"/>
            <w:bookmarkStart w:id="761" w:name="_Toc506107324"/>
            <w:bookmarkStart w:id="762" w:name="_Toc35425113"/>
            <w:bookmarkStart w:id="763" w:name="_Toc247085747"/>
            <w:bookmarkStart w:id="764" w:name="_Toc246996232"/>
            <w:bookmarkStart w:id="765" w:name="_Toc78803381"/>
            <w:bookmarkStart w:id="766" w:name="_Toc35424947"/>
            <w:bookmarkStart w:id="767" w:name="_Toc246996975"/>
            <w:bookmarkStart w:id="768" w:name="_Toc15058913"/>
            <w:bookmarkStart w:id="769" w:name="_Toc6491"/>
            <w:bookmarkStart w:id="770" w:name="_Toc144974556"/>
            <w:bookmarkStart w:id="771" w:name="_Toc152042366"/>
            <w:bookmarkStart w:id="772" w:name="_Toc179632607"/>
            <w:r>
              <w:rPr>
                <w:rFonts w:hint="eastAsia" w:ascii="宋体" w:hAnsi="宋体" w:eastAsia="宋体" w:cs="宋体"/>
                <w:color w:val="auto"/>
                <w:kern w:val="2"/>
                <w:sz w:val="21"/>
                <w:szCs w:val="21"/>
                <w:highlight w:val="none"/>
                <w:lang w:val="en-US" w:eastAsia="zh-CN" w:bidi="ar"/>
              </w:rPr>
              <w:t>条款号</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7165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740CD6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2751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C02F81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4.2.1</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77CD58A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80D6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A10AB1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有投标人及其法定代表人签章。</w:t>
            </w:r>
          </w:p>
        </w:tc>
      </w:tr>
      <w:tr w14:paraId="2FBE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CB3F4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7D1083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85AA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19841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w:t>
            </w:r>
          </w:p>
        </w:tc>
      </w:tr>
      <w:tr w14:paraId="3C5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E4483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AA258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144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90595C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按投标文件格式要求签章。</w:t>
            </w:r>
          </w:p>
        </w:tc>
      </w:tr>
      <w:tr w14:paraId="401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FCA29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84DAE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B56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F28EC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6175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A94A97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4.2.2</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49B9F2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55E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投标保证金缴纳情况</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3D4C6E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6C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10A35F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7BD427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D26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213A6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1ED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FE00CA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08F04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F07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A4A680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54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75615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BEA99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C012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99D8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33DE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E17F1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0ACA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1812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62CB18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与招标人发布的招标工程量清单（含需评审材料清单）排序一致，能有效导入计算机辅助评标系统。</w:t>
            </w:r>
          </w:p>
        </w:tc>
      </w:tr>
      <w:tr w14:paraId="3545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47B81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3D7038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D234A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投标总价评审</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62054D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不得高于最高投标限价，也不得低于工程成本价。</w:t>
            </w:r>
          </w:p>
        </w:tc>
      </w:tr>
      <w:tr w14:paraId="49E9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149E6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D5C84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29F1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暂列金额、专业工程暂估价、分部分项工程材料及设备暂估价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00C93A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与招标人发布的招标工程量清单一致。</w:t>
            </w:r>
          </w:p>
        </w:tc>
      </w:tr>
      <w:tr w14:paraId="728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92FA0D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4.2.3</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FA8CD3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18"/>
                <w:szCs w:val="18"/>
                <w:highlight w:val="none"/>
                <w:lang w:val="en-US" w:eastAsia="zh-CN" w:bidi="ar"/>
              </w:rPr>
              <w:t>详细评审标准</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EF29AF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D71F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投标报价出现下列情形之一的，由评标委员会重点评审后界定其报价是否低于工程成本：</w:t>
            </w:r>
          </w:p>
        </w:tc>
      </w:tr>
      <w:tr w14:paraId="435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0C3F37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152F4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5C773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43DE77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40A4F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投标报价低于本项目通过资信、技术评审且商务标初步评审合格的有效投标报价平均值10%以上。</w:t>
            </w:r>
          </w:p>
        </w:tc>
      </w:tr>
      <w:tr w14:paraId="1264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D836B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8F26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45B428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E92ECB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报价内容完整性</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F54851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因投标人原因造成投标报价清单缺漏，缺漏项总额（多算或多报总额不得抵消缺漏项目总额）累计占本项目通过资信、技术评审且商务标初步评审合格</w:t>
            </w:r>
            <w:r>
              <w:rPr>
                <w:rFonts w:hint="eastAsia" w:ascii="宋体" w:hAnsi="宋体" w:eastAsia="宋体" w:cs="宋体"/>
                <w:color w:val="auto"/>
                <w:spacing w:val="-6"/>
                <w:kern w:val="2"/>
                <w:sz w:val="21"/>
                <w:szCs w:val="21"/>
                <w:highlight w:val="none"/>
                <w:lang w:val="en-US" w:eastAsia="zh-CN" w:bidi="ar"/>
              </w:rPr>
              <w:t>有效投标总报价平均值5%以上。</w:t>
            </w:r>
          </w:p>
        </w:tc>
      </w:tr>
      <w:tr w14:paraId="3CA7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CE837F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7038E6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958D3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DA7ABE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人工工日单价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76132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不得低于招标人发布的最高投标限价中的人工工日单价</w:t>
            </w:r>
          </w:p>
        </w:tc>
      </w:tr>
      <w:tr w14:paraId="5EBE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21E4B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AD21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4369CC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810E3F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需评审材料数量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935120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需评审的主要材料消耗量低于最高投标限价相应材料数量的5%以上，且低于本项目通过资信、技术评审且商务标初步评审合格有效投标报价相应材料消耗量平均值的3%以上。</w:t>
            </w:r>
          </w:p>
        </w:tc>
      </w:tr>
      <w:tr w14:paraId="6127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340039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ECCCFB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15965A3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CAD0E4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DE01CB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施工机具使用费低于本项目通过资信、技术评审且商务标初步评审合格有效投标报价施工机具使用费平均值的10%以上。</w:t>
            </w:r>
          </w:p>
        </w:tc>
      </w:tr>
      <w:tr w14:paraId="7944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AE75C8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32BC8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1C330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86CE15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管理费和利润费率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0EC2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管理费、利润投标费率低于0%。</w:t>
            </w:r>
          </w:p>
        </w:tc>
      </w:tr>
      <w:tr w14:paraId="0FC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E5BCA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FD21D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A9EC3F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无效报价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4040A0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24A3134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7A96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907EC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5300E8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791329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0F3571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25487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5B7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10BB4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5ED8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3FA3BF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21BFA4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CBAA63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bl>
    <w:p w14:paraId="2D9B84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3F188C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1、缺漏项金额是指投标人漏计招标人发布的清单项目，按最高投标限价对应清单综合单价计算缺漏金额。</w:t>
      </w:r>
    </w:p>
    <w:p w14:paraId="128EA0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2、本表所述累计投标报价缺漏错总额占原投标报价格 5%以下者，视为投标人主动让利或包含在其他项目中，不修正总价，工程结算时亦不予调整。</w:t>
      </w:r>
    </w:p>
    <w:p w14:paraId="63B190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3、投标函报价与开标记录表中的投标总价、标书信息确认中的投标总价不一致的，商务标审查不合格。</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4、投标人（如投标人为联合体，联合体各方均需提供）的注册建造师必须满足相应建筑业企业资质标准要求，评标委员会在评审时，将对此进行评审。投标单位（如投标人为联合体，联合体各方均需提供）应在商务标文件中提供全国建筑市场监管公共服务平台(四库一平台)企业注册人员网页截图，并在投标函中承诺，承诺本单位现有注册建造师专业、数量满足《建筑业企业资质标准》及有关文件中对应资质等级标准要求等内容，未提供相关截图或承诺的，按无效标处理</w:t>
      </w:r>
      <w:r>
        <w:rPr>
          <w:rFonts w:hint="eastAsia" w:ascii="宋体" w:hAnsi="宋体" w:cs="宋体"/>
          <w:color w:val="auto"/>
          <w:szCs w:val="21"/>
          <w:highlight w:val="none"/>
          <w:lang w:val="en-US" w:eastAsia="zh-CN"/>
        </w:rPr>
        <w:t>。</w:t>
      </w:r>
    </w:p>
    <w:p w14:paraId="0C6ABCCB">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AC4AA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bookmarkStart w:id="773" w:name="_Toc35425114"/>
      <w:bookmarkStart w:id="774" w:name="_Toc11945"/>
      <w:bookmarkStart w:id="775" w:name="_Toc78803382"/>
      <w:bookmarkStart w:id="776" w:name="_Toc15058914"/>
      <w:bookmarkStart w:id="777" w:name="_Toc506107325"/>
      <w:bookmarkStart w:id="778" w:name="_Toc35424948"/>
      <w:bookmarkStart w:id="779" w:name="_Toc324404873"/>
      <w:bookmarkStart w:id="780" w:name="_Toc179632608"/>
      <w:bookmarkStart w:id="781" w:name="_Toc246996976"/>
      <w:bookmarkStart w:id="782" w:name="_Toc144974557"/>
      <w:bookmarkStart w:id="783" w:name="_Toc246996233"/>
      <w:bookmarkStart w:id="784" w:name="_Toc247085748"/>
      <w:bookmarkStart w:id="785" w:name="_Toc296602478"/>
      <w:bookmarkStart w:id="786" w:name="_Toc152042367"/>
      <w:bookmarkStart w:id="787" w:name="_Toc152045590"/>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综合评估法</w:t>
      </w:r>
      <w:r>
        <w:rPr>
          <w:rFonts w:hint="eastAsia" w:ascii="宋体" w:hAnsi="宋体" w:eastAsia="宋体" w:cs="宋体"/>
          <w:color w:val="auto"/>
          <w:szCs w:val="21"/>
          <w:highlight w:val="none"/>
        </w:rPr>
        <w:t>。评标委员会对满足招标文件实质性要求的投标文件，按照本章规定的评分标准进行打分，并按总得分由高到低顺序推荐中标候选人</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名，并标明排序，但投标报价低于其成本的除外。如总得分相等，以投标报价低的优先，投标报价仍相等，以信用分得分高的优先；如信用分得分也相等，由评标委员会主任委员或招标人随机抽取确定排名</w:t>
      </w:r>
      <w:r>
        <w:rPr>
          <w:rFonts w:hint="eastAsia" w:ascii="宋体" w:hAnsi="宋体" w:cs="宋体"/>
          <w:color w:val="auto"/>
          <w:szCs w:val="21"/>
          <w:highlight w:val="none"/>
          <w:lang w:eastAsia="zh-CN"/>
        </w:rPr>
        <w:t>。</w:t>
      </w:r>
    </w:p>
    <w:p w14:paraId="52E88011">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评标委员会登录全国建筑市场监管公共服务平台 ( 四库一平台)https://jzsc.mohurd.gov.cn/home 进行实时查询，并结合《住房城乡建设部关于进一步加强建设工程企业资质审批管理工作的通知》（建市规〔2023〕3 号）、《住房和城乡建设部办公厅关于建设工程企业资质有关事项的通知》（建办市函〔2022〕361 号）和安徽省住建厅《关于建设工程企业资质有关事宜的通知》（建市函〔2022〕748 号），对中标候选人的关系企业履约能力的建造师数量进行评审：</w:t>
      </w:r>
    </w:p>
    <w:p w14:paraId="5F33AA5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①</w:t>
      </w:r>
      <w:r>
        <w:rPr>
          <w:rFonts w:hint="eastAsia" w:ascii="宋体" w:hAnsi="宋体" w:cs="宋体"/>
          <w:b/>
          <w:bCs/>
          <w:color w:val="auto"/>
          <w:szCs w:val="21"/>
          <w:highlight w:val="none"/>
          <w:lang w:val="en-US" w:eastAsia="zh-CN"/>
        </w:rPr>
        <w:t>市政公用</w:t>
      </w:r>
      <w:r>
        <w:rPr>
          <w:rFonts w:hint="eastAsia" w:ascii="宋体" w:hAnsi="宋体" w:cs="宋体"/>
          <w:b/>
          <w:bCs/>
          <w:color w:val="auto"/>
          <w:szCs w:val="21"/>
          <w:highlight w:val="none"/>
          <w:lang w:eastAsia="zh-CN"/>
        </w:rPr>
        <w:t>工程施工总承包特级资质企业：注册一级建造师50人以上。</w:t>
      </w:r>
    </w:p>
    <w:p w14:paraId="632C356F">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②市政公用工程施工总承包壹级资质企业：市政公用工程专业一级注册建造师不少于12人。</w:t>
      </w:r>
    </w:p>
    <w:p w14:paraId="5E809773">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③市政公用工程施工总承包贰级、叁级资质企业：市政公用工程专业注册建造师不少于</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lang w:eastAsia="zh-CN"/>
        </w:rPr>
        <w:t>人。</w:t>
      </w:r>
    </w:p>
    <w:p w14:paraId="5CAAE8F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中标候选人的注册建造师数量人数，不符合招标文件明确的资格条件或法律法规要求，或者影响其履约能力的，评标委员会对其投标可以不予认可，并将该情形报送相关行政主管部门。中标候选人依次替补，评标委员会再次对替补单位进行核查。</w:t>
      </w:r>
    </w:p>
    <w:p w14:paraId="052B9A6D">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73"/>
      <w:bookmarkEnd w:id="774"/>
      <w:bookmarkEnd w:id="775"/>
      <w:bookmarkEnd w:id="776"/>
      <w:bookmarkEnd w:id="777"/>
      <w:bookmarkEnd w:id="778"/>
      <w:bookmarkEnd w:id="779"/>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8" w:name="_Toc15058915"/>
      <w:bookmarkStart w:id="789" w:name="_Toc35424949"/>
      <w:bookmarkStart w:id="790" w:name="_Toc324404874"/>
      <w:bookmarkStart w:id="791" w:name="_Toc78803384"/>
      <w:bookmarkStart w:id="792" w:name="_Toc35425115"/>
      <w:bookmarkStart w:id="793" w:name="_Toc17377"/>
      <w:bookmarkStart w:id="794" w:name="_Toc506107326"/>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8"/>
      <w:bookmarkEnd w:id="789"/>
      <w:bookmarkEnd w:id="790"/>
      <w:bookmarkEnd w:id="791"/>
      <w:bookmarkEnd w:id="792"/>
      <w:bookmarkEnd w:id="793"/>
      <w:bookmarkEnd w:id="794"/>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评标先做准备工作，再进行资格、技术标评审，然后进行商务标评审。</w:t>
      </w:r>
    </w:p>
    <w:p w14:paraId="267FE0A5">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5" w:name="_Toc78803385"/>
      <w:bookmarkStart w:id="796" w:name="_Toc15058916"/>
      <w:bookmarkStart w:id="797" w:name="_Toc35425116"/>
      <w:bookmarkStart w:id="798" w:name="_Toc35424950"/>
      <w:bookmarkStart w:id="799" w:name="_Toc27389"/>
      <w:r>
        <w:rPr>
          <w:rFonts w:hint="eastAsia" w:ascii="宋体" w:hAnsi="宋体" w:eastAsia="宋体" w:cs="宋体"/>
          <w:color w:val="auto"/>
          <w:highlight w:val="none"/>
        </w:rPr>
        <w:t>3.1评标准备工作</w:t>
      </w:r>
      <w:bookmarkEnd w:id="795"/>
      <w:bookmarkEnd w:id="796"/>
      <w:bookmarkEnd w:id="797"/>
      <w:bookmarkEnd w:id="798"/>
      <w:bookmarkEnd w:id="799"/>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6B91EFC">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00" w:name="_Toc15058917"/>
      <w:bookmarkStart w:id="801" w:name="_Toc35425117"/>
      <w:bookmarkStart w:id="802" w:name="_Toc24650"/>
      <w:bookmarkStart w:id="803" w:name="_Toc35424951"/>
      <w:bookmarkStart w:id="804" w:name="_Toc78803386"/>
      <w:bookmarkStart w:id="805" w:name="_Toc1299"/>
      <w:bookmarkStart w:id="806" w:name="_Toc35424954"/>
      <w:bookmarkStart w:id="807" w:name="_Toc506107327"/>
      <w:bookmarkStart w:id="808" w:name="_Toc35425120"/>
      <w:bookmarkStart w:id="809" w:name="_Toc15058919"/>
      <w:bookmarkStart w:id="810" w:name="_Toc12200"/>
      <w:bookmarkStart w:id="811" w:name="_Toc324404875"/>
      <w:r>
        <w:rPr>
          <w:rFonts w:hint="eastAsia" w:ascii="宋体" w:hAnsi="宋体" w:eastAsia="宋体" w:cs="宋体"/>
          <w:color w:val="auto"/>
          <w:highlight w:val="none"/>
        </w:rPr>
        <w:t>3.2</w:t>
      </w:r>
      <w:bookmarkEnd w:id="800"/>
      <w:bookmarkEnd w:id="801"/>
      <w:bookmarkEnd w:id="802"/>
      <w:bookmarkEnd w:id="803"/>
      <w:bookmarkEnd w:id="804"/>
      <w:bookmarkEnd w:id="805"/>
      <w:bookmarkStart w:id="812" w:name="_Toc15058918"/>
      <w:bookmarkStart w:id="813" w:name="_Toc35425118"/>
      <w:bookmarkStart w:id="814" w:name="_Toc35424952"/>
      <w:bookmarkStart w:id="815" w:name="_Toc11990"/>
      <w:bookmarkStart w:id="816" w:name="_Toc78803387"/>
      <w:bookmarkStart w:id="817" w:name="_Toc17468"/>
      <w:r>
        <w:rPr>
          <w:rFonts w:hint="eastAsia" w:ascii="宋体" w:hAnsi="宋体" w:eastAsia="宋体" w:cs="宋体"/>
          <w:color w:val="auto"/>
          <w:highlight w:val="none"/>
        </w:rPr>
        <w:t>技术标评审</w:t>
      </w:r>
    </w:p>
    <w:p w14:paraId="0BFF585D">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详见技术标评审表。</w:t>
      </w:r>
    </w:p>
    <w:p w14:paraId="0DC00819">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3.3</w:t>
      </w:r>
      <w:r>
        <w:rPr>
          <w:rFonts w:hint="eastAsia" w:ascii="宋体" w:hAnsi="宋体" w:eastAsia="宋体" w:cs="宋体"/>
          <w:color w:val="auto"/>
          <w:highlight w:val="none"/>
        </w:rPr>
        <w:t>商务标评审</w:t>
      </w:r>
      <w:bookmarkEnd w:id="812"/>
      <w:bookmarkEnd w:id="813"/>
      <w:bookmarkEnd w:id="814"/>
      <w:bookmarkEnd w:id="815"/>
      <w:bookmarkEnd w:id="816"/>
      <w:bookmarkEnd w:id="817"/>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8" w:name="_Toc35424953"/>
      <w:bookmarkStart w:id="819" w:name="_Toc35425119"/>
      <w:bookmarkStart w:id="820" w:name="_Toc18087"/>
      <w:bookmarkStart w:id="821" w:name="_Toc26895"/>
      <w:bookmarkStart w:id="822" w:name="_Toc78803388"/>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4</w:t>
      </w:r>
      <w:r>
        <w:rPr>
          <w:rStyle w:val="198"/>
          <w:rFonts w:hint="eastAsia" w:ascii="宋体" w:hAnsi="宋体" w:eastAsia="宋体" w:cs="宋体"/>
          <w:color w:val="auto"/>
          <w:highlight w:val="none"/>
        </w:rPr>
        <w:t>推荐中标候选人</w:t>
      </w:r>
      <w:bookmarkEnd w:id="818"/>
      <w:bookmarkEnd w:id="819"/>
      <w:bookmarkEnd w:id="820"/>
      <w:bookmarkEnd w:id="821"/>
      <w:bookmarkEnd w:id="822"/>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资信评审、技术标评审、商务标评审后，推荐中标候选人，并标明排序。</w:t>
      </w:r>
    </w:p>
    <w:p w14:paraId="696AA247">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3" w:name="_Toc78803389"/>
      <w:r>
        <w:rPr>
          <w:rFonts w:hint="eastAsia" w:ascii="宋体" w:hAnsi="宋体" w:eastAsia="宋体" w:cs="宋体"/>
          <w:color w:val="auto"/>
          <w:highlight w:val="none"/>
        </w:rPr>
        <w:t>4.评审内容</w:t>
      </w:r>
      <w:bookmarkEnd w:id="806"/>
      <w:bookmarkEnd w:id="807"/>
      <w:bookmarkEnd w:id="808"/>
      <w:bookmarkEnd w:id="809"/>
      <w:bookmarkEnd w:id="810"/>
      <w:bookmarkEnd w:id="811"/>
      <w:bookmarkEnd w:id="823"/>
    </w:p>
    <w:p w14:paraId="20F7C8C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bookmarkStart w:id="824" w:name="_Toc9630"/>
      <w:bookmarkStart w:id="825" w:name="_Toc78803390"/>
      <w:r>
        <w:rPr>
          <w:rFonts w:hint="eastAsia" w:ascii="宋体" w:hAnsi="宋体" w:eastAsia="宋体" w:cs="宋体"/>
          <w:color w:val="auto"/>
          <w:highlight w:val="none"/>
        </w:rPr>
        <w:t>4.1</w:t>
      </w:r>
      <w:bookmarkEnd w:id="824"/>
      <w:bookmarkEnd w:id="825"/>
      <w:bookmarkStart w:id="826" w:name="_Toc15058922"/>
      <w:bookmarkStart w:id="827" w:name="_Toc35425123"/>
      <w:bookmarkStart w:id="828" w:name="_Toc324404876"/>
      <w:bookmarkStart w:id="829" w:name="_Toc35424957"/>
      <w:bookmarkStart w:id="830" w:name="_Toc506107328"/>
      <w:bookmarkStart w:id="831" w:name="_Toc78803392"/>
      <w:bookmarkStart w:id="832" w:name="_Toc13125"/>
      <w:r>
        <w:rPr>
          <w:rFonts w:hint="eastAsia" w:ascii="宋体" w:hAnsi="宋体" w:eastAsia="宋体" w:cs="宋体"/>
          <w:color w:val="auto"/>
          <w:highlight w:val="none"/>
        </w:rPr>
        <w:t>技术标评审</w:t>
      </w:r>
    </w:p>
    <w:p w14:paraId="32E3094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4.1.1形式性评审标准：见技术标评审表。</w:t>
      </w:r>
    </w:p>
    <w:p w14:paraId="5A79621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4.1.2响应性评审标准：见技术标评审表。</w:t>
      </w:r>
    </w:p>
    <w:p w14:paraId="6D672E3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评标委员会依据上述标准对投标文件进行初步评审。有一项不符合评审标准的，作无效投标处理。</w:t>
      </w:r>
    </w:p>
    <w:p w14:paraId="210D627A">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4.1.3 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color w:val="auto"/>
          <w:highlight w:val="none"/>
        </w:rPr>
        <w:t>4.2</w:t>
      </w:r>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1C35D68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4.2.1形式性评审标准：见商务标评审表。</w:t>
      </w:r>
    </w:p>
    <w:p w14:paraId="230D831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4.2.2响应性评审标准：见商务标评审表。</w:t>
      </w:r>
    </w:p>
    <w:p w14:paraId="21E13D9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0D51AE0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4.2.3详细评审标准：见商务标评审表。</w:t>
      </w:r>
    </w:p>
    <w:p w14:paraId="3C8E18D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4.2.3.1投标报价清标：</w:t>
      </w:r>
    </w:p>
    <w:p w14:paraId="797E34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（1）清标是指通过对需要评审的工程量清单投标报价采用核对、比较、筛选等方法，对基础性数据进行分析和整理。其目的是找出投标文件中可能存在疑义或者显著异常的数据，为评审中的质疑工作提供基础。</w:t>
      </w:r>
    </w:p>
    <w:p w14:paraId="2E0A16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（2）清标工作应当使用计算机辅助评标系统，由计算机完成。</w:t>
      </w:r>
    </w:p>
    <w:p w14:paraId="68B5619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（3）清标的内容和步骤：</w:t>
      </w:r>
    </w:p>
    <w:p w14:paraId="065F28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 投标文件在符合性、响应性等方面存在的偏差。</w:t>
      </w:r>
    </w:p>
    <w:p w14:paraId="1309DC2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 投标文件存在的算术计算错误和修正结果。</w:t>
      </w:r>
    </w:p>
    <w:p w14:paraId="76B5C4D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 在列出的所有偏差中，属于重大偏差的情形和相关依据；在列出的所有偏差中、属于细微偏差的情形。</w:t>
      </w:r>
    </w:p>
    <w:p w14:paraId="4C66114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④ 列出投标价格过高或过低等的清单项目的序号、项目编码、项目名称、项目特征、与招标文件规定的标准之间存在的偏差幅度和产生原因的摘录。</w:t>
      </w:r>
    </w:p>
    <w:p w14:paraId="36A47C5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4D9F0ED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1F615FA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4F2593F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6"/>
      <w:bookmarkEnd w:id="827"/>
      <w:bookmarkEnd w:id="828"/>
      <w:bookmarkEnd w:id="829"/>
      <w:bookmarkEnd w:id="830"/>
      <w:bookmarkEnd w:id="831"/>
      <w:bookmarkEnd w:id="832"/>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2E5FB7A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.1技术标评审</w:t>
      </w:r>
    </w:p>
    <w:p w14:paraId="1322AE6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(1)评标委员会依据《技术标评审表》进行形式性评审和响应性评审。有一项不符合评审标准的，做无效投标处理；</w:t>
      </w:r>
    </w:p>
    <w:p w14:paraId="01C6F8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 评标委员会依据《技术标评审表》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5.2.2商务标评审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3" w:name="_Toc506107329"/>
      <w:bookmarkStart w:id="834" w:name="_Toc78803393"/>
      <w:bookmarkStart w:id="835" w:name="_Toc35424958"/>
      <w:bookmarkStart w:id="836" w:name="_Toc15058923"/>
      <w:bookmarkStart w:id="837" w:name="_Toc324404877"/>
      <w:bookmarkStart w:id="838" w:name="_Toc27846"/>
      <w:bookmarkStart w:id="839" w:name="_Toc35425124"/>
      <w:r>
        <w:rPr>
          <w:rFonts w:hint="eastAsia" w:ascii="宋体" w:hAnsi="宋体" w:eastAsia="宋体" w:cs="宋体"/>
          <w:color w:val="auto"/>
          <w:highlight w:val="none"/>
        </w:rPr>
        <w:t>6.投标文件的澄清和补正</w:t>
      </w:r>
      <w:bookmarkEnd w:id="833"/>
      <w:bookmarkEnd w:id="834"/>
      <w:bookmarkEnd w:id="835"/>
      <w:bookmarkEnd w:id="836"/>
      <w:bookmarkEnd w:id="837"/>
      <w:bookmarkEnd w:id="838"/>
      <w:bookmarkEnd w:id="839"/>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0" w:name="_Toc324404878"/>
      <w:bookmarkStart w:id="841" w:name="_Toc506107330"/>
      <w:bookmarkStart w:id="842" w:name="_Toc78803394"/>
      <w:bookmarkStart w:id="843" w:name="_Toc13990"/>
      <w:bookmarkStart w:id="844" w:name="_Toc35424959"/>
      <w:bookmarkStart w:id="845" w:name="_Toc15058924"/>
      <w:bookmarkStart w:id="846" w:name="_Toc35425125"/>
      <w:r>
        <w:rPr>
          <w:rFonts w:hint="eastAsia" w:ascii="宋体" w:hAnsi="宋体" w:eastAsia="宋体" w:cs="宋体"/>
          <w:color w:val="auto"/>
          <w:highlight w:val="none"/>
        </w:rPr>
        <w:t>7.评分标准</w:t>
      </w:r>
      <w:bookmarkEnd w:id="840"/>
      <w:bookmarkEnd w:id="841"/>
      <w:bookmarkEnd w:id="842"/>
      <w:bookmarkEnd w:id="843"/>
      <w:bookmarkEnd w:id="844"/>
      <w:bookmarkEnd w:id="845"/>
      <w:bookmarkEnd w:id="846"/>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资信、技术及</w:t>
      </w:r>
      <w:r>
        <w:rPr>
          <w:rFonts w:hint="eastAsia" w:ascii="宋体" w:hAnsi="宋体" w:cs="宋体"/>
          <w:color w:val="auto"/>
          <w:szCs w:val="21"/>
          <w:highlight w:val="none"/>
        </w:rPr>
        <w:t>商务标评审表。</w:t>
      </w:r>
    </w:p>
    <w:p w14:paraId="045E90A1">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7" w:name="_Toc324404879"/>
      <w:bookmarkStart w:id="848" w:name="_Toc506107331"/>
      <w:bookmarkStart w:id="849" w:name="_Toc15058925"/>
      <w:bookmarkStart w:id="850" w:name="_Toc78803395"/>
      <w:bookmarkStart w:id="851" w:name="_Toc35425126"/>
      <w:bookmarkStart w:id="852" w:name="_Toc35424960"/>
      <w:bookmarkStart w:id="853" w:name="_Toc22863"/>
      <w:r>
        <w:rPr>
          <w:rFonts w:hint="eastAsia" w:ascii="宋体" w:hAnsi="宋体" w:eastAsia="宋体" w:cs="宋体"/>
          <w:color w:val="auto"/>
          <w:highlight w:val="none"/>
        </w:rPr>
        <w:t>8.评审结果</w:t>
      </w:r>
      <w:bookmarkEnd w:id="847"/>
      <w:bookmarkEnd w:id="848"/>
      <w:bookmarkEnd w:id="849"/>
      <w:bookmarkEnd w:id="850"/>
      <w:bookmarkEnd w:id="851"/>
      <w:bookmarkEnd w:id="852"/>
      <w:bookmarkEnd w:id="853"/>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54" w:name="_Toc35425127"/>
      <w:bookmarkStart w:id="855" w:name="_Toc324404880"/>
      <w:bookmarkStart w:id="856" w:name="_Toc35424961"/>
      <w:bookmarkStart w:id="857" w:name="_Toc15058926"/>
      <w:bookmarkStart w:id="858" w:name="_Toc506107332"/>
      <w:bookmarkStart w:id="859" w:name="_Toc78803396"/>
      <w:bookmarkStart w:id="860" w:name="_Toc1576"/>
      <w:r>
        <w:rPr>
          <w:rFonts w:hint="eastAsia" w:ascii="宋体" w:hAnsi="宋体" w:eastAsia="宋体" w:cs="宋体"/>
          <w:color w:val="auto"/>
          <w:highlight w:val="none"/>
        </w:rPr>
        <w:t>9.其他</w:t>
      </w:r>
      <w:bookmarkEnd w:id="854"/>
      <w:bookmarkEnd w:id="855"/>
      <w:bookmarkEnd w:id="856"/>
      <w:bookmarkEnd w:id="857"/>
      <w:bookmarkEnd w:id="858"/>
      <w:bookmarkEnd w:id="859"/>
      <w:bookmarkEnd w:id="860"/>
    </w:p>
    <w:bookmarkEnd w:id="780"/>
    <w:bookmarkEnd w:id="781"/>
    <w:bookmarkEnd w:id="782"/>
    <w:bookmarkEnd w:id="783"/>
    <w:bookmarkEnd w:id="784"/>
    <w:bookmarkEnd w:id="785"/>
    <w:bookmarkEnd w:id="786"/>
    <w:bookmarkEnd w:id="787"/>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61" w:name="_Toc35425128"/>
      <w:bookmarkStart w:id="862" w:name="_Toc35424962"/>
      <w:bookmarkStart w:id="863" w:name="_Toc506107333"/>
      <w:bookmarkStart w:id="864" w:name="_Toc15058927"/>
      <w:bookmarkStart w:id="865" w:name="_Toc152045767"/>
      <w:bookmarkStart w:id="866" w:name="_Toc144974826"/>
      <w:bookmarkStart w:id="867" w:name="_Toc179632785"/>
      <w:bookmarkStart w:id="868" w:name="_Toc152042546"/>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69" w:name="_Toc78803397"/>
    </w:p>
    <w:bookmarkEnd w:id="861"/>
    <w:bookmarkEnd w:id="862"/>
    <w:bookmarkEnd w:id="863"/>
    <w:bookmarkEnd w:id="864"/>
    <w:bookmarkEnd w:id="869"/>
    <w:p w14:paraId="51F85308">
      <w:pPr>
        <w:pStyle w:val="6"/>
        <w:rPr>
          <w:rFonts w:hint="eastAsia" w:ascii="Arial" w:hAnsi="Arial"/>
          <w:color w:val="auto"/>
          <w:kern w:val="0"/>
          <w:sz w:val="32"/>
          <w:szCs w:val="32"/>
          <w:highlight w:val="none"/>
        </w:rPr>
      </w:pPr>
      <w:bookmarkStart w:id="870" w:name="_Toc16721"/>
    </w:p>
    <w:p w14:paraId="47DAF6BF">
      <w:pPr>
        <w:pStyle w:val="6"/>
        <w:rPr>
          <w:color w:val="auto"/>
          <w:highlight w:val="none"/>
        </w:rPr>
      </w:pPr>
      <w:bookmarkStart w:id="871" w:name="_Toc7231"/>
      <w:bookmarkStart w:id="872" w:name="_Toc27074"/>
      <w:bookmarkStart w:id="873" w:name="_Toc8750"/>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70"/>
      <w:bookmarkEnd w:id="871"/>
      <w:bookmarkEnd w:id="872"/>
      <w:bookmarkEnd w:id="873"/>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74"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1D5C37F9">
      <w:pPr>
        <w:jc w:val="center"/>
        <w:rPr>
          <w:rFonts w:eastAsia="华文中宋"/>
          <w:b/>
          <w:color w:val="auto"/>
          <w:sz w:val="52"/>
          <w:szCs w:val="52"/>
          <w:highlight w:val="none"/>
        </w:rPr>
      </w:pP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75" w:name="_Toc32748"/>
      <w:bookmarkStart w:id="876" w:name="_Toc1470"/>
      <w:bookmarkStart w:id="877" w:name="_Toc30846"/>
      <w:bookmarkStart w:id="878" w:name="_Toc12138"/>
      <w:r>
        <w:rPr>
          <w:rFonts w:hint="eastAsia"/>
          <w:b/>
          <w:color w:val="auto"/>
          <w:sz w:val="32"/>
          <w:szCs w:val="28"/>
          <w:highlight w:val="none"/>
        </w:rPr>
        <w:t>国家工商行政管理总局</w:t>
      </w:r>
      <w:bookmarkEnd w:id="875"/>
      <w:bookmarkEnd w:id="876"/>
      <w:bookmarkEnd w:id="877"/>
      <w:bookmarkEnd w:id="878"/>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74"/>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79" w:name="_Toc3977"/>
      <w:bookmarkStart w:id="880" w:name="_Toc95223459"/>
      <w:bookmarkStart w:id="881" w:name="_Toc28799376"/>
      <w:bookmarkStart w:id="882" w:name="_Toc29801"/>
      <w:bookmarkStart w:id="883" w:name="_Toc2308"/>
      <w:r>
        <w:rPr>
          <w:rFonts w:hint="eastAsia" w:ascii="宋体" w:hAnsi="宋体" w:cs="宋体"/>
          <w:b/>
          <w:bCs/>
          <w:color w:val="auto"/>
          <w:sz w:val="32"/>
          <w:szCs w:val="32"/>
          <w:highlight w:val="none"/>
        </w:rPr>
        <w:t>第一节  合同协议书</w:t>
      </w:r>
      <w:bookmarkEnd w:id="879"/>
      <w:bookmarkEnd w:id="880"/>
      <w:bookmarkEnd w:id="881"/>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安徽省滁州市琅琊区清流街道创业北路社区居民委员会</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4"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4"/>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
          <w:bCs/>
          <w:color w:val="auto"/>
          <w:szCs w:val="21"/>
          <w:highlight w:val="none"/>
          <w:u w:val="single"/>
        </w:rPr>
        <w:t>工程量清单载明的施工内容及施工过程中的变更调整内容</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5" w:name="_Toc351203482"/>
      <w:r>
        <w:rPr>
          <w:rFonts w:hint="eastAsia" w:ascii="宋体" w:hAnsi="宋体" w:cs="宋体"/>
          <w:b/>
          <w:color w:val="auto"/>
          <w:szCs w:val="21"/>
          <w:highlight w:val="none"/>
          <w:u w:val="single"/>
        </w:rPr>
        <w:t>二、合同工期</w:t>
      </w:r>
      <w:bookmarkEnd w:id="885"/>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6" w:name="_Toc351203483"/>
      <w:r>
        <w:rPr>
          <w:rFonts w:hint="eastAsia" w:ascii="宋体" w:hAnsi="宋体" w:cs="宋体"/>
          <w:b/>
          <w:color w:val="auto"/>
          <w:szCs w:val="21"/>
          <w:highlight w:val="none"/>
          <w:u w:val="single"/>
        </w:rPr>
        <w:t>三、质量标准</w:t>
      </w:r>
      <w:bookmarkEnd w:id="886"/>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工程质量必须达到国家工程施工质量验收 合格 标准。</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7" w:name="_Toc351203484"/>
      <w:r>
        <w:rPr>
          <w:rFonts w:hint="eastAsia" w:ascii="宋体" w:hAnsi="宋体" w:cs="宋体"/>
          <w:b/>
          <w:color w:val="auto"/>
          <w:szCs w:val="21"/>
          <w:highlight w:val="none"/>
          <w:u w:val="single"/>
        </w:rPr>
        <w:t>四、签约合同价与合同价格形式</w:t>
      </w:r>
      <w:bookmarkEnd w:id="887"/>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AA361FD">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其中：</w:t>
      </w:r>
    </w:p>
    <w:p w14:paraId="64B592A9">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（1）安全文明施工费：</w:t>
      </w:r>
    </w:p>
    <w:p w14:paraId="57EB10E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5E53BCD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（2）材料和工程设备暂估价金额：</w:t>
      </w:r>
    </w:p>
    <w:p w14:paraId="427302AA">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6F4ED233">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（3）专业工程暂估价金额：</w:t>
      </w:r>
    </w:p>
    <w:p w14:paraId="6F0F86A5">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1B3F070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（4）暂列金额：</w:t>
      </w:r>
    </w:p>
    <w:p w14:paraId="3A6D90AA">
      <w:pPr>
        <w:keepNext w:val="0"/>
        <w:keepLines w:val="0"/>
        <w:widowControl w:val="0"/>
        <w:suppressLineNumbers w:val="0"/>
        <w:spacing w:before="0" w:beforeAutospacing="0" w:after="0" w:afterAutospacing="0" w:line="440" w:lineRule="exact"/>
        <w:ind w:left="0" w:right="0" w:firstLine="420" w:firstLineChars="200"/>
        <w:jc w:val="both"/>
        <w:rPr>
          <w:color w:val="auto"/>
          <w:highlight w:val="none"/>
        </w:rPr>
      </w:pPr>
      <w:r>
        <w:rPr>
          <w:rFonts w:hint="eastAsia" w:ascii="宋体" w:hAnsi="宋体" w:eastAsia="宋体" w:cs="宋体"/>
          <w:color w:val="auto"/>
          <w:kern w:val="2"/>
          <w:sz w:val="21"/>
          <w:szCs w:val="21"/>
          <w:highlight w:val="none"/>
          <w:u w:val="single"/>
          <w:lang w:val="en-US" w:eastAsia="zh-CN" w:bidi="ar"/>
        </w:rPr>
        <w:t>人民币（大写）               (¥          元)</w:t>
      </w:r>
      <w:r>
        <w:rPr>
          <w:rFonts w:hint="eastAsia" w:ascii="宋体" w:hAnsi="宋体" w:eastAsia="宋体" w:cs="宋体"/>
          <w:color w:val="auto"/>
          <w:kern w:val="2"/>
          <w:sz w:val="21"/>
          <w:szCs w:val="21"/>
          <w:highlight w:val="none"/>
          <w:lang w:val="en-US" w:eastAsia="zh-CN" w:bidi="ar"/>
        </w:rPr>
        <w:t>。</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单价合同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5"/>
      <w:r>
        <w:rPr>
          <w:rFonts w:hint="eastAsia" w:ascii="宋体" w:hAnsi="宋体" w:cs="宋体"/>
          <w:b/>
          <w:color w:val="auto"/>
          <w:szCs w:val="21"/>
          <w:highlight w:val="none"/>
        </w:rPr>
        <w:t>五、</w:t>
      </w:r>
      <w:bookmarkEnd w:id="888"/>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86"/>
      <w:r>
        <w:rPr>
          <w:rFonts w:hint="eastAsia" w:ascii="宋体" w:hAnsi="宋体" w:cs="宋体"/>
          <w:b/>
          <w:color w:val="auto"/>
          <w:szCs w:val="21"/>
          <w:highlight w:val="none"/>
        </w:rPr>
        <w:t>六、合同文件构成</w:t>
      </w:r>
      <w:bookmarkEnd w:id="889"/>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6FEF5CF3">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87"/>
      <w:r>
        <w:rPr>
          <w:rFonts w:hint="eastAsia" w:ascii="宋体" w:hAnsi="宋体" w:cs="宋体"/>
          <w:b/>
          <w:color w:val="auto"/>
          <w:szCs w:val="21"/>
          <w:highlight w:val="none"/>
        </w:rPr>
        <w:t>七、承诺</w:t>
      </w:r>
      <w:bookmarkEnd w:id="890"/>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88"/>
      <w:r>
        <w:rPr>
          <w:rFonts w:hint="eastAsia" w:ascii="宋体" w:hAnsi="宋体" w:cs="宋体"/>
          <w:b/>
          <w:color w:val="auto"/>
          <w:szCs w:val="21"/>
          <w:highlight w:val="none"/>
        </w:rPr>
        <w:t>八、词语含义</w:t>
      </w:r>
      <w:bookmarkEnd w:id="891"/>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89"/>
      <w:r>
        <w:rPr>
          <w:rFonts w:hint="eastAsia" w:ascii="宋体" w:hAnsi="宋体" w:cs="宋体"/>
          <w:b/>
          <w:color w:val="auto"/>
          <w:szCs w:val="21"/>
          <w:highlight w:val="none"/>
        </w:rPr>
        <w:t>九、签订时间</w:t>
      </w:r>
      <w:bookmarkEnd w:id="892"/>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3" w:name="_Toc351203490"/>
      <w:r>
        <w:rPr>
          <w:rFonts w:hint="eastAsia" w:ascii="宋体" w:hAnsi="宋体" w:cs="宋体"/>
          <w:b/>
          <w:color w:val="auto"/>
          <w:szCs w:val="21"/>
          <w:highlight w:val="none"/>
        </w:rPr>
        <w:t>十、签订地点</w:t>
      </w:r>
      <w:bookmarkEnd w:id="893"/>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4" w:name="_Toc351203491"/>
      <w:r>
        <w:rPr>
          <w:rFonts w:hint="eastAsia" w:ascii="宋体" w:hAnsi="宋体" w:cs="宋体"/>
          <w:b/>
          <w:color w:val="auto"/>
          <w:szCs w:val="21"/>
          <w:highlight w:val="none"/>
        </w:rPr>
        <w:t>十一、补充协议</w:t>
      </w:r>
      <w:bookmarkEnd w:id="894"/>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5" w:name="_Toc351203492"/>
      <w:r>
        <w:rPr>
          <w:rFonts w:hint="eastAsia" w:ascii="宋体" w:hAnsi="宋体" w:cs="宋体"/>
          <w:b/>
          <w:color w:val="auto"/>
          <w:szCs w:val="21"/>
          <w:highlight w:val="none"/>
        </w:rPr>
        <w:t>十二、合同生效</w:t>
      </w:r>
      <w:bookmarkEnd w:id="895"/>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双方签字盖章后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6" w:name="_Toc351203493"/>
      <w:r>
        <w:rPr>
          <w:rFonts w:hint="eastAsia" w:ascii="宋体" w:hAnsi="宋体" w:cs="宋体"/>
          <w:b/>
          <w:color w:val="auto"/>
          <w:szCs w:val="21"/>
          <w:highlight w:val="none"/>
        </w:rPr>
        <w:t>十三、合同份数</w:t>
      </w:r>
      <w:bookmarkEnd w:id="896"/>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2456FA">
      <w:pPr>
        <w:spacing w:line="360" w:lineRule="auto"/>
        <w:rPr>
          <w:rFonts w:hint="eastAsia" w:ascii="宋体" w:hAnsi="宋体" w:cs="宋体"/>
          <w:bCs/>
          <w:color w:val="auto"/>
          <w:szCs w:val="21"/>
          <w:highlight w:val="none"/>
        </w:rPr>
      </w:pP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82"/>
      <w:bookmarkEnd w:id="883"/>
      <w:bookmarkStart w:id="897" w:name="_Toc95223460"/>
      <w:bookmarkStart w:id="898" w:name="_Toc15494"/>
      <w:bookmarkStart w:id="899"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7"/>
      <w:bookmarkEnd w:id="898"/>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8"/>
        <w:jc w:val="center"/>
        <w:rPr>
          <w:rFonts w:hint="eastAsia" w:ascii="黑体" w:eastAsia="黑体" w:cs="黑体"/>
          <w:color w:val="auto"/>
          <w:highlight w:val="none"/>
        </w:rPr>
      </w:pPr>
      <w:bookmarkStart w:id="900" w:name="_Toc14492"/>
      <w:r>
        <w:rPr>
          <w:rFonts w:hint="eastAsia" w:ascii="黑体" w:eastAsia="黑体" w:cs="黑体"/>
          <w:color w:val="auto"/>
          <w:highlight w:val="none"/>
        </w:rPr>
        <w:t>第三节 专用合同条款</w:t>
      </w:r>
    </w:p>
    <w:bookmarkEnd w:id="865"/>
    <w:bookmarkEnd w:id="866"/>
    <w:bookmarkEnd w:id="867"/>
    <w:bookmarkEnd w:id="868"/>
    <w:bookmarkEnd w:id="899"/>
    <w:bookmarkEnd w:id="900"/>
    <w:p w14:paraId="4D49337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bookmarkStart w:id="901" w:name="_Toc95223487"/>
      <w:bookmarkStart w:id="902" w:name="_Toc15058934"/>
      <w:bookmarkStart w:id="903" w:name="_Toc247085872"/>
      <w:bookmarkStart w:id="904" w:name="_Toc144974855"/>
      <w:bookmarkStart w:id="905" w:name="_Toc506107340"/>
      <w:bookmarkStart w:id="906" w:name="_Toc152042575"/>
      <w:bookmarkStart w:id="907" w:name="_Toc152045786"/>
      <w:bookmarkStart w:id="908" w:name="_Toc35424970"/>
      <w:bookmarkStart w:id="909" w:name="_Toc246996354"/>
      <w:bookmarkStart w:id="910" w:name="_Toc246997097"/>
      <w:bookmarkStart w:id="911" w:name="_Toc35425136"/>
      <w:bookmarkStart w:id="912" w:name="_Toc324404888"/>
      <w:bookmarkStart w:id="913" w:name="_Toc78803398"/>
      <w:bookmarkStart w:id="914" w:name="_Toc179632806"/>
      <w:r>
        <w:rPr>
          <w:rFonts w:hint="eastAsia" w:ascii="宋体" w:hAnsi="宋体" w:eastAsia="宋体" w:cs="宋体"/>
          <w:b w:val="0"/>
          <w:bCs/>
          <w:color w:val="auto"/>
          <w:kern w:val="2"/>
          <w:sz w:val="21"/>
          <w:szCs w:val="21"/>
          <w:highlight w:val="none"/>
        </w:rPr>
        <w:t>1. 一般约定</w:t>
      </w:r>
    </w:p>
    <w:p w14:paraId="37D289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 词语定义</w:t>
      </w:r>
    </w:p>
    <w:p w14:paraId="430373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1.1.1合同</w:t>
      </w:r>
    </w:p>
    <w:p w14:paraId="26AEC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1.1.1.10其他合同文件包括：</w:t>
      </w:r>
      <w:r>
        <w:rPr>
          <w:rFonts w:hint="eastAsia" w:ascii="宋体" w:hAnsi="宋体" w:eastAsia="宋体" w:cs="宋体"/>
          <w:color w:val="auto"/>
          <w:kern w:val="0"/>
          <w:sz w:val="21"/>
          <w:szCs w:val="21"/>
          <w:highlight w:val="none"/>
          <w:u w:val="single"/>
          <w:lang w:val="en-US" w:eastAsia="zh-CN" w:bidi="ar"/>
        </w:rPr>
        <w:t>本项目招标文件、在合同订立及履行过程中形成的与合同有关的文件均构成合同文件组成部分，若上述文件有不明确或不一致之处，以招标文件为准。</w:t>
      </w:r>
    </w:p>
    <w:p w14:paraId="65A9D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 合同当事人及其他相关方</w:t>
      </w:r>
    </w:p>
    <w:p w14:paraId="2EA4990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1.1.2.4监理人：</w:t>
      </w:r>
    </w:p>
    <w:p w14:paraId="489EB7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详见监理合同            </w:t>
      </w:r>
      <w:r>
        <w:rPr>
          <w:rFonts w:hint="eastAsia" w:ascii="宋体" w:hAnsi="宋体" w:eastAsia="宋体" w:cs="宋体"/>
          <w:color w:val="auto"/>
          <w:kern w:val="2"/>
          <w:sz w:val="21"/>
          <w:szCs w:val="21"/>
          <w:highlight w:val="none"/>
          <w:lang w:val="en-US" w:eastAsia="zh-CN" w:bidi="ar"/>
        </w:rPr>
        <w:t>；</w:t>
      </w:r>
    </w:p>
    <w:p w14:paraId="481D86F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439FC64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6DFD7D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6ED2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0B161D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1.1.2.5 设计人：</w:t>
      </w:r>
    </w:p>
    <w:p w14:paraId="3FF40F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详见设计合同            </w:t>
      </w:r>
      <w:r>
        <w:rPr>
          <w:rFonts w:hint="eastAsia" w:ascii="宋体" w:hAnsi="宋体" w:eastAsia="宋体" w:cs="宋体"/>
          <w:color w:val="auto"/>
          <w:kern w:val="2"/>
          <w:sz w:val="21"/>
          <w:szCs w:val="21"/>
          <w:highlight w:val="none"/>
          <w:lang w:val="en-US" w:eastAsia="zh-CN" w:bidi="ar"/>
        </w:rPr>
        <w:t>；</w:t>
      </w:r>
    </w:p>
    <w:p w14:paraId="0B8DF44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2B2FB48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6D6A4CA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xml:space="preserve">详见设计合同           </w:t>
      </w:r>
      <w:r>
        <w:rPr>
          <w:rFonts w:hint="eastAsia" w:ascii="宋体" w:hAnsi="宋体" w:eastAsia="宋体" w:cs="宋体"/>
          <w:color w:val="auto"/>
          <w:kern w:val="2"/>
          <w:sz w:val="21"/>
          <w:szCs w:val="21"/>
          <w:highlight w:val="none"/>
          <w:lang w:val="en-US" w:eastAsia="zh-CN" w:bidi="ar"/>
        </w:rPr>
        <w:t>；</w:t>
      </w:r>
    </w:p>
    <w:p w14:paraId="3DE0BD7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详见设计合同         </w:t>
      </w:r>
      <w:r>
        <w:rPr>
          <w:rFonts w:hint="eastAsia" w:ascii="宋体" w:hAnsi="宋体" w:eastAsia="宋体" w:cs="宋体"/>
          <w:color w:val="auto"/>
          <w:kern w:val="2"/>
          <w:sz w:val="21"/>
          <w:szCs w:val="21"/>
          <w:highlight w:val="none"/>
          <w:lang w:val="en-US" w:eastAsia="zh-CN" w:bidi="ar"/>
        </w:rPr>
        <w:t>。</w:t>
      </w:r>
    </w:p>
    <w:p w14:paraId="258765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 工程和设备</w:t>
      </w:r>
    </w:p>
    <w:p w14:paraId="6CFDA56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1.1.3.7 作为施工现场组成部分的其他场所包括：</w:t>
      </w:r>
      <w:r>
        <w:rPr>
          <w:rFonts w:hint="eastAsia" w:ascii="宋体" w:hAnsi="宋体" w:eastAsia="宋体" w:cs="宋体"/>
          <w:color w:val="auto"/>
          <w:kern w:val="2"/>
          <w:sz w:val="21"/>
          <w:szCs w:val="21"/>
          <w:highlight w:val="none"/>
          <w:u w:val="single"/>
          <w:lang w:val="en-US" w:eastAsia="zh-CN" w:bidi="ar"/>
        </w:rPr>
        <w:t xml:space="preserve"> 见施工现场并现场确定</w:t>
      </w:r>
      <w:r>
        <w:rPr>
          <w:rFonts w:hint="eastAsia" w:ascii="宋体" w:hAnsi="宋体" w:eastAsia="宋体" w:cs="宋体"/>
          <w:color w:val="auto"/>
          <w:kern w:val="2"/>
          <w:sz w:val="21"/>
          <w:szCs w:val="21"/>
          <w:highlight w:val="none"/>
          <w:lang w:val="en-US" w:eastAsia="zh-CN" w:bidi="ar"/>
        </w:rPr>
        <w:t>。</w:t>
      </w:r>
    </w:p>
    <w:p w14:paraId="3F6AB4B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1.1.3.9 永久占地包括：</w:t>
      </w:r>
      <w:r>
        <w:rPr>
          <w:rFonts w:hint="eastAsia" w:ascii="宋体" w:hAnsi="宋体" w:eastAsia="宋体" w:cs="宋体"/>
          <w:color w:val="auto"/>
          <w:kern w:val="2"/>
          <w:sz w:val="21"/>
          <w:szCs w:val="21"/>
          <w:highlight w:val="none"/>
          <w:u w:val="single"/>
          <w:lang w:val="en-US" w:eastAsia="zh-CN" w:bidi="ar"/>
        </w:rPr>
        <w:t xml:space="preserve">   见施工现场 </w:t>
      </w:r>
      <w:r>
        <w:rPr>
          <w:rFonts w:hint="eastAsia" w:ascii="宋体" w:hAnsi="宋体" w:eastAsia="宋体" w:cs="宋体"/>
          <w:color w:val="auto"/>
          <w:kern w:val="0"/>
          <w:sz w:val="21"/>
          <w:szCs w:val="21"/>
          <w:highlight w:val="none"/>
          <w:lang w:val="en-US" w:eastAsia="zh-CN" w:bidi="ar"/>
        </w:rPr>
        <w:t>。</w:t>
      </w:r>
    </w:p>
    <w:p w14:paraId="27250F8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1.1.3.10 临时占地包括：</w:t>
      </w:r>
      <w:r>
        <w:rPr>
          <w:rFonts w:hint="eastAsia" w:ascii="宋体" w:hAnsi="宋体" w:eastAsia="宋体" w:cs="宋体"/>
          <w:color w:val="auto"/>
          <w:kern w:val="2"/>
          <w:sz w:val="21"/>
          <w:szCs w:val="21"/>
          <w:highlight w:val="none"/>
          <w:u w:val="single"/>
          <w:lang w:val="en-US" w:eastAsia="zh-CN" w:bidi="ar"/>
        </w:rPr>
        <w:t xml:space="preserve">   现场确定</w:t>
      </w:r>
      <w:r>
        <w:rPr>
          <w:rFonts w:hint="eastAsia" w:ascii="宋体" w:hAnsi="宋体" w:eastAsia="宋体" w:cs="宋体"/>
          <w:color w:val="auto"/>
          <w:kern w:val="0"/>
          <w:sz w:val="21"/>
          <w:szCs w:val="21"/>
          <w:highlight w:val="none"/>
          <w:lang w:val="en-US" w:eastAsia="zh-CN" w:bidi="ar"/>
        </w:rPr>
        <w:t>。</w:t>
      </w:r>
    </w:p>
    <w:p w14:paraId="5EAD83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1.3法律 </w:t>
      </w:r>
    </w:p>
    <w:p w14:paraId="417EDAD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适用于合同的其他规范性文件：</w:t>
      </w:r>
      <w:r>
        <w:rPr>
          <w:rFonts w:hint="eastAsia" w:ascii="宋体" w:hAnsi="宋体" w:eastAsia="宋体" w:cs="宋体"/>
          <w:color w:val="auto"/>
          <w:kern w:val="2"/>
          <w:sz w:val="21"/>
          <w:szCs w:val="21"/>
          <w:highlight w:val="none"/>
          <w:u w:val="single"/>
          <w:lang w:val="en-US" w:eastAsia="zh-CN" w:bidi="ar"/>
        </w:rPr>
        <w:t xml:space="preserve">  《中华人民共和国民法典》、《中华人民共和国建筑法》、《中华人民共和国招标投标法》、《建设工程质量管理条例》、《建设工程安全生产管理条例》等国家及工程所在地现行有效的法律法规和规章  。</w:t>
      </w:r>
    </w:p>
    <w:p w14:paraId="4643EC0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 标准和规范</w:t>
      </w:r>
    </w:p>
    <w:p w14:paraId="0283E2E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1.4.1适用于工程的标准规范包括：</w:t>
      </w:r>
      <w:r>
        <w:rPr>
          <w:rFonts w:hint="eastAsia" w:ascii="宋体" w:hAnsi="宋体" w:eastAsia="宋体" w:cs="宋体"/>
          <w:color w:val="auto"/>
          <w:kern w:val="2"/>
          <w:sz w:val="21"/>
          <w:szCs w:val="21"/>
          <w:highlight w:val="none"/>
          <w:u w:val="single"/>
          <w:lang w:val="en-US" w:eastAsia="zh-CN" w:bidi="ar"/>
        </w:rPr>
        <w:t xml:space="preserve"> 中华人民共和国住房和城乡建设部等部门及省、市发布的有关文件</w:t>
      </w:r>
      <w:r>
        <w:rPr>
          <w:rFonts w:hint="eastAsia" w:ascii="宋体" w:hAnsi="宋体" w:eastAsia="宋体" w:cs="宋体"/>
          <w:color w:val="auto"/>
          <w:kern w:val="2"/>
          <w:sz w:val="21"/>
          <w:szCs w:val="21"/>
          <w:highlight w:val="none"/>
          <w:lang w:val="en-US" w:eastAsia="zh-CN" w:bidi="ar"/>
        </w:rPr>
        <w:t>。</w:t>
      </w:r>
    </w:p>
    <w:p w14:paraId="058881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1.4.2 发包人提供国外标准、规范的名称：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承包人自备国内现行适用的标准、规范</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1CD01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发包人提供国外标准、规范的份数：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3F301C2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发包人提供国外标准、规范的名称：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12B9F1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1.4.3发包人对工程的技术标准和功能要求的特殊要求：</w:t>
      </w:r>
      <w:r>
        <w:rPr>
          <w:rFonts w:hint="eastAsia" w:ascii="宋体" w:hAnsi="宋体" w:eastAsia="宋体" w:cs="宋体"/>
          <w:color w:val="auto"/>
          <w:kern w:val="2"/>
          <w:sz w:val="21"/>
          <w:szCs w:val="21"/>
          <w:highlight w:val="none"/>
          <w:u w:val="single"/>
          <w:lang w:val="en-US" w:eastAsia="zh-CN" w:bidi="ar"/>
        </w:rPr>
        <w:t xml:space="preserve">按现行规范执行  </w:t>
      </w:r>
      <w:r>
        <w:rPr>
          <w:rFonts w:hint="eastAsia" w:ascii="宋体" w:hAnsi="宋体" w:eastAsia="宋体" w:cs="宋体"/>
          <w:color w:val="auto"/>
          <w:kern w:val="2"/>
          <w:sz w:val="21"/>
          <w:szCs w:val="21"/>
          <w:highlight w:val="none"/>
          <w:lang w:val="en-US" w:eastAsia="zh-CN" w:bidi="ar"/>
        </w:rPr>
        <w:t>。</w:t>
      </w:r>
    </w:p>
    <w:p w14:paraId="20BD34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 合同文件的优先顺序</w:t>
      </w:r>
    </w:p>
    <w:p w14:paraId="03E272C7">
      <w:pPr>
        <w:keepNext w:val="0"/>
        <w:keepLines w:val="0"/>
        <w:widowControl w:val="0"/>
        <w:suppressLineNumbers w:val="0"/>
        <w:snapToGrid w:val="0"/>
        <w:spacing w:before="0" w:beforeAutospacing="0" w:after="0" w:afterAutospacing="0" w:line="440" w:lineRule="exact"/>
        <w:ind w:left="0" w:right="0" w:firstLine="420" w:firstLineChars="200"/>
        <w:jc w:val="both"/>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合同文件组成及优先顺序为：</w:t>
      </w:r>
      <w:r>
        <w:rPr>
          <w:rFonts w:hint="eastAsia" w:ascii="宋体" w:hAnsi="宋体" w:eastAsia="宋体" w:cs="宋体"/>
          <w:color w:val="auto"/>
          <w:kern w:val="2"/>
          <w:sz w:val="21"/>
          <w:szCs w:val="21"/>
          <w:highlight w:val="none"/>
          <w:u w:val="single"/>
          <w:lang w:val="en-US" w:eastAsia="zh-CN" w:bidi="ar"/>
        </w:rPr>
        <w:t>（1）合同协议书；（2）中标通知书；（3）确认函及其附录；（4）招标文件；（5）专用合同条款及其附件；（6）通用合同条款；（7）技术标准和要求；（8）图纸；（9）已标价工程量清单或预算书；（10）其他合同文件。</w:t>
      </w:r>
    </w:p>
    <w:p w14:paraId="4639AB7A">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上述各项合同文件包括合同当事人就该项合同文件所作出的补充和修改，属于同一类内容的文件，应以最新签署的为准。</w:t>
      </w:r>
    </w:p>
    <w:p w14:paraId="74F104E1">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在合同订立及履行过程中形成的与合同有关的文件均构成合同文件组成部分，并根据其性质确定优先解释顺序。</w:t>
      </w:r>
    </w:p>
    <w:p w14:paraId="598E99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 图纸和承包人文件</w:t>
      </w:r>
      <w:r>
        <w:rPr>
          <w:rFonts w:hint="eastAsia" w:ascii="宋体" w:hAnsi="宋体" w:eastAsia="宋体" w:cs="宋体"/>
          <w:color w:val="auto"/>
          <w:kern w:val="2"/>
          <w:sz w:val="21"/>
          <w:szCs w:val="21"/>
          <w:highlight w:val="none"/>
          <w:lang w:val="en-US" w:eastAsia="zh-CN" w:bidi="ar"/>
        </w:rPr>
        <w:tab/>
      </w:r>
    </w:p>
    <w:p w14:paraId="47BE6C4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图纸的提供</w:t>
      </w:r>
    </w:p>
    <w:p w14:paraId="73D292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发包人向承包人提供图纸的期限：</w:t>
      </w:r>
      <w:r>
        <w:rPr>
          <w:rFonts w:hint="eastAsia" w:ascii="宋体" w:hAnsi="宋体" w:eastAsia="宋体" w:cs="宋体"/>
          <w:color w:val="auto"/>
          <w:kern w:val="2"/>
          <w:sz w:val="21"/>
          <w:szCs w:val="21"/>
          <w:highlight w:val="none"/>
          <w:u w:val="single"/>
          <w:lang w:val="en-US" w:eastAsia="zh-CN" w:bidi="ar"/>
        </w:rPr>
        <w:t xml:space="preserve"> 开工前14天</w:t>
      </w:r>
      <w:r>
        <w:rPr>
          <w:rFonts w:hint="eastAsia" w:ascii="宋体" w:hAnsi="宋体" w:eastAsia="宋体" w:cs="宋体"/>
          <w:color w:val="auto"/>
          <w:kern w:val="2"/>
          <w:sz w:val="21"/>
          <w:szCs w:val="21"/>
          <w:highlight w:val="none"/>
          <w:lang w:val="en-US" w:eastAsia="zh-CN" w:bidi="ar"/>
        </w:rPr>
        <w:t>；</w:t>
      </w:r>
    </w:p>
    <w:p w14:paraId="48391B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发包人向承包人提供图纸的数量：</w:t>
      </w:r>
      <w:r>
        <w:rPr>
          <w:rFonts w:hint="eastAsia" w:ascii="宋体" w:hAnsi="宋体" w:eastAsia="宋体" w:cs="宋体"/>
          <w:color w:val="auto"/>
          <w:kern w:val="2"/>
          <w:sz w:val="21"/>
          <w:szCs w:val="21"/>
          <w:highlight w:val="none"/>
          <w:u w:val="single"/>
          <w:lang w:val="en-US" w:eastAsia="zh-CN" w:bidi="ar"/>
        </w:rPr>
        <w:t xml:space="preserve">3份 </w:t>
      </w:r>
      <w:r>
        <w:rPr>
          <w:rFonts w:hint="eastAsia" w:ascii="宋体" w:hAnsi="宋体" w:eastAsia="宋体" w:cs="宋体"/>
          <w:color w:val="auto"/>
          <w:kern w:val="2"/>
          <w:sz w:val="21"/>
          <w:szCs w:val="21"/>
          <w:highlight w:val="none"/>
          <w:lang w:val="en-US" w:eastAsia="zh-CN" w:bidi="ar"/>
        </w:rPr>
        <w:t>；</w:t>
      </w:r>
    </w:p>
    <w:p w14:paraId="6EFD773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发包人向承包人提供图纸的内容：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7C7854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1.6.4 承包人文件</w:t>
      </w:r>
    </w:p>
    <w:p w14:paraId="42AF79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需要由承包人提供的文件，包括：</w:t>
      </w:r>
      <w:r>
        <w:rPr>
          <w:rFonts w:hint="eastAsia" w:ascii="宋体" w:hAnsi="宋体" w:eastAsia="宋体" w:cs="宋体"/>
          <w:color w:val="auto"/>
          <w:kern w:val="2"/>
          <w:sz w:val="21"/>
          <w:szCs w:val="21"/>
          <w:highlight w:val="none"/>
          <w:u w:val="single"/>
          <w:lang w:val="en-US" w:eastAsia="zh-CN" w:bidi="ar"/>
        </w:rPr>
        <w:t xml:space="preserve">按监理要求执行，包括但不限于项目部人员证书（在领取中标通知书前）、项目部任命文、实施性施工组织设计等  </w:t>
      </w:r>
      <w:r>
        <w:rPr>
          <w:rFonts w:hint="eastAsia" w:ascii="宋体" w:hAnsi="宋体" w:eastAsia="宋体" w:cs="宋体"/>
          <w:color w:val="auto"/>
          <w:kern w:val="2"/>
          <w:sz w:val="21"/>
          <w:szCs w:val="21"/>
          <w:highlight w:val="none"/>
          <w:lang w:val="en-US" w:eastAsia="zh-CN" w:bidi="ar"/>
        </w:rPr>
        <w:t>；</w:t>
      </w:r>
    </w:p>
    <w:p w14:paraId="51C72E8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承包人提供的文件的期限为：</w:t>
      </w:r>
      <w:r>
        <w:rPr>
          <w:rFonts w:hint="eastAsia" w:ascii="宋体" w:hAnsi="宋体" w:eastAsia="宋体" w:cs="宋体"/>
          <w:color w:val="auto"/>
          <w:kern w:val="2"/>
          <w:sz w:val="21"/>
          <w:szCs w:val="21"/>
          <w:highlight w:val="none"/>
          <w:u w:val="single"/>
          <w:lang w:val="en-US" w:eastAsia="zh-CN" w:bidi="ar"/>
        </w:rPr>
        <w:t xml:space="preserve">按监理要求执行    </w:t>
      </w:r>
      <w:r>
        <w:rPr>
          <w:rFonts w:hint="eastAsia" w:ascii="宋体" w:hAnsi="宋体" w:eastAsia="宋体" w:cs="宋体"/>
          <w:color w:val="auto"/>
          <w:kern w:val="2"/>
          <w:sz w:val="21"/>
          <w:szCs w:val="21"/>
          <w:highlight w:val="none"/>
          <w:lang w:val="en-US" w:eastAsia="zh-CN" w:bidi="ar"/>
        </w:rPr>
        <w:t>；</w:t>
      </w:r>
    </w:p>
    <w:p w14:paraId="49885A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承包人提供的文件的数量为：</w:t>
      </w:r>
      <w:r>
        <w:rPr>
          <w:rFonts w:hint="eastAsia" w:ascii="宋体" w:hAnsi="宋体" w:eastAsia="宋体" w:cs="宋体"/>
          <w:color w:val="auto"/>
          <w:kern w:val="2"/>
          <w:sz w:val="21"/>
          <w:szCs w:val="21"/>
          <w:highlight w:val="none"/>
          <w:u w:val="single"/>
          <w:lang w:val="en-US" w:eastAsia="zh-CN" w:bidi="ar"/>
        </w:rPr>
        <w:t xml:space="preserve">  按监理要求执行    </w:t>
      </w:r>
      <w:r>
        <w:rPr>
          <w:rFonts w:hint="eastAsia" w:ascii="宋体" w:hAnsi="宋体" w:eastAsia="宋体" w:cs="宋体"/>
          <w:color w:val="auto"/>
          <w:kern w:val="2"/>
          <w:sz w:val="21"/>
          <w:szCs w:val="21"/>
          <w:highlight w:val="none"/>
          <w:lang w:val="en-US" w:eastAsia="zh-CN" w:bidi="ar"/>
        </w:rPr>
        <w:t>；</w:t>
      </w:r>
    </w:p>
    <w:p w14:paraId="00A5B7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承包人提供的文件的形式为：</w:t>
      </w:r>
      <w:r>
        <w:rPr>
          <w:rFonts w:hint="eastAsia" w:ascii="宋体" w:hAnsi="宋体" w:eastAsia="宋体" w:cs="宋体"/>
          <w:color w:val="auto"/>
          <w:kern w:val="2"/>
          <w:sz w:val="21"/>
          <w:szCs w:val="21"/>
          <w:highlight w:val="none"/>
          <w:u w:val="single"/>
          <w:lang w:val="en-US" w:eastAsia="zh-CN" w:bidi="ar"/>
        </w:rPr>
        <w:t>按监理要求执行  </w:t>
      </w:r>
      <w:r>
        <w:rPr>
          <w:rFonts w:hint="eastAsia" w:ascii="宋体" w:hAnsi="宋体" w:eastAsia="宋体" w:cs="宋体"/>
          <w:color w:val="auto"/>
          <w:kern w:val="2"/>
          <w:sz w:val="21"/>
          <w:szCs w:val="21"/>
          <w:highlight w:val="none"/>
          <w:lang w:val="en-US" w:eastAsia="zh-CN" w:bidi="ar"/>
        </w:rPr>
        <w:t>；</w:t>
      </w:r>
    </w:p>
    <w:p w14:paraId="036A4A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发包人审批承包人文件的期限：</w:t>
      </w:r>
      <w:r>
        <w:rPr>
          <w:rFonts w:hint="eastAsia" w:ascii="宋体" w:hAnsi="宋体" w:eastAsia="宋体" w:cs="宋体"/>
          <w:color w:val="auto"/>
          <w:kern w:val="2"/>
          <w:sz w:val="21"/>
          <w:szCs w:val="21"/>
          <w:highlight w:val="none"/>
          <w:u w:val="single"/>
          <w:lang w:val="en-US" w:eastAsia="zh-CN" w:bidi="ar"/>
        </w:rPr>
        <w:t>  7天 </w:t>
      </w:r>
      <w:r>
        <w:rPr>
          <w:rFonts w:hint="eastAsia" w:ascii="宋体" w:hAnsi="宋体" w:eastAsia="宋体" w:cs="宋体"/>
          <w:color w:val="auto"/>
          <w:kern w:val="2"/>
          <w:sz w:val="21"/>
          <w:szCs w:val="21"/>
          <w:highlight w:val="none"/>
          <w:lang w:val="en-US" w:eastAsia="zh-CN" w:bidi="ar"/>
        </w:rPr>
        <w:t>。</w:t>
      </w:r>
    </w:p>
    <w:p w14:paraId="4AFAB9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1.6.5 图纸和承包人文件的保管</w:t>
      </w:r>
    </w:p>
    <w:p w14:paraId="6D37D2B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关于图纸和承包人文件的保管的约定：</w:t>
      </w:r>
      <w:r>
        <w:rPr>
          <w:rFonts w:hint="eastAsia" w:ascii="宋体" w:hAnsi="宋体" w:eastAsia="宋体" w:cs="宋体"/>
          <w:color w:val="auto"/>
          <w:kern w:val="2"/>
          <w:sz w:val="21"/>
          <w:szCs w:val="21"/>
          <w:highlight w:val="none"/>
          <w:u w:val="single"/>
          <w:lang w:val="en-US" w:eastAsia="zh-CN" w:bidi="ar"/>
        </w:rPr>
        <w:t>除专用合同条款另有约定外，承包人应在施工现场另外保存一套完整的图纸和承包人文件，供发包人、监理人及有关人员进行工程检查时使用</w:t>
      </w:r>
      <w:r>
        <w:rPr>
          <w:rFonts w:hint="eastAsia" w:ascii="宋体" w:hAnsi="宋体" w:eastAsia="宋体" w:cs="宋体"/>
          <w:color w:val="auto"/>
          <w:kern w:val="2"/>
          <w:sz w:val="21"/>
          <w:szCs w:val="21"/>
          <w:highlight w:val="none"/>
          <w:lang w:val="en-US" w:eastAsia="zh-CN" w:bidi="ar"/>
        </w:rPr>
        <w:t>。</w:t>
      </w:r>
    </w:p>
    <w:p w14:paraId="75FECE8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 联络</w:t>
      </w:r>
    </w:p>
    <w:p w14:paraId="6C61CB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1.7.1发包人和承包人应当在</w:t>
      </w:r>
      <w:r>
        <w:rPr>
          <w:rFonts w:hint="eastAsia" w:ascii="宋体" w:hAnsi="宋体" w:eastAsia="宋体" w:cs="宋体"/>
          <w:color w:val="auto"/>
          <w:kern w:val="2"/>
          <w:sz w:val="21"/>
          <w:szCs w:val="21"/>
          <w:highlight w:val="none"/>
          <w:u w:val="single"/>
          <w:lang w:val="en-US" w:eastAsia="zh-CN" w:bidi="ar"/>
        </w:rPr>
        <w:t xml:space="preserve">7天  </w:t>
      </w:r>
      <w:r>
        <w:rPr>
          <w:rFonts w:hint="eastAsia" w:ascii="宋体" w:hAnsi="宋体" w:eastAsia="宋体" w:cs="宋体"/>
          <w:color w:val="auto"/>
          <w:kern w:val="0"/>
          <w:sz w:val="21"/>
          <w:szCs w:val="21"/>
          <w:highlight w:val="none"/>
          <w:lang w:val="en-US" w:eastAsia="zh-CN" w:bidi="ar"/>
        </w:rPr>
        <w:t>内将与合同有关的通知、批准、证明、证书、指示、指令、要求、请求、同意、意见、确定和决定等书面函件送达对方当事人。</w:t>
      </w:r>
    </w:p>
    <w:p w14:paraId="0809086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1.7.2 发包人接收文件的地点：</w:t>
      </w:r>
      <w:r>
        <w:rPr>
          <w:rFonts w:hint="eastAsia" w:ascii="宋体" w:hAnsi="宋体" w:cs="宋体"/>
          <w:color w:val="auto"/>
          <w:kern w:val="2"/>
          <w:sz w:val="21"/>
          <w:szCs w:val="21"/>
          <w:highlight w:val="none"/>
          <w:u w:val="single"/>
          <w:lang w:val="en-US" w:eastAsia="zh-CN" w:bidi="ar"/>
        </w:rPr>
        <w:t>安徽省滁州市琅琊区清流街道创业北路社区居民委员会</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6A50A0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发包人指定的接收人为：</w:t>
      </w:r>
      <w:r>
        <w:rPr>
          <w:rFonts w:hint="eastAsia" w:ascii="宋体" w:hAnsi="宋体" w:eastAsia="宋体" w:cs="宋体"/>
          <w:color w:val="auto"/>
          <w:kern w:val="2"/>
          <w:sz w:val="21"/>
          <w:szCs w:val="21"/>
          <w:highlight w:val="none"/>
          <w:u w:val="single"/>
          <w:lang w:val="en-US" w:eastAsia="zh-CN" w:bidi="ar"/>
        </w:rPr>
        <w:t>发包人代表</w:t>
      </w:r>
      <w:r>
        <w:rPr>
          <w:rFonts w:hint="eastAsia" w:ascii="宋体" w:hAnsi="宋体" w:eastAsia="宋体" w:cs="宋体"/>
          <w:color w:val="auto"/>
          <w:kern w:val="0"/>
          <w:sz w:val="21"/>
          <w:szCs w:val="21"/>
          <w:highlight w:val="none"/>
          <w:lang w:val="en-US" w:eastAsia="zh-CN" w:bidi="ar"/>
        </w:rPr>
        <w:t>；</w:t>
      </w:r>
    </w:p>
    <w:p w14:paraId="109F47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承包人接收文件的地点：</w:t>
      </w:r>
      <w:r>
        <w:rPr>
          <w:rFonts w:hint="eastAsia" w:ascii="宋体" w:hAnsi="宋体" w:cs="宋体"/>
          <w:color w:val="auto"/>
          <w:kern w:val="2"/>
          <w:sz w:val="21"/>
          <w:szCs w:val="21"/>
          <w:highlight w:val="none"/>
          <w:u w:val="single"/>
          <w:lang w:val="en-US" w:eastAsia="zh-CN" w:bidi="ar"/>
        </w:rPr>
        <w:t>安徽省滁州市琅琊区清流街道创业北路社区居民委员会</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1C814B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承包人指定的接收人为：</w:t>
      </w:r>
      <w:r>
        <w:rPr>
          <w:rFonts w:hint="eastAsia" w:ascii="宋体" w:hAnsi="宋体" w:eastAsia="宋体" w:cs="宋体"/>
          <w:color w:val="auto"/>
          <w:kern w:val="2"/>
          <w:sz w:val="21"/>
          <w:szCs w:val="21"/>
          <w:highlight w:val="none"/>
          <w:u w:val="single"/>
          <w:lang w:val="en-US" w:eastAsia="zh-CN" w:bidi="ar"/>
        </w:rPr>
        <w:t>项目经理</w:t>
      </w:r>
      <w:r>
        <w:rPr>
          <w:rFonts w:hint="eastAsia" w:ascii="宋体" w:hAnsi="宋体" w:eastAsia="宋体" w:cs="宋体"/>
          <w:color w:val="auto"/>
          <w:kern w:val="0"/>
          <w:sz w:val="21"/>
          <w:szCs w:val="21"/>
          <w:highlight w:val="none"/>
          <w:lang w:val="en-US" w:eastAsia="zh-CN" w:bidi="ar"/>
        </w:rPr>
        <w:t>。</w:t>
      </w:r>
    </w:p>
    <w:p w14:paraId="69FCD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监理人接收文件的地点：</w:t>
      </w:r>
      <w:r>
        <w:rPr>
          <w:rFonts w:hint="eastAsia" w:ascii="宋体" w:hAnsi="宋体" w:cs="宋体"/>
          <w:color w:val="auto"/>
          <w:kern w:val="2"/>
          <w:sz w:val="21"/>
          <w:szCs w:val="21"/>
          <w:highlight w:val="none"/>
          <w:u w:val="single"/>
          <w:lang w:val="en-US" w:eastAsia="zh-CN" w:bidi="ar"/>
        </w:rPr>
        <w:t>安徽省滁州市琅琊区清流街道创业北路社区居民委员会</w:t>
      </w:r>
      <w:r>
        <w:rPr>
          <w:rFonts w:hint="eastAsia" w:ascii="宋体" w:hAnsi="宋体" w:eastAsia="宋体" w:cs="宋体"/>
          <w:color w:val="auto"/>
          <w:kern w:val="2"/>
          <w:sz w:val="21"/>
          <w:szCs w:val="21"/>
          <w:highlight w:val="none"/>
          <w:u w:val="single"/>
          <w:lang w:val="en-US" w:eastAsia="zh-CN" w:bidi="ar"/>
        </w:rPr>
        <w:t>或监理部</w:t>
      </w:r>
      <w:r>
        <w:rPr>
          <w:rFonts w:hint="eastAsia" w:ascii="宋体" w:hAnsi="宋体" w:eastAsia="宋体" w:cs="宋体"/>
          <w:color w:val="auto"/>
          <w:kern w:val="0"/>
          <w:sz w:val="21"/>
          <w:szCs w:val="21"/>
          <w:highlight w:val="none"/>
          <w:lang w:val="en-US" w:eastAsia="zh-CN" w:bidi="ar"/>
        </w:rPr>
        <w:t>；</w:t>
      </w:r>
    </w:p>
    <w:p w14:paraId="3F31A42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监理人指定的接收人为：</w:t>
      </w:r>
      <w:r>
        <w:rPr>
          <w:rFonts w:hint="eastAsia" w:ascii="宋体" w:hAnsi="宋体" w:eastAsia="宋体" w:cs="宋体"/>
          <w:color w:val="auto"/>
          <w:kern w:val="2"/>
          <w:sz w:val="21"/>
          <w:szCs w:val="21"/>
          <w:highlight w:val="none"/>
          <w:u w:val="single"/>
          <w:lang w:val="en-US" w:eastAsia="zh-CN" w:bidi="ar"/>
        </w:rPr>
        <w:t>总监理工程师或总监代表 </w:t>
      </w:r>
      <w:r>
        <w:rPr>
          <w:rFonts w:hint="eastAsia" w:ascii="宋体" w:hAnsi="宋体" w:eastAsia="宋体" w:cs="宋体"/>
          <w:color w:val="auto"/>
          <w:kern w:val="0"/>
          <w:sz w:val="21"/>
          <w:szCs w:val="21"/>
          <w:highlight w:val="none"/>
          <w:lang w:val="en-US" w:eastAsia="zh-CN" w:bidi="ar"/>
        </w:rPr>
        <w:t>。</w:t>
      </w:r>
    </w:p>
    <w:p w14:paraId="7391A71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 交通运输</w:t>
      </w:r>
    </w:p>
    <w:p w14:paraId="253DC6B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1.10.1 出入现场的权利</w:t>
      </w:r>
    </w:p>
    <w:p w14:paraId="2153AC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关于出入现场的权利的约定：</w:t>
      </w:r>
      <w:r>
        <w:rPr>
          <w:rFonts w:hint="eastAsia" w:ascii="宋体" w:hAnsi="宋体" w:eastAsia="宋体" w:cs="宋体"/>
          <w:color w:val="auto"/>
          <w:kern w:val="2"/>
          <w:sz w:val="21"/>
          <w:szCs w:val="21"/>
          <w:highlight w:val="none"/>
          <w:u w:val="single"/>
          <w:lang w:val="en-US" w:eastAsia="zh-CN" w:bidi="ar"/>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2A0083F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承包人应在订立合同前查勘施工现场，并根据工程规模及技术参数合理预见工程施工所需的进出施工现场的方式、手段、路径等。因承包人未合理预见所增加的费用和（或）延误的工期由承包人承担。</w:t>
      </w:r>
    </w:p>
    <w:p w14:paraId="6071F41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1.10.3 场内交通</w:t>
      </w:r>
    </w:p>
    <w:p w14:paraId="27EDC7C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关于场外交通和场内交通的边界的约定：</w:t>
      </w:r>
      <w:r>
        <w:rPr>
          <w:rFonts w:hint="eastAsia" w:ascii="宋体" w:hAnsi="宋体" w:eastAsia="宋体" w:cs="宋体"/>
          <w:color w:val="auto"/>
          <w:kern w:val="2"/>
          <w:sz w:val="21"/>
          <w:szCs w:val="21"/>
          <w:highlight w:val="none"/>
          <w:u w:val="single"/>
          <w:lang w:val="en-US" w:eastAsia="zh-CN" w:bidi="ar"/>
        </w:rPr>
        <w:t>场内交通设施和道路由承包人负责建设，发包人不另支付费用，场内交通边界现场确定</w:t>
      </w:r>
      <w:r>
        <w:rPr>
          <w:rFonts w:hint="eastAsia" w:ascii="宋体" w:hAnsi="宋体" w:eastAsia="宋体" w:cs="宋体"/>
          <w:color w:val="auto"/>
          <w:kern w:val="2"/>
          <w:sz w:val="21"/>
          <w:szCs w:val="21"/>
          <w:highlight w:val="none"/>
          <w:lang w:val="en-US" w:eastAsia="zh-CN" w:bidi="ar"/>
        </w:rPr>
        <w:t>。</w:t>
      </w:r>
    </w:p>
    <w:p w14:paraId="45C146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关于发包人向承包人免费提供满足工程施工需要的场内道路和交通设施的约定：</w:t>
      </w:r>
      <w:r>
        <w:rPr>
          <w:rFonts w:hint="eastAsia" w:ascii="宋体" w:hAnsi="宋体" w:eastAsia="宋体" w:cs="宋体"/>
          <w:color w:val="auto"/>
          <w:kern w:val="2"/>
          <w:sz w:val="21"/>
          <w:szCs w:val="21"/>
          <w:highlight w:val="none"/>
          <w:u w:val="single"/>
          <w:lang w:val="en-US" w:eastAsia="zh-CN" w:bidi="ar"/>
        </w:rPr>
        <w:t xml:space="preserve">自行踏勘，自行解决 </w:t>
      </w:r>
      <w:r>
        <w:rPr>
          <w:rFonts w:hint="eastAsia" w:ascii="宋体" w:hAnsi="宋体" w:eastAsia="宋体" w:cs="宋体"/>
          <w:color w:val="auto"/>
          <w:kern w:val="2"/>
          <w:sz w:val="21"/>
          <w:szCs w:val="21"/>
          <w:highlight w:val="none"/>
          <w:lang w:val="en-US" w:eastAsia="zh-CN" w:bidi="ar"/>
        </w:rPr>
        <w:t>。</w:t>
      </w:r>
    </w:p>
    <w:p w14:paraId="782485B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1.10.4超大件和超重件的运输</w:t>
      </w:r>
    </w:p>
    <w:p w14:paraId="71DB0B0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运输超大件或超重件所需的道路和桥梁临时加固改造费用和其他有关费用由</w:t>
      </w:r>
      <w:r>
        <w:rPr>
          <w:rFonts w:hint="eastAsia" w:ascii="宋体" w:hAnsi="宋体" w:eastAsia="宋体" w:cs="宋体"/>
          <w:color w:val="auto"/>
          <w:kern w:val="2"/>
          <w:sz w:val="21"/>
          <w:szCs w:val="21"/>
          <w:highlight w:val="none"/>
          <w:u w:val="single"/>
          <w:lang w:val="en-US" w:eastAsia="zh-CN" w:bidi="ar"/>
        </w:rPr>
        <w:t xml:space="preserve">  承包方 </w:t>
      </w:r>
      <w:r>
        <w:rPr>
          <w:rFonts w:hint="eastAsia" w:ascii="宋体" w:hAnsi="宋体" w:eastAsia="宋体" w:cs="宋体"/>
          <w:color w:val="auto"/>
          <w:kern w:val="2"/>
          <w:sz w:val="21"/>
          <w:szCs w:val="21"/>
          <w:highlight w:val="none"/>
          <w:lang w:val="en-US" w:eastAsia="zh-CN" w:bidi="ar"/>
        </w:rPr>
        <w:t>承担。</w:t>
      </w:r>
    </w:p>
    <w:p w14:paraId="108340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知识产权</w:t>
      </w:r>
    </w:p>
    <w:p w14:paraId="1F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2"/>
          <w:sz w:val="21"/>
          <w:szCs w:val="21"/>
          <w:highlight w:val="none"/>
          <w:u w:val="single"/>
          <w:lang w:val="en-US" w:eastAsia="zh-CN" w:bidi="ar"/>
        </w:rPr>
        <w:t xml:space="preserve">发包人 </w:t>
      </w:r>
      <w:r>
        <w:rPr>
          <w:rFonts w:hint="eastAsia" w:ascii="宋体" w:hAnsi="宋体" w:eastAsia="宋体" w:cs="宋体"/>
          <w:color w:val="auto"/>
          <w:kern w:val="2"/>
          <w:sz w:val="21"/>
          <w:szCs w:val="21"/>
          <w:highlight w:val="none"/>
          <w:lang w:val="en-US" w:eastAsia="zh-CN" w:bidi="ar"/>
        </w:rPr>
        <w:t>。</w:t>
      </w:r>
    </w:p>
    <w:p w14:paraId="0E7E36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关于发包人提供的上述文件的使用限制的要求：</w:t>
      </w:r>
      <w:r>
        <w:rPr>
          <w:rFonts w:hint="eastAsia" w:ascii="宋体" w:hAnsi="宋体" w:eastAsia="宋体" w:cs="宋体"/>
          <w:color w:val="auto"/>
          <w:kern w:val="2"/>
          <w:sz w:val="21"/>
          <w:szCs w:val="21"/>
          <w:highlight w:val="none"/>
          <w:u w:val="single"/>
          <w:lang w:val="en-US" w:eastAsia="zh-CN" w:bidi="ar"/>
        </w:rPr>
        <w:t>承包人可以为实现合同目的而复制、使用此类文件，但不能用于与合同无关的其他事项。未经发包人书面同意，承包人不得为了合同以外的目的而复制、使用上述文件或将之提供给任何第三方。</w:t>
      </w:r>
    </w:p>
    <w:p w14:paraId="39D6EB7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1.11.2 关于承包人为实施工程所编制文件的著作权的归属：</w:t>
      </w:r>
      <w:r>
        <w:rPr>
          <w:rFonts w:hint="eastAsia" w:ascii="宋体" w:hAnsi="宋体" w:eastAsia="宋体" w:cs="宋体"/>
          <w:color w:val="auto"/>
          <w:kern w:val="2"/>
          <w:sz w:val="21"/>
          <w:szCs w:val="21"/>
          <w:highlight w:val="none"/>
          <w:u w:val="single"/>
          <w:lang w:val="en-US" w:eastAsia="zh-CN" w:bidi="ar"/>
        </w:rPr>
        <w:t xml:space="preserve"> 发包人  </w:t>
      </w:r>
      <w:r>
        <w:rPr>
          <w:rFonts w:hint="eastAsia" w:ascii="宋体" w:hAnsi="宋体" w:eastAsia="宋体" w:cs="宋体"/>
          <w:color w:val="auto"/>
          <w:kern w:val="2"/>
          <w:sz w:val="21"/>
          <w:szCs w:val="21"/>
          <w:highlight w:val="none"/>
          <w:lang w:val="en-US" w:eastAsia="zh-CN" w:bidi="ar"/>
        </w:rPr>
        <w:t>。</w:t>
      </w:r>
    </w:p>
    <w:p w14:paraId="58D8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关于承包人提供的上述文件的使用限制的要求：</w:t>
      </w:r>
      <w:r>
        <w:rPr>
          <w:rFonts w:hint="eastAsia" w:ascii="宋体" w:hAnsi="宋体" w:eastAsia="宋体" w:cs="宋体"/>
          <w:color w:val="auto"/>
          <w:kern w:val="2"/>
          <w:sz w:val="21"/>
          <w:szCs w:val="21"/>
          <w:highlight w:val="none"/>
          <w:u w:val="single"/>
          <w:lang w:val="en-US" w:eastAsia="zh-CN" w:bidi="ar"/>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71F86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1.11.4 承包人在施工过程中所采用的专利、专有技术、技术秘密的使用费的承担方式：</w:t>
      </w:r>
      <w:r>
        <w:rPr>
          <w:rFonts w:hint="eastAsia" w:ascii="宋体" w:hAnsi="宋体" w:eastAsia="宋体" w:cs="宋体"/>
          <w:color w:val="auto"/>
          <w:kern w:val="2"/>
          <w:sz w:val="21"/>
          <w:szCs w:val="21"/>
          <w:highlight w:val="none"/>
          <w:u w:val="single"/>
          <w:lang w:val="en-US" w:eastAsia="zh-CN" w:bidi="ar"/>
        </w:rPr>
        <w:t>该费用已包含在签约合同价中。</w:t>
      </w:r>
    </w:p>
    <w:p w14:paraId="6CC69C5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1.13工程量清单错误的修正</w:t>
      </w:r>
    </w:p>
    <w:p w14:paraId="31B4B8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出现工程量清单错误时，是否调整合同价格：</w:t>
      </w:r>
      <w:r>
        <w:rPr>
          <w:rFonts w:hint="eastAsia" w:ascii="宋体" w:hAnsi="宋体" w:eastAsia="宋体" w:cs="宋体"/>
          <w:color w:val="auto"/>
          <w:kern w:val="2"/>
          <w:sz w:val="21"/>
          <w:szCs w:val="21"/>
          <w:highlight w:val="none"/>
          <w:u w:val="single"/>
          <w:lang w:val="en-US" w:eastAsia="zh-CN" w:bidi="ar"/>
        </w:rPr>
        <w:t xml:space="preserve">  是，具体调整方式见下款  </w:t>
      </w:r>
      <w:r>
        <w:rPr>
          <w:rFonts w:hint="eastAsia" w:ascii="宋体" w:hAnsi="宋体" w:eastAsia="宋体" w:cs="宋体"/>
          <w:color w:val="auto"/>
          <w:kern w:val="2"/>
          <w:sz w:val="21"/>
          <w:szCs w:val="21"/>
          <w:highlight w:val="none"/>
          <w:lang w:val="en-US" w:eastAsia="zh-CN" w:bidi="ar"/>
        </w:rPr>
        <w:t>。</w:t>
      </w:r>
    </w:p>
    <w:p w14:paraId="1A2CF26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允许调整合同价格的工程量偏差范围：</w:t>
      </w:r>
    </w:p>
    <w:p w14:paraId="7DAD6CAB">
      <w:pPr>
        <w:keepNext w:val="0"/>
        <w:keepLines w:val="0"/>
        <w:widowControl w:val="0"/>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color w:val="auto"/>
          <w:kern w:val="2"/>
          <w:sz w:val="21"/>
          <w:szCs w:val="21"/>
          <w:highlight w:val="none"/>
          <w:u w:val="single"/>
        </w:rPr>
      </w:pPr>
      <w:r>
        <w:rPr>
          <w:rFonts w:hint="eastAsia" w:ascii="宋体" w:hAnsi="宋体" w:eastAsia="宋体" w:cs="宋体"/>
          <w:b/>
          <w:bCs/>
          <w:color w:val="auto"/>
          <w:kern w:val="2"/>
          <w:sz w:val="21"/>
          <w:szCs w:val="21"/>
          <w:highlight w:val="none"/>
          <w:u w:val="single"/>
          <w:lang w:val="en-US" w:eastAsia="zh-CN" w:bidi="ar"/>
        </w:rPr>
        <w:t>承包人拒绝实施因此产生变化的施工内容或范围，将被视为违约，发包人视情节轻重给予违约处罚。结算时，工程量按实计算。结算工程量减少0-100%或增加15%以内部分，执行中标单价；超出15%以外部分，结算单价按最高投标限价单价×投标让利幅度计算且结算单价不得高于中标单价；缺漏项目单价按照最高投标限价的编制原则重新组价×投标让利幅度（上述投标让利幅度为中标价/最高投标限价，其中中标价和最高投标限价均扣除暂列金额、暂估价及相应税金）。</w:t>
      </w:r>
    </w:p>
    <w:p w14:paraId="6F4D72A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因承包人改变施工技术措施，造成的价格变动，措施费不予调整。因工程量清单错误必须改变原来施工技术措施，造成价格变动的，按实调整，变更组价原则同上。</w:t>
      </w:r>
    </w:p>
    <w:p w14:paraId="5FC079E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eastAsia="宋体" w:cs="宋体"/>
          <w:b/>
          <w:bCs w:val="0"/>
          <w:color w:val="auto"/>
          <w:kern w:val="2"/>
          <w:sz w:val="21"/>
          <w:szCs w:val="21"/>
          <w:highlight w:val="none"/>
          <w:u w:val="single"/>
          <w:lang w:val="en-US" w:eastAsia="zh-CN" w:bidi="ar"/>
        </w:rPr>
        <w:t>按实调整。</w:t>
      </w:r>
    </w:p>
    <w:p w14:paraId="0246E5A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 发包人</w:t>
      </w:r>
    </w:p>
    <w:p w14:paraId="4F2FB0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 发包人代表</w:t>
      </w:r>
    </w:p>
    <w:p w14:paraId="1D8563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发包人代表：</w:t>
      </w:r>
    </w:p>
    <w:p w14:paraId="027328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15A777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4E57A16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72F09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F2110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25208F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3ADF87E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发包人对发包人代表的授权范围如下：</w:t>
      </w:r>
      <w:r>
        <w:rPr>
          <w:rFonts w:hint="eastAsia" w:ascii="宋体" w:hAnsi="宋体" w:eastAsia="宋体" w:cs="宋体"/>
          <w:color w:val="auto"/>
          <w:kern w:val="2"/>
          <w:sz w:val="21"/>
          <w:szCs w:val="21"/>
          <w:highlight w:val="none"/>
          <w:u w:val="single"/>
          <w:lang w:val="en-US" w:eastAsia="zh-CN" w:bidi="ar"/>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561C144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 施工现场、施工条件和基础资料的提供</w:t>
      </w:r>
    </w:p>
    <w:p w14:paraId="7F17E94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2.4.1 提供施工现场</w:t>
      </w:r>
    </w:p>
    <w:p w14:paraId="019296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关于发包人移交施工现场的期限要求：</w:t>
      </w:r>
      <w:r>
        <w:rPr>
          <w:rFonts w:hint="eastAsia" w:ascii="宋体" w:hAnsi="宋体" w:eastAsia="宋体" w:cs="宋体"/>
          <w:color w:val="auto"/>
          <w:kern w:val="2"/>
          <w:sz w:val="21"/>
          <w:szCs w:val="21"/>
          <w:highlight w:val="none"/>
          <w:u w:val="single"/>
          <w:lang w:val="en-US" w:eastAsia="zh-CN" w:bidi="ar"/>
        </w:rPr>
        <w:t>发包人应最迟于开工日期7天前向承包人移交施工现场。</w:t>
      </w:r>
    </w:p>
    <w:p w14:paraId="0207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2.4.2 提供施工条件</w:t>
      </w:r>
    </w:p>
    <w:p w14:paraId="08858A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关于发包人应负责提供施工所需要的条件，包括：</w:t>
      </w:r>
      <w:r>
        <w:rPr>
          <w:rFonts w:hint="eastAsia" w:ascii="宋体" w:hAnsi="宋体" w:eastAsia="宋体" w:cs="宋体"/>
          <w:color w:val="auto"/>
          <w:kern w:val="2"/>
          <w:sz w:val="21"/>
          <w:szCs w:val="21"/>
          <w:highlight w:val="none"/>
          <w:u w:val="single"/>
          <w:lang w:val="en-US" w:eastAsia="zh-CN" w:bidi="ar"/>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p>
    <w:p w14:paraId="2A40BD4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 资金来源证明及支付担保</w:t>
      </w:r>
    </w:p>
    <w:p w14:paraId="530264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发包人提供资金来源证明的期限要求：</w:t>
      </w:r>
      <w:r>
        <w:rPr>
          <w:rFonts w:hint="eastAsia" w:ascii="宋体" w:hAnsi="宋体" w:eastAsia="宋体" w:cs="宋体"/>
          <w:color w:val="auto"/>
          <w:kern w:val="2"/>
          <w:sz w:val="21"/>
          <w:szCs w:val="21"/>
          <w:highlight w:val="none"/>
          <w:u w:val="single"/>
          <w:lang w:val="en-US" w:eastAsia="zh-CN" w:bidi="ar"/>
        </w:rPr>
        <w:t xml:space="preserve">自筹资金，不需提供   </w:t>
      </w:r>
      <w:r>
        <w:rPr>
          <w:rFonts w:hint="eastAsia" w:ascii="宋体" w:hAnsi="宋体" w:eastAsia="宋体" w:cs="宋体"/>
          <w:color w:val="auto"/>
          <w:kern w:val="2"/>
          <w:sz w:val="21"/>
          <w:szCs w:val="21"/>
          <w:highlight w:val="none"/>
          <w:lang w:val="en-US" w:eastAsia="zh-CN" w:bidi="ar"/>
        </w:rPr>
        <w:t>。</w:t>
      </w:r>
    </w:p>
    <w:p w14:paraId="0D187E4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发包人是否提供支付担保：</w:t>
      </w:r>
      <w:r>
        <w:rPr>
          <w:rFonts w:hint="eastAsia" w:ascii="宋体" w:hAnsi="宋体" w:eastAsia="宋体" w:cs="宋体"/>
          <w:color w:val="auto"/>
          <w:kern w:val="2"/>
          <w:sz w:val="21"/>
          <w:szCs w:val="21"/>
          <w:highlight w:val="none"/>
          <w:u w:val="single"/>
          <w:lang w:val="en-US" w:eastAsia="zh-CN" w:bidi="ar"/>
        </w:rPr>
        <w:t xml:space="preserve">不提供   </w:t>
      </w:r>
      <w:r>
        <w:rPr>
          <w:rFonts w:hint="eastAsia" w:ascii="宋体" w:hAnsi="宋体" w:eastAsia="宋体" w:cs="宋体"/>
          <w:color w:val="auto"/>
          <w:kern w:val="2"/>
          <w:sz w:val="21"/>
          <w:szCs w:val="21"/>
          <w:highlight w:val="none"/>
          <w:lang w:val="en-US" w:eastAsia="zh-CN" w:bidi="ar"/>
        </w:rPr>
        <w:t>。</w:t>
      </w:r>
    </w:p>
    <w:p w14:paraId="6DF308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发包人提供支付担保的形式：</w:t>
      </w:r>
      <w:r>
        <w:rPr>
          <w:rFonts w:hint="eastAsia" w:ascii="宋体" w:hAnsi="宋体" w:eastAsia="宋体" w:cs="宋体"/>
          <w:color w:val="auto"/>
          <w:kern w:val="2"/>
          <w:sz w:val="21"/>
          <w:szCs w:val="21"/>
          <w:highlight w:val="none"/>
          <w:u w:val="single"/>
          <w:lang w:val="en-US" w:eastAsia="zh-CN" w:bidi="ar"/>
        </w:rPr>
        <w:t>无  </w:t>
      </w:r>
      <w:r>
        <w:rPr>
          <w:rFonts w:hint="eastAsia" w:ascii="宋体" w:hAnsi="宋体" w:eastAsia="宋体" w:cs="宋体"/>
          <w:color w:val="auto"/>
          <w:kern w:val="2"/>
          <w:sz w:val="21"/>
          <w:szCs w:val="21"/>
          <w:highlight w:val="none"/>
          <w:lang w:val="en-US" w:eastAsia="zh-CN" w:bidi="ar"/>
        </w:rPr>
        <w:t>。</w:t>
      </w:r>
    </w:p>
    <w:p w14:paraId="71ADC087">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3. 承包人</w:t>
      </w:r>
    </w:p>
    <w:p w14:paraId="5501D8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3.1 承包人的一般义务</w:t>
      </w:r>
    </w:p>
    <w:p w14:paraId="596D922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承包人提交的竣工资料的内容：</w:t>
      </w:r>
      <w:r>
        <w:rPr>
          <w:rFonts w:hint="eastAsia" w:ascii="宋体" w:hAnsi="宋体" w:eastAsia="宋体" w:cs="宋体"/>
          <w:color w:val="auto"/>
          <w:kern w:val="2"/>
          <w:sz w:val="21"/>
          <w:szCs w:val="21"/>
          <w:highlight w:val="none"/>
          <w:u w:val="single"/>
          <w:lang w:val="en-US" w:eastAsia="zh-CN" w:bidi="ar"/>
        </w:rPr>
        <w:t xml:space="preserve">   按相关要求执行，包括但不限于竣工图、竣工报告、项目质检资料、结算资料等  </w:t>
      </w:r>
      <w:r>
        <w:rPr>
          <w:rFonts w:hint="eastAsia" w:ascii="宋体" w:hAnsi="宋体" w:eastAsia="宋体" w:cs="宋体"/>
          <w:color w:val="auto"/>
          <w:kern w:val="2"/>
          <w:sz w:val="21"/>
          <w:szCs w:val="21"/>
          <w:highlight w:val="none"/>
          <w:lang w:val="en-US" w:eastAsia="zh-CN" w:bidi="ar"/>
        </w:rPr>
        <w:t>。</w:t>
      </w:r>
    </w:p>
    <w:p w14:paraId="1D56C6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承包人需要提交的竣工资料套数：</w:t>
      </w:r>
      <w:r>
        <w:rPr>
          <w:rFonts w:hint="eastAsia" w:ascii="宋体" w:hAnsi="宋体" w:eastAsia="宋体" w:cs="宋体"/>
          <w:color w:val="auto"/>
          <w:kern w:val="2"/>
          <w:sz w:val="21"/>
          <w:szCs w:val="21"/>
          <w:highlight w:val="none"/>
          <w:u w:val="single"/>
          <w:lang w:val="en-US" w:eastAsia="zh-CN" w:bidi="ar"/>
        </w:rPr>
        <w:t xml:space="preserve">      按相关要求执行，且不少于3套    </w:t>
      </w:r>
      <w:r>
        <w:rPr>
          <w:rFonts w:hint="eastAsia" w:ascii="宋体" w:hAnsi="宋体" w:eastAsia="宋体" w:cs="宋体"/>
          <w:color w:val="auto"/>
          <w:kern w:val="2"/>
          <w:sz w:val="21"/>
          <w:szCs w:val="21"/>
          <w:highlight w:val="none"/>
          <w:lang w:val="en-US" w:eastAsia="zh-CN" w:bidi="ar"/>
        </w:rPr>
        <w:t>。</w:t>
      </w:r>
    </w:p>
    <w:p w14:paraId="748A6D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承包人提交的竣工资料的费用承担：</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2"/>
          <w:sz w:val="21"/>
          <w:szCs w:val="21"/>
          <w:highlight w:val="none"/>
          <w:lang w:val="en-US" w:eastAsia="zh-CN" w:bidi="ar"/>
        </w:rPr>
        <w:t>。</w:t>
      </w:r>
    </w:p>
    <w:p w14:paraId="761C6B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承包人提交的竣工资料移交时间：</w:t>
      </w:r>
      <w:r>
        <w:rPr>
          <w:rFonts w:hint="eastAsia" w:ascii="宋体" w:hAnsi="宋体" w:eastAsia="宋体" w:cs="宋体"/>
          <w:color w:val="auto"/>
          <w:kern w:val="2"/>
          <w:sz w:val="21"/>
          <w:szCs w:val="21"/>
          <w:highlight w:val="none"/>
          <w:u w:val="single"/>
          <w:lang w:val="en-US" w:eastAsia="zh-CN" w:bidi="ar"/>
        </w:rPr>
        <w:t xml:space="preserve">     竣工验收合格后15日内   </w:t>
      </w:r>
      <w:r>
        <w:rPr>
          <w:rFonts w:hint="eastAsia" w:ascii="宋体" w:hAnsi="宋体" w:eastAsia="宋体" w:cs="宋体"/>
          <w:color w:val="auto"/>
          <w:kern w:val="2"/>
          <w:sz w:val="21"/>
          <w:szCs w:val="21"/>
          <w:highlight w:val="none"/>
          <w:lang w:val="en-US" w:eastAsia="zh-CN" w:bidi="ar"/>
        </w:rPr>
        <w:t>。</w:t>
      </w:r>
    </w:p>
    <w:p w14:paraId="7AE8AE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承包人提交的竣工资料形式要求：</w:t>
      </w:r>
      <w:r>
        <w:rPr>
          <w:rFonts w:hint="eastAsia" w:ascii="宋体" w:hAnsi="宋体" w:eastAsia="宋体" w:cs="宋体"/>
          <w:color w:val="auto"/>
          <w:kern w:val="2"/>
          <w:sz w:val="21"/>
          <w:szCs w:val="21"/>
          <w:highlight w:val="none"/>
          <w:u w:val="single"/>
          <w:lang w:val="en-US" w:eastAsia="zh-CN" w:bidi="ar"/>
        </w:rPr>
        <w:t xml:space="preserve">     纸质及电子形式   </w:t>
      </w:r>
      <w:r>
        <w:rPr>
          <w:rFonts w:hint="eastAsia" w:ascii="宋体" w:hAnsi="宋体" w:eastAsia="宋体" w:cs="宋体"/>
          <w:color w:val="auto"/>
          <w:kern w:val="2"/>
          <w:sz w:val="21"/>
          <w:szCs w:val="21"/>
          <w:highlight w:val="none"/>
          <w:lang w:val="en-US" w:eastAsia="zh-CN" w:bidi="ar"/>
        </w:rPr>
        <w:t>。</w:t>
      </w:r>
    </w:p>
    <w:p w14:paraId="77A019C2">
      <w:pPr>
        <w:keepNext w:val="0"/>
        <w:keepLines w:val="0"/>
        <w:widowControl w:val="0"/>
        <w:numPr>
          <w:ilvl w:val="0"/>
          <w:numId w:val="3"/>
        </w:numPr>
        <w:suppressLineNumbers w:val="0"/>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承包人应履行的其他义务：</w:t>
      </w:r>
      <w:r>
        <w:rPr>
          <w:rFonts w:hint="eastAsia" w:ascii="宋体" w:hAnsi="宋体" w:eastAsia="宋体" w:cs="宋体"/>
          <w:color w:val="auto"/>
          <w:kern w:val="2"/>
          <w:sz w:val="21"/>
          <w:szCs w:val="21"/>
          <w:highlight w:val="none"/>
          <w:u w:val="single"/>
          <w:lang w:val="en-US" w:eastAsia="zh-CN" w:bidi="ar"/>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遵守滁重[2020]53号《关于限制不良建筑市场主体投标的规定》的；⑥月工程量进度及时完成；⑦按规定提供工程资料并及时归档的；⑧须执行我市市住建、公管、人社等相关单位关于项目管理、扬尘治理、大气、农民工工资支付、工程款支付等方面的通知、规定和相关要求。</w:t>
      </w:r>
    </w:p>
    <w:p w14:paraId="5311BC1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 项目经理</w:t>
      </w:r>
    </w:p>
    <w:p w14:paraId="156239F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 xml:space="preserve">3.2.1 </w:t>
      </w:r>
      <w:r>
        <w:rPr>
          <w:rFonts w:hint="eastAsia" w:ascii="宋体" w:hAnsi="宋体" w:eastAsia="宋体" w:cs="宋体"/>
          <w:color w:val="auto"/>
          <w:kern w:val="2"/>
          <w:sz w:val="21"/>
          <w:szCs w:val="21"/>
          <w:highlight w:val="none"/>
          <w:lang w:val="en-US" w:eastAsia="zh-CN" w:bidi="ar"/>
        </w:rPr>
        <w:t>项目经理：</w:t>
      </w:r>
    </w:p>
    <w:p w14:paraId="59105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5F9BEFD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206E905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建造师执业资格等级：</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79F4B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建造师注册证书号：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F2C45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建造师执业印章号：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0963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安全生产考核合格证书号：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9396D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63D2BA3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0A671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0B195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承包人对项目负责人（项目经理）的授权范围如下：</w:t>
      </w:r>
      <w:r>
        <w:rPr>
          <w:rFonts w:hint="eastAsia" w:ascii="宋体" w:hAnsi="宋体" w:eastAsia="宋体" w:cs="宋体"/>
          <w:color w:val="auto"/>
          <w:kern w:val="2"/>
          <w:sz w:val="21"/>
          <w:szCs w:val="21"/>
          <w:highlight w:val="none"/>
          <w:u w:val="single"/>
          <w:lang w:val="en-US" w:eastAsia="zh-CN" w:bidi="ar"/>
        </w:rPr>
        <w:t xml:space="preserve">由承包人明确授权范围  </w:t>
      </w:r>
      <w:r>
        <w:rPr>
          <w:rFonts w:hint="eastAsia" w:ascii="宋体" w:hAnsi="宋体" w:eastAsia="宋体" w:cs="宋体"/>
          <w:color w:val="auto"/>
          <w:kern w:val="2"/>
          <w:sz w:val="21"/>
          <w:szCs w:val="21"/>
          <w:highlight w:val="none"/>
          <w:lang w:val="en-US" w:eastAsia="zh-CN" w:bidi="ar"/>
        </w:rPr>
        <w:t>。</w:t>
      </w:r>
    </w:p>
    <w:p w14:paraId="225AB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每月在施工现场的时间要求：</w:t>
      </w:r>
      <w:r>
        <w:rPr>
          <w:rFonts w:hint="eastAsia" w:ascii="宋体" w:hAnsi="宋体" w:eastAsia="宋体" w:cs="宋体"/>
          <w:color w:val="auto"/>
          <w:kern w:val="2"/>
          <w:sz w:val="21"/>
          <w:szCs w:val="21"/>
          <w:highlight w:val="none"/>
          <w:u w:val="single"/>
          <w:lang w:val="en-US" w:eastAsia="zh-CN" w:bidi="ar"/>
        </w:rPr>
        <w:t>项目经理每月在岗时间不得少于20天，施工现场其他管理人员每月在岗时间不得少于22天。</w:t>
      </w:r>
    </w:p>
    <w:p w14:paraId="51EBD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承包人未提交劳动合同，以及没有为建造师缴纳社会保险证明的违约责任：</w:t>
      </w:r>
      <w:r>
        <w:rPr>
          <w:rFonts w:hint="eastAsia" w:ascii="宋体" w:hAnsi="宋体" w:eastAsia="宋体" w:cs="宋体"/>
          <w:color w:val="auto"/>
          <w:kern w:val="2"/>
          <w:sz w:val="21"/>
          <w:szCs w:val="21"/>
          <w:highlight w:val="none"/>
          <w:u w:val="single"/>
          <w:lang w:val="en-US" w:eastAsia="zh-CN" w:bidi="ar"/>
        </w:rPr>
        <w:t>签订本合同前提供，资格审查时已提供的，不再重复提供</w:t>
      </w:r>
      <w:r>
        <w:rPr>
          <w:rFonts w:hint="eastAsia" w:ascii="宋体" w:hAnsi="宋体" w:eastAsia="宋体" w:cs="宋体"/>
          <w:color w:val="auto"/>
          <w:kern w:val="2"/>
          <w:sz w:val="21"/>
          <w:szCs w:val="21"/>
          <w:highlight w:val="none"/>
          <w:lang w:val="en-US" w:eastAsia="zh-CN" w:bidi="ar"/>
        </w:rPr>
        <w:t>。</w:t>
      </w:r>
    </w:p>
    <w:p w14:paraId="0CFB9F8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未经批准，擅自离开施工现场的违约责任：</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4ABFFBF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3.2.3 承包人擅自更换项目负责人（项目经理）的违约责任：</w:t>
      </w:r>
      <w:r>
        <w:rPr>
          <w:rFonts w:hint="eastAsia" w:ascii="宋体" w:hAnsi="宋体" w:eastAsia="宋体" w:cs="宋体"/>
          <w:color w:val="auto"/>
          <w:kern w:val="2"/>
          <w:sz w:val="21"/>
          <w:szCs w:val="21"/>
          <w:highlight w:val="none"/>
          <w:u w:val="single"/>
          <w:lang w:val="en-US" w:eastAsia="zh-CN" w:bidi="ar"/>
        </w:rPr>
        <w:t>项目负责人变更必须经发包人批准，并满足《关于进一步加强建筑施工现场项目负责人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出国、辞职等原因提出变更的，除需提供相关证明外，须缴纳10万元违约金；项目经理无能力履行合同的责任和义务，建设单位要求变更的，须缴纳</w:t>
      </w:r>
      <w:r>
        <w:rPr>
          <w:rFonts w:hint="eastAsia" w:ascii="宋体" w:hAnsi="宋体" w:cs="宋体"/>
          <w:color w:val="auto"/>
          <w:kern w:val="2"/>
          <w:sz w:val="21"/>
          <w:szCs w:val="21"/>
          <w:highlight w:val="none"/>
          <w:u w:val="single"/>
          <w:lang w:val="en-US" w:eastAsia="zh-CN" w:bidi="ar"/>
        </w:rPr>
        <w:t>20万元</w:t>
      </w:r>
      <w:r>
        <w:rPr>
          <w:rFonts w:hint="eastAsia" w:ascii="宋体" w:hAnsi="宋体" w:eastAsia="宋体" w:cs="宋体"/>
          <w:color w:val="auto"/>
          <w:kern w:val="2"/>
          <w:sz w:val="21"/>
          <w:szCs w:val="21"/>
          <w:highlight w:val="none"/>
          <w:u w:val="single"/>
          <w:lang w:val="en-US" w:eastAsia="zh-CN" w:bidi="ar"/>
        </w:rPr>
        <w:t>违约金，否则不得变更。变更后的项目经理（建造师）必须符合本项目招标文件和投标承诺配备的同等条件人员，并按照滁州市有关规定履行变更审批程序。</w:t>
      </w:r>
    </w:p>
    <w:p w14:paraId="1CDA1B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3.2.4 承包人无正当理由拒绝更换项目经理的违约责任：</w:t>
      </w:r>
      <w:r>
        <w:rPr>
          <w:rFonts w:hint="eastAsia" w:ascii="宋体" w:hAnsi="宋体" w:eastAsia="宋体" w:cs="宋体"/>
          <w:color w:val="auto"/>
          <w:kern w:val="2"/>
          <w:sz w:val="21"/>
          <w:szCs w:val="21"/>
          <w:highlight w:val="none"/>
          <w:u w:val="single"/>
          <w:lang w:val="en-US" w:eastAsia="zh-CN" w:bidi="ar"/>
        </w:rPr>
        <w:t>发包人将组织对项目经理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300AC73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 承包人人员</w:t>
      </w:r>
    </w:p>
    <w:p w14:paraId="17A073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3.3.1 承包人提交项目管理机构及施工现场管理人员安排报告的期限：</w:t>
      </w:r>
      <w:r>
        <w:rPr>
          <w:rFonts w:hint="eastAsia" w:ascii="宋体" w:hAnsi="宋体" w:eastAsia="宋体" w:cs="宋体"/>
          <w:color w:val="auto"/>
          <w:kern w:val="2"/>
          <w:sz w:val="21"/>
          <w:szCs w:val="21"/>
          <w:highlight w:val="none"/>
          <w:u w:val="single"/>
          <w:lang w:val="en-US" w:eastAsia="zh-CN" w:bidi="ar"/>
        </w:rPr>
        <w:t>承包人应在合同签订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19305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3.3.3 承包人无正当理由拒绝撤换主要施工管理人员的违约责任：</w:t>
      </w:r>
      <w:r>
        <w:rPr>
          <w:rFonts w:hint="eastAsia" w:ascii="宋体" w:hAnsi="宋体" w:eastAsia="宋体" w:cs="宋体"/>
          <w:color w:val="auto"/>
          <w:kern w:val="2"/>
          <w:sz w:val="21"/>
          <w:szCs w:val="21"/>
          <w:highlight w:val="none"/>
          <w:u w:val="single"/>
          <w:lang w:val="en-US" w:eastAsia="zh-CN" w:bidi="ar"/>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78834C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3.3.4 承包人主要施工管理人员离开施工现场的批准要求：</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0833932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3.3.5承包人擅自更换主要施工管理人员的违约责任：按照</w:t>
      </w:r>
      <w:r>
        <w:rPr>
          <w:rFonts w:hint="eastAsia" w:ascii="宋体" w:hAnsi="宋体" w:eastAsia="宋体" w:cs="宋体"/>
          <w:color w:val="auto"/>
          <w:kern w:val="2"/>
          <w:sz w:val="21"/>
          <w:szCs w:val="21"/>
          <w:highlight w:val="none"/>
          <w:u w:val="single"/>
          <w:lang w:val="en-US" w:eastAsia="zh-CN" w:bidi="ar"/>
        </w:rPr>
        <w:t>未按规定在岗履责进行处罚。</w:t>
      </w:r>
    </w:p>
    <w:p w14:paraId="76BED3C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 分包</w:t>
      </w:r>
    </w:p>
    <w:p w14:paraId="69CEE1B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3.5.1 分包的一般约定</w:t>
      </w:r>
    </w:p>
    <w:p w14:paraId="2BB63E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禁止分包的工程包括：</w:t>
      </w:r>
      <w:r>
        <w:rPr>
          <w:rFonts w:hint="eastAsia" w:ascii="宋体" w:hAnsi="宋体" w:eastAsia="宋体" w:cs="宋体"/>
          <w:color w:val="auto"/>
          <w:kern w:val="2"/>
          <w:sz w:val="21"/>
          <w:szCs w:val="21"/>
          <w:highlight w:val="none"/>
          <w:u w:val="single"/>
          <w:lang w:val="en-US" w:eastAsia="zh-CN" w:bidi="ar"/>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2A2CD4E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主体结构、关键性工作的范围：</w:t>
      </w:r>
      <w:r>
        <w:rPr>
          <w:rFonts w:hint="eastAsia" w:ascii="宋体" w:hAnsi="宋体" w:eastAsia="宋体" w:cs="宋体"/>
          <w:color w:val="auto"/>
          <w:kern w:val="2"/>
          <w:sz w:val="21"/>
          <w:szCs w:val="21"/>
          <w:highlight w:val="none"/>
          <w:u w:val="single"/>
          <w:lang w:val="en-US" w:eastAsia="zh-CN" w:bidi="ar"/>
        </w:rPr>
        <w:t>房建、水利工程为主体结构；市政工程为道路基层、面层；桥梁为主体结构；园林景观工程为绿化采购、栽植、养护；等等</w:t>
      </w:r>
      <w:r>
        <w:rPr>
          <w:rFonts w:hint="eastAsia" w:ascii="宋体" w:hAnsi="宋体" w:eastAsia="宋体" w:cs="宋体"/>
          <w:color w:val="auto"/>
          <w:kern w:val="2"/>
          <w:sz w:val="21"/>
          <w:szCs w:val="21"/>
          <w:highlight w:val="none"/>
          <w:lang w:val="en-US" w:eastAsia="zh-CN" w:bidi="ar"/>
        </w:rPr>
        <w:t>。</w:t>
      </w:r>
    </w:p>
    <w:p w14:paraId="3AEA10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3.5.2分包的确定</w:t>
      </w:r>
    </w:p>
    <w:p w14:paraId="578DD8C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允许分包的专业工程包括：</w:t>
      </w:r>
      <w:r>
        <w:rPr>
          <w:rFonts w:hint="eastAsia" w:ascii="宋体" w:hAnsi="宋体" w:eastAsia="宋体" w:cs="宋体"/>
          <w:color w:val="auto"/>
          <w:kern w:val="2"/>
          <w:sz w:val="21"/>
          <w:szCs w:val="21"/>
          <w:highlight w:val="none"/>
          <w:u w:val="single"/>
          <w:lang w:val="en-US" w:eastAsia="zh-CN" w:bidi="ar"/>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4BE7D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其他关于分包的约定：</w:t>
      </w:r>
      <w:r>
        <w:rPr>
          <w:rFonts w:hint="eastAsia" w:ascii="宋体" w:hAnsi="宋体" w:eastAsia="宋体" w:cs="宋体"/>
          <w:color w:val="auto"/>
          <w:kern w:val="2"/>
          <w:sz w:val="21"/>
          <w:szCs w:val="21"/>
          <w:highlight w:val="none"/>
          <w:u w:val="single"/>
          <w:lang w:val="en-US" w:eastAsia="zh-CN" w:bidi="ar"/>
        </w:rPr>
        <w:t xml:space="preserve"> 承包人不得以劳务分包的名义转包或违法分包工程。</w:t>
      </w:r>
      <w:r>
        <w:rPr>
          <w:rFonts w:hint="eastAsia" w:ascii="宋体" w:hAnsi="宋体" w:eastAsia="宋体" w:cs="宋体"/>
          <w:b/>
          <w:bCs/>
          <w:color w:val="auto"/>
          <w:kern w:val="2"/>
          <w:sz w:val="21"/>
          <w:szCs w:val="21"/>
          <w:highlight w:val="none"/>
          <w:u w:val="single"/>
          <w:lang w:val="en-US" w:eastAsia="zh-CN" w:bidi="ar"/>
        </w:rPr>
        <w:t>发包人一经发现承包人转包、挂靠等行为的，发包人立即解除合同，清退出场。</w:t>
      </w:r>
    </w:p>
    <w:p w14:paraId="2F953F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3.5.4 分包合同价款</w:t>
      </w:r>
    </w:p>
    <w:p w14:paraId="09EA0B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关于分包合同价款支付的约定：</w:t>
      </w:r>
      <w:r>
        <w:rPr>
          <w:rFonts w:hint="eastAsia" w:ascii="宋体" w:hAnsi="宋体" w:eastAsia="宋体" w:cs="宋体"/>
          <w:color w:val="auto"/>
          <w:kern w:val="2"/>
          <w:sz w:val="21"/>
          <w:szCs w:val="21"/>
          <w:highlight w:val="none"/>
          <w:u w:val="single"/>
          <w:lang w:val="en-US" w:eastAsia="zh-CN" w:bidi="ar"/>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hAnsi="宋体" w:eastAsia="宋体" w:cs="宋体"/>
          <w:color w:val="auto"/>
          <w:kern w:val="2"/>
          <w:sz w:val="21"/>
          <w:szCs w:val="21"/>
          <w:highlight w:val="none"/>
          <w:lang w:val="en-US" w:eastAsia="zh-CN" w:bidi="ar"/>
        </w:rPr>
        <w:t>。</w:t>
      </w:r>
    </w:p>
    <w:p w14:paraId="4195CD0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3.6 工程照管与成品、半成品保护</w:t>
      </w:r>
    </w:p>
    <w:p w14:paraId="4B305EE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承包人负责照管工程及工程相关的材料、工程设备的起始时间：</w:t>
      </w:r>
      <w:r>
        <w:rPr>
          <w:rFonts w:hint="eastAsia" w:ascii="宋体" w:hAnsi="宋体" w:eastAsia="宋体" w:cs="宋体"/>
          <w:color w:val="auto"/>
          <w:kern w:val="0"/>
          <w:sz w:val="21"/>
          <w:szCs w:val="21"/>
          <w:highlight w:val="none"/>
          <w:u w:val="single"/>
          <w:lang w:val="en-US" w:eastAsia="zh-CN" w:bidi="ar"/>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356E4B36">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3.7 履约担保</w:t>
      </w:r>
    </w:p>
    <w:p w14:paraId="6CEA367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承包人是否提供履约担保：</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w:t>
      </w:r>
    </w:p>
    <w:p w14:paraId="3602E8CC">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承包人提供履约担保的形式、金额及期限的：支持银行转账、银行电汇、银行保函、担保机构担保、保证保险使用</w:t>
      </w:r>
    </w:p>
    <w:p w14:paraId="6520A50E">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注：履约保证金的金额：中标合同金额×2％。</w:t>
      </w:r>
    </w:p>
    <w:p w14:paraId="246DAC6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履约保证金提交期限的要求：签订合同前。 </w:t>
      </w:r>
    </w:p>
    <w:p w14:paraId="700B6F85">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履约保证金退还时限：履约保证金有效期满7日内。</w:t>
      </w:r>
    </w:p>
    <w:p w14:paraId="16E2E591">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 监理人</w:t>
      </w:r>
    </w:p>
    <w:p w14:paraId="1FA397E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4.1监理人的一般规定</w:t>
      </w:r>
    </w:p>
    <w:p w14:paraId="21EA9C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关于监理人的监理内容：</w:t>
      </w:r>
      <w:r>
        <w:rPr>
          <w:rFonts w:hint="eastAsia" w:ascii="宋体" w:hAnsi="宋体" w:eastAsia="宋体" w:cs="宋体"/>
          <w:color w:val="auto"/>
          <w:kern w:val="2"/>
          <w:sz w:val="21"/>
          <w:szCs w:val="21"/>
          <w:highlight w:val="none"/>
          <w:u w:val="single"/>
          <w:lang w:val="en-US" w:eastAsia="zh-CN" w:bidi="ar"/>
        </w:rPr>
        <w:t xml:space="preserve">  详见监理合同 </w:t>
      </w:r>
      <w:r>
        <w:rPr>
          <w:rFonts w:hint="eastAsia" w:ascii="宋体" w:hAnsi="宋体" w:eastAsia="宋体" w:cs="宋体"/>
          <w:color w:val="auto"/>
          <w:kern w:val="2"/>
          <w:sz w:val="21"/>
          <w:szCs w:val="21"/>
          <w:highlight w:val="none"/>
          <w:lang w:val="en-US" w:eastAsia="zh-CN" w:bidi="ar"/>
        </w:rPr>
        <w:t>。</w:t>
      </w:r>
    </w:p>
    <w:p w14:paraId="55F1D9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关于监理人的监理权限：</w:t>
      </w:r>
      <w:r>
        <w:rPr>
          <w:rFonts w:hint="eastAsia" w:ascii="宋体" w:hAnsi="宋体" w:eastAsia="宋体" w:cs="宋体"/>
          <w:color w:val="auto"/>
          <w:kern w:val="2"/>
          <w:sz w:val="21"/>
          <w:szCs w:val="21"/>
          <w:highlight w:val="none"/>
          <w:u w:val="single"/>
          <w:lang w:val="en-US" w:eastAsia="zh-CN" w:bidi="ar"/>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hAnsi="宋体" w:eastAsia="宋体" w:cs="宋体"/>
          <w:color w:val="auto"/>
          <w:kern w:val="2"/>
          <w:sz w:val="21"/>
          <w:szCs w:val="21"/>
          <w:highlight w:val="none"/>
          <w:lang w:val="en-US" w:eastAsia="zh-CN" w:bidi="ar"/>
        </w:rPr>
        <w:t xml:space="preserve">。 </w:t>
      </w:r>
    </w:p>
    <w:p w14:paraId="452C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关于监理人在施工现场的办公场所、生活场所的提供和费用承担的约定：</w:t>
      </w:r>
      <w:r>
        <w:rPr>
          <w:rFonts w:hint="eastAsia" w:ascii="宋体" w:hAnsi="宋体" w:eastAsia="宋体" w:cs="宋体"/>
          <w:color w:val="auto"/>
          <w:kern w:val="2"/>
          <w:sz w:val="21"/>
          <w:szCs w:val="21"/>
          <w:highlight w:val="none"/>
          <w:u w:val="single"/>
          <w:lang w:val="en-US" w:eastAsia="zh-CN" w:bidi="ar"/>
        </w:rPr>
        <w:t>办公场所由承包人提供和承担，生活场所由监理人自行解决和承担 。</w:t>
      </w:r>
    </w:p>
    <w:p w14:paraId="193F19B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 监理人员</w:t>
      </w:r>
    </w:p>
    <w:p w14:paraId="05527C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总监理工程师：</w:t>
      </w:r>
    </w:p>
    <w:p w14:paraId="12506D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DA0B3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A6237E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监理工程师执业资格证书号：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377B7E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772FC7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27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A82DE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关于监理人的其他约定：</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18F6E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4.4 商定或确定</w:t>
      </w:r>
    </w:p>
    <w:p w14:paraId="2072696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在发包人和承包人不能通过协商达成一致意见时，发包人授权监理人对以下事项进行确定：</w:t>
      </w:r>
    </w:p>
    <w:p w14:paraId="34951BE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2"/>
          <w:sz w:val="21"/>
          <w:szCs w:val="21"/>
          <w:highlight w:val="none"/>
          <w:u w:val="single"/>
          <w:lang w:val="en-US" w:eastAsia="zh-CN" w:bidi="ar"/>
        </w:rPr>
        <w:t xml:space="preserve">    施工方案     </w:t>
      </w:r>
      <w:r>
        <w:rPr>
          <w:rFonts w:hint="eastAsia" w:ascii="宋体" w:hAnsi="宋体" w:eastAsia="宋体" w:cs="宋体"/>
          <w:color w:val="auto"/>
          <w:kern w:val="2"/>
          <w:sz w:val="21"/>
          <w:szCs w:val="21"/>
          <w:highlight w:val="none"/>
          <w:lang w:val="en-US" w:eastAsia="zh-CN" w:bidi="ar"/>
        </w:rPr>
        <w:t>；</w:t>
      </w:r>
    </w:p>
    <w:p w14:paraId="2C823B1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2"/>
          <w:sz w:val="21"/>
          <w:szCs w:val="21"/>
          <w:highlight w:val="none"/>
          <w:u w:val="single"/>
          <w:lang w:val="en-US" w:eastAsia="zh-CN" w:bidi="ar"/>
        </w:rPr>
        <w:t xml:space="preserve">   索赔事项等    </w:t>
      </w:r>
      <w:r>
        <w:rPr>
          <w:rFonts w:hint="eastAsia" w:ascii="宋体" w:hAnsi="宋体" w:eastAsia="宋体" w:cs="宋体"/>
          <w:color w:val="auto"/>
          <w:kern w:val="2"/>
          <w:sz w:val="21"/>
          <w:szCs w:val="21"/>
          <w:highlight w:val="none"/>
          <w:lang w:val="en-US" w:eastAsia="zh-CN" w:bidi="ar"/>
        </w:rPr>
        <w:t>；</w:t>
      </w:r>
    </w:p>
    <w:p w14:paraId="6123DC6B">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5. 工程质量</w:t>
      </w:r>
    </w:p>
    <w:p w14:paraId="638004F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 质量要求</w:t>
      </w:r>
    </w:p>
    <w:p w14:paraId="580797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5.1.1 特殊质量标准和要求：</w:t>
      </w:r>
      <w:r>
        <w:rPr>
          <w:rFonts w:hint="eastAsia" w:ascii="宋体" w:hAnsi="宋体" w:eastAsia="宋体" w:cs="宋体"/>
          <w:color w:val="auto"/>
          <w:kern w:val="2"/>
          <w:sz w:val="21"/>
          <w:szCs w:val="21"/>
          <w:highlight w:val="none"/>
          <w:u w:val="single"/>
          <w:lang w:val="en-US" w:eastAsia="zh-CN" w:bidi="ar"/>
        </w:rPr>
        <w:t xml:space="preserve"> 工程质量必须达到国家工程施工质量验收 合格 标准。 </w:t>
      </w:r>
    </w:p>
    <w:p w14:paraId="067D079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关于工程奖项的约定：</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4C1B259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 隐蔽工程检查</w:t>
      </w:r>
    </w:p>
    <w:p w14:paraId="37271F1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5.3.1隐蔽工程隐蔽前，承包人应当对工程隐蔽部位进行自检，并经自检确认是否具备覆盖条件。</w:t>
      </w:r>
    </w:p>
    <w:p w14:paraId="5DF219E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5.3.2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w:t>
      </w:r>
    </w:p>
    <w:p w14:paraId="4B305A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87D858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7A3157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0546B2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6D9D091A">
      <w:pPr>
        <w:pStyle w:val="9"/>
        <w:widowControl/>
        <w:tabs>
          <w:tab w:val="left" w:pos="3315"/>
        </w:tabs>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6. 安全文明施工与环境保护</w:t>
      </w:r>
      <w:r>
        <w:rPr>
          <w:rFonts w:hint="eastAsia" w:ascii="宋体" w:hAnsi="Arial" w:eastAsia="宋体" w:cs="宋体"/>
          <w:b w:val="0"/>
          <w:bCs/>
          <w:color w:val="auto"/>
          <w:kern w:val="2"/>
          <w:sz w:val="21"/>
          <w:szCs w:val="21"/>
          <w:highlight w:val="none"/>
        </w:rPr>
        <w:tab/>
      </w:r>
    </w:p>
    <w:p w14:paraId="2AC2A7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6.1安全文明施工</w:t>
      </w:r>
    </w:p>
    <w:p w14:paraId="0A8E29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6.1.1 项目安全生产的达标目标及相应事项的约定</w:t>
      </w:r>
      <w:r>
        <w:rPr>
          <w:rFonts w:hint="eastAsia" w:ascii="宋体" w:hAnsi="宋体" w:eastAsia="宋体" w:cs="宋体"/>
          <w:color w:val="auto"/>
          <w:kern w:val="2"/>
          <w:sz w:val="21"/>
          <w:szCs w:val="21"/>
          <w:highlight w:val="none"/>
          <w:u w:val="single"/>
          <w:lang w:val="en-US" w:eastAsia="zh-CN" w:bidi="ar"/>
        </w:rPr>
        <w:t xml:space="preserve">  /    。</w:t>
      </w:r>
    </w:p>
    <w:p w14:paraId="5380A9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6.1.4 关于治安保卫的特别约定：</w:t>
      </w:r>
      <w:r>
        <w:rPr>
          <w:rFonts w:hint="eastAsia" w:ascii="宋体" w:hAnsi="宋体" w:eastAsia="宋体" w:cs="宋体"/>
          <w:color w:val="auto"/>
          <w:kern w:val="2"/>
          <w:sz w:val="21"/>
          <w:szCs w:val="21"/>
          <w:highlight w:val="none"/>
          <w:u w:val="single"/>
          <w:lang w:val="en-US" w:eastAsia="zh-CN" w:bidi="ar"/>
        </w:rPr>
        <w:t xml:space="preserve"> 由承包人负责。</w:t>
      </w:r>
    </w:p>
    <w:p w14:paraId="012C5AD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关于编制施工场地治安管理计划的约定：</w:t>
      </w:r>
      <w:r>
        <w:rPr>
          <w:rFonts w:hint="eastAsia" w:ascii="宋体" w:hAnsi="宋体" w:eastAsia="宋体" w:cs="宋体"/>
          <w:color w:val="auto"/>
          <w:kern w:val="2"/>
          <w:sz w:val="21"/>
          <w:szCs w:val="21"/>
          <w:highlight w:val="none"/>
          <w:u w:val="single"/>
          <w:lang w:val="en-US" w:eastAsia="zh-CN" w:bidi="ar"/>
        </w:rPr>
        <w:t xml:space="preserve">   由承包人负责       </w:t>
      </w:r>
      <w:r>
        <w:rPr>
          <w:rFonts w:hint="eastAsia" w:ascii="宋体" w:hAnsi="宋体" w:eastAsia="宋体" w:cs="宋体"/>
          <w:color w:val="auto"/>
          <w:kern w:val="2"/>
          <w:sz w:val="21"/>
          <w:szCs w:val="21"/>
          <w:highlight w:val="none"/>
          <w:lang w:val="en-US" w:eastAsia="zh-CN" w:bidi="ar"/>
        </w:rPr>
        <w:t>。</w:t>
      </w:r>
    </w:p>
    <w:p w14:paraId="1E2A1D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6.1.5 文明施工</w:t>
      </w:r>
    </w:p>
    <w:p w14:paraId="75542C5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合同当事人对文明施工的要求：</w:t>
      </w:r>
      <w:r>
        <w:rPr>
          <w:rFonts w:hint="eastAsia" w:ascii="宋体" w:hAnsi="宋体" w:eastAsia="宋体" w:cs="宋体"/>
          <w:color w:val="auto"/>
          <w:kern w:val="2"/>
          <w:sz w:val="21"/>
          <w:szCs w:val="21"/>
          <w:highlight w:val="none"/>
          <w:u w:val="single"/>
          <w:lang w:val="en-US" w:eastAsia="zh-CN" w:bidi="ar"/>
        </w:rPr>
        <w:t xml:space="preserve"> 承包人必须根据滁州当地政府管理机构及发包人的要求进行安全文明施工并交纳有关费用  </w:t>
      </w:r>
      <w:r>
        <w:rPr>
          <w:rFonts w:hint="eastAsia" w:ascii="宋体" w:hAnsi="宋体" w:eastAsia="宋体" w:cs="宋体"/>
          <w:color w:val="auto"/>
          <w:kern w:val="2"/>
          <w:sz w:val="21"/>
          <w:szCs w:val="21"/>
          <w:highlight w:val="none"/>
          <w:lang w:val="en-US" w:eastAsia="zh-CN" w:bidi="ar"/>
        </w:rPr>
        <w:t>。</w:t>
      </w:r>
    </w:p>
    <w:p w14:paraId="05AB618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6.1.6 关于安全文明施工费支付比例和支付期限的约定：</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4380C6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6.1.7承包人可以按照《安徽省建筑施工安全质量标准化示范工地申报考核办法》的通知要求申报省级“安全质量标准化示范工地”，费用自理。奖励资金不另行支付，奖励费用包含在承包人的投标报价中。</w:t>
      </w:r>
    </w:p>
    <w:p w14:paraId="5831AB3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6.1.9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w:t>
      </w:r>
      <w:r>
        <w:rPr>
          <w:rFonts w:hint="eastAsia" w:ascii="宋体" w:hAnsi="宋体" w:cs="宋体"/>
          <w:bCs/>
          <w:color w:val="auto"/>
          <w:kern w:val="2"/>
          <w:sz w:val="21"/>
          <w:szCs w:val="21"/>
          <w:highlight w:val="none"/>
          <w:lang w:val="en-US" w:eastAsia="zh-CN" w:bidi="ar"/>
        </w:rPr>
        <w:t>20万元</w:t>
      </w:r>
      <w:r>
        <w:rPr>
          <w:rFonts w:hint="eastAsia" w:ascii="宋体" w:hAnsi="宋体" w:eastAsia="宋体" w:cs="宋体"/>
          <w:bCs/>
          <w:color w:val="auto"/>
          <w:kern w:val="2"/>
          <w:sz w:val="21"/>
          <w:szCs w:val="21"/>
          <w:highlight w:val="none"/>
          <w:lang w:val="en-US" w:eastAsia="zh-CN" w:bidi="ar"/>
        </w:rPr>
        <w:t>的人民币违约金；（4）一般事故，发包人对承包人处以10万元的人民币违约金；并承担因施工安全事故给本工程建设单位、项目管理单位和监理人带来的经济损失。</w:t>
      </w:r>
    </w:p>
    <w:p w14:paraId="264E4C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6.1.10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w:t>
      </w:r>
      <w:r>
        <w:rPr>
          <w:rFonts w:hint="eastAsia" w:ascii="宋体" w:hAnsi="宋体" w:cs="宋体"/>
          <w:bCs/>
          <w:color w:val="auto"/>
          <w:kern w:val="2"/>
          <w:sz w:val="21"/>
          <w:szCs w:val="21"/>
          <w:highlight w:val="none"/>
          <w:lang w:val="en-US" w:eastAsia="zh-CN" w:bidi="ar"/>
        </w:rPr>
        <w:t>20万元</w:t>
      </w:r>
      <w:r>
        <w:rPr>
          <w:rFonts w:hint="eastAsia" w:ascii="宋体" w:hAnsi="宋体" w:eastAsia="宋体" w:cs="宋体"/>
          <w:bCs/>
          <w:color w:val="auto"/>
          <w:kern w:val="2"/>
          <w:sz w:val="21"/>
          <w:szCs w:val="21"/>
          <w:highlight w:val="none"/>
          <w:lang w:val="en-US" w:eastAsia="zh-CN" w:bidi="ar"/>
        </w:rPr>
        <w:t>的人民币违约金；（4）一般质量事故，发包人对承包人处以10万元的人民币违约金；并承担因施工质量事故给本工程建设单位、项目管理单位和监理人带来的经济损失。</w:t>
      </w:r>
    </w:p>
    <w:p w14:paraId="5A4641F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lang w:val="en-US" w:eastAsia="zh-CN" w:bidi="ar"/>
        </w:rPr>
        <w:t>6.1.11承包方自行解决进场道路绿化开口协调及费用，所需费用已包含在投标综合单价中，不另计。</w:t>
      </w:r>
    </w:p>
    <w:p w14:paraId="60BB2EE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7. 工期和进度</w:t>
      </w:r>
    </w:p>
    <w:p w14:paraId="26B60262">
      <w:pPr>
        <w:keepNext w:val="0"/>
        <w:keepLines w:val="0"/>
        <w:widowControl w:val="0"/>
        <w:suppressLineNumbers w:val="0"/>
        <w:tabs>
          <w:tab w:val="left" w:pos="32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 施工组织设计</w:t>
      </w:r>
      <w:r>
        <w:rPr>
          <w:rFonts w:hint="eastAsia" w:ascii="宋体" w:hAnsi="宋体" w:eastAsia="宋体" w:cs="宋体"/>
          <w:color w:val="auto"/>
          <w:kern w:val="2"/>
          <w:sz w:val="21"/>
          <w:szCs w:val="21"/>
          <w:highlight w:val="none"/>
          <w:lang w:val="en-US" w:eastAsia="zh-CN" w:bidi="ar"/>
        </w:rPr>
        <w:tab/>
      </w:r>
    </w:p>
    <w:p w14:paraId="24E3A88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7.1.1 （9）合</w:t>
      </w:r>
      <w:r>
        <w:rPr>
          <w:rFonts w:hint="eastAsia" w:ascii="宋体" w:hAnsi="宋体" w:eastAsia="宋体" w:cs="宋体"/>
          <w:color w:val="auto"/>
          <w:kern w:val="0"/>
          <w:sz w:val="21"/>
          <w:szCs w:val="21"/>
          <w:highlight w:val="none"/>
          <w:lang w:val="en-US" w:eastAsia="zh-CN" w:bidi="ar"/>
        </w:rPr>
        <w:t>同当事人约定的施工组织设计应包括的其他内容：</w:t>
      </w:r>
      <w:r>
        <w:rPr>
          <w:rFonts w:hint="eastAsia" w:ascii="宋体" w:hAnsi="宋体" w:eastAsia="宋体" w:cs="宋体"/>
          <w:color w:val="auto"/>
          <w:kern w:val="2"/>
          <w:sz w:val="21"/>
          <w:szCs w:val="21"/>
          <w:highlight w:val="none"/>
          <w:u w:val="single"/>
          <w:lang w:val="en-US" w:eastAsia="zh-CN" w:bidi="ar"/>
        </w:rPr>
        <w:t xml:space="preserve">  本工程需按照总进度计划编制每月施工进度计划，经监理、发包人审批后作为进度考核和进度款支付的依据  </w:t>
      </w:r>
      <w:r>
        <w:rPr>
          <w:rFonts w:hint="eastAsia" w:ascii="宋体" w:hAnsi="宋体" w:eastAsia="宋体" w:cs="宋体"/>
          <w:color w:val="auto"/>
          <w:kern w:val="2"/>
          <w:sz w:val="21"/>
          <w:szCs w:val="21"/>
          <w:highlight w:val="none"/>
          <w:lang w:val="en-US" w:eastAsia="zh-CN" w:bidi="ar"/>
        </w:rPr>
        <w:t>。</w:t>
      </w:r>
    </w:p>
    <w:p w14:paraId="535A8F3E">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 xml:space="preserve">7.1.2 </w:t>
      </w:r>
      <w:r>
        <w:rPr>
          <w:rFonts w:hint="eastAsia" w:ascii="宋体" w:hAnsi="宋体" w:eastAsia="宋体" w:cs="宋体"/>
          <w:color w:val="auto"/>
          <w:kern w:val="0"/>
          <w:sz w:val="21"/>
          <w:szCs w:val="21"/>
          <w:highlight w:val="none"/>
          <w:lang w:val="en-US" w:eastAsia="zh-CN" w:bidi="ar"/>
        </w:rPr>
        <w:t>施工组织设计的提交和修改</w:t>
      </w:r>
    </w:p>
    <w:p w14:paraId="3C13FD9F">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承包人提交详细施工组织设计的期限的约定：</w:t>
      </w:r>
      <w:r>
        <w:rPr>
          <w:rFonts w:hint="eastAsia" w:ascii="宋体" w:hAnsi="宋体" w:eastAsia="宋体" w:cs="宋体"/>
          <w:color w:val="auto"/>
          <w:kern w:val="2"/>
          <w:sz w:val="21"/>
          <w:szCs w:val="21"/>
          <w:highlight w:val="none"/>
          <w:u w:val="single"/>
          <w:lang w:val="en-US" w:eastAsia="zh-CN" w:bidi="ar"/>
        </w:rPr>
        <w:t xml:space="preserve">图纸会审及设计交底后一周内提供标后实施性施工组织设计 </w:t>
      </w:r>
      <w:r>
        <w:rPr>
          <w:rFonts w:hint="eastAsia" w:ascii="宋体" w:hAnsi="宋体" w:eastAsia="宋体" w:cs="宋体"/>
          <w:color w:val="auto"/>
          <w:kern w:val="2"/>
          <w:sz w:val="21"/>
          <w:szCs w:val="21"/>
          <w:highlight w:val="none"/>
          <w:lang w:val="en-US" w:eastAsia="zh-CN" w:bidi="ar"/>
        </w:rPr>
        <w:t>。</w:t>
      </w:r>
    </w:p>
    <w:p w14:paraId="136EF90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发包人和监理人在收到详细的施工组织设计后确认或提出修改意见的期限：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6D2C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 施工进度计划</w:t>
      </w:r>
    </w:p>
    <w:p w14:paraId="4EDBBF2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7.2.2 施工进度计划的修订</w:t>
      </w:r>
    </w:p>
    <w:p w14:paraId="43F11D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发包人和监理人在收到修订的施工进度计划后确认或提出修改意见的期限：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503705A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 开工</w:t>
      </w:r>
    </w:p>
    <w:p w14:paraId="36C79B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7.3.1 开工准备</w:t>
      </w:r>
    </w:p>
    <w:p w14:paraId="2DD25D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关于承包人提交</w:t>
      </w:r>
      <w:r>
        <w:rPr>
          <w:rFonts w:hint="eastAsia" w:ascii="宋体" w:hAnsi="宋体" w:eastAsia="宋体" w:cs="宋体"/>
          <w:color w:val="auto"/>
          <w:kern w:val="0"/>
          <w:sz w:val="21"/>
          <w:szCs w:val="21"/>
          <w:highlight w:val="none"/>
          <w:lang w:val="en-US" w:eastAsia="zh-CN" w:bidi="ar"/>
        </w:rPr>
        <w:t>工程开工报审表的期限：</w:t>
      </w:r>
      <w:r>
        <w:rPr>
          <w:rFonts w:hint="eastAsia" w:ascii="宋体" w:hAnsi="宋体" w:eastAsia="宋体" w:cs="宋体"/>
          <w:color w:val="auto"/>
          <w:kern w:val="2"/>
          <w:sz w:val="21"/>
          <w:szCs w:val="21"/>
          <w:highlight w:val="none"/>
          <w:u w:val="single"/>
          <w:lang w:val="en-US" w:eastAsia="zh-CN" w:bidi="ar"/>
        </w:rPr>
        <w:t xml:space="preserve"> 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7975E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关于承包人应完成的其他开工准备工作及期限：</w:t>
      </w:r>
      <w:r>
        <w:rPr>
          <w:rFonts w:hint="eastAsia" w:ascii="宋体" w:hAnsi="宋体" w:eastAsia="宋体" w:cs="宋体"/>
          <w:color w:val="auto"/>
          <w:kern w:val="2"/>
          <w:sz w:val="21"/>
          <w:szCs w:val="21"/>
          <w:highlight w:val="none"/>
          <w:u w:val="single"/>
          <w:lang w:val="en-US" w:eastAsia="zh-CN" w:bidi="ar"/>
        </w:rPr>
        <w:t>合同当事人应按约定完成开工准备工作。</w:t>
      </w:r>
    </w:p>
    <w:p w14:paraId="437D683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7.3.2开工通知</w:t>
      </w:r>
    </w:p>
    <w:p w14:paraId="4DCA42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因发包人原因造成监理人未能在计划开工日期之日起</w:t>
      </w:r>
      <w:r>
        <w:rPr>
          <w:rFonts w:hint="eastAsia" w:ascii="宋体" w:hAnsi="宋体" w:eastAsia="宋体" w:cs="宋体"/>
          <w:color w:val="auto"/>
          <w:kern w:val="2"/>
          <w:sz w:val="21"/>
          <w:szCs w:val="21"/>
          <w:highlight w:val="none"/>
          <w:u w:val="single"/>
          <w:lang w:val="en-US" w:eastAsia="zh-CN" w:bidi="ar"/>
        </w:rPr>
        <w:t xml:space="preserve">  90  </w:t>
      </w:r>
      <w:r>
        <w:rPr>
          <w:rFonts w:hint="eastAsia" w:ascii="宋体" w:hAnsi="宋体" w:eastAsia="宋体" w:cs="宋体"/>
          <w:color w:val="auto"/>
          <w:kern w:val="2"/>
          <w:sz w:val="21"/>
          <w:szCs w:val="21"/>
          <w:highlight w:val="none"/>
          <w:lang w:val="en-US" w:eastAsia="zh-CN" w:bidi="ar"/>
        </w:rPr>
        <w:t>天内发出开工通知的，承包人有权提出价格调整要求，或者解除合同。</w:t>
      </w:r>
    </w:p>
    <w:p w14:paraId="0C4E5C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 测量放线</w:t>
      </w:r>
    </w:p>
    <w:p w14:paraId="3ED9CE0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7.4.1发包人通过监理人向承包人提供测量基准点、基准线和水准点及其书面资料的期限：</w:t>
      </w:r>
      <w:r>
        <w:rPr>
          <w:rFonts w:hint="eastAsia" w:ascii="宋体" w:hAnsi="宋体" w:eastAsia="宋体" w:cs="宋体"/>
          <w:color w:val="auto"/>
          <w:kern w:val="2"/>
          <w:sz w:val="21"/>
          <w:szCs w:val="21"/>
          <w:highlight w:val="none"/>
          <w:u w:val="single"/>
          <w:lang w:val="en-US" w:eastAsia="zh-CN" w:bidi="ar"/>
        </w:rPr>
        <w:t xml:space="preserve"> 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9CA3AB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 工期延误</w:t>
      </w:r>
    </w:p>
    <w:p w14:paraId="34D6304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7.5.1 因发包人原因导致工期延误</w:t>
      </w:r>
    </w:p>
    <w:p w14:paraId="73DBED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（7）因发包人原因导致工期延误的其他情形：</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 xml:space="preserve">        </w:t>
      </w:r>
    </w:p>
    <w:p w14:paraId="21230D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7.5.2 因承包人原因导致工期延误</w:t>
      </w:r>
    </w:p>
    <w:p w14:paraId="15D353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因承包人原因造成工期延误，逾期竣工违约金的计算方法为：</w:t>
      </w:r>
      <w:r>
        <w:rPr>
          <w:rFonts w:hint="eastAsia" w:ascii="宋体" w:hAnsi="宋体" w:eastAsia="宋体" w:cs="宋体"/>
          <w:color w:val="auto"/>
          <w:kern w:val="2"/>
          <w:sz w:val="21"/>
          <w:szCs w:val="21"/>
          <w:highlight w:val="none"/>
          <w:u w:val="single"/>
          <w:lang w:val="en-US" w:eastAsia="zh-CN" w:bidi="ar"/>
        </w:rPr>
        <w:t xml:space="preserve">  因承包方原因造成的工期延误，每推迟一天，按3000元处以违约金；月工程量未完成的当期不得请款，当月未完成的工程量纳入下月一并完成，完不成的仍不予请款，依此类推。连续两个月工程量未完成的立即限制承包人一年内不得参与发包人项目投标。</w:t>
      </w:r>
    </w:p>
    <w:p w14:paraId="6F2FB5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因承包人原因造成工期延误，逾期竣工违约金的上限：</w:t>
      </w:r>
      <w:r>
        <w:rPr>
          <w:rFonts w:hint="eastAsia" w:ascii="宋体" w:hAnsi="宋体" w:eastAsia="宋体" w:cs="宋体"/>
          <w:color w:val="auto"/>
          <w:kern w:val="2"/>
          <w:sz w:val="21"/>
          <w:szCs w:val="21"/>
          <w:highlight w:val="none"/>
          <w:u w:val="single"/>
          <w:lang w:val="en-US" w:eastAsia="zh-CN" w:bidi="ar"/>
        </w:rPr>
        <w:t xml:space="preserve"> 全额履约保证金 </w:t>
      </w:r>
      <w:r>
        <w:rPr>
          <w:rFonts w:hint="eastAsia" w:ascii="宋体" w:hAnsi="宋体" w:eastAsia="宋体" w:cs="宋体"/>
          <w:color w:val="auto"/>
          <w:kern w:val="2"/>
          <w:sz w:val="21"/>
          <w:szCs w:val="21"/>
          <w:highlight w:val="none"/>
          <w:lang w:val="en-US" w:eastAsia="zh-CN" w:bidi="ar"/>
        </w:rPr>
        <w:t>。</w:t>
      </w:r>
    </w:p>
    <w:p w14:paraId="191AFF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业主单位根据拖延工期的严重程度采用以下方法处理:</w:t>
      </w:r>
    </w:p>
    <w:p w14:paraId="67F52C7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w:t>
      </w:r>
      <w:r>
        <w:rPr>
          <w:rFonts w:hint="eastAsia" w:ascii="宋体" w:hAnsi="宋体" w:eastAsia="宋体" w:cs="宋体"/>
          <w:bCs/>
          <w:color w:val="auto"/>
          <w:kern w:val="2"/>
          <w:sz w:val="21"/>
          <w:szCs w:val="21"/>
          <w:highlight w:val="none"/>
          <w:u w:val="single"/>
          <w:lang w:val="en-US" w:eastAsia="zh-CN" w:bidi="ar"/>
        </w:rPr>
        <w:t>督促承包人采取有效的赶工措施（费用自理）；</w:t>
      </w:r>
    </w:p>
    <w:p w14:paraId="62665CC6">
      <w:pPr>
        <w:keepNext w:val="0"/>
        <w:keepLines w:val="0"/>
        <w:widowControl w:val="0"/>
        <w:suppressLineNumbers w:val="0"/>
        <w:snapToGrid w:val="0"/>
        <w:spacing w:before="0" w:beforeAutospacing="0" w:after="0" w:afterAutospacing="0" w:line="400" w:lineRule="exact"/>
        <w:ind w:left="0" w:right="-334" w:rightChars="-159"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position w:val="6"/>
          <w:sz w:val="21"/>
          <w:szCs w:val="21"/>
          <w:highlight w:val="none"/>
          <w:u w:val="single"/>
          <w:lang w:val="en-US" w:eastAsia="zh-CN" w:bidi="ar"/>
        </w:rPr>
        <w:t>发包人根据本项目总体施工计划对工程各分部分项工程的进度目标确定之后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承包人应采取各种措施确保本合同内各分部分项工程进度目标的实现</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如果在工程实施某个分部分项工程，承包人的实际进度滞后该分部分项工程进度目标7天以上</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并无法确保该分部分项工程进度目标的完成或承包人虽采取了一些措施，但仍无法按交工期交工时</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监理工程师应立即通知发包人，并抄送承包人。发包人向承包人发出书面警告通知3天后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发包人有权终止合同，也可将本合同工程中的一部分或剩余工作交由其他承包人或指定分包人完成</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因此所增加的一切费用由原承包人承担</w:t>
      </w:r>
      <w:r>
        <w:rPr>
          <w:rFonts w:hint="eastAsia" w:ascii="宋体" w:hAnsi="宋体" w:eastAsia="宋体" w:cs="宋体"/>
          <w:color w:val="auto"/>
          <w:kern w:val="2"/>
          <w:sz w:val="21"/>
          <w:szCs w:val="21"/>
          <w:highlight w:val="none"/>
          <w:u w:val="single"/>
          <w:lang w:val="en-US" w:eastAsia="zh-CN" w:bidi="ar"/>
        </w:rPr>
        <w:t>。</w:t>
      </w:r>
    </w:p>
    <w:p w14:paraId="20A17B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w:t>
      </w:r>
      <w:r>
        <w:rPr>
          <w:rFonts w:hint="eastAsia" w:ascii="宋体" w:hAnsi="宋体" w:eastAsia="宋体" w:cs="宋体"/>
          <w:bCs/>
          <w:color w:val="auto"/>
          <w:kern w:val="2"/>
          <w:sz w:val="21"/>
          <w:szCs w:val="21"/>
          <w:highlight w:val="none"/>
          <w:u w:val="single"/>
          <w:lang w:val="en-US" w:eastAsia="zh-CN" w:bidi="ar"/>
        </w:rPr>
        <w:t xml:space="preserve">对严重拖延工期，经发包人多次督促，承包人拒不执行的，发包人可中止施工合同，并和承包人进行清算。同时按原中标价格另选同样资质的施工队伍进场施工，原承包人须无条件配合，不得以任何借口阻挠另选的施工队伍施工，不得向发包人提出任何索赔要求，详见补充条款。  </w:t>
      </w:r>
    </w:p>
    <w:p w14:paraId="24938C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7.6 不利物质条件</w:t>
      </w:r>
    </w:p>
    <w:p w14:paraId="7CDC3B9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不利物质条件的其他情形和有关约定：</w:t>
      </w:r>
      <w:r>
        <w:rPr>
          <w:rFonts w:hint="eastAsia" w:ascii="宋体" w:hAnsi="宋体" w:eastAsia="宋体" w:cs="宋体"/>
          <w:color w:val="auto"/>
          <w:kern w:val="2"/>
          <w:sz w:val="21"/>
          <w:szCs w:val="21"/>
          <w:highlight w:val="none"/>
          <w:u w:val="single"/>
          <w:lang w:val="en-US" w:eastAsia="zh-CN" w:bidi="ar"/>
        </w:rPr>
        <w:t xml:space="preserve"> 无  。</w:t>
      </w:r>
    </w:p>
    <w:p w14:paraId="5927B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7.7异常恶劣的气候条件</w:t>
      </w:r>
    </w:p>
    <w:p w14:paraId="7B0A5A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发包人和承包人同意以下情形视为异常恶劣的气候条件：</w:t>
      </w:r>
    </w:p>
    <w:p w14:paraId="3358023E">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8B2EC3">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94904E4">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C1EA08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 提前竣工的奖励</w:t>
      </w:r>
    </w:p>
    <w:p w14:paraId="296BAB9B">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7.9.2提前竣工的奖励：</w:t>
      </w:r>
      <w:r>
        <w:rPr>
          <w:rFonts w:hint="eastAsia" w:ascii="宋体" w:hAnsi="宋体" w:eastAsia="宋体" w:cs="宋体"/>
          <w:color w:val="auto"/>
          <w:kern w:val="2"/>
          <w:sz w:val="21"/>
          <w:szCs w:val="21"/>
          <w:highlight w:val="none"/>
          <w:u w:val="single"/>
          <w:lang w:val="en-US" w:eastAsia="zh-CN" w:bidi="ar"/>
        </w:rPr>
        <w:t xml:space="preserve"> 由发包人根据提前竣工天数，结合项目考勤、质量、安全等实际情况综合考虑     </w:t>
      </w:r>
      <w:r>
        <w:rPr>
          <w:rFonts w:hint="eastAsia" w:ascii="宋体" w:hAnsi="宋体" w:eastAsia="宋体" w:cs="宋体"/>
          <w:color w:val="auto"/>
          <w:kern w:val="2"/>
          <w:sz w:val="21"/>
          <w:szCs w:val="21"/>
          <w:highlight w:val="none"/>
          <w:lang w:val="en-US" w:eastAsia="zh-CN" w:bidi="ar"/>
        </w:rPr>
        <w:t>。</w:t>
      </w:r>
    </w:p>
    <w:p w14:paraId="38BAD3C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8. 材料与设备</w:t>
      </w:r>
    </w:p>
    <w:p w14:paraId="7AB7526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8.4材料与工程设备的保管与使用</w:t>
      </w:r>
    </w:p>
    <w:p w14:paraId="79F8E61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8.4.1发包人供应的材料设备的保管费用的承担：</w:t>
      </w:r>
      <w:r>
        <w:rPr>
          <w:rFonts w:hint="eastAsia" w:ascii="宋体" w:hAnsi="宋体" w:eastAsia="宋体" w:cs="宋体"/>
          <w:color w:val="auto"/>
          <w:kern w:val="2"/>
          <w:sz w:val="21"/>
          <w:szCs w:val="21"/>
          <w:highlight w:val="none"/>
          <w:u w:val="single"/>
          <w:lang w:val="en-US" w:eastAsia="zh-CN" w:bidi="ar"/>
        </w:rPr>
        <w:t xml:space="preserve">   /。</w:t>
      </w:r>
    </w:p>
    <w:p w14:paraId="282693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8.6 样品</w:t>
      </w:r>
    </w:p>
    <w:p w14:paraId="3591B09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8.6.1样品的报送与封存</w:t>
      </w:r>
    </w:p>
    <w:p w14:paraId="7AE55CF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需要承包人报送样品的材料或工程设备，样品的种类、名称、规格、数量要求：</w:t>
      </w:r>
      <w:r>
        <w:rPr>
          <w:rFonts w:hint="eastAsia" w:ascii="宋体" w:hAnsi="宋体" w:eastAsia="宋体" w:cs="宋体"/>
          <w:color w:val="auto"/>
          <w:kern w:val="2"/>
          <w:sz w:val="21"/>
          <w:szCs w:val="21"/>
          <w:highlight w:val="none"/>
          <w:u w:val="single"/>
          <w:lang w:val="en-US" w:eastAsia="zh-CN" w:bidi="ar"/>
        </w:rPr>
        <w:t xml:space="preserve"> 执行招标文件。 </w:t>
      </w:r>
    </w:p>
    <w:p w14:paraId="2ABCF6A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 施工设备和临时设施</w:t>
      </w:r>
    </w:p>
    <w:p w14:paraId="1B0DCF0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8.8.1 承包人提供的施工设备和临时设施</w:t>
      </w:r>
    </w:p>
    <w:p w14:paraId="1D5EBFF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关于修建临时设施费用承担的约定：</w:t>
      </w:r>
      <w:r>
        <w:rPr>
          <w:rFonts w:hint="eastAsia" w:ascii="宋体" w:hAnsi="宋体" w:eastAsia="宋体" w:cs="宋体"/>
          <w:color w:val="auto"/>
          <w:kern w:val="2"/>
          <w:sz w:val="21"/>
          <w:szCs w:val="21"/>
          <w:highlight w:val="none"/>
          <w:u w:val="single"/>
          <w:lang w:val="en-US" w:eastAsia="zh-CN" w:bidi="ar"/>
        </w:rPr>
        <w:t xml:space="preserve">  由承包人自行承担费用   </w:t>
      </w:r>
      <w:r>
        <w:rPr>
          <w:rFonts w:hint="eastAsia" w:ascii="宋体" w:hAnsi="宋体" w:eastAsia="宋体" w:cs="宋体"/>
          <w:color w:val="auto"/>
          <w:kern w:val="2"/>
          <w:sz w:val="21"/>
          <w:szCs w:val="21"/>
          <w:highlight w:val="none"/>
          <w:lang w:val="en-US" w:eastAsia="zh-CN" w:bidi="ar"/>
        </w:rPr>
        <w:t>。</w:t>
      </w:r>
    </w:p>
    <w:p w14:paraId="3E11C3C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9. 试验与检验</w:t>
      </w:r>
    </w:p>
    <w:p w14:paraId="29FC34C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9.1试验设备与试验人员</w:t>
      </w:r>
    </w:p>
    <w:p w14:paraId="1CF3D3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9.1.2 试验设备</w:t>
      </w:r>
    </w:p>
    <w:p w14:paraId="7707A3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施工现场需要配置的试验场所：</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 xml:space="preserve">。 </w:t>
      </w:r>
    </w:p>
    <w:p w14:paraId="5FBF9FA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施工现场需要配备的试验设备：</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19F02D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施工现场需要具备的其他试验条件：</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5DAEB9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9.4 现场工艺试验 </w:t>
      </w:r>
    </w:p>
    <w:p w14:paraId="1F8C053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现场工艺试验的有关约定：</w:t>
      </w:r>
      <w:r>
        <w:rPr>
          <w:rFonts w:hint="eastAsia" w:ascii="宋体" w:hAnsi="宋体" w:eastAsia="宋体" w:cs="宋体"/>
          <w:color w:val="auto"/>
          <w:kern w:val="2"/>
          <w:sz w:val="21"/>
          <w:szCs w:val="21"/>
          <w:highlight w:val="none"/>
          <w:u w:val="single"/>
          <w:lang w:val="en-US" w:eastAsia="zh-CN" w:bidi="ar"/>
        </w:rPr>
        <w:t xml:space="preserve">   按监理人指示    </w:t>
      </w:r>
      <w:r>
        <w:rPr>
          <w:rFonts w:hint="eastAsia" w:ascii="宋体" w:hAnsi="宋体" w:eastAsia="宋体" w:cs="宋体"/>
          <w:color w:val="auto"/>
          <w:kern w:val="2"/>
          <w:sz w:val="21"/>
          <w:szCs w:val="21"/>
          <w:highlight w:val="none"/>
          <w:lang w:val="en-US" w:eastAsia="zh-CN" w:bidi="ar"/>
        </w:rPr>
        <w:t>。</w:t>
      </w:r>
    </w:p>
    <w:p w14:paraId="07082A86">
      <w:pPr>
        <w:pStyle w:val="9"/>
        <w:widowControl/>
        <w:snapToGrid w:val="0"/>
        <w:spacing w:before="0" w:beforeAutospacing="0" w:after="0" w:afterAutospacing="0" w:line="440" w:lineRule="exact"/>
        <w:ind w:left="0" w:firstLine="420" w:firstLineChars="20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10. 变更</w:t>
      </w:r>
    </w:p>
    <w:p w14:paraId="477635D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10.1变更的范围</w:t>
      </w:r>
    </w:p>
    <w:p w14:paraId="5C7F1A6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关于变更范围的约定：</w:t>
      </w:r>
      <w:r>
        <w:rPr>
          <w:rFonts w:hint="eastAsia" w:ascii="宋体" w:hAnsi="宋体" w:eastAsia="宋体" w:cs="宋体"/>
          <w:b/>
          <w:bCs w:val="0"/>
          <w:color w:val="auto"/>
          <w:kern w:val="2"/>
          <w:sz w:val="21"/>
          <w:szCs w:val="21"/>
          <w:highlight w:val="none"/>
          <w:u w:val="single"/>
          <w:lang w:val="en-US" w:eastAsia="zh-CN" w:bidi="ar"/>
        </w:rPr>
        <w:t>执行合同通用条款</w:t>
      </w:r>
      <w:r>
        <w:rPr>
          <w:rFonts w:hint="eastAsia" w:ascii="宋体" w:hAnsi="宋体" w:eastAsia="宋体" w:cs="宋体"/>
          <w:b/>
          <w:bCs/>
          <w:color w:val="auto"/>
          <w:kern w:val="2"/>
          <w:sz w:val="21"/>
          <w:szCs w:val="21"/>
          <w:highlight w:val="none"/>
          <w:u w:val="single"/>
          <w:lang w:val="en-US" w:eastAsia="zh-CN" w:bidi="ar"/>
        </w:rPr>
        <w:t>。</w:t>
      </w:r>
    </w:p>
    <w:p w14:paraId="63BFEB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10.4 变更估价</w:t>
      </w:r>
    </w:p>
    <w:p w14:paraId="1554337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10.4.1变更估价原则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关于变更估价的约定:</w:t>
      </w:r>
    </w:p>
    <w:p w14:paraId="05BA19E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u w:val="single"/>
        </w:rPr>
      </w:pPr>
      <w:r>
        <w:rPr>
          <w:rFonts w:hint="eastAsia" w:ascii="宋体" w:hAnsi="宋体" w:eastAsia="宋体" w:cs="宋体"/>
          <w:b/>
          <w:bCs/>
          <w:color w:val="auto"/>
          <w:kern w:val="2"/>
          <w:sz w:val="21"/>
          <w:szCs w:val="21"/>
          <w:highlight w:val="none"/>
          <w:lang w:val="en-US" w:eastAsia="zh-CN" w:bidi="ar"/>
        </w:rPr>
        <w:t>变更导致结算工程量（含1.13清单工程量错误产生的工程量）减少0-100%或增加15%以内部分，执行下列第（1）款或第（2）款确定的单价；但超出15%以外部分，结算单价按第（1）款或第（2）款对应的结算单价按最高投标限价单价×投标让利幅度计算且结算单价不得高于中标单价；已标价工程量清单或预算书中无相同项目及类似项目单价的新增项目单价按照最高投标限价的编制原则重新组价×投标让利幅度（上述投标让利幅度为中标价/最高投标限价，其中中标价和最高投标限价均扣除暂列金额、暂估价及相应税金），结算价格最终以相关部门审核价为准；</w:t>
      </w:r>
    </w:p>
    <w:p w14:paraId="614A0516">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（1）已标价工程量清单或预算书有相同项目的，按照相同项目单价认定；</w:t>
      </w:r>
    </w:p>
    <w:p w14:paraId="0D5BAAEC">
      <w:pPr>
        <w:keepNext w:val="0"/>
        <w:keepLines w:val="0"/>
        <w:widowControl w:val="0"/>
        <w:suppressLineNumbers w:val="0"/>
        <w:autoSpaceDE w:val="0"/>
        <w:autoSpaceDN w:val="0"/>
        <w:adjustRightIn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val="0"/>
          <w:color w:val="auto"/>
          <w:kern w:val="2"/>
          <w:sz w:val="21"/>
          <w:szCs w:val="21"/>
          <w:highlight w:val="none"/>
          <w:lang w:val="en-US" w:eastAsia="zh-CN" w:bidi="ar"/>
        </w:rPr>
        <w:t>已标价工程量清单或预算书中无相同项目，但有类似项目的，参照类似项目的单价认定。</w:t>
      </w:r>
    </w:p>
    <w:p w14:paraId="561FD36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因承包人改变施工技术措施，造成的价格变动，措施费不予调整。因工程变更必须改变原来施工技术措施，造成价格变动的，按实调整，变更组价原则同上。</w:t>
      </w:r>
    </w:p>
    <w:p w14:paraId="09A6A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eastAsia="宋体" w:cs="宋体"/>
          <w:b/>
          <w:bCs w:val="0"/>
          <w:color w:val="auto"/>
          <w:kern w:val="2"/>
          <w:sz w:val="21"/>
          <w:szCs w:val="21"/>
          <w:highlight w:val="none"/>
          <w:u w:val="single"/>
          <w:lang w:val="en-US" w:eastAsia="zh-CN" w:bidi="ar"/>
        </w:rPr>
        <w:t>按实调整。</w:t>
      </w:r>
    </w:p>
    <w:p w14:paraId="6E79B32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10.5承包人的合理化建议</w:t>
      </w:r>
    </w:p>
    <w:p w14:paraId="7962B7A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监理人审查承包人合理化建议的期限：</w:t>
      </w:r>
      <w:r>
        <w:rPr>
          <w:rFonts w:hint="eastAsia" w:ascii="宋体" w:hAnsi="宋体" w:eastAsia="宋体" w:cs="宋体"/>
          <w:color w:val="auto"/>
          <w:kern w:val="2"/>
          <w:sz w:val="21"/>
          <w:szCs w:val="21"/>
          <w:highlight w:val="none"/>
          <w:u w:val="single"/>
          <w:lang w:val="en-US" w:eastAsia="zh-CN" w:bidi="ar"/>
        </w:rPr>
        <w:t xml:space="preserve"> 监理人应在收到承包人提交的合理化建议后7天内审查完毕并报送发包人，发现其中存在技术上的缺陷，应通知承包人修改。</w:t>
      </w:r>
    </w:p>
    <w:p w14:paraId="397A3DD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发包人审批承包人合理化建议的期限：</w:t>
      </w:r>
      <w:r>
        <w:rPr>
          <w:rFonts w:hint="eastAsia" w:ascii="宋体" w:hAnsi="宋体" w:eastAsia="宋体" w:cs="宋体"/>
          <w:color w:val="auto"/>
          <w:kern w:val="2"/>
          <w:sz w:val="21"/>
          <w:szCs w:val="21"/>
          <w:highlight w:val="none"/>
          <w:u w:val="single"/>
          <w:lang w:val="en-US" w:eastAsia="zh-CN" w:bidi="ar"/>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3E7679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承包人提出的合理化建议降低了合同价格或者提高了工程经济效益的奖励的方法和金额为：</w:t>
      </w:r>
      <w:r>
        <w:rPr>
          <w:rFonts w:hint="eastAsia" w:ascii="宋体" w:hAnsi="宋体" w:eastAsia="宋体" w:cs="宋体"/>
          <w:color w:val="auto"/>
          <w:kern w:val="2"/>
          <w:sz w:val="21"/>
          <w:szCs w:val="21"/>
          <w:highlight w:val="none"/>
          <w:u w:val="single"/>
          <w:lang w:val="en-US" w:eastAsia="zh-CN" w:bidi="ar"/>
        </w:rPr>
        <w:t>由发包人根据合同价格降低额或工程经济效益提高承担，结合项目考勤、质量、安全、进度等实际情况综合考虑</w:t>
      </w:r>
      <w:r>
        <w:rPr>
          <w:rFonts w:hint="eastAsia" w:ascii="宋体" w:hAnsi="宋体" w:eastAsia="宋体" w:cs="宋体"/>
          <w:color w:val="auto"/>
          <w:kern w:val="2"/>
          <w:sz w:val="21"/>
          <w:szCs w:val="21"/>
          <w:highlight w:val="none"/>
          <w:lang w:val="en-US" w:eastAsia="zh-CN" w:bidi="ar"/>
        </w:rPr>
        <w:t>。</w:t>
      </w:r>
    </w:p>
    <w:p w14:paraId="1353A41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 暂估价</w:t>
      </w:r>
    </w:p>
    <w:p w14:paraId="5FE65B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暂估价材料和工程设备的明细</w:t>
      </w:r>
      <w:r>
        <w:rPr>
          <w:rFonts w:hint="eastAsia" w:ascii="宋体" w:hAnsi="宋体" w:eastAsia="宋体" w:cs="宋体"/>
          <w:color w:val="auto"/>
          <w:kern w:val="0"/>
          <w:sz w:val="21"/>
          <w:szCs w:val="21"/>
          <w:highlight w:val="none"/>
          <w:u w:val="single"/>
          <w:lang w:val="en-US" w:eastAsia="zh-CN" w:bidi="ar"/>
        </w:rPr>
        <w:t>详见《暂估价一览表》。</w:t>
      </w:r>
    </w:p>
    <w:p w14:paraId="185907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10.7.1 依法必须招标的暂估价项目</w:t>
      </w:r>
    </w:p>
    <w:p w14:paraId="0374DF2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对于依法必须招标的暂估价项目的确认和批准采取</w:t>
      </w:r>
      <w:r>
        <w:rPr>
          <w:rFonts w:hint="eastAsia" w:ascii="宋体" w:hAnsi="宋体" w:eastAsia="宋体" w:cs="宋体"/>
          <w:color w:val="auto"/>
          <w:kern w:val="2"/>
          <w:sz w:val="21"/>
          <w:szCs w:val="21"/>
          <w:highlight w:val="none"/>
          <w:u w:val="single"/>
          <w:lang w:val="en-US" w:eastAsia="zh-CN" w:bidi="ar"/>
        </w:rPr>
        <w:t>第2种</w:t>
      </w:r>
      <w:r>
        <w:rPr>
          <w:rFonts w:hint="eastAsia" w:ascii="宋体" w:hAnsi="宋体" w:eastAsia="宋体" w:cs="宋体"/>
          <w:color w:val="auto"/>
          <w:kern w:val="2"/>
          <w:sz w:val="21"/>
          <w:szCs w:val="21"/>
          <w:highlight w:val="none"/>
          <w:lang w:val="en-US" w:eastAsia="zh-CN" w:bidi="ar"/>
        </w:rPr>
        <w:t>方式确定。</w:t>
      </w:r>
    </w:p>
    <w:p w14:paraId="21AFC3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10.7.2 不属于依法必须招标的暂估价项目</w:t>
      </w:r>
    </w:p>
    <w:p w14:paraId="29627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对于不属于依法必须招标的暂估价项目的确认和批准采取询价或共同交易方式确定。</w:t>
      </w:r>
    </w:p>
    <w:p w14:paraId="2750C8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第3种方式：承包人直接实施的暂估价项目</w:t>
      </w:r>
    </w:p>
    <w:p w14:paraId="0A69E8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承包人直接实施的暂估价项目的约定：</w:t>
      </w:r>
      <w:r>
        <w:rPr>
          <w:rFonts w:hint="eastAsia" w:ascii="宋体" w:hAnsi="宋体" w:eastAsia="宋体" w:cs="宋体"/>
          <w:color w:val="auto"/>
          <w:kern w:val="2"/>
          <w:sz w:val="21"/>
          <w:szCs w:val="21"/>
          <w:highlight w:val="none"/>
          <w:u w:val="single"/>
          <w:lang w:val="en-US" w:eastAsia="zh-CN" w:bidi="ar"/>
        </w:rPr>
        <w:t xml:space="preserve">   无    。</w:t>
      </w:r>
    </w:p>
    <w:p w14:paraId="048E027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10.8 暂列金额</w:t>
      </w:r>
    </w:p>
    <w:p w14:paraId="5488A23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合同当事人关于暂列金额使用的约定：</w:t>
      </w:r>
      <w:r>
        <w:rPr>
          <w:rFonts w:hint="eastAsia" w:ascii="宋体" w:hAnsi="宋体" w:eastAsia="宋体" w:cs="宋体"/>
          <w:color w:val="auto"/>
          <w:kern w:val="2"/>
          <w:sz w:val="21"/>
          <w:szCs w:val="21"/>
          <w:highlight w:val="none"/>
          <w:u w:val="single"/>
          <w:lang w:val="en-US" w:eastAsia="zh-CN" w:bidi="ar"/>
        </w:rPr>
        <w:t xml:space="preserve"> 暂列金额应按照发包人的要求使用。</w:t>
      </w:r>
    </w:p>
    <w:p w14:paraId="00B9000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11. 价格调整</w:t>
      </w:r>
    </w:p>
    <w:p w14:paraId="1AE2DC70">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市场价格波动引起的调整</w:t>
      </w:r>
    </w:p>
    <w:p w14:paraId="0BD4DD66">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市场价格波动是否调整合同价格的约定：</w:t>
      </w:r>
      <w:r>
        <w:rPr>
          <w:rFonts w:hint="eastAsia" w:ascii="宋体" w:hAnsi="宋体" w:eastAsia="宋体" w:cs="宋体"/>
          <w:color w:val="auto"/>
          <w:kern w:val="2"/>
          <w:sz w:val="21"/>
          <w:szCs w:val="21"/>
          <w:highlight w:val="none"/>
          <w:u w:val="single"/>
          <w:lang w:val="en-US" w:eastAsia="zh-CN" w:bidi="ar"/>
        </w:rPr>
        <w:t xml:space="preserve"> 不调整 </w:t>
      </w:r>
      <w:r>
        <w:rPr>
          <w:rFonts w:hint="eastAsia" w:ascii="宋体" w:hAnsi="宋体" w:eastAsia="宋体" w:cs="宋体"/>
          <w:color w:val="auto"/>
          <w:kern w:val="2"/>
          <w:sz w:val="21"/>
          <w:szCs w:val="21"/>
          <w:highlight w:val="none"/>
          <w:lang w:val="en-US" w:eastAsia="zh-CN" w:bidi="ar"/>
        </w:rPr>
        <w:t>。</w:t>
      </w:r>
    </w:p>
    <w:p w14:paraId="43627A9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第2种方式：采用造价信息进行价格调整：无。</w:t>
      </w:r>
    </w:p>
    <w:p w14:paraId="494EE033">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第3种方式：其他价格调整方式：</w:t>
      </w:r>
      <w:r>
        <w:rPr>
          <w:rFonts w:hint="eastAsia" w:ascii="宋体" w:hAnsi="宋体" w:eastAsia="宋体" w:cs="宋体"/>
          <w:color w:val="auto"/>
          <w:kern w:val="2"/>
          <w:sz w:val="21"/>
          <w:szCs w:val="21"/>
          <w:highlight w:val="none"/>
          <w:u w:val="single"/>
          <w:lang w:val="en-US" w:eastAsia="zh-CN" w:bidi="ar"/>
        </w:rPr>
        <w:t xml:space="preserve">   无。</w:t>
      </w:r>
    </w:p>
    <w:p w14:paraId="34B81BCF">
      <w:pPr>
        <w:pStyle w:val="9"/>
        <w:widowControl/>
        <w:snapToGrid w:val="0"/>
        <w:spacing w:before="0" w:beforeAutospacing="0" w:after="0" w:afterAutospacing="0" w:line="440" w:lineRule="exact"/>
        <w:ind w:left="0" w:firstLine="420"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val="0"/>
          <w:bCs w:val="0"/>
          <w:color w:val="auto"/>
          <w:kern w:val="2"/>
          <w:sz w:val="21"/>
          <w:szCs w:val="21"/>
          <w:highlight w:val="none"/>
        </w:rPr>
        <w:t>11.2人工费调整方法：</w:t>
      </w:r>
      <w:r>
        <w:rPr>
          <w:rFonts w:hint="eastAsia" w:ascii="宋体" w:hAnsi="宋体" w:eastAsia="宋体" w:cs="宋体"/>
          <w:b/>
          <w:bCs w:val="0"/>
          <w:color w:val="auto"/>
          <w:kern w:val="2"/>
          <w:sz w:val="21"/>
          <w:szCs w:val="21"/>
          <w:highlight w:val="none"/>
        </w:rPr>
        <w:t>按滁州市住房和城乡建设局发布的《关于发布滁州市建设工程人工价格信息的通知》建科（2021）34号文件规定执行</w:t>
      </w:r>
    </w:p>
    <w:p w14:paraId="3853294C">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12. 合同价格、计量与支付</w:t>
      </w:r>
    </w:p>
    <w:p w14:paraId="488F5F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12.1 合同价格形式</w:t>
      </w:r>
    </w:p>
    <w:p w14:paraId="64E013B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1、单价合同。</w:t>
      </w:r>
    </w:p>
    <w:p w14:paraId="203F58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综合单价包含的风险范围：</w:t>
      </w:r>
      <w:r>
        <w:rPr>
          <w:rFonts w:hint="eastAsia" w:ascii="宋体" w:hAnsi="宋体" w:eastAsia="宋体" w:cs="宋体"/>
          <w:b/>
          <w:bCs w:val="0"/>
          <w:color w:val="auto"/>
          <w:kern w:val="2"/>
          <w:sz w:val="21"/>
          <w:szCs w:val="21"/>
          <w:highlight w:val="none"/>
          <w:u w:val="single"/>
          <w:lang w:val="en-US" w:eastAsia="zh-CN" w:bidi="ar"/>
        </w:rPr>
        <w:t>各种因素引起的材料价格（合同允许调差的材料除外）、机械使用费、管理费、利润等。</w:t>
      </w:r>
    </w:p>
    <w:p w14:paraId="11E8B7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风险费用的计算方法：</w:t>
      </w:r>
      <w:r>
        <w:rPr>
          <w:rFonts w:hint="eastAsia" w:ascii="宋体" w:hAnsi="宋体" w:eastAsia="宋体" w:cs="宋体"/>
          <w:color w:val="auto"/>
          <w:kern w:val="2"/>
          <w:sz w:val="21"/>
          <w:szCs w:val="21"/>
          <w:highlight w:val="none"/>
          <w:u w:val="single"/>
          <w:lang w:val="en-US" w:eastAsia="zh-CN" w:bidi="ar"/>
        </w:rPr>
        <w:t xml:space="preserve"> 不考虑  </w:t>
      </w:r>
    </w:p>
    <w:p w14:paraId="30FBA8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风险范围以外合同价格的调整方法：</w:t>
      </w:r>
      <w:r>
        <w:rPr>
          <w:rFonts w:hint="eastAsia" w:ascii="宋体" w:hAnsi="宋体" w:eastAsia="宋体" w:cs="宋体"/>
          <w:b/>
          <w:bCs w:val="0"/>
          <w:color w:val="auto"/>
          <w:kern w:val="2"/>
          <w:sz w:val="21"/>
          <w:szCs w:val="21"/>
          <w:highlight w:val="none"/>
          <w:u w:val="single"/>
          <w:lang w:val="en-US" w:eastAsia="zh-CN" w:bidi="ar"/>
        </w:rPr>
        <w:t>结算价=合同价±工程变更造价±分部分项工程量清单工程量误差造价±材料价格调整造价±政策性调整造价±人工价格调整造价±措施项目调整造价－暂列金额×1.09± 合理工程索赔。</w:t>
      </w:r>
      <w:r>
        <w:rPr>
          <w:rFonts w:hint="eastAsia" w:ascii="宋体" w:hAnsi="宋体" w:eastAsia="宋体" w:cs="宋体"/>
          <w:bCs/>
          <w:color w:val="auto"/>
          <w:kern w:val="2"/>
          <w:sz w:val="21"/>
          <w:szCs w:val="21"/>
          <w:highlight w:val="none"/>
          <w:u w:val="single"/>
          <w:lang w:val="en-US" w:eastAsia="zh-CN" w:bidi="ar"/>
        </w:rPr>
        <w:t xml:space="preserve"> </w:t>
      </w:r>
    </w:p>
    <w:p w14:paraId="0C3CAF3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 预付款</w:t>
      </w:r>
    </w:p>
    <w:p w14:paraId="6CB14B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12.2.1 预付款的支付</w:t>
      </w:r>
    </w:p>
    <w:p w14:paraId="48038E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预付款支付比例或金额：</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68105F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FBB8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预付款扣回的方式：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B147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12.2.2 预付款担保</w:t>
      </w:r>
    </w:p>
    <w:p w14:paraId="28621E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承包人提交预付款担保的期限：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35C2554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预付款担保的形式为：</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EAD00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 计量</w:t>
      </w:r>
    </w:p>
    <w:p w14:paraId="25CE12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12.3.1 计量原则</w:t>
      </w:r>
    </w:p>
    <w:p w14:paraId="3322699E">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工程量计算规则：</w:t>
      </w:r>
      <w:r>
        <w:rPr>
          <w:rFonts w:hint="eastAsia" w:ascii="宋体" w:hAnsi="宋体" w:eastAsia="宋体" w:cs="宋体"/>
          <w:color w:val="auto"/>
          <w:kern w:val="2"/>
          <w:sz w:val="21"/>
          <w:szCs w:val="21"/>
          <w:highlight w:val="none"/>
          <w:u w:val="single"/>
          <w:lang w:val="en-US" w:eastAsia="zh-CN" w:bidi="ar"/>
        </w:rPr>
        <w:t>执行现行建设工程工程量清单计价规范（GB50500）、安徽省建设工程计价依据。</w:t>
      </w:r>
    </w:p>
    <w:p w14:paraId="5AA7D814">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12.3.2 计量周期</w:t>
      </w:r>
    </w:p>
    <w:p w14:paraId="13A5754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关于计量周期的约定：</w:t>
      </w:r>
      <w:r>
        <w:rPr>
          <w:rFonts w:hint="eastAsia" w:ascii="宋体" w:hAnsi="宋体" w:eastAsia="宋体" w:cs="宋体"/>
          <w:color w:val="auto"/>
          <w:kern w:val="2"/>
          <w:sz w:val="21"/>
          <w:szCs w:val="21"/>
          <w:highlight w:val="none"/>
          <w:u w:val="single"/>
          <w:lang w:val="en-US" w:eastAsia="zh-CN" w:bidi="ar"/>
        </w:rPr>
        <w:t xml:space="preserve">   按月计量   </w:t>
      </w:r>
      <w:r>
        <w:rPr>
          <w:rFonts w:hint="eastAsia" w:ascii="宋体" w:hAnsi="宋体" w:eastAsia="宋体" w:cs="宋体"/>
          <w:color w:val="auto"/>
          <w:kern w:val="2"/>
          <w:sz w:val="21"/>
          <w:szCs w:val="21"/>
          <w:highlight w:val="none"/>
          <w:lang w:val="en-US" w:eastAsia="zh-CN" w:bidi="ar"/>
        </w:rPr>
        <w:t>。</w:t>
      </w:r>
    </w:p>
    <w:p w14:paraId="7520FFA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12.3.3 单价合同的计量</w:t>
      </w:r>
    </w:p>
    <w:p w14:paraId="0D1550F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关于单价合同计量的约定：</w:t>
      </w:r>
      <w:r>
        <w:rPr>
          <w:rFonts w:hint="eastAsia" w:ascii="宋体" w:hAnsi="宋体" w:eastAsia="宋体" w:cs="宋体"/>
          <w:color w:val="auto"/>
          <w:kern w:val="2"/>
          <w:sz w:val="21"/>
          <w:szCs w:val="21"/>
          <w:highlight w:val="none"/>
          <w:u w:val="single"/>
          <w:lang w:val="en-US" w:eastAsia="zh-CN" w:bidi="ar"/>
        </w:rPr>
        <w:t>（1）承包人应于每月25日向监理人报送上月20日至当月19日已完成的工程量报告，并附具进度付款申请单、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报表后的7天内完成审核的，承包人报送的工程量报告中的工程量视为承包人实际完成的工程量，据此计算工程价款。</w:t>
      </w:r>
    </w:p>
    <w:p w14:paraId="1E2A2AF7">
      <w:pPr>
        <w:keepNext w:val="0"/>
        <w:keepLines w:val="0"/>
        <w:widowControl w:val="0"/>
        <w:suppressLineNumbers w:val="0"/>
        <w:snapToGrid w:val="0"/>
        <w:spacing w:before="0" w:beforeAutospacing="0" w:after="0" w:afterAutospacing="0" w:line="516"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注：本项目所有道路清表土方堆放道路两侧道路红线以外的，环保市容部门验收合格后方可计量。</w:t>
      </w:r>
    </w:p>
    <w:p w14:paraId="3E2548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12.3.4 总价合同的计量</w:t>
      </w:r>
    </w:p>
    <w:p w14:paraId="4E870C5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关于总价合同计量的约定：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70C75E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12.3.5总价合同采用支付分解表计量支付的，是否适用第</w:t>
      </w:r>
      <w:r>
        <w:rPr>
          <w:rFonts w:hint="eastAsia" w:ascii="宋体" w:hAnsi="宋体" w:eastAsia="宋体" w:cs="宋体"/>
          <w:color w:val="auto"/>
          <w:kern w:val="0"/>
          <w:sz w:val="21"/>
          <w:szCs w:val="21"/>
          <w:highlight w:val="none"/>
          <w:lang w:val="en-US" w:eastAsia="zh-CN" w:bidi="ar"/>
        </w:rPr>
        <w:t xml:space="preserve">12.3.4 </w:t>
      </w:r>
      <w:r>
        <w:rPr>
          <w:rFonts w:hint="eastAsia" w:ascii="宋体" w:hAnsi="宋体" w:eastAsia="宋体" w:cs="宋体"/>
          <w:color w:val="auto"/>
          <w:kern w:val="2"/>
          <w:sz w:val="21"/>
          <w:szCs w:val="21"/>
          <w:highlight w:val="none"/>
          <w:lang w:val="en-US" w:eastAsia="zh-CN" w:bidi="ar"/>
        </w:rPr>
        <w:t>项</w:t>
      </w:r>
      <w:r>
        <w:rPr>
          <w:rFonts w:hint="eastAsia" w:ascii="宋体" w:hAnsi="宋体" w:eastAsia="宋体" w:cs="宋体"/>
          <w:color w:val="auto"/>
          <w:kern w:val="0"/>
          <w:sz w:val="21"/>
          <w:szCs w:val="21"/>
          <w:highlight w:val="none"/>
          <w:lang w:val="en-US" w:eastAsia="zh-CN" w:bidi="ar"/>
        </w:rPr>
        <w:t>〔总价合同的计量〕</w:t>
      </w:r>
      <w:r>
        <w:rPr>
          <w:rFonts w:hint="eastAsia" w:ascii="宋体" w:hAnsi="宋体" w:eastAsia="宋体" w:cs="宋体"/>
          <w:color w:val="auto"/>
          <w:kern w:val="2"/>
          <w:sz w:val="21"/>
          <w:szCs w:val="21"/>
          <w:highlight w:val="none"/>
          <w:lang w:val="en-US" w:eastAsia="zh-CN" w:bidi="ar"/>
        </w:rPr>
        <w:t>约定进行计量：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1DB355D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12.3.6 其他价格形式合同的计量</w:t>
      </w:r>
    </w:p>
    <w:p w14:paraId="46854DC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其他价格形式的计量方式和程序：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0143D74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 工程进度款支付</w:t>
      </w:r>
    </w:p>
    <w:p w14:paraId="23400F7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12.4.1 付款周期</w:t>
      </w:r>
    </w:p>
    <w:p w14:paraId="1CB4D43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关于付款周期的约定：</w:t>
      </w:r>
      <w:r>
        <w:rPr>
          <w:rFonts w:hint="eastAsia" w:ascii="宋体" w:hAnsi="宋体" w:eastAsia="宋体" w:cs="宋体"/>
          <w:color w:val="auto"/>
          <w:kern w:val="2"/>
          <w:sz w:val="21"/>
          <w:szCs w:val="21"/>
          <w:highlight w:val="none"/>
          <w:u w:val="single"/>
          <w:lang w:val="en-US" w:eastAsia="zh-CN" w:bidi="ar"/>
        </w:rPr>
        <w:t xml:space="preserve">  按施工进度付款   </w:t>
      </w:r>
      <w:r>
        <w:rPr>
          <w:rFonts w:hint="eastAsia" w:ascii="宋体" w:hAnsi="宋体" w:eastAsia="宋体" w:cs="宋体"/>
          <w:color w:val="auto"/>
          <w:kern w:val="2"/>
          <w:sz w:val="21"/>
          <w:szCs w:val="21"/>
          <w:highlight w:val="none"/>
          <w:lang w:val="en-US" w:eastAsia="zh-CN" w:bidi="ar"/>
        </w:rPr>
        <w:t>。</w:t>
      </w:r>
    </w:p>
    <w:p w14:paraId="66FB8F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12.4.2 进度付款申请单的编制</w:t>
      </w:r>
    </w:p>
    <w:p w14:paraId="5E1B7C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关于进度付款申请单编制的约定：</w:t>
      </w:r>
      <w:r>
        <w:rPr>
          <w:rFonts w:hint="eastAsia" w:ascii="宋体" w:hAnsi="宋体" w:eastAsia="宋体" w:cs="宋体"/>
          <w:color w:val="auto"/>
          <w:kern w:val="2"/>
          <w:sz w:val="21"/>
          <w:szCs w:val="21"/>
          <w:highlight w:val="none"/>
          <w:u w:val="single"/>
          <w:lang w:val="en-US" w:eastAsia="zh-CN" w:bidi="ar"/>
        </w:rPr>
        <w:t>执行发包人统一内容格式。</w:t>
      </w:r>
    </w:p>
    <w:p w14:paraId="71B5649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12.4.3 进度付款申请单的提交</w:t>
      </w:r>
    </w:p>
    <w:p w14:paraId="63A6BFE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黑体" w:hAnsi="宋体" w:eastAsia="黑体" w:cs="黑体"/>
          <w:b/>
          <w:bCs/>
          <w:color w:val="auto"/>
          <w:kern w:val="2"/>
          <w:sz w:val="21"/>
          <w:szCs w:val="21"/>
          <w:highlight w:val="none"/>
          <w:u w:val="single"/>
          <w:lang w:val="en-US" w:eastAsia="zh-CN" w:bidi="ar"/>
        </w:rPr>
        <w:t>按施工进度付款，承包人每月月底前向发包人报送请款资料。</w:t>
      </w:r>
    </w:p>
    <w:p w14:paraId="2E598B5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（2）总价合同进度付款申请单提交的约定：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257F80F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（3）其他价格形式合同进度付款申请单提交的约定：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4C46DC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12.4.4 进度款审核和支付</w:t>
      </w:r>
    </w:p>
    <w:p w14:paraId="3446C6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（1）监理人审查并报送发包人的期限：</w:t>
      </w:r>
      <w:r>
        <w:rPr>
          <w:rFonts w:hint="eastAsia" w:ascii="宋体" w:hAnsi="宋体" w:eastAsia="宋体" w:cs="宋体"/>
          <w:color w:val="auto"/>
          <w:kern w:val="2"/>
          <w:sz w:val="21"/>
          <w:szCs w:val="21"/>
          <w:highlight w:val="none"/>
          <w:u w:val="single"/>
          <w:lang w:val="en-US" w:eastAsia="zh-CN" w:bidi="ar"/>
        </w:rPr>
        <w:t xml:space="preserve"> 监理人应在收到承包人进度付款申请单以及相关资料后7天内完成审查并报送发包人。</w:t>
      </w:r>
    </w:p>
    <w:p w14:paraId="1E04D8F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发包人完成审批并签发进度款支付证书的期限：</w:t>
      </w:r>
      <w:r>
        <w:rPr>
          <w:rFonts w:hint="eastAsia" w:ascii="宋体" w:hAnsi="宋体" w:eastAsia="宋体" w:cs="宋体"/>
          <w:color w:val="auto"/>
          <w:kern w:val="2"/>
          <w:sz w:val="21"/>
          <w:szCs w:val="21"/>
          <w:highlight w:val="none"/>
          <w:u w:val="single"/>
          <w:lang w:val="en-US" w:eastAsia="zh-CN" w:bidi="ar"/>
        </w:rPr>
        <w:t>发包人应在收到后7天内完成审批并签发进度款支付证书，跟踪审计人员审核时间除外</w:t>
      </w:r>
      <w:r>
        <w:rPr>
          <w:rFonts w:hint="eastAsia" w:ascii="宋体" w:hAnsi="宋体" w:eastAsia="宋体" w:cs="宋体"/>
          <w:color w:val="auto"/>
          <w:kern w:val="2"/>
          <w:sz w:val="21"/>
          <w:szCs w:val="21"/>
          <w:highlight w:val="none"/>
          <w:lang w:val="en-US" w:eastAsia="zh-CN" w:bidi="ar"/>
        </w:rPr>
        <w:t>。</w:t>
      </w:r>
    </w:p>
    <w:p w14:paraId="5F15AF32">
      <w:pPr>
        <w:keepNext w:val="0"/>
        <w:keepLines w:val="0"/>
        <w:widowControl w:val="0"/>
        <w:suppressLineNumbers w:val="0"/>
        <w:tabs>
          <w:tab w:val="left" w:pos="0"/>
        </w:tabs>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（2）发包人支付进度款的期限：发票送达一周内完成支付。</w:t>
      </w:r>
    </w:p>
    <w:p w14:paraId="6F7D959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发包人逾期支付进度款的违约金的计算方式：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56EE8BA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支付方式：</w:t>
      </w:r>
    </w:p>
    <w:p w14:paraId="20E6585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color w:val="auto"/>
          <w:kern w:val="2"/>
          <w:sz w:val="21"/>
          <w:szCs w:val="21"/>
          <w:highlight w:val="none"/>
          <w:u w:val="single"/>
          <w:lang w:val="en-US" w:eastAsia="zh-CN" w:bidi="ar"/>
        </w:rPr>
        <w:t>无预付工程款，工程竣工验收合格</w:t>
      </w:r>
      <w:r>
        <w:rPr>
          <w:rFonts w:hint="eastAsia" w:ascii="宋体" w:hAnsi="宋体" w:cs="宋体"/>
          <w:b/>
          <w:bCs/>
          <w:color w:val="auto"/>
          <w:kern w:val="2"/>
          <w:sz w:val="21"/>
          <w:szCs w:val="21"/>
          <w:highlight w:val="none"/>
          <w:u w:val="single"/>
          <w:lang w:val="en-US" w:eastAsia="zh-CN" w:bidi="ar"/>
        </w:rPr>
        <w:t>且</w:t>
      </w:r>
      <w:r>
        <w:rPr>
          <w:rFonts w:hint="eastAsia" w:ascii="宋体" w:hAnsi="宋体" w:eastAsia="宋体" w:cs="宋体"/>
          <w:b/>
          <w:bCs/>
          <w:color w:val="auto"/>
          <w:kern w:val="2"/>
          <w:sz w:val="21"/>
          <w:szCs w:val="21"/>
          <w:highlight w:val="none"/>
          <w:u w:val="single"/>
          <w:lang w:val="en-US" w:eastAsia="zh-CN" w:bidi="ar"/>
        </w:rPr>
        <w:t>审计完成后支付至审计结算价款的98%，剩余2%作为质保金，工程缺陷责任期（2年，自竣工验收合格之日起计算）满后付清余款。</w:t>
      </w:r>
    </w:p>
    <w:p w14:paraId="6BE035B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12.4.6 支付分解表的编制</w:t>
      </w:r>
    </w:p>
    <w:p w14:paraId="210819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2、总价合同支付分解表的编制与审批：</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6FE8787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3、单价合同的总价项目支付分解表的编制与审批：</w:t>
      </w:r>
      <w:r>
        <w:rPr>
          <w:rFonts w:hint="eastAsia" w:ascii="宋体" w:hAnsi="宋体" w:eastAsia="宋体" w:cs="宋体"/>
          <w:color w:val="auto"/>
          <w:kern w:val="2"/>
          <w:sz w:val="21"/>
          <w:szCs w:val="21"/>
          <w:highlight w:val="none"/>
          <w:u w:val="single"/>
          <w:lang w:val="en-US" w:eastAsia="zh-CN" w:bidi="ar"/>
        </w:rPr>
        <w:t>执行发包人统一内容格式。</w:t>
      </w:r>
    </w:p>
    <w:p w14:paraId="2DCF348A">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2.4.7 农民工工资管理</w:t>
      </w:r>
      <w:r>
        <w:rPr>
          <w:rFonts w:hint="eastAsia" w:ascii="宋体" w:hAnsi="宋体" w:eastAsia="宋体" w:cs="宋体"/>
          <w:b/>
          <w:bCs w:val="0"/>
          <w:color w:val="auto"/>
          <w:kern w:val="2"/>
          <w:sz w:val="21"/>
          <w:szCs w:val="21"/>
          <w:highlight w:val="none"/>
          <w:lang w:val="en-US" w:eastAsia="zh-CN" w:bidi="ar"/>
        </w:rPr>
        <w:t>（农民工工资保证金支持保函使用）</w:t>
      </w:r>
    </w:p>
    <w:p w14:paraId="29C41BA6">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(1)本工程农民工工资实行专用账户管理，承包人设立的专用账户开户行为</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，账号：</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6622A0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(2)本工程工资性工程款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元（相应的最低工资标准乘建筑面积）；其中工资性工程预付款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元。(工资性工程款除月工期)</w:t>
      </w:r>
    </w:p>
    <w:p w14:paraId="4106BB2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(3)发包人在监理人签发开工报告前，将工资性工程预付款转入承包人开立的农民工工资专用账户。工程开工后第一个月支付工资性工程进度款起，分</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月扣回工资性工程预付款。</w:t>
      </w:r>
    </w:p>
    <w:p w14:paraId="760DE422">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(4)发包人于每月25日前将工资性工程进度款转入农民工工资专用账户。</w:t>
      </w:r>
    </w:p>
    <w:p w14:paraId="7048DA2E">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(5)承包人每月25日前上报本工程农民工工资清单，每月10日前委托开设农民工工资专用账户的银行支付农民工工资。</w:t>
      </w:r>
    </w:p>
    <w:p w14:paraId="1B47D83D">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(6)工程竣工后，经项目部农民工维权组确认无农民工工资拖欠后，发、承双方办理农民工工资专用账户撤销手续，农民工工资专用账户余额划至本合同约定的承包人账户。</w:t>
      </w:r>
    </w:p>
    <w:p w14:paraId="2016B6D0">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13. 验收和工程试车</w:t>
      </w:r>
    </w:p>
    <w:p w14:paraId="47A640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 分部分项工程验收</w:t>
      </w:r>
    </w:p>
    <w:p w14:paraId="46EC2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13.1.2监理人不能按时进行验收时，应提前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4B0C471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57680BCD">
      <w:pPr>
        <w:keepNext w:val="0"/>
        <w:keepLines w:val="0"/>
        <w:widowControl w:val="0"/>
        <w:suppressLineNumbers w:val="0"/>
        <w:wordWrap w:val="0"/>
        <w:snapToGrid w:val="0"/>
        <w:spacing w:before="0" w:beforeAutospacing="0" w:after="0" w:afterAutospacing="0" w:line="440" w:lineRule="exact"/>
        <w:ind w:left="0" w:right="0" w:firstLine="420" w:firstLineChars="200"/>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 竣工验收</w:t>
      </w:r>
    </w:p>
    <w:p w14:paraId="266ACB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13.2.2竣工验收程序</w:t>
      </w:r>
    </w:p>
    <w:p w14:paraId="23455EC0">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关于竣工验收程序的约定：</w:t>
      </w:r>
      <w:r>
        <w:rPr>
          <w:rFonts w:hint="eastAsia" w:ascii="宋体" w:hAnsi="宋体" w:eastAsia="宋体" w:cs="宋体"/>
          <w:color w:val="auto"/>
          <w:kern w:val="2"/>
          <w:sz w:val="21"/>
          <w:szCs w:val="21"/>
          <w:highlight w:val="none"/>
          <w:u w:val="single"/>
          <w:lang w:val="en-US" w:eastAsia="zh-CN" w:bidi="ar"/>
        </w:rPr>
        <w:t>承包人取得工程完工证明之日起即为工程实际竣工日期（该时间仅用于计算工期，不用于质量保修期、缺陷责任期等）。</w:t>
      </w:r>
    </w:p>
    <w:p w14:paraId="234CB3EF">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发包人不按照本项约定组织竣工验收、颁发工程接收证书的违约金的计算方法：</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0CBBB49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13.2.5移交、接收全部与部分工程</w:t>
      </w:r>
    </w:p>
    <w:p w14:paraId="1DEEB41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承包人向发包人移交工程的期限：</w:t>
      </w:r>
      <w:r>
        <w:rPr>
          <w:rFonts w:hint="eastAsia" w:ascii="宋体" w:hAnsi="宋体" w:eastAsia="宋体" w:cs="宋体"/>
          <w:color w:val="auto"/>
          <w:kern w:val="2"/>
          <w:sz w:val="21"/>
          <w:szCs w:val="21"/>
          <w:highlight w:val="none"/>
          <w:u w:val="single"/>
          <w:lang w:val="en-US" w:eastAsia="zh-CN" w:bidi="ar"/>
        </w:rPr>
        <w:t xml:space="preserve"> 承包人应当无条件配合发包人在30日内将工程移交给管养单位。</w:t>
      </w:r>
    </w:p>
    <w:p w14:paraId="0F3BFE1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发包人未按本合同约定接收全部或部分工程的，违约金的计算方法为：</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4DE9C18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承包人未按时移交工程的，违约金的计算方法为：</w:t>
      </w:r>
      <w:r>
        <w:rPr>
          <w:rFonts w:hint="eastAsia" w:ascii="宋体" w:hAnsi="宋体" w:eastAsia="宋体" w:cs="宋体"/>
          <w:color w:val="auto"/>
          <w:kern w:val="2"/>
          <w:sz w:val="21"/>
          <w:szCs w:val="21"/>
          <w:highlight w:val="none"/>
          <w:u w:val="single"/>
          <w:lang w:val="en-US" w:eastAsia="zh-CN" w:bidi="ar"/>
        </w:rPr>
        <w:t xml:space="preserve"> 因承包人原因，未按合同期限按时移交的，暂停工程款支付，发包人可动用质保金，用于工程质量整改，同时限制承包人一年内不得参与</w:t>
      </w:r>
      <w:r>
        <w:rPr>
          <w:rFonts w:hint="eastAsia" w:ascii="宋体" w:hAnsi="宋体" w:cs="宋体"/>
          <w:color w:val="auto"/>
          <w:kern w:val="2"/>
          <w:sz w:val="21"/>
          <w:szCs w:val="21"/>
          <w:highlight w:val="none"/>
          <w:u w:val="single"/>
          <w:lang w:val="en-US" w:eastAsia="zh-CN" w:bidi="ar"/>
        </w:rPr>
        <w:t>安徽省滁州市琅琊区清流街道创业北路社区居民委员会</w:t>
      </w:r>
      <w:r>
        <w:rPr>
          <w:rFonts w:hint="eastAsia" w:ascii="宋体" w:hAnsi="宋体" w:eastAsia="宋体" w:cs="宋体"/>
          <w:color w:val="auto"/>
          <w:kern w:val="2"/>
          <w:sz w:val="21"/>
          <w:szCs w:val="21"/>
          <w:highlight w:val="none"/>
          <w:u w:val="single"/>
          <w:lang w:val="en-US" w:eastAsia="zh-CN" w:bidi="ar"/>
        </w:rPr>
        <w:t xml:space="preserve">项目投标  </w:t>
      </w:r>
      <w:r>
        <w:rPr>
          <w:rFonts w:hint="eastAsia" w:ascii="宋体" w:hAnsi="宋体" w:eastAsia="宋体" w:cs="宋体"/>
          <w:color w:val="auto"/>
          <w:kern w:val="2"/>
          <w:sz w:val="21"/>
          <w:szCs w:val="21"/>
          <w:highlight w:val="none"/>
          <w:lang w:val="en-US" w:eastAsia="zh-CN" w:bidi="ar"/>
        </w:rPr>
        <w:t>。</w:t>
      </w:r>
    </w:p>
    <w:p w14:paraId="76E2B88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13.3 工程试车</w:t>
      </w:r>
    </w:p>
    <w:p w14:paraId="7D97E4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13.3.1 试车程序</w:t>
      </w:r>
    </w:p>
    <w:p w14:paraId="3A88BE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工程试车内容：</w:t>
      </w:r>
      <w:r>
        <w:rPr>
          <w:rFonts w:hint="eastAsia" w:ascii="宋体" w:hAnsi="宋体" w:eastAsia="宋体" w:cs="宋体"/>
          <w:color w:val="auto"/>
          <w:kern w:val="2"/>
          <w:sz w:val="21"/>
          <w:szCs w:val="21"/>
          <w:highlight w:val="none"/>
          <w:u w:val="single"/>
          <w:lang w:val="en-US" w:eastAsia="zh-CN" w:bidi="ar"/>
        </w:rPr>
        <w:t xml:space="preserve">  工程需要试车的，试车内容应与承包人承包范围相一致，试车费用由承包人承担。</w:t>
      </w:r>
    </w:p>
    <w:p w14:paraId="29BC3C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（1）单机无负荷试车费用由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6D7A48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（2）无负荷联动试车费用由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F1365C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13.3.3 投料试车</w:t>
      </w:r>
    </w:p>
    <w:p w14:paraId="5D3AA4B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关于投料试车相关事项的约定：</w:t>
      </w:r>
      <w:r>
        <w:rPr>
          <w:rFonts w:hint="eastAsia" w:ascii="宋体" w:hAnsi="宋体" w:eastAsia="宋体" w:cs="宋体"/>
          <w:color w:val="auto"/>
          <w:kern w:val="0"/>
          <w:sz w:val="21"/>
          <w:szCs w:val="21"/>
          <w:highlight w:val="none"/>
          <w:u w:val="single"/>
          <w:lang w:val="en-US" w:eastAsia="zh-CN" w:bidi="ar"/>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7D64F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13.6 竣工退场</w:t>
      </w:r>
    </w:p>
    <w:p w14:paraId="5EBC0A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13.6.1 竣工退场</w:t>
      </w:r>
    </w:p>
    <w:p w14:paraId="20E6B9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承包人完成竣工退场的期限：</w:t>
      </w:r>
      <w:r>
        <w:rPr>
          <w:rFonts w:hint="eastAsia" w:ascii="宋体" w:hAnsi="宋体" w:eastAsia="宋体" w:cs="宋体"/>
          <w:color w:val="auto"/>
          <w:kern w:val="2"/>
          <w:sz w:val="21"/>
          <w:szCs w:val="21"/>
          <w:highlight w:val="none"/>
          <w:u w:val="single"/>
          <w:lang w:val="en-US" w:eastAsia="zh-CN" w:bidi="ar"/>
        </w:rPr>
        <w:t>工程竣工合格后，7天内退场。</w:t>
      </w:r>
    </w:p>
    <w:p w14:paraId="6908B632">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14. 竣工结算</w:t>
      </w:r>
    </w:p>
    <w:p w14:paraId="479C957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 竣工付款申请</w:t>
      </w:r>
    </w:p>
    <w:p w14:paraId="554B3DA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承包人提交竣工付款申请单的期限：</w:t>
      </w:r>
      <w:r>
        <w:rPr>
          <w:rFonts w:hint="eastAsia" w:ascii="宋体" w:hAnsi="宋体" w:eastAsia="宋体" w:cs="宋体"/>
          <w:color w:val="auto"/>
          <w:kern w:val="2"/>
          <w:sz w:val="21"/>
          <w:szCs w:val="21"/>
          <w:highlight w:val="none"/>
          <w:u w:val="single"/>
          <w:lang w:val="en-US" w:eastAsia="zh-CN" w:bidi="ar"/>
        </w:rPr>
        <w:t>承包人须于竣工验收合格后60日内完成竣工结算报告和完整结算资料上报，特殊情况，经分管领导批准的可以延长。凡因承包人原因，未能在规定时间内上报竣工结算的，处罚10000元/月的违约金。情节严重的，项目单位有权按已有资料或按已付款报相关部门办理结算。</w:t>
      </w:r>
    </w:p>
    <w:p w14:paraId="406721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竣工结算申请单应包括的内容：</w:t>
      </w:r>
      <w:r>
        <w:rPr>
          <w:rFonts w:hint="eastAsia" w:ascii="宋体" w:hAnsi="宋体" w:eastAsia="宋体" w:cs="宋体"/>
          <w:color w:val="auto"/>
          <w:kern w:val="2"/>
          <w:sz w:val="21"/>
          <w:szCs w:val="21"/>
          <w:highlight w:val="none"/>
          <w:u w:val="single"/>
          <w:lang w:val="en-US" w:eastAsia="zh-CN" w:bidi="ar"/>
        </w:rPr>
        <w:t>执行发包人统一内容格式。</w:t>
      </w:r>
    </w:p>
    <w:p w14:paraId="702D1B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14.2 竣工结算审核</w:t>
      </w:r>
    </w:p>
    <w:p w14:paraId="7A6C0F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发包人审批竣工付款申请单的期限：</w:t>
      </w:r>
      <w:r>
        <w:rPr>
          <w:rFonts w:hint="eastAsia" w:ascii="宋体" w:hAnsi="宋体" w:eastAsia="宋体" w:cs="宋体"/>
          <w:color w:val="auto"/>
          <w:kern w:val="2"/>
          <w:sz w:val="21"/>
          <w:szCs w:val="21"/>
          <w:highlight w:val="none"/>
          <w:u w:val="single"/>
          <w:lang w:val="en-US" w:eastAsia="zh-CN" w:bidi="ar"/>
        </w:rPr>
        <w:t xml:space="preserve"> 相关部门审核通过后7天内完成审批并签发结算款支付证书</w:t>
      </w:r>
      <w:r>
        <w:rPr>
          <w:rFonts w:hint="eastAsia" w:ascii="宋体" w:hAnsi="宋体" w:eastAsia="宋体" w:cs="宋体"/>
          <w:color w:val="auto"/>
          <w:kern w:val="2"/>
          <w:sz w:val="21"/>
          <w:szCs w:val="21"/>
          <w:highlight w:val="none"/>
          <w:lang w:val="en-US" w:eastAsia="zh-CN" w:bidi="ar"/>
        </w:rPr>
        <w:t>。</w:t>
      </w:r>
    </w:p>
    <w:p w14:paraId="42AFDA2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发包人完成竣工付款的期限：</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E634D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关于竣工付款证书异议部分复核的方式和程序：</w:t>
      </w:r>
      <w:r>
        <w:rPr>
          <w:rFonts w:hint="eastAsia" w:ascii="宋体" w:hAnsi="宋体" w:eastAsia="宋体" w:cs="宋体"/>
          <w:color w:val="auto"/>
          <w:kern w:val="2"/>
          <w:sz w:val="21"/>
          <w:szCs w:val="21"/>
          <w:highlight w:val="none"/>
          <w:u w:val="single"/>
          <w:lang w:val="en-US" w:eastAsia="zh-CN" w:bidi="ar"/>
        </w:rPr>
        <w:t xml:space="preserve"> 按照第20条〔争议解决〕约定处理。</w:t>
      </w:r>
    </w:p>
    <w:p w14:paraId="709A5B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 最终结清</w:t>
      </w:r>
    </w:p>
    <w:p w14:paraId="279B8D1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14.4.1 最终结清申请单</w:t>
      </w:r>
    </w:p>
    <w:p w14:paraId="472039F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承包人提交最终结清申请单的份数：</w:t>
      </w:r>
      <w:r>
        <w:rPr>
          <w:rFonts w:hint="eastAsia" w:ascii="宋体" w:hAnsi="宋体" w:eastAsia="宋体" w:cs="宋体"/>
          <w:color w:val="auto"/>
          <w:kern w:val="2"/>
          <w:sz w:val="21"/>
          <w:szCs w:val="21"/>
          <w:highlight w:val="none"/>
          <w:u w:val="single"/>
          <w:lang w:val="en-US" w:eastAsia="zh-CN" w:bidi="ar"/>
        </w:rPr>
        <w:t xml:space="preserve"> 4份  </w:t>
      </w:r>
      <w:r>
        <w:rPr>
          <w:rFonts w:hint="eastAsia" w:ascii="宋体" w:hAnsi="宋体" w:eastAsia="宋体" w:cs="宋体"/>
          <w:color w:val="auto"/>
          <w:kern w:val="2"/>
          <w:sz w:val="21"/>
          <w:szCs w:val="21"/>
          <w:highlight w:val="none"/>
          <w:lang w:val="en-US" w:eastAsia="zh-CN" w:bidi="ar"/>
        </w:rPr>
        <w:t>。</w:t>
      </w:r>
    </w:p>
    <w:p w14:paraId="4C0D51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承包人提交最终结算申请单的期限：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缺陷责任期满经复查合格后7天内。</w:t>
      </w:r>
    </w:p>
    <w:p w14:paraId="5D04E4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14.4.2 最终结清证书和支付</w:t>
      </w:r>
    </w:p>
    <w:p w14:paraId="7B8DFF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（1）发包人完成最终结清申请单的审批并颁发最终结清证书的期限：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缺陷责任期满经复查合格后14天内。</w:t>
      </w:r>
    </w:p>
    <w:p w14:paraId="0F9198E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（2）发包人完成支付的期限：</w:t>
      </w:r>
      <w:r>
        <w:rPr>
          <w:rFonts w:hint="eastAsia" w:ascii="宋体" w:hAnsi="宋体" w:eastAsia="宋体" w:cs="宋体"/>
          <w:color w:val="auto"/>
          <w:kern w:val="2"/>
          <w:sz w:val="21"/>
          <w:szCs w:val="21"/>
          <w:highlight w:val="none"/>
          <w:u w:val="single"/>
          <w:lang w:val="en-US" w:eastAsia="zh-CN" w:bidi="ar"/>
        </w:rPr>
        <w:t xml:space="preserve">发包人在发票送达一周内完成支付 </w:t>
      </w:r>
      <w:r>
        <w:rPr>
          <w:rFonts w:hint="eastAsia" w:ascii="宋体" w:hAnsi="宋体" w:eastAsia="宋体" w:cs="宋体"/>
          <w:color w:val="auto"/>
          <w:kern w:val="2"/>
          <w:sz w:val="21"/>
          <w:szCs w:val="21"/>
          <w:highlight w:val="none"/>
          <w:lang w:val="en-US" w:eastAsia="zh-CN" w:bidi="ar"/>
        </w:rPr>
        <w:t>。</w:t>
      </w:r>
    </w:p>
    <w:p w14:paraId="7CC064A3">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15. 缺陷责任期与保修</w:t>
      </w:r>
    </w:p>
    <w:p w14:paraId="743A5A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15.2缺陷责任期</w:t>
      </w:r>
    </w:p>
    <w:p w14:paraId="6853B39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缺陷责任期的具体期限：</w:t>
      </w:r>
      <w:r>
        <w:rPr>
          <w:rFonts w:hint="eastAsia" w:ascii="黑体" w:hAnsi="宋体" w:eastAsia="黑体" w:cs="黑体"/>
          <w:b/>
          <w:bCs/>
          <w:color w:val="auto"/>
          <w:kern w:val="2"/>
          <w:sz w:val="21"/>
          <w:szCs w:val="21"/>
          <w:highlight w:val="none"/>
          <w:u w:val="single"/>
          <w:lang w:val="en-US" w:eastAsia="zh-CN" w:bidi="ar"/>
        </w:rPr>
        <w:t>详见付款方式</w:t>
      </w:r>
      <w:r>
        <w:rPr>
          <w:rFonts w:hint="eastAsia" w:ascii="宋体" w:hAnsi="宋体" w:eastAsia="宋体" w:cs="宋体"/>
          <w:color w:val="auto"/>
          <w:kern w:val="2"/>
          <w:sz w:val="21"/>
          <w:szCs w:val="21"/>
          <w:highlight w:val="none"/>
          <w:u w:val="single"/>
          <w:lang w:val="en-US" w:eastAsia="zh-CN" w:bidi="ar"/>
        </w:rPr>
        <w:t>。</w:t>
      </w:r>
    </w:p>
    <w:p w14:paraId="4AAF2AC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 质量保证金</w:t>
      </w:r>
    </w:p>
    <w:p w14:paraId="7E1D59A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关于是否扣留质量保证金的约定：</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。在工程项目竣工前，承包人按专用合同条款第3.7款提供履约保证金的，发包人不得同时预留工程质量保证金。</w:t>
      </w:r>
    </w:p>
    <w:p w14:paraId="70B42D1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15.3.1 承包人提供质量保证金的方式</w:t>
      </w:r>
    </w:p>
    <w:p w14:paraId="26A46B36">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质量保证金采用第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13BA907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（1）质量保证金保函，保证金额为：</w:t>
      </w:r>
      <w:r>
        <w:rPr>
          <w:rFonts w:hint="eastAsia" w:ascii="宋体" w:hAnsi="宋体" w:eastAsia="宋体" w:cs="宋体"/>
          <w:b w:val="0"/>
          <w:bCs w:val="0"/>
          <w:color w:val="auto"/>
          <w:kern w:val="0"/>
          <w:sz w:val="21"/>
          <w:szCs w:val="21"/>
          <w:highlight w:val="none"/>
          <w:u w:val="single"/>
          <w:lang w:val="en-US" w:eastAsia="zh-CN" w:bidi="ar"/>
        </w:rPr>
        <w:t>2%的工程款</w:t>
      </w:r>
      <w:r>
        <w:rPr>
          <w:rFonts w:hint="eastAsia" w:ascii="宋体" w:hAnsi="宋体" w:eastAsia="宋体" w:cs="宋体"/>
          <w:b w:val="0"/>
          <w:bCs w:val="0"/>
          <w:color w:val="auto"/>
          <w:kern w:val="0"/>
          <w:sz w:val="21"/>
          <w:szCs w:val="21"/>
          <w:highlight w:val="none"/>
          <w:lang w:val="en-US" w:eastAsia="zh-CN" w:bidi="ar"/>
        </w:rPr>
        <w:t xml:space="preserve">； </w:t>
      </w:r>
    </w:p>
    <w:p w14:paraId="2B74B13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u w:val="single"/>
          <w:lang w:val="en-US" w:eastAsia="zh-CN" w:bidi="ar"/>
        </w:rPr>
        <w:t>2</w:t>
      </w:r>
      <w:r>
        <w:rPr>
          <w:rFonts w:hint="eastAsia" w:ascii="宋体" w:hAnsi="宋体" w:eastAsia="宋体" w:cs="宋体"/>
          <w:b w:val="0"/>
          <w:bCs w:val="0"/>
          <w:color w:val="auto"/>
          <w:kern w:val="0"/>
          <w:sz w:val="21"/>
          <w:szCs w:val="21"/>
          <w:highlight w:val="none"/>
          <w:lang w:val="en-US" w:eastAsia="zh-CN" w:bidi="ar"/>
        </w:rPr>
        <w:t>%的工程款；</w:t>
      </w:r>
    </w:p>
    <w:p w14:paraId="0997443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BABC55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 xml:space="preserve">15.3.2 质量保证金的扣留 </w:t>
      </w:r>
    </w:p>
    <w:p w14:paraId="316C90C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质量保证金的扣留采取第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641E646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（1）在支付工程进度款时逐次扣留，在此情形下，质量保证金的计算基数不包括预付款的支付、扣回以及价格调整的金额；</w:t>
      </w:r>
    </w:p>
    <w:p w14:paraId="465164C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（2）工程竣工结算时一次性扣留质量保证金；</w:t>
      </w:r>
    </w:p>
    <w:p w14:paraId="21AF4D4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（3）其他扣留方式: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560352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关于质量保证金的补充约定：</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30129A5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15.4保修</w:t>
      </w:r>
    </w:p>
    <w:p w14:paraId="3758904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15.4.1 保修责任</w:t>
      </w:r>
    </w:p>
    <w:p w14:paraId="73B8024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工程保修期为：</w:t>
      </w:r>
      <w:r>
        <w:rPr>
          <w:rFonts w:hint="eastAsia" w:ascii="宋体" w:hAnsi="宋体" w:eastAsia="宋体" w:cs="宋体"/>
          <w:color w:val="auto"/>
          <w:kern w:val="0"/>
          <w:sz w:val="21"/>
          <w:szCs w:val="21"/>
          <w:highlight w:val="none"/>
          <w:u w:val="single"/>
          <w:lang w:val="en-US" w:eastAsia="zh-CN" w:bidi="ar"/>
        </w:rPr>
        <w:t xml:space="preserve">   执行《建设工程质量管理条例》及有关规定，</w:t>
      </w:r>
      <w:r>
        <w:rPr>
          <w:rFonts w:hint="eastAsia" w:ascii="宋体" w:hAnsi="宋体" w:eastAsia="宋体" w:cs="宋体"/>
          <w:b/>
          <w:bCs w:val="0"/>
          <w:color w:val="auto"/>
          <w:kern w:val="2"/>
          <w:sz w:val="21"/>
          <w:szCs w:val="21"/>
          <w:highlight w:val="none"/>
          <w:u w:val="single"/>
          <w:shd w:val="clear" w:fill="FFFFFF"/>
          <w:lang w:val="en-US" w:eastAsia="zh-CN" w:bidi="ar"/>
        </w:rPr>
        <w:t>如与国家最新相关标准冲突的按标准较高的执行</w:t>
      </w:r>
      <w:r>
        <w:rPr>
          <w:rFonts w:hint="eastAsia" w:ascii="宋体" w:hAnsi="宋体" w:eastAsia="宋体" w:cs="宋体"/>
          <w:color w:val="auto"/>
          <w:kern w:val="0"/>
          <w:sz w:val="21"/>
          <w:szCs w:val="21"/>
          <w:highlight w:val="none"/>
          <w:u w:val="single"/>
          <w:lang w:val="en-US" w:eastAsia="zh-CN" w:bidi="ar"/>
        </w:rPr>
        <w:t xml:space="preserve">。     </w:t>
      </w:r>
    </w:p>
    <w:p w14:paraId="29D557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承包人收到保修通知并到达工程现场的合理时间：</w:t>
      </w:r>
      <w:r>
        <w:rPr>
          <w:rFonts w:hint="eastAsia" w:ascii="宋体" w:hAnsi="宋体" w:eastAsia="宋体" w:cs="宋体"/>
          <w:color w:val="auto"/>
          <w:kern w:val="0"/>
          <w:sz w:val="21"/>
          <w:szCs w:val="21"/>
          <w:highlight w:val="none"/>
          <w:u w:val="single"/>
          <w:lang w:val="en-US" w:eastAsia="zh-CN" w:bidi="ar"/>
        </w:rPr>
        <w:t xml:space="preserve">   自承包人收到保修通知起24小时内到达工程现场。  </w:t>
      </w:r>
    </w:p>
    <w:p w14:paraId="7A998E9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16. 违约</w:t>
      </w:r>
    </w:p>
    <w:p w14:paraId="77494D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发包人违约</w:t>
      </w:r>
    </w:p>
    <w:p w14:paraId="4C6DC2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16.1.1发包人违约的情形</w:t>
      </w:r>
    </w:p>
    <w:p w14:paraId="0D7DF0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发包人违约的其他情形：</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5F15A5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16.1.2 发包人违约的责任</w:t>
      </w:r>
    </w:p>
    <w:p w14:paraId="2D040EF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发包人违约责任的承担方式和计算方法：</w:t>
      </w:r>
    </w:p>
    <w:p w14:paraId="3FDB219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（1）因发包人原因未能在计划开工日期前7天内下达开工通知的违约责任：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1F8FC8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（2）因发包人原因未能按合同约定支付合同价款的违约责任：</w:t>
      </w:r>
      <w:r>
        <w:rPr>
          <w:rFonts w:hint="eastAsia" w:ascii="宋体" w:hAnsi="宋体" w:eastAsia="宋体" w:cs="宋体"/>
          <w:color w:val="auto"/>
          <w:kern w:val="0"/>
          <w:sz w:val="21"/>
          <w:szCs w:val="21"/>
          <w:highlight w:val="none"/>
          <w:u w:val="single"/>
          <w:lang w:val="en-US" w:eastAsia="zh-CN" w:bidi="ar"/>
        </w:rPr>
        <w:t xml:space="preserve">  可按照中国人民银行发布的同期同类贷款基准利率支付违约金</w:t>
      </w:r>
      <w:r>
        <w:rPr>
          <w:rFonts w:hint="eastAsia" w:ascii="宋体" w:hAnsi="宋体" w:eastAsia="宋体" w:cs="宋体"/>
          <w:color w:val="auto"/>
          <w:kern w:val="0"/>
          <w:sz w:val="21"/>
          <w:szCs w:val="21"/>
          <w:highlight w:val="none"/>
          <w:lang w:val="en-US" w:eastAsia="zh-CN" w:bidi="ar"/>
        </w:rPr>
        <w:t>。</w:t>
      </w:r>
    </w:p>
    <w:p w14:paraId="0C8E11F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lang w:val="en-US" w:eastAsia="zh-CN" w:bidi="ar"/>
        </w:rPr>
        <w:t xml:space="preserve">   发包人可追加与被取消的工作造价相当的额外工作做为补偿   </w:t>
      </w:r>
      <w:r>
        <w:rPr>
          <w:rFonts w:hint="eastAsia" w:ascii="宋体" w:hAnsi="宋体" w:eastAsia="宋体" w:cs="宋体"/>
          <w:color w:val="auto"/>
          <w:kern w:val="0"/>
          <w:sz w:val="21"/>
          <w:szCs w:val="21"/>
          <w:highlight w:val="none"/>
          <w:lang w:val="en-US" w:eastAsia="zh-CN" w:bidi="ar"/>
        </w:rPr>
        <w:t>。</w:t>
      </w:r>
    </w:p>
    <w:p w14:paraId="6BB619C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lang w:val="en-US" w:eastAsia="zh-CN" w:bidi="ar"/>
        </w:rPr>
        <w:t xml:space="preserve">   发包人可补足或更换材料、工程设备；对工期造成延误的可以顺延；增加承包人成本的可予以补偿  </w:t>
      </w:r>
      <w:r>
        <w:rPr>
          <w:rFonts w:hint="eastAsia" w:ascii="宋体" w:hAnsi="宋体" w:eastAsia="宋体" w:cs="宋体"/>
          <w:color w:val="auto"/>
          <w:kern w:val="0"/>
          <w:sz w:val="21"/>
          <w:szCs w:val="21"/>
          <w:highlight w:val="none"/>
          <w:lang w:val="en-US" w:eastAsia="zh-CN" w:bidi="ar"/>
        </w:rPr>
        <w:t>。</w:t>
      </w:r>
    </w:p>
    <w:p w14:paraId="2DD8292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（5）因发包人违反合同约定造成暂停施工的违约责任：</w:t>
      </w:r>
      <w:r>
        <w:rPr>
          <w:rFonts w:hint="eastAsia" w:ascii="宋体" w:hAnsi="宋体" w:eastAsia="宋体" w:cs="宋体"/>
          <w:color w:val="auto"/>
          <w:kern w:val="0"/>
          <w:sz w:val="21"/>
          <w:szCs w:val="21"/>
          <w:highlight w:val="none"/>
          <w:u w:val="single"/>
          <w:lang w:val="en-US" w:eastAsia="zh-CN" w:bidi="ar"/>
        </w:rPr>
        <w:t xml:space="preserve">  可顺延工期  </w:t>
      </w:r>
      <w:r>
        <w:rPr>
          <w:rFonts w:hint="eastAsia" w:ascii="宋体" w:hAnsi="宋体" w:eastAsia="宋体" w:cs="宋体"/>
          <w:color w:val="auto"/>
          <w:kern w:val="0"/>
          <w:sz w:val="21"/>
          <w:szCs w:val="21"/>
          <w:highlight w:val="none"/>
          <w:lang w:val="en-US" w:eastAsia="zh-CN" w:bidi="ar"/>
        </w:rPr>
        <w:t>。</w:t>
      </w:r>
    </w:p>
    <w:p w14:paraId="46A6C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424060A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（7）其他：</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2C6ABF5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16.1.3 因发包人违约解除合同</w:t>
      </w:r>
    </w:p>
    <w:p w14:paraId="34E7B4B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承包人按16.1.1项〔发包人违约的情形〕约定暂停施工满</w:t>
      </w:r>
      <w:r>
        <w:rPr>
          <w:rFonts w:hint="eastAsia" w:ascii="宋体" w:hAnsi="宋体" w:eastAsia="宋体" w:cs="宋体"/>
          <w:color w:val="auto"/>
          <w:kern w:val="0"/>
          <w:sz w:val="21"/>
          <w:szCs w:val="21"/>
          <w:highlight w:val="none"/>
          <w:u w:val="single"/>
          <w:lang w:val="en-US" w:eastAsia="zh-CN" w:bidi="ar"/>
        </w:rPr>
        <w:t xml:space="preserve">  28  </w:t>
      </w:r>
      <w:r>
        <w:rPr>
          <w:rFonts w:hint="eastAsia" w:ascii="宋体" w:hAnsi="宋体" w:eastAsia="宋体" w:cs="宋体"/>
          <w:color w:val="auto"/>
          <w:kern w:val="0"/>
          <w:sz w:val="21"/>
          <w:szCs w:val="21"/>
          <w:highlight w:val="none"/>
          <w:lang w:val="en-US" w:eastAsia="zh-CN" w:bidi="ar"/>
        </w:rPr>
        <w:t>天后发包人仍不纠正其违约行为并致使合同目的不能实现的，承包人有权解除合同。</w:t>
      </w:r>
    </w:p>
    <w:p w14:paraId="4C28A0E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 承包人违约</w:t>
      </w:r>
    </w:p>
    <w:p w14:paraId="5D8339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16.2.1 承包人违约的情形</w:t>
      </w:r>
    </w:p>
    <w:p w14:paraId="5E2BACC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承包人违约的其他情形：</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p>
    <w:p w14:paraId="239EBF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16.2.2承包人违约的责任</w:t>
      </w:r>
    </w:p>
    <w:p w14:paraId="1A9ED6D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承包人违约责任的承担方式和计算方法：</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p w14:paraId="2CC6B57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16.2.3 因承包人违约解除合同</w:t>
      </w:r>
    </w:p>
    <w:p w14:paraId="232B4DD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关于承包人违约解除合同的特别约定：</w:t>
      </w:r>
      <w:r>
        <w:rPr>
          <w:rFonts w:hint="eastAsia" w:ascii="宋体" w:hAnsi="宋体" w:eastAsia="宋体" w:cs="宋体"/>
          <w:color w:val="auto"/>
          <w:kern w:val="0"/>
          <w:sz w:val="21"/>
          <w:szCs w:val="21"/>
          <w:highlight w:val="none"/>
          <w:u w:val="single"/>
          <w:lang w:val="en-US" w:eastAsia="zh-CN" w:bidi="ar"/>
        </w:rPr>
        <w:t>执行</w:t>
      </w:r>
      <w:r>
        <w:rPr>
          <w:rFonts w:hint="eastAsia" w:ascii="宋体" w:hAnsi="宋体" w:eastAsia="宋体" w:cs="宋体"/>
          <w:color w:val="auto"/>
          <w:kern w:val="2"/>
          <w:sz w:val="21"/>
          <w:szCs w:val="21"/>
          <w:highlight w:val="none"/>
          <w:u w:val="single"/>
          <w:lang w:val="en-US" w:eastAsia="zh-CN" w:bidi="ar"/>
        </w:rPr>
        <w:t>补充条款。</w:t>
      </w:r>
    </w:p>
    <w:p w14:paraId="28CF0D3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lang w:val="en-US" w:eastAsia="zh-CN" w:bidi="ar"/>
        </w:rPr>
        <w:t xml:space="preserve">   发包人不承担费用   </w:t>
      </w:r>
      <w:r>
        <w:rPr>
          <w:rFonts w:hint="eastAsia" w:ascii="宋体" w:hAnsi="宋体" w:eastAsia="宋体" w:cs="宋体"/>
          <w:color w:val="auto"/>
          <w:kern w:val="0"/>
          <w:sz w:val="21"/>
          <w:szCs w:val="21"/>
          <w:highlight w:val="none"/>
          <w:lang w:val="en-US" w:eastAsia="zh-CN" w:bidi="ar"/>
        </w:rPr>
        <w:t>。</w:t>
      </w:r>
    </w:p>
    <w:p w14:paraId="020BD65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 xml:space="preserve">17. 不可抗力 </w:t>
      </w:r>
    </w:p>
    <w:p w14:paraId="767281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17.1 不可抗力的确认</w:t>
      </w:r>
    </w:p>
    <w:p w14:paraId="591F0EE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除通用合同条款约定的不可抗力事件之外，视为不可抗力的其他情形：</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0A618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17.4 因不可抗力解除合同</w:t>
      </w:r>
    </w:p>
    <w:p w14:paraId="3D739A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合同解除后，发包人应在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完成款项的支付。</w:t>
      </w:r>
    </w:p>
    <w:p w14:paraId="2260F2FF">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18. 保险</w:t>
      </w:r>
    </w:p>
    <w:p w14:paraId="5DB1EB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18.1 工程保险</w:t>
      </w:r>
    </w:p>
    <w:p w14:paraId="0574032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关于工程保险的特别约定：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173782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18.3 其他保险</w:t>
      </w:r>
    </w:p>
    <w:p w14:paraId="05DE9B5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关于其他保险的约定：</w:t>
      </w:r>
      <w:r>
        <w:rPr>
          <w:rFonts w:hint="eastAsia" w:ascii="宋体" w:hAnsi="宋体" w:eastAsia="宋体" w:cs="宋体"/>
          <w:color w:val="auto"/>
          <w:kern w:val="0"/>
          <w:sz w:val="21"/>
          <w:szCs w:val="21"/>
          <w:highlight w:val="none"/>
          <w:u w:val="single"/>
          <w:lang w:val="en-US" w:eastAsia="zh-CN" w:bidi="ar"/>
        </w:rPr>
        <w:t xml:space="preserve"> 执行国家、省、市有关规定</w:t>
      </w:r>
    </w:p>
    <w:p w14:paraId="0BF6AA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承包人是否应为其施工设备等办理财产保险：</w:t>
      </w:r>
      <w:r>
        <w:rPr>
          <w:rFonts w:hint="eastAsia" w:ascii="宋体" w:hAnsi="宋体" w:eastAsia="宋体" w:cs="宋体"/>
          <w:color w:val="auto"/>
          <w:kern w:val="2"/>
          <w:sz w:val="21"/>
          <w:szCs w:val="21"/>
          <w:highlight w:val="none"/>
          <w:u w:val="single"/>
          <w:lang w:val="en-US" w:eastAsia="zh-CN" w:bidi="ar"/>
        </w:rPr>
        <w:t xml:space="preserve"> 承包人应为其施工设备等办理财产保险。</w:t>
      </w:r>
    </w:p>
    <w:p w14:paraId="7F2DFD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18.7 通知义务</w:t>
      </w:r>
    </w:p>
    <w:p w14:paraId="75837C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关于变更保险合同时的通知义务的约定：</w:t>
      </w:r>
      <w:r>
        <w:rPr>
          <w:rFonts w:hint="eastAsia" w:ascii="宋体" w:hAnsi="宋体" w:eastAsia="宋体" w:cs="宋体"/>
          <w:color w:val="auto"/>
          <w:kern w:val="0"/>
          <w:sz w:val="21"/>
          <w:szCs w:val="21"/>
          <w:highlight w:val="none"/>
          <w:u w:val="single"/>
          <w:lang w:val="en-US" w:eastAsia="zh-CN" w:bidi="ar"/>
        </w:rPr>
        <w:t>发包人变更除工伤保险之外的保险合同时，应事先征得承包人同意，并通知监理人；承包人变更除工伤保险之外的保险合同时，应事先征得发包人同意，并通知监理人。</w:t>
      </w:r>
    </w:p>
    <w:p w14:paraId="068625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保险事故发生时，投保人应按照保险合同规定的条件和期限及时向保险人报告。发包人和承包人应当在知道保险事故发生后及时通知对方。</w:t>
      </w:r>
    </w:p>
    <w:p w14:paraId="2B8D6D3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20. 争议解决</w:t>
      </w:r>
    </w:p>
    <w:p w14:paraId="7272DF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 争议评审</w:t>
      </w:r>
    </w:p>
    <w:p w14:paraId="36CA1C2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合同当事人是否同意将工程争议提交争议评审小组决定：</w:t>
      </w:r>
      <w:r>
        <w:rPr>
          <w:rFonts w:hint="eastAsia" w:ascii="宋体" w:hAnsi="宋体" w:eastAsia="宋体" w:cs="宋体"/>
          <w:color w:val="auto"/>
          <w:kern w:val="2"/>
          <w:sz w:val="21"/>
          <w:szCs w:val="21"/>
          <w:highlight w:val="none"/>
          <w:u w:val="single"/>
          <w:lang w:val="en-US" w:eastAsia="zh-CN" w:bidi="ar"/>
        </w:rPr>
        <w:t xml:space="preserve">  不同意   </w:t>
      </w:r>
      <w:r>
        <w:rPr>
          <w:rFonts w:hint="eastAsia" w:ascii="宋体" w:hAnsi="宋体" w:eastAsia="宋体" w:cs="宋体"/>
          <w:color w:val="auto"/>
          <w:kern w:val="2"/>
          <w:sz w:val="21"/>
          <w:szCs w:val="21"/>
          <w:highlight w:val="none"/>
          <w:lang w:val="en-US" w:eastAsia="zh-CN" w:bidi="ar"/>
        </w:rPr>
        <w:t xml:space="preserve">。  </w:t>
      </w:r>
    </w:p>
    <w:p w14:paraId="3462D7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20.3.1 争议评审小组的确定</w:t>
      </w:r>
    </w:p>
    <w:p w14:paraId="38C164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争议评审小组成员的确定：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488BBD0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选定争议评审员的期限：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21C657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争议评审小组成员的报酬承担方式：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D46345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其他事项的约定：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BDE047C">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20.3.2 争议评审小组的决定</w:t>
      </w:r>
    </w:p>
    <w:p w14:paraId="3E9E4D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合同当事人关于本项的约定：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3FC27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20.4仲裁或诉讼</w:t>
      </w:r>
    </w:p>
    <w:p w14:paraId="5A8BCC9D">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因合同及合同有关事项发生的争议，按下列第</w:t>
      </w:r>
      <w:r>
        <w:rPr>
          <w:rFonts w:hint="eastAsia" w:ascii="宋体" w:hAnsi="宋体" w:eastAsia="宋体" w:cs="宋体"/>
          <w:color w:val="auto"/>
          <w:kern w:val="0"/>
          <w:sz w:val="21"/>
          <w:szCs w:val="21"/>
          <w:highlight w:val="none"/>
          <w:u w:val="single"/>
          <w:lang w:val="en-US" w:eastAsia="zh-CN" w:bidi="ar"/>
        </w:rPr>
        <w:t xml:space="preserve">  （2）   </w:t>
      </w:r>
      <w:r>
        <w:rPr>
          <w:rFonts w:hint="eastAsia" w:ascii="宋体" w:hAnsi="宋体" w:eastAsia="宋体" w:cs="宋体"/>
          <w:color w:val="auto"/>
          <w:kern w:val="0"/>
          <w:sz w:val="21"/>
          <w:szCs w:val="21"/>
          <w:highlight w:val="none"/>
          <w:lang w:val="en-US" w:eastAsia="zh-CN" w:bidi="ar"/>
        </w:rPr>
        <w:t>种方式解决：</w:t>
      </w:r>
    </w:p>
    <w:p w14:paraId="02F36E6E">
      <w:pPr>
        <w:keepNext w:val="0"/>
        <w:keepLines w:val="0"/>
        <w:widowControl w:val="0"/>
        <w:suppressLineNumbers w:val="0"/>
        <w:autoSpaceDE w:val="0"/>
        <w:autoSpaceDN w:val="0"/>
        <w:adjustRightInd w:val="0"/>
        <w:snapToGrid w:val="0"/>
        <w:spacing w:before="0" w:beforeAutospacing="0" w:after="0" w:afterAutospacing="0" w:line="440" w:lineRule="exact"/>
        <w:ind w:left="420" w:leftChars="20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（1）向</w:t>
      </w:r>
      <w:r>
        <w:rPr>
          <w:rFonts w:hint="eastAsia" w:ascii="宋体" w:hAnsi="宋体" w:eastAsia="宋体" w:cs="宋体"/>
          <w:color w:val="auto"/>
          <w:kern w:val="0"/>
          <w:sz w:val="21"/>
          <w:szCs w:val="21"/>
          <w:highlight w:val="none"/>
          <w:u w:val="single"/>
          <w:lang w:val="en-US" w:eastAsia="zh-CN" w:bidi="ar"/>
        </w:rPr>
        <w:t xml:space="preserve">  滁州  </w:t>
      </w:r>
      <w:r>
        <w:rPr>
          <w:rFonts w:hint="eastAsia" w:ascii="宋体" w:hAnsi="宋体" w:eastAsia="宋体" w:cs="宋体"/>
          <w:color w:val="auto"/>
          <w:kern w:val="0"/>
          <w:sz w:val="21"/>
          <w:szCs w:val="21"/>
          <w:highlight w:val="none"/>
          <w:lang w:val="en-US" w:eastAsia="zh-CN" w:bidi="ar"/>
        </w:rPr>
        <w:t>仲裁委员会申请仲裁；</w:t>
      </w:r>
    </w:p>
    <w:p w14:paraId="27258F72">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工程所在地  </w:t>
      </w:r>
      <w:r>
        <w:rPr>
          <w:rFonts w:hint="eastAsia" w:ascii="宋体" w:hAnsi="宋体" w:eastAsia="宋体" w:cs="宋体"/>
          <w:color w:val="auto"/>
          <w:kern w:val="0"/>
          <w:sz w:val="21"/>
          <w:szCs w:val="21"/>
          <w:highlight w:val="none"/>
        </w:rPr>
        <w:t>人民法院起诉。</w:t>
      </w:r>
    </w:p>
    <w:p w14:paraId="63C48556">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br w:type="page"/>
      </w:r>
    </w:p>
    <w:bookmarkEnd w:id="901"/>
    <w:p w14:paraId="45E03395">
      <w:pPr>
        <w:keepNext/>
        <w:keepLines/>
        <w:spacing w:before="120" w:after="120" w:line="360" w:lineRule="auto"/>
        <w:jc w:val="left"/>
        <w:outlineLvl w:val="2"/>
        <w:rPr>
          <w:rFonts w:hint="eastAsia" w:ascii="宋体" w:hAnsi="宋体" w:cs="宋体"/>
          <w:bCs/>
          <w:color w:val="auto"/>
          <w:sz w:val="24"/>
          <w:highlight w:val="none"/>
        </w:rPr>
      </w:pPr>
      <w:bookmarkStart w:id="915" w:name="_Toc95223490"/>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1BF6BEF7">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1C87623A">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F1C550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w:t>
      </w:r>
      <w:r>
        <w:rPr>
          <w:rFonts w:hint="eastAsia" w:ascii="宋体" w:hAnsi="宋体" w:cs="宋体"/>
          <w:color w:val="auto"/>
          <w:kern w:val="0"/>
          <w:position w:val="6"/>
          <w:szCs w:val="21"/>
          <w:highlight w:val="none"/>
          <w:lang w:val="en-US" w:eastAsia="zh-CN"/>
        </w:rPr>
        <w:t>对</w:t>
      </w:r>
      <w:r>
        <w:rPr>
          <w:rFonts w:hint="eastAsia" w:ascii="宋体" w:hAnsi="宋体" w:cs="宋体"/>
          <w:color w:val="auto"/>
          <w:kern w:val="0"/>
          <w:position w:val="6"/>
          <w:szCs w:val="21"/>
          <w:highlight w:val="none"/>
        </w:rPr>
        <w:t>______________________工程签订工程质量保修书。</w:t>
      </w:r>
    </w:p>
    <w:p w14:paraId="49E666DB">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65AC3761">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14:paraId="1A1C4DF7">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质量保修范围和内容：______________________。因不可抗力或使用不当造成的质量缺陷，不属保修范围</w:t>
      </w:r>
      <w:r>
        <w:rPr>
          <w:rFonts w:hint="eastAsia" w:ascii="宋体" w:hAnsi="宋体" w:cs="宋体"/>
          <w:bCs/>
          <w:color w:val="auto"/>
          <w:kern w:val="0"/>
          <w:position w:val="6"/>
          <w:szCs w:val="21"/>
          <w:highlight w:val="none"/>
        </w:rPr>
        <w:t>。</w:t>
      </w:r>
    </w:p>
    <w:p w14:paraId="5CD3105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348174AE">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双方根据《建设工程质量管理条例》及有关规定，约定本工程的质量保修期如下：</w:t>
      </w:r>
    </w:p>
    <w:p w14:paraId="436023A7">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主体结构和基础工程，为     年；</w:t>
      </w:r>
    </w:p>
    <w:p w14:paraId="07188067">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_____________工程，为      年；</w:t>
      </w:r>
    </w:p>
    <w:p w14:paraId="3710C775">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_____________工程，为      年；</w:t>
      </w:r>
    </w:p>
    <w:p w14:paraId="67AEB83D">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_____________工程，为      年；</w:t>
      </w:r>
    </w:p>
    <w:p w14:paraId="64A812A6">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质量保修期自工程竣工验收合格之日起计算。</w:t>
      </w:r>
    </w:p>
    <w:p w14:paraId="65D51BE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3AB6CAB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9651C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54F4E0FC">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49ECE99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14:paraId="187E307D">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14:paraId="41B6DE2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1B67C3F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14:paraId="58E89490">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06AAA46C">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6DD5327C">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1BFFE4DE">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或</w:t>
      </w: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bookmarkEnd w:id="915"/>
    <w:p w14:paraId="7475CAD0">
      <w:pPr>
        <w:keepNext/>
        <w:keepLines/>
        <w:spacing w:before="120" w:after="120" w:line="360" w:lineRule="auto"/>
        <w:jc w:val="left"/>
        <w:outlineLvl w:val="2"/>
        <w:rPr>
          <w:rFonts w:hint="eastAsia" w:ascii="宋体" w:hAnsi="宋体" w:cs="宋体"/>
          <w:bCs/>
          <w:color w:val="auto"/>
          <w:sz w:val="24"/>
          <w:highlight w:val="none"/>
        </w:rPr>
      </w:pPr>
      <w:bookmarkStart w:id="916" w:name="_Toc95223511"/>
      <w:r>
        <w:rPr>
          <w:rFonts w:hint="eastAsia" w:ascii="宋体" w:hAnsi="宋体" w:cs="宋体"/>
          <w:bCs/>
          <w:color w:val="auto"/>
          <w:sz w:val="24"/>
          <w:highlight w:val="none"/>
        </w:rPr>
        <w:t>安全生产合同</w:t>
      </w:r>
      <w:bookmarkEnd w:id="916"/>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917" w:name="_Toc17347"/>
      <w:bookmarkStart w:id="918" w:name="_Toc16956"/>
      <w:bookmarkStart w:id="919" w:name="_Toc26993"/>
      <w:bookmarkStart w:id="920" w:name="_Toc31602"/>
      <w:bookmarkStart w:id="921" w:name="_Toc32439"/>
      <w:bookmarkStart w:id="922" w:name="_Toc95223512"/>
      <w:r>
        <w:rPr>
          <w:rFonts w:hint="eastAsia" w:ascii="宋体" w:hAnsi="宋体" w:cs="宋体"/>
          <w:b/>
          <w:color w:val="auto"/>
          <w:sz w:val="32"/>
          <w:szCs w:val="32"/>
          <w:highlight w:val="none"/>
        </w:rPr>
        <w:t>安全生产合同</w:t>
      </w:r>
      <w:bookmarkEnd w:id="917"/>
      <w:bookmarkEnd w:id="918"/>
      <w:bookmarkEnd w:id="919"/>
      <w:bookmarkEnd w:id="920"/>
      <w:bookmarkEnd w:id="921"/>
      <w:bookmarkEnd w:id="922"/>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415A5FE">
      <w:pPr>
        <w:spacing w:line="360" w:lineRule="auto"/>
        <w:rPr>
          <w:rFonts w:hint="eastAsia" w:ascii="宋体" w:hAnsi="宋体" w:cs="宋体"/>
          <w:color w:val="auto"/>
          <w:szCs w:val="21"/>
          <w:highlight w:val="none"/>
        </w:rPr>
      </w:pP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A75BBA9">
      <w:pPr>
        <w:spacing w:line="360" w:lineRule="auto"/>
        <w:rPr>
          <w:rFonts w:hint="eastAsia" w:ascii="宋体" w:hAnsi="宋体" w:cs="宋体"/>
          <w:color w:val="auto"/>
          <w:szCs w:val="21"/>
          <w:highlight w:val="none"/>
        </w:rPr>
      </w:pP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B604613">
      <w:pPr>
        <w:keepNext/>
        <w:keepLines/>
        <w:pageBreakBefore w:val="0"/>
        <w:widowControl w:val="0"/>
        <w:kinsoku/>
        <w:wordWrap/>
        <w:overflowPunct/>
        <w:topLinePunct w:val="0"/>
        <w:autoSpaceDE/>
        <w:autoSpaceDN/>
        <w:bidi w:val="0"/>
        <w:adjustRightInd/>
        <w:snapToGrid/>
        <w:spacing w:line="440" w:lineRule="exact"/>
        <w:jc w:val="left"/>
        <w:textAlignment w:val="auto"/>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923" w:name="_Toc95223513"/>
      <w:r>
        <w:rPr>
          <w:rFonts w:hint="eastAsia" w:ascii="宋体" w:hAnsi="宋体" w:cs="宋体"/>
          <w:bCs/>
          <w:color w:val="auto"/>
          <w:sz w:val="24"/>
          <w:highlight w:val="none"/>
        </w:rPr>
        <w:t>项目经理质量终身责任制承诺</w:t>
      </w:r>
      <w:bookmarkEnd w:id="923"/>
    </w:p>
    <w:p w14:paraId="72E28F94">
      <w:pPr>
        <w:keepNext/>
        <w:keepLines/>
        <w:spacing w:before="120" w:after="120" w:line="360" w:lineRule="auto"/>
        <w:jc w:val="left"/>
        <w:outlineLvl w:val="2"/>
        <w:rPr>
          <w:rFonts w:hint="eastAsia" w:ascii="宋体" w:hAnsi="宋体" w:cs="宋体"/>
          <w:bCs/>
          <w:color w:val="auto"/>
          <w:sz w:val="24"/>
          <w:highlight w:val="none"/>
        </w:rPr>
      </w:pPr>
    </w:p>
    <w:p w14:paraId="2E635858">
      <w:pPr>
        <w:adjustRightInd w:val="0"/>
        <w:snapToGrid w:val="0"/>
        <w:spacing w:line="360" w:lineRule="auto"/>
        <w:jc w:val="center"/>
        <w:outlineLvl w:val="0"/>
        <w:rPr>
          <w:rFonts w:hint="eastAsia" w:ascii="宋体" w:hAnsi="宋体" w:cs="宋体"/>
          <w:b/>
          <w:color w:val="auto"/>
          <w:sz w:val="32"/>
          <w:szCs w:val="32"/>
          <w:highlight w:val="none"/>
        </w:rPr>
      </w:pPr>
      <w:bookmarkStart w:id="924" w:name="_Toc31476"/>
      <w:bookmarkStart w:id="925" w:name="_Toc4934"/>
      <w:bookmarkStart w:id="926" w:name="_Toc11057"/>
      <w:bookmarkStart w:id="927" w:name="_Toc19059"/>
      <w:bookmarkStart w:id="928" w:name="_Toc20282"/>
      <w:bookmarkStart w:id="929" w:name="_Toc95223514"/>
      <w:r>
        <w:rPr>
          <w:rFonts w:hint="eastAsia" w:ascii="宋体" w:hAnsi="宋体" w:cs="宋体"/>
          <w:b/>
          <w:color w:val="auto"/>
          <w:sz w:val="32"/>
          <w:szCs w:val="32"/>
          <w:highlight w:val="none"/>
        </w:rPr>
        <w:t>项目经理质量终身责任制承诺</w:t>
      </w:r>
      <w:bookmarkEnd w:id="924"/>
      <w:bookmarkEnd w:id="925"/>
      <w:bookmarkEnd w:id="926"/>
      <w:bookmarkEnd w:id="927"/>
      <w:bookmarkEnd w:id="928"/>
      <w:bookmarkEnd w:id="929"/>
    </w:p>
    <w:p w14:paraId="3268A807">
      <w:pPr>
        <w:adjustRightInd w:val="0"/>
        <w:snapToGrid w:val="0"/>
        <w:spacing w:line="360" w:lineRule="auto"/>
        <w:jc w:val="center"/>
        <w:outlineLvl w:val="0"/>
        <w:rPr>
          <w:rFonts w:hint="eastAsia" w:ascii="宋体" w:hAnsi="宋体" w:cs="宋体"/>
          <w:b/>
          <w:color w:val="auto"/>
          <w:sz w:val="32"/>
          <w:szCs w:val="32"/>
          <w:highlight w:val="none"/>
        </w:rPr>
      </w:pPr>
    </w:p>
    <w:p w14:paraId="37752062">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58205C1F">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43039E8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4BE47B1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44AC49E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6F610B8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2BE619A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3547B53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10C2F01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46B1224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4211C12">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5991D6BF">
      <w:pPr>
        <w:spacing w:line="360" w:lineRule="auto"/>
        <w:ind w:left="359" w:leftChars="171" w:firstLine="720" w:firstLineChars="300"/>
        <w:rPr>
          <w:rFonts w:hint="eastAsia" w:ascii="宋体" w:hAnsi="宋体" w:cs="宋体"/>
          <w:bCs/>
          <w:color w:val="auto"/>
          <w:sz w:val="24"/>
          <w:szCs w:val="21"/>
          <w:highlight w:val="none"/>
        </w:rPr>
      </w:pPr>
    </w:p>
    <w:p w14:paraId="0A469C7D">
      <w:pPr>
        <w:spacing w:line="360" w:lineRule="auto"/>
        <w:ind w:left="359" w:leftChars="171" w:firstLine="720" w:firstLineChars="300"/>
        <w:rPr>
          <w:rFonts w:hint="eastAsia" w:ascii="宋体" w:hAnsi="宋体" w:cs="宋体"/>
          <w:bCs/>
          <w:color w:val="auto"/>
          <w:sz w:val="24"/>
          <w:szCs w:val="21"/>
          <w:highlight w:val="none"/>
        </w:rPr>
      </w:pPr>
    </w:p>
    <w:p w14:paraId="6CEFC16C">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1ACC41B0">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78678469">
      <w:pPr>
        <w:rPr>
          <w:rFonts w:hint="eastAsia"/>
          <w:bCs/>
          <w:color w:val="auto"/>
          <w:szCs w:val="32"/>
          <w:highlight w:val="none"/>
        </w:rPr>
      </w:pPr>
    </w:p>
    <w:p w14:paraId="347994B1">
      <w:pPr>
        <w:rPr>
          <w:rFonts w:hint="eastAsia"/>
          <w:bCs/>
          <w:color w:val="auto"/>
          <w:szCs w:val="32"/>
          <w:highlight w:val="none"/>
        </w:rPr>
      </w:pPr>
    </w:p>
    <w:p w14:paraId="1F34A877">
      <w:pPr>
        <w:rPr>
          <w:rFonts w:hint="eastAsia" w:ascii="Arial" w:hAnsi="Arial" w:eastAsia="宋体" w:cs="Times New Roman"/>
          <w:b/>
          <w:bCs/>
          <w:color w:val="auto"/>
          <w:kern w:val="0"/>
          <w:sz w:val="32"/>
          <w:szCs w:val="32"/>
          <w:highlight w:val="none"/>
          <w:lang w:val="en-US" w:eastAsia="zh-CN" w:bidi="ar-SA"/>
        </w:rPr>
      </w:pPr>
      <w:bookmarkStart w:id="930" w:name="_Toc4767"/>
      <w:bookmarkStart w:id="931" w:name="_Toc95223515"/>
      <w:bookmarkStart w:id="932" w:name="_Toc23990"/>
      <w:r>
        <w:rPr>
          <w:rFonts w:hint="eastAsia" w:ascii="Arial" w:hAnsi="Arial" w:eastAsia="宋体" w:cs="Times New Roman"/>
          <w:b/>
          <w:bCs/>
          <w:color w:val="auto"/>
          <w:kern w:val="0"/>
          <w:sz w:val="32"/>
          <w:szCs w:val="32"/>
          <w:highlight w:val="none"/>
          <w:lang w:val="en-US" w:eastAsia="zh-CN" w:bidi="ar-SA"/>
        </w:rPr>
        <w:br w:type="page"/>
      </w:r>
    </w:p>
    <w:p w14:paraId="6FA116AB">
      <w:pPr>
        <w:pStyle w:val="43"/>
        <w:numPr>
          <w:ilvl w:val="0"/>
          <w:numId w:val="0"/>
        </w:numPr>
        <w:spacing w:beforeLines="50" w:afterLines="50" w:line="440" w:lineRule="exact"/>
        <w:rPr>
          <w:rFonts w:hint="eastAsia" w:eastAsia="宋体" w:cs="Times New Roman"/>
          <w:bCs/>
          <w:color w:val="auto"/>
          <w:szCs w:val="32"/>
          <w:highlight w:val="none"/>
        </w:rPr>
      </w:pPr>
      <w:r>
        <w:rPr>
          <w:rFonts w:hint="eastAsia" w:ascii="Arial" w:hAnsi="Arial" w:eastAsia="宋体" w:cs="Times New Roman"/>
          <w:b/>
          <w:bCs/>
          <w:color w:val="auto"/>
          <w:kern w:val="0"/>
          <w:sz w:val="32"/>
          <w:szCs w:val="32"/>
          <w:highlight w:val="none"/>
          <w:lang w:val="en-US" w:eastAsia="zh-CN" w:bidi="ar-SA"/>
        </w:rPr>
        <w:t>第五章</w:t>
      </w:r>
      <w:r>
        <w:rPr>
          <w:rFonts w:hint="eastAsia" w:eastAsia="宋体" w:cs="Times New Roman"/>
          <w:bCs/>
          <w:color w:val="auto"/>
          <w:szCs w:val="32"/>
          <w:highlight w:val="none"/>
        </w:rPr>
        <w:t xml:space="preserve"> </w:t>
      </w:r>
      <w:bookmarkStart w:id="933" w:name="_Toc10898"/>
      <w:bookmarkStart w:id="934" w:name="_Toc3388"/>
      <w:r>
        <w:rPr>
          <w:rFonts w:hint="eastAsia" w:eastAsia="宋体" w:cs="Times New Roman"/>
          <w:bCs/>
          <w:color w:val="auto"/>
          <w:szCs w:val="32"/>
          <w:highlight w:val="none"/>
        </w:rPr>
        <w:t>工程量清单</w:t>
      </w:r>
      <w:bookmarkEnd w:id="930"/>
      <w:bookmarkEnd w:id="931"/>
      <w:bookmarkEnd w:id="932"/>
      <w:bookmarkEnd w:id="933"/>
      <w:bookmarkEnd w:id="934"/>
    </w:p>
    <w:p w14:paraId="7F47F256">
      <w:pPr>
        <w:adjustRightInd w:val="0"/>
        <w:snapToGrid w:val="0"/>
        <w:spacing w:line="360" w:lineRule="auto"/>
        <w:ind w:firstLine="422" w:firstLineChars="200"/>
        <w:rPr>
          <w:rFonts w:hint="eastAsia" w:ascii="宋体" w:hAnsi="宋体" w:cs="宋体"/>
          <w:b/>
          <w:bCs/>
          <w:color w:val="auto"/>
          <w:szCs w:val="21"/>
          <w:highlight w:val="none"/>
        </w:rPr>
      </w:pPr>
      <w:bookmarkStart w:id="935" w:name="_Toc95223516"/>
      <w:bookmarkStart w:id="936" w:name="_Toc1620"/>
      <w:r>
        <w:rPr>
          <w:rFonts w:hint="eastAsia" w:ascii="宋体" w:hAnsi="宋体" w:cs="宋体"/>
          <w:b/>
          <w:bCs/>
          <w:color w:val="auto"/>
          <w:szCs w:val="21"/>
          <w:highlight w:val="none"/>
        </w:rPr>
        <w:t>1. 计价依据</w:t>
      </w:r>
      <w:bookmarkEnd w:id="935"/>
      <w:bookmarkEnd w:id="936"/>
    </w:p>
    <w:p w14:paraId="3663EE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5815F67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6"/>
        <w:tblW w:w="9560"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6"/>
        <w:gridCol w:w="1061"/>
        <w:gridCol w:w="675"/>
        <w:gridCol w:w="950"/>
        <w:gridCol w:w="725"/>
        <w:gridCol w:w="850"/>
        <w:gridCol w:w="1150"/>
        <w:gridCol w:w="1125"/>
        <w:gridCol w:w="853"/>
        <w:gridCol w:w="885"/>
      </w:tblGrid>
      <w:tr w14:paraId="44602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286" w:type="dxa"/>
            <w:vMerge w:val="restart"/>
            <w:tcBorders>
              <w:top w:val="single" w:color="auto" w:sz="4" w:space="0"/>
              <w:left w:val="single" w:color="auto" w:sz="4" w:space="0"/>
              <w:bottom w:val="single" w:color="auto" w:sz="4" w:space="0"/>
              <w:right w:val="single" w:color="auto" w:sz="4" w:space="0"/>
            </w:tcBorders>
            <w:noWrap w:val="0"/>
            <w:vAlign w:val="center"/>
          </w:tcPr>
          <w:p w14:paraId="6A3A4B6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6EC188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计费</w:t>
            </w:r>
          </w:p>
          <w:p w14:paraId="7A828F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基础</w:t>
            </w:r>
          </w:p>
        </w:tc>
        <w:tc>
          <w:tcPr>
            <w:tcW w:w="7213" w:type="dxa"/>
            <w:gridSpan w:val="8"/>
            <w:tcBorders>
              <w:top w:val="single" w:color="auto" w:sz="4" w:space="0"/>
              <w:left w:val="single" w:color="auto" w:sz="4" w:space="0"/>
              <w:bottom w:val="single" w:color="auto" w:sz="4" w:space="0"/>
              <w:right w:val="single" w:color="auto" w:sz="4" w:space="0"/>
            </w:tcBorders>
            <w:noWrap w:val="0"/>
            <w:vAlign w:val="center"/>
          </w:tcPr>
          <w:p w14:paraId="4A0EED3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费率（%）</w:t>
            </w:r>
          </w:p>
        </w:tc>
      </w:tr>
      <w:tr w14:paraId="4AF2C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286" w:type="dxa"/>
            <w:vMerge w:val="continue"/>
            <w:tcBorders>
              <w:top w:val="single" w:color="auto" w:sz="4" w:space="0"/>
              <w:left w:val="single" w:color="auto" w:sz="4" w:space="0"/>
              <w:bottom w:val="single" w:color="auto" w:sz="4" w:space="0"/>
              <w:right w:val="single" w:color="auto" w:sz="4" w:space="0"/>
            </w:tcBorders>
            <w:noWrap w:val="0"/>
            <w:vAlign w:val="center"/>
          </w:tcPr>
          <w:p w14:paraId="3554333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6FE807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restart"/>
            <w:tcBorders>
              <w:top w:val="single" w:color="auto" w:sz="4" w:space="0"/>
              <w:left w:val="single" w:color="auto" w:sz="4" w:space="0"/>
              <w:right w:val="single" w:color="auto" w:sz="4" w:space="0"/>
            </w:tcBorders>
            <w:noWrap w:val="0"/>
            <w:vAlign w:val="center"/>
          </w:tcPr>
          <w:p w14:paraId="31F7AB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建筑工程</w:t>
            </w:r>
          </w:p>
        </w:tc>
        <w:tc>
          <w:tcPr>
            <w:tcW w:w="950" w:type="dxa"/>
            <w:vMerge w:val="restart"/>
            <w:tcBorders>
              <w:top w:val="single" w:color="auto" w:sz="4" w:space="0"/>
              <w:left w:val="single" w:color="auto" w:sz="4" w:space="0"/>
              <w:right w:val="single" w:color="auto" w:sz="4" w:space="0"/>
            </w:tcBorders>
            <w:noWrap w:val="0"/>
            <w:vAlign w:val="center"/>
          </w:tcPr>
          <w:p w14:paraId="67A5E96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装饰装修工程</w:t>
            </w:r>
          </w:p>
        </w:tc>
        <w:tc>
          <w:tcPr>
            <w:tcW w:w="725" w:type="dxa"/>
            <w:vMerge w:val="restart"/>
            <w:tcBorders>
              <w:top w:val="single" w:color="auto" w:sz="4" w:space="0"/>
              <w:left w:val="single" w:color="auto" w:sz="4" w:space="0"/>
              <w:right w:val="single" w:color="auto" w:sz="4" w:space="0"/>
            </w:tcBorders>
            <w:noWrap w:val="0"/>
            <w:vAlign w:val="center"/>
          </w:tcPr>
          <w:p w14:paraId="48ADAF0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67058D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0" w:type="dxa"/>
            <w:vMerge w:val="restart"/>
            <w:tcBorders>
              <w:top w:val="single" w:color="auto" w:sz="4" w:space="0"/>
              <w:left w:val="single" w:color="auto" w:sz="4" w:space="0"/>
              <w:right w:val="single" w:color="auto" w:sz="4" w:space="0"/>
            </w:tcBorders>
            <w:noWrap w:val="0"/>
            <w:vAlign w:val="center"/>
          </w:tcPr>
          <w:p w14:paraId="58F778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市政</w:t>
            </w:r>
          </w:p>
          <w:p w14:paraId="652E92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2275" w:type="dxa"/>
            <w:gridSpan w:val="2"/>
            <w:tcBorders>
              <w:top w:val="single" w:color="auto" w:sz="4" w:space="0"/>
              <w:left w:val="single" w:color="auto" w:sz="4" w:space="0"/>
              <w:bottom w:val="single" w:color="auto" w:sz="4" w:space="0"/>
              <w:right w:val="single" w:color="auto" w:sz="4" w:space="0"/>
            </w:tcBorders>
            <w:noWrap w:val="0"/>
            <w:vAlign w:val="center"/>
          </w:tcPr>
          <w:p w14:paraId="34A046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城市轨道交通工程</w:t>
            </w:r>
          </w:p>
        </w:tc>
        <w:tc>
          <w:tcPr>
            <w:tcW w:w="853" w:type="dxa"/>
            <w:vMerge w:val="restart"/>
            <w:tcBorders>
              <w:top w:val="single" w:color="auto" w:sz="4" w:space="0"/>
              <w:left w:val="single" w:color="auto" w:sz="4" w:space="0"/>
              <w:right w:val="single" w:color="auto" w:sz="4" w:space="0"/>
            </w:tcBorders>
            <w:noWrap w:val="0"/>
            <w:vAlign w:val="center"/>
          </w:tcPr>
          <w:p w14:paraId="545139F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园林绿化工程</w:t>
            </w:r>
          </w:p>
        </w:tc>
        <w:tc>
          <w:tcPr>
            <w:tcW w:w="885" w:type="dxa"/>
            <w:vMerge w:val="restart"/>
            <w:tcBorders>
              <w:top w:val="single" w:color="auto" w:sz="4" w:space="0"/>
              <w:left w:val="single" w:color="auto" w:sz="4" w:space="0"/>
              <w:right w:val="single" w:color="auto" w:sz="4" w:space="0"/>
            </w:tcBorders>
            <w:noWrap w:val="0"/>
            <w:vAlign w:val="center"/>
          </w:tcPr>
          <w:p w14:paraId="638CF0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仿古建筑工程</w:t>
            </w:r>
          </w:p>
        </w:tc>
      </w:tr>
      <w:tr w14:paraId="1B604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286" w:type="dxa"/>
            <w:vMerge w:val="continue"/>
            <w:tcBorders>
              <w:left w:val="single" w:color="auto" w:sz="4" w:space="0"/>
              <w:bottom w:val="single" w:color="auto" w:sz="4" w:space="0"/>
              <w:right w:val="single" w:color="auto" w:sz="4" w:space="0"/>
            </w:tcBorders>
            <w:noWrap w:val="0"/>
            <w:vAlign w:val="center"/>
          </w:tcPr>
          <w:p w14:paraId="37F36DD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left w:val="single" w:color="auto" w:sz="4" w:space="0"/>
              <w:bottom w:val="single" w:color="auto" w:sz="4" w:space="0"/>
              <w:right w:val="single" w:color="auto" w:sz="4" w:space="0"/>
            </w:tcBorders>
            <w:noWrap w:val="0"/>
            <w:vAlign w:val="center"/>
          </w:tcPr>
          <w:p w14:paraId="5C7C612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continue"/>
            <w:tcBorders>
              <w:left w:val="single" w:color="auto" w:sz="4" w:space="0"/>
              <w:bottom w:val="single" w:color="auto" w:sz="4" w:space="0"/>
              <w:right w:val="single" w:color="auto" w:sz="4" w:space="0"/>
            </w:tcBorders>
            <w:noWrap w:val="0"/>
            <w:vAlign w:val="center"/>
          </w:tcPr>
          <w:p w14:paraId="4A86D6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950" w:type="dxa"/>
            <w:vMerge w:val="continue"/>
            <w:tcBorders>
              <w:left w:val="single" w:color="auto" w:sz="4" w:space="0"/>
              <w:bottom w:val="single" w:color="auto" w:sz="4" w:space="0"/>
              <w:right w:val="single" w:color="auto" w:sz="4" w:space="0"/>
            </w:tcBorders>
            <w:noWrap w:val="0"/>
            <w:vAlign w:val="center"/>
          </w:tcPr>
          <w:p w14:paraId="69D4C8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725" w:type="dxa"/>
            <w:vMerge w:val="continue"/>
            <w:tcBorders>
              <w:left w:val="single" w:color="auto" w:sz="4" w:space="0"/>
              <w:bottom w:val="single" w:color="auto" w:sz="4" w:space="0"/>
              <w:right w:val="single" w:color="auto" w:sz="4" w:space="0"/>
            </w:tcBorders>
            <w:noWrap w:val="0"/>
            <w:vAlign w:val="center"/>
          </w:tcPr>
          <w:p w14:paraId="073FD3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50" w:type="dxa"/>
            <w:vMerge w:val="continue"/>
            <w:tcBorders>
              <w:left w:val="single" w:color="auto" w:sz="4" w:space="0"/>
              <w:bottom w:val="single" w:color="auto" w:sz="4" w:space="0"/>
              <w:right w:val="single" w:color="auto" w:sz="4" w:space="0"/>
            </w:tcBorders>
            <w:noWrap w:val="0"/>
            <w:vAlign w:val="center"/>
          </w:tcPr>
          <w:p w14:paraId="298544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867DEB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w:t>
            </w:r>
          </w:p>
          <w:p w14:paraId="1B707D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043D91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37552B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3" w:type="dxa"/>
            <w:vMerge w:val="continue"/>
            <w:tcBorders>
              <w:left w:val="single" w:color="auto" w:sz="4" w:space="0"/>
              <w:bottom w:val="single" w:color="auto" w:sz="4" w:space="0"/>
              <w:right w:val="single" w:color="auto" w:sz="4" w:space="0"/>
            </w:tcBorders>
            <w:noWrap w:val="0"/>
            <w:vAlign w:val="center"/>
          </w:tcPr>
          <w:p w14:paraId="31596C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85" w:type="dxa"/>
            <w:vMerge w:val="continue"/>
            <w:tcBorders>
              <w:left w:val="single" w:color="auto" w:sz="4" w:space="0"/>
              <w:bottom w:val="single" w:color="auto" w:sz="4" w:space="0"/>
              <w:right w:val="single" w:color="auto" w:sz="4" w:space="0"/>
            </w:tcBorders>
            <w:noWrap w:val="0"/>
            <w:vAlign w:val="center"/>
          </w:tcPr>
          <w:p w14:paraId="4A8020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37BAD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286" w:type="dxa"/>
            <w:tcBorders>
              <w:top w:val="single" w:color="auto" w:sz="4" w:space="0"/>
              <w:left w:val="single" w:color="auto" w:sz="4" w:space="0"/>
              <w:right w:val="single" w:color="auto" w:sz="4" w:space="0"/>
            </w:tcBorders>
            <w:noWrap w:val="0"/>
            <w:vAlign w:val="center"/>
          </w:tcPr>
          <w:p w14:paraId="316901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环境保护费</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4FFD2C1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09C06F7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人工费</w:t>
            </w:r>
          </w:p>
          <w:p w14:paraId="4980C9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p w14:paraId="03E6E8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6692D3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机械费</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65CF5A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7E2FA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2.60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68851D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93FE2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3.57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C5B09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2.46</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A44E8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1.57</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47BA1A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10BB1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2.07</w:t>
            </w:r>
          </w:p>
        </w:tc>
      </w:tr>
      <w:tr w14:paraId="36CB7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054631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文明施工费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32EE1A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9473B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5.12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0A3478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4.50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606B6B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6.10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FD6DF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7.33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FC901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9.24</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10BF81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6.30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6B451D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E319B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4.67</w:t>
            </w:r>
          </w:p>
        </w:tc>
      </w:tr>
      <w:tr w14:paraId="699D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504CBE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73576FB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721DE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4.13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4A98F6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C9729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575D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5.28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A1BDA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4.30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CB91F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B2D4D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2.16</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6042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2.27</w:t>
            </w:r>
          </w:p>
        </w:tc>
      </w:tr>
      <w:tr w14:paraId="7DC7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7839FE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临时设施费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5DE866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D90AF2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22EA6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5.80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1D2E17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8B7F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7.99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1A09E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E3094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81C0E7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68578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3.98</w:t>
            </w:r>
          </w:p>
        </w:tc>
      </w:tr>
    </w:tbl>
    <w:p w14:paraId="688052FD">
      <w:pPr>
        <w:adjustRightInd w:val="0"/>
        <w:snapToGrid w:val="0"/>
        <w:spacing w:line="360" w:lineRule="auto"/>
        <w:ind w:firstLine="420" w:firstLineChars="200"/>
        <w:rPr>
          <w:rFonts w:hint="eastAsia" w:ascii="宋体" w:hAnsi="宋体" w:cs="宋体"/>
          <w:color w:val="auto"/>
          <w:szCs w:val="21"/>
          <w:highlight w:val="none"/>
        </w:rPr>
      </w:pPr>
    </w:p>
    <w:p w14:paraId="5C6BDD33">
      <w:pPr>
        <w:adjustRightInd w:val="0"/>
        <w:snapToGrid w:val="0"/>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2.编制依据 </w:t>
      </w:r>
    </w:p>
    <w:p w14:paraId="7AF65B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本项目采用工程量清单计价。</w:t>
      </w:r>
    </w:p>
    <w:p w14:paraId="41E47A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45BEB9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4981992B">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r>
        <w:rPr>
          <w:rFonts w:hint="eastAsia" w:ascii="宋体" w:hAnsi="宋体" w:cs="宋体"/>
          <w:color w:val="auto"/>
          <w:szCs w:val="21"/>
          <w:highlight w:val="none"/>
          <w:lang w:val="en-US" w:eastAsia="zh-CN"/>
        </w:rPr>
        <w:t>。</w:t>
      </w:r>
    </w:p>
    <w:p w14:paraId="5C7DF32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bookmarkStart w:id="937" w:name="_Toc19788"/>
      <w:bookmarkStart w:id="938" w:name="_Toc95223518"/>
      <w:bookmarkStart w:id="939" w:name="_Toc95223521"/>
      <w:bookmarkStart w:id="940" w:name="_Toc4881"/>
      <w:r>
        <w:rPr>
          <w:rFonts w:hint="eastAsia" w:ascii="宋体" w:hAnsi="宋体" w:eastAsia="宋体" w:cs="宋体"/>
          <w:b/>
          <w:bCs/>
          <w:color w:val="auto"/>
          <w:szCs w:val="21"/>
          <w:highlight w:val="none"/>
          <w:lang w:val="en-US" w:eastAsia="zh-CN"/>
        </w:rPr>
        <w:t>招标工程量清单编制要求</w:t>
      </w:r>
      <w:bookmarkEnd w:id="937"/>
      <w:bookmarkEnd w:id="938"/>
    </w:p>
    <w:p w14:paraId="78CAF63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09A8AAC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1CD281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2964E02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5D2B22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7B4C145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5AFEE90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7CFAAFE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38EC6F8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703E7EB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39CAA0B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459599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3C3EBC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28476763">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941" w:name="_Toc23910"/>
      <w:bookmarkStart w:id="942" w:name="_Toc95223519"/>
      <w:r>
        <w:rPr>
          <w:rFonts w:hint="eastAsia" w:ascii="宋体" w:hAnsi="宋体" w:eastAsia="宋体" w:cs="宋体"/>
          <w:b/>
          <w:bCs/>
          <w:color w:val="auto"/>
          <w:szCs w:val="21"/>
          <w:highlight w:val="none"/>
          <w:lang w:val="en-US" w:eastAsia="zh-CN"/>
        </w:rPr>
        <w:t>4. 最高投标限价编制要求</w:t>
      </w:r>
      <w:bookmarkEnd w:id="941"/>
      <w:bookmarkEnd w:id="942"/>
    </w:p>
    <w:p w14:paraId="35E7ED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7D4EB4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5C8CC6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688595B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735529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7F94085C">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关于发布《安徽省建设工程计价依据动态调整(第2期)》的公告(安徽省住房和城乡建设厅公告第172号）</w:t>
      </w:r>
    </w:p>
    <w:p w14:paraId="7265803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7441F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04F6E4F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FAE67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1F4B16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45288B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（11）施工期间的风险因素；</w:t>
      </w:r>
    </w:p>
    <w:p w14:paraId="2BC8880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（12）省、市的有关政策性文件</w:t>
      </w:r>
    </w:p>
    <w:p w14:paraId="46FA6E9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）其他相关材料。</w:t>
      </w:r>
    </w:p>
    <w:p w14:paraId="1289C2A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rPr>
        <w:t xml:space="preserve"> 材料价格：按《滁州工程造价信息》发布的不含税价格和市场询价编制。本工程混凝土、砂浆使用</w:t>
      </w:r>
      <w:r>
        <w:rPr>
          <w:rFonts w:hint="eastAsia" w:ascii="宋体" w:hAnsi="宋体" w:eastAsia="宋体" w:cs="宋体"/>
          <w:color w:val="auto"/>
          <w:szCs w:val="21"/>
          <w:highlight w:val="none"/>
          <w:u w:val="single"/>
        </w:rPr>
        <w:t xml:space="preserve">  商品混凝土、预拌砂浆</w:t>
      </w:r>
      <w:r>
        <w:rPr>
          <w:rFonts w:hint="eastAsia" w:ascii="宋体" w:hAnsi="宋体" w:eastAsia="宋体" w:cs="宋体"/>
          <w:color w:val="auto"/>
          <w:szCs w:val="21"/>
          <w:highlight w:val="none"/>
        </w:rPr>
        <w:t>。</w:t>
      </w:r>
    </w:p>
    <w:p w14:paraId="3DA1E9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rPr>
        <w:t>暂列金额与暂估价</w:t>
      </w:r>
    </w:p>
    <w:p w14:paraId="5886EAD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本工程暂列金额与暂估价详见招标人发布的最高投标限价。</w:t>
      </w:r>
    </w:p>
    <w:p w14:paraId="6E8B095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最高投标限价为本次招标工程限定的最高投标限价，应当在工程所在地建设主管部门备案。最高投标限价不做上调或下浮。如最高投标限价超过批准的概算，招标人应将其报原概算审批部门审核。</w:t>
      </w:r>
    </w:p>
    <w:p w14:paraId="79351F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最高投标限价应采用工程单价计价，正确、全面地使用国家、省市标准、计价定额以及相关文件，成果文件质量应符合相关标准及规程的规定。最高</w:t>
      </w:r>
      <w:r>
        <w:rPr>
          <w:rFonts w:hint="eastAsia" w:ascii="宋体" w:hAnsi="宋体" w:cs="宋体"/>
          <w:color w:val="auto"/>
          <w:szCs w:val="21"/>
          <w:highlight w:val="none"/>
        </w:rPr>
        <w:t>投标限价包括分部分项工程费、措施项目费、不可竞争费、其他项目费和税金。</w:t>
      </w:r>
    </w:p>
    <w:p w14:paraId="44BF43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分部分项工程费按本招标文件的分部分项工程量清单的特征描述及有关要求，结合第4.1款编制依据确定。</w:t>
      </w:r>
    </w:p>
    <w:p w14:paraId="600C41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2D00E16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492565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787DBD8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57A3FA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64B9AE9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6C51230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02F823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3BFC4E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其他项目费用应按照下列规定计价:</w:t>
      </w:r>
    </w:p>
    <w:p w14:paraId="178FC5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738911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6A479FF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1A2AA2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34C8F7D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 税金（增值税）按税金项目清单，结合第4.1款编制依据的要求编制，不得降低标准。</w:t>
      </w:r>
    </w:p>
    <w:p w14:paraId="41077D7B">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943" w:name="_Toc4166"/>
      <w:bookmarkStart w:id="944" w:name="_Toc95223520"/>
      <w:r>
        <w:rPr>
          <w:rFonts w:hint="eastAsia" w:ascii="宋体" w:hAnsi="宋体" w:eastAsia="宋体" w:cs="宋体"/>
          <w:b/>
          <w:bCs/>
          <w:color w:val="auto"/>
          <w:szCs w:val="21"/>
          <w:highlight w:val="none"/>
          <w:lang w:val="en-US" w:eastAsia="zh-CN"/>
        </w:rPr>
        <w:t>5. 投标报价参考编制要求</w:t>
      </w:r>
      <w:bookmarkEnd w:id="943"/>
      <w:bookmarkEnd w:id="944"/>
    </w:p>
    <w:p w14:paraId="69CC69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447D4F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40A8D0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3199F0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5EC4FC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1E0B298">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关于发布《安徽省建设工程计价依据动态调整(第2期)》的公告(安徽省住房和城乡建设厅公告第172号）</w:t>
      </w:r>
    </w:p>
    <w:p w14:paraId="07E5E4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AB2E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6E5D905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4274B5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0E0D636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0BED47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13BC93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1E26A6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049495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19A2ECB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的风险费用。</w:t>
      </w:r>
    </w:p>
    <w:p w14:paraId="0E72BE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497AB4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01DC89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7F488C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73A9E1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292AD8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592773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162D4E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262898E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09020AC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449930E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18637AD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02B10A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20F3879A">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6C7CC648">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7CC142F3">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16C65AB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 工程量清单</w:t>
      </w:r>
      <w:bookmarkEnd w:id="939"/>
      <w:bookmarkEnd w:id="940"/>
    </w:p>
    <w:p w14:paraId="168D8F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14:paraId="15321AFA">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4343AFE1">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945" w:name="_Toc25013"/>
      <w:bookmarkStart w:id="946" w:name="_Toc10023"/>
      <w:bookmarkStart w:id="947" w:name="_Toc20597"/>
      <w:r>
        <w:rPr>
          <w:rFonts w:hint="eastAsia" w:ascii="Arial" w:hAnsi="Arial" w:eastAsia="宋体" w:cs="Times New Roman"/>
          <w:b/>
          <w:bCs/>
          <w:color w:val="auto"/>
          <w:kern w:val="0"/>
          <w:sz w:val="32"/>
          <w:szCs w:val="32"/>
          <w:highlight w:val="none"/>
          <w:lang w:val="en-US" w:eastAsia="zh-CN" w:bidi="ar-SA"/>
        </w:rPr>
        <w:t>第六章</w:t>
      </w:r>
      <w:r>
        <w:rPr>
          <w:rFonts w:hint="eastAsia" w:cs="Times New Roman"/>
          <w:b/>
          <w:bCs/>
          <w:color w:val="auto"/>
          <w:kern w:val="0"/>
          <w:sz w:val="32"/>
          <w:szCs w:val="32"/>
          <w:highlight w:val="none"/>
          <w:lang w:val="en-US" w:eastAsia="zh-CN" w:bidi="ar-SA"/>
        </w:rPr>
        <w:t xml:space="preserve">  </w:t>
      </w:r>
      <w:r>
        <w:rPr>
          <w:rFonts w:hint="eastAsia" w:eastAsia="宋体" w:cs="Times New Roman"/>
          <w:bCs/>
          <w:color w:val="auto"/>
          <w:szCs w:val="32"/>
          <w:highlight w:val="none"/>
          <w:lang w:val="en-US" w:eastAsia="zh-CN"/>
        </w:rPr>
        <w:t>图纸</w:t>
      </w:r>
      <w:bookmarkEnd w:id="945"/>
      <w:bookmarkEnd w:id="946"/>
      <w:bookmarkEnd w:id="947"/>
    </w:p>
    <w:p w14:paraId="25D4E36D">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r>
        <w:rPr>
          <w:rFonts w:hint="eastAsia" w:cs="Times New Roman"/>
          <w:bCs/>
          <w:color w:val="auto"/>
          <w:szCs w:val="32"/>
          <w:highlight w:val="none"/>
          <w:lang w:val="en-US" w:eastAsia="zh-CN"/>
        </w:rPr>
        <w:t>无</w:t>
      </w:r>
    </w:p>
    <w:p w14:paraId="2D37CADC">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53422BA0">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6A28674B">
      <w:pPr>
        <w:pStyle w:val="43"/>
        <w:numPr>
          <w:ilvl w:val="0"/>
          <w:numId w:val="0"/>
        </w:numPr>
        <w:spacing w:beforeLines="50" w:afterLines="50" w:line="440" w:lineRule="exact"/>
        <w:jc w:val="center"/>
        <w:rPr>
          <w:rFonts w:hint="eastAsia" w:cs="Times New Roman"/>
          <w:bCs/>
          <w:color w:val="auto"/>
          <w:szCs w:val="32"/>
          <w:highlight w:val="none"/>
          <w:lang w:val="en-US" w:eastAsia="zh-CN"/>
        </w:rPr>
      </w:pPr>
      <w:bookmarkStart w:id="948" w:name="_Toc24902"/>
      <w:r>
        <w:rPr>
          <w:rFonts w:hint="eastAsia" w:cs="Times New Roman"/>
          <w:bCs/>
          <w:color w:val="auto"/>
          <w:szCs w:val="32"/>
          <w:highlight w:val="none"/>
          <w:lang w:val="en-US" w:eastAsia="zh-CN"/>
        </w:rPr>
        <w:t>第七章  技术标准和要求</w:t>
      </w:r>
      <w:bookmarkEnd w:id="948"/>
    </w:p>
    <w:p w14:paraId="49AF09A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 一般要求  </w:t>
      </w:r>
    </w:p>
    <w:p w14:paraId="3879D0A5">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 特殊技术标准和要求  </w:t>
      </w:r>
    </w:p>
    <w:p w14:paraId="190A530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 适用的国家、行业以及地方标准、规范和规程  </w:t>
      </w:r>
    </w:p>
    <w:p w14:paraId="48B68228">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4、其他现行的有关规范、行业标准；</w:t>
      </w:r>
    </w:p>
    <w:p w14:paraId="7438573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5、如国家对上述标准规范有调整，按最新标准和规范为准</w:t>
      </w:r>
      <w:r>
        <w:rPr>
          <w:rFonts w:hint="eastAsia" w:ascii="宋体" w:hAnsi="宋体" w:cs="宋体"/>
          <w:color w:val="auto"/>
          <w:kern w:val="2"/>
          <w:sz w:val="21"/>
          <w:szCs w:val="21"/>
          <w:highlight w:val="none"/>
          <w:lang w:val="en-US" w:eastAsia="zh-CN" w:bidi="ar"/>
        </w:rPr>
        <w:t>。</w:t>
      </w:r>
    </w:p>
    <w:p w14:paraId="2A7A95E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olor w:val="auto"/>
          <w:kern w:val="0"/>
          <w:sz w:val="21"/>
          <w:szCs w:val="21"/>
          <w:highlight w:val="none"/>
        </w:rPr>
      </w:pPr>
    </w:p>
    <w:p w14:paraId="0CC82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949" w:name="_Toc5279"/>
      <w:bookmarkStart w:id="950" w:name="_Toc8272"/>
      <w:bookmarkStart w:id="951" w:name="_Toc10062"/>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投标文件格式</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49"/>
      <w:bookmarkEnd w:id="950"/>
      <w:bookmarkEnd w:id="951"/>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2"/>
        <w:ind w:firstLine="420"/>
        <w:rPr>
          <w:rFonts w:ascii="Times New Roman"/>
          <w:color w:val="auto"/>
          <w:szCs w:val="24"/>
          <w:highlight w:val="none"/>
        </w:rPr>
      </w:pPr>
    </w:p>
    <w:p w14:paraId="52140B17">
      <w:pPr>
        <w:rPr>
          <w:rFonts w:ascii="Times New Roman"/>
          <w:color w:val="auto"/>
          <w:szCs w:val="24"/>
          <w:highlight w:val="none"/>
        </w:rPr>
      </w:pPr>
    </w:p>
    <w:p w14:paraId="37D7086B">
      <w:pPr>
        <w:pStyle w:val="2"/>
        <w:rPr>
          <w:rFonts w:ascii="Times New Roman"/>
          <w:color w:val="auto"/>
          <w:szCs w:val="24"/>
          <w:highlight w:val="none"/>
        </w:rPr>
      </w:pPr>
    </w:p>
    <w:p w14:paraId="0FBBAF9B">
      <w:pPr>
        <w:rPr>
          <w:rFonts w:ascii="Times New Roman"/>
          <w:color w:val="auto"/>
          <w:szCs w:val="24"/>
          <w:highlight w:val="none"/>
        </w:rPr>
      </w:pPr>
    </w:p>
    <w:p w14:paraId="267B9988">
      <w:pPr>
        <w:pStyle w:val="2"/>
        <w:rPr>
          <w:color w:val="auto"/>
          <w:highlight w:val="none"/>
        </w:rPr>
      </w:pPr>
    </w:p>
    <w:p w14:paraId="04BFC8C9">
      <w:pPr>
        <w:pStyle w:val="2"/>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952" w:name="_Toc12683"/>
      <w:bookmarkStart w:id="953" w:name="_Toc35425137"/>
      <w:bookmarkStart w:id="954" w:name="_Toc35424971"/>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955" w:name="_Toc78803399"/>
      <w:r>
        <w:rPr>
          <w:rStyle w:val="65"/>
          <w:rFonts w:hint="eastAsia" w:ascii="宋体" w:hAnsi="宋体" w:cs="宋体"/>
          <w:color w:val="auto"/>
          <w:sz w:val="32"/>
          <w:highlight w:val="none"/>
        </w:rPr>
        <w:br w:type="page"/>
      </w:r>
      <w:bookmarkStart w:id="956" w:name="_Toc32179"/>
      <w:bookmarkStart w:id="957" w:name="_Toc25912"/>
      <w:bookmarkStart w:id="958" w:name="_Toc30830"/>
      <w:r>
        <w:rPr>
          <w:rStyle w:val="65"/>
          <w:rFonts w:hint="eastAsia" w:ascii="宋体" w:hAnsi="宋体" w:cs="宋体"/>
          <w:color w:val="auto"/>
          <w:sz w:val="32"/>
          <w:highlight w:val="none"/>
        </w:rPr>
        <w:t>投标文件一</w:t>
      </w:r>
      <w:bookmarkEnd w:id="952"/>
      <w:bookmarkEnd w:id="953"/>
      <w:bookmarkEnd w:id="954"/>
      <w:bookmarkEnd w:id="955"/>
      <w:bookmarkEnd w:id="956"/>
      <w:bookmarkEnd w:id="957"/>
      <w:bookmarkEnd w:id="958"/>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74D791C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912DAD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）项目管理机构；</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959" w:name="_Toc26598"/>
      <w:bookmarkStart w:id="960" w:name="_Toc506107356"/>
      <w:bookmarkStart w:id="961" w:name="_Toc503196197"/>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959"/>
      <w:bookmarkEnd w:id="960"/>
      <w:bookmarkEnd w:id="961"/>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4A91C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CBE578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7A29E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70C33C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233282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0C0D8413">
      <w:pPr>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br w:type="page"/>
      </w:r>
    </w:p>
    <w:p w14:paraId="3B01EDA3">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t>（</w:t>
      </w:r>
      <w:r>
        <w:rPr>
          <w:rFonts w:hint="eastAsia" w:ascii="Times New Roman" w:hAnsi="Times New Roman" w:eastAsia="宋体" w:cs="Times New Roman"/>
          <w:b/>
          <w:color w:val="auto"/>
          <w:sz w:val="28"/>
          <w:szCs w:val="28"/>
          <w:highlight w:val="none"/>
          <w:lang w:val="en-US" w:eastAsia="zh-CN"/>
        </w:rPr>
        <w:t>3</w:t>
      </w:r>
      <w:r>
        <w:rPr>
          <w:rFonts w:hint="eastAsia" w:ascii="Times New Roman" w:hAnsi="Times New Roman" w:eastAsia="宋体" w:cs="Times New Roman"/>
          <w:b/>
          <w:color w:val="auto"/>
          <w:sz w:val="28"/>
          <w:szCs w:val="28"/>
          <w:highlight w:val="none"/>
          <w:lang w:eastAsia="zh-CN"/>
        </w:rPr>
        <w:t>）项目管理机构</w:t>
      </w:r>
    </w:p>
    <w:p w14:paraId="254C31D1">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8"/>
          <w:szCs w:val="28"/>
          <w:highlight w:val="none"/>
        </w:rPr>
      </w:pP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1</w:t>
      </w:r>
      <w:r>
        <w:rPr>
          <w:rFonts w:hint="eastAsia" w:ascii="黑体" w:hAnsi="宋体" w:eastAsia="黑体" w:cs="黑体"/>
          <w:b/>
          <w:bCs/>
          <w:color w:val="auto"/>
          <w:kern w:val="2"/>
          <w:sz w:val="28"/>
          <w:szCs w:val="28"/>
          <w:highlight w:val="none"/>
          <w:lang w:val="en-US" w:eastAsia="zh-CN" w:bidi="ar"/>
        </w:rPr>
        <w:t>：项目管理机构主要人员组成表</w:t>
      </w:r>
    </w:p>
    <w:tbl>
      <w:tblPr>
        <w:tblStyle w:val="4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0"/>
        <w:gridCol w:w="814"/>
        <w:gridCol w:w="812"/>
        <w:gridCol w:w="1220"/>
        <w:gridCol w:w="812"/>
        <w:gridCol w:w="814"/>
        <w:gridCol w:w="811"/>
        <w:gridCol w:w="2848"/>
        <w:gridCol w:w="759"/>
      </w:tblGrid>
      <w:tr w14:paraId="53D7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6" w:hRule="atLeast"/>
          <w:jc w:val="center"/>
        </w:trPr>
        <w:tc>
          <w:tcPr>
            <w:tcW w:w="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58BB3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职务</w:t>
            </w:r>
          </w:p>
        </w:tc>
        <w:tc>
          <w:tcPr>
            <w:tcW w:w="8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CA849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姓名</w:t>
            </w:r>
          </w:p>
        </w:tc>
        <w:tc>
          <w:tcPr>
            <w:tcW w:w="8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43744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职称</w:t>
            </w:r>
          </w:p>
        </w:tc>
        <w:tc>
          <w:tcPr>
            <w:tcW w:w="650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EB04A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E0D4B9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14:paraId="7A13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F90F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0CF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E04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5D90324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08CE7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级别</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A46EEA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证号</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635F1C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专业</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9CFDCF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养老保险</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205F99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539B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7B6E96E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项目经理（建造师）</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211F50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3D3103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1D4FDD5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87CAAB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3D09A4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BFF61A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FE4237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13AA7E4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0055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76ABA21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技术负责人</w:t>
            </w: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119A2A1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1650996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3FECC85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C2E211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7C68E91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34B7E56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7C56937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2F88B18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19C1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B81F5B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301D039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776B3C0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66F5BF4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47B296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7492D35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3F77BAC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2DE80D4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5C5FDF5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4052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6B3172D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3929468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B7271D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311933D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EDAE8B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57E4370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20C747A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0A64910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7EE174C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7475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74CFD3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4A88812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F04902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65BB8EF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26C1394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2D1B890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22EC113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17F83BA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268E66F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7A66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58912FF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7957CF4B">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B13356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547AD3F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1FA0834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0508756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479B8D6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46EB226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537CEA2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bl>
    <w:p w14:paraId="30965F5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r>
        <w:rPr>
          <w:rFonts w:hint="eastAsia" w:ascii="宋体" w:hAnsi="宋体" w:eastAsia="宋体" w:cs="宋体"/>
          <w:color w:val="auto"/>
          <w:kern w:val="2"/>
          <w:sz w:val="21"/>
          <w:szCs w:val="21"/>
          <w:highlight w:val="none"/>
          <w:lang w:val="en-US" w:eastAsia="zh-CN" w:bidi="ar"/>
        </w:rPr>
        <w:t>根据安徽省住房和城乡建设厅《关于调整招标投标活动中有关住房城乡建设领域现场专业人员证书要求的通知》（建市函〔</w:t>
      </w:r>
      <w:r>
        <w:rPr>
          <w:rFonts w:hint="default" w:ascii="Times New Roman" w:hAnsi="Times New Roman" w:eastAsia="宋体" w:cs="Times New Roman"/>
          <w:color w:val="auto"/>
          <w:kern w:val="2"/>
          <w:sz w:val="21"/>
          <w:szCs w:val="21"/>
          <w:highlight w:val="none"/>
          <w:lang w:val="en-US" w:eastAsia="zh-CN" w:bidi="ar"/>
        </w:rPr>
        <w:t>2019</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 xml:space="preserve">1112 </w:t>
      </w:r>
      <w:r>
        <w:rPr>
          <w:rFonts w:hint="eastAsia" w:ascii="宋体" w:hAnsi="宋体" w:eastAsia="宋体" w:cs="宋体"/>
          <w:color w:val="auto"/>
          <w:kern w:val="2"/>
          <w:sz w:val="21"/>
          <w:szCs w:val="21"/>
          <w:highlight w:val="none"/>
          <w:lang w:val="en-US" w:eastAsia="zh-CN" w:bidi="ar"/>
        </w:rPr>
        <w:t>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2AA2D769">
      <w:pPr>
        <w:keepNext w:val="0"/>
        <w:keepLines w:val="0"/>
        <w:widowControl w:val="0"/>
        <w:suppressLineNumbers w:val="0"/>
        <w:spacing w:before="0" w:beforeAutospacing="0" w:after="0" w:afterAutospacing="0" w:line="560" w:lineRule="exact"/>
        <w:ind w:left="0" w:right="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6CCF32F9">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3"/>
          <w:szCs w:val="23"/>
          <w:highlight w:val="none"/>
        </w:rPr>
      </w:pP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2</w:t>
      </w:r>
      <w:r>
        <w:rPr>
          <w:rFonts w:hint="eastAsia" w:ascii="黑体" w:hAnsi="宋体" w:eastAsia="黑体" w:cs="黑体"/>
          <w:b/>
          <w:bCs/>
          <w:color w:val="auto"/>
          <w:kern w:val="2"/>
          <w:sz w:val="28"/>
          <w:szCs w:val="28"/>
          <w:highlight w:val="none"/>
          <w:lang w:val="en-US" w:eastAsia="zh-CN" w:bidi="ar"/>
        </w:rPr>
        <w:t>：拟任项目经理（建造师）简历表</w:t>
      </w: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155B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6DF0B6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名</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10CAB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1E095E3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20CE12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80F9C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学历</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14:paraId="624B770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12E2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F18C64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称</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ADD0D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0D95803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9401D2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B0941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拟在本合同任职</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14:paraId="0AB341E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7759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D34E27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毕业学校</w:t>
            </w:r>
          </w:p>
        </w:tc>
        <w:tc>
          <w:tcPr>
            <w:tcW w:w="8057"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0F3194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年毕业于</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学校</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专业</w:t>
            </w:r>
          </w:p>
        </w:tc>
      </w:tr>
      <w:tr w14:paraId="1B10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6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37DF72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主要工作经历</w:t>
            </w:r>
          </w:p>
        </w:tc>
      </w:tr>
      <w:tr w14:paraId="037E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A0FF2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时</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间</w:t>
            </w: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E0991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参加过的类似项目</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7D8A111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担任职务</w:t>
            </w: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53091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发包人及联系电话</w:t>
            </w:r>
          </w:p>
        </w:tc>
      </w:tr>
      <w:tr w14:paraId="6E07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34D7A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ECA6A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7949EC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2A9B9B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DD6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9C8E7C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B358CA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3F9295C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B01D10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730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E64B5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3533E2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0E46FBD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3F7205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9AD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BE6139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61CCB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3A45634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35848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E94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2EC4AD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7782BE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FC416B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1E0299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EFF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170A6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C5D321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C44433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6691D9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3396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AE8B91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080405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6EEEE1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704C42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EAE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4AE519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5CF836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6C3C45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695955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7FFF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C4AFA5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B96571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1ED9F8C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FE5C46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bl>
    <w:p w14:paraId="42AA4397">
      <w:pPr>
        <w:keepNext/>
        <w:keepLines/>
        <w:widowControl w:val="0"/>
        <w:suppressLineNumbers w:val="0"/>
        <w:spacing w:before="280" w:beforeLines="0" w:beforeAutospacing="0" w:after="290" w:afterLines="0" w:afterAutospacing="0" w:line="372" w:lineRule="auto"/>
        <w:ind w:left="0" w:right="0"/>
        <w:jc w:val="center"/>
        <w:outlineLvl w:val="3"/>
        <w:rPr>
          <w:rFonts w:hint="eastAsia" w:ascii="Arial" w:hAnsi="Arial" w:eastAsia="黑体" w:cs="Times New Roman"/>
          <w:b/>
          <w:bCs/>
          <w:color w:val="auto"/>
          <w:kern w:val="2"/>
          <w:sz w:val="28"/>
          <w:szCs w:val="28"/>
          <w:highlight w:val="none"/>
        </w:rPr>
      </w:pPr>
      <w:r>
        <w:rPr>
          <w:rFonts w:hint="eastAsia" w:ascii="Arial" w:hAnsi="Arial" w:eastAsia="黑体" w:cs="Times New Roman"/>
          <w:b/>
          <w:bCs/>
          <w:color w:val="auto"/>
          <w:kern w:val="2"/>
          <w:sz w:val="28"/>
          <w:szCs w:val="28"/>
          <w:highlight w:val="none"/>
          <w:lang w:val="en-US" w:eastAsia="zh-CN" w:bidi="ar"/>
        </w:rPr>
        <w:t xml:space="preserve"> </w:t>
      </w:r>
    </w:p>
    <w:p w14:paraId="619E7FC8">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3"/>
          <w:szCs w:val="23"/>
          <w:highlight w:val="none"/>
        </w:rPr>
      </w:pPr>
      <w:r>
        <w:rPr>
          <w:rFonts w:hint="eastAsia" w:ascii="Arial" w:hAnsi="Arial" w:eastAsia="黑体" w:cs="Times New Roman"/>
          <w:b/>
          <w:bCs/>
          <w:color w:val="auto"/>
          <w:kern w:val="2"/>
          <w:sz w:val="28"/>
          <w:szCs w:val="28"/>
          <w:highlight w:val="none"/>
          <w:lang w:val="en-US" w:eastAsia="zh-CN" w:bidi="ar"/>
        </w:rPr>
        <w:br w:type="page"/>
      </w: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3</w:t>
      </w:r>
      <w:r>
        <w:rPr>
          <w:rFonts w:hint="eastAsia" w:ascii="黑体" w:hAnsi="宋体" w:eastAsia="黑体" w:cs="黑体"/>
          <w:b/>
          <w:bCs/>
          <w:color w:val="auto"/>
          <w:kern w:val="2"/>
          <w:sz w:val="28"/>
          <w:szCs w:val="28"/>
          <w:highlight w:val="none"/>
          <w:lang w:val="en-US" w:eastAsia="zh-CN" w:bidi="ar"/>
        </w:rPr>
        <w:t>：拟任项目技术负责人简历表</w:t>
      </w:r>
    </w:p>
    <w:tbl>
      <w:tblPr>
        <w:tblStyle w:val="4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0EC9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CC59B7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名</w:t>
            </w:r>
          </w:p>
        </w:tc>
        <w:tc>
          <w:tcPr>
            <w:tcW w:w="1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CC537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08F61F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龄</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4D307E8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7D0E8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学历</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3DF2A12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473E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105B34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称</w:t>
            </w:r>
          </w:p>
        </w:tc>
        <w:tc>
          <w:tcPr>
            <w:tcW w:w="1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51A9A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54FD6B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74135E9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84A7F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拟在本合同任职</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0BA809A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038F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67F824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毕业学校</w:t>
            </w:r>
          </w:p>
        </w:tc>
        <w:tc>
          <w:tcPr>
            <w:tcW w:w="8092"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5DE830A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年毕业于</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学校</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专业</w:t>
            </w:r>
          </w:p>
        </w:tc>
      </w:tr>
      <w:tr w14:paraId="519F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40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26914C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主要工作经历</w:t>
            </w:r>
          </w:p>
        </w:tc>
      </w:tr>
      <w:tr w14:paraId="61BD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FCFA1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时</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间</w:t>
            </w: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99E91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参加过的类似项目</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2A334AE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担任职务</w:t>
            </w: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B7E2C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发包人及联系电话</w:t>
            </w:r>
          </w:p>
        </w:tc>
      </w:tr>
      <w:tr w14:paraId="71D7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888A5F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2E1B7D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7D7BF2D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D0D846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3F6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CEE676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62AF69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44F2229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57CB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2DB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906E4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CA14E0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07CA7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0E26FB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F15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D6F609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773C44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299FBDF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F19FB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1C6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7031B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1DC0D5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2D1EB86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A77EF5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2A8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1C67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177FF4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0911664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32F996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484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7117B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C99B1C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583E93E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F87B1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21D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38A08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A6C504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D33CCF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3EA3F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C50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71B466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E0C246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709D95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83FBB6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5F6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4C560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A312D3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76549B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1505C5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22D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808990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17BC66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1C5583E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01375E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bl>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366E45B7">
      <w:pPr>
        <w:rPr>
          <w:rFonts w:eastAsia="黑体"/>
          <w:color w:val="auto"/>
          <w:sz w:val="28"/>
          <w:szCs w:val="28"/>
          <w:highlight w:val="none"/>
          <w:u w:val="single"/>
        </w:rPr>
      </w:pPr>
      <w:r>
        <w:rPr>
          <w:rFonts w:hint="eastAsia" w:ascii="宋体" w:hAnsi="宋体"/>
          <w:b/>
          <w:color w:val="auto"/>
          <w:sz w:val="32"/>
          <w:szCs w:val="32"/>
          <w:highlight w:val="none"/>
        </w:rPr>
        <w:br w:type="page"/>
      </w:r>
    </w:p>
    <w:p w14:paraId="4564BEC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（项目名称）</w:t>
      </w:r>
    </w:p>
    <w:p w14:paraId="09647CC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1E4A2F0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7E19AAB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44"/>
          <w:szCs w:val="44"/>
          <w:highlight w:val="none"/>
        </w:rPr>
      </w:pPr>
      <w:r>
        <w:rPr>
          <w:rFonts w:hint="eastAsia" w:ascii="黑体" w:hAnsi="宋体" w:eastAsia="黑体" w:cs="黑体"/>
          <w:color w:val="auto"/>
          <w:kern w:val="2"/>
          <w:sz w:val="44"/>
          <w:szCs w:val="44"/>
          <w:highlight w:val="none"/>
          <w:lang w:val="en-US" w:eastAsia="zh-CN" w:bidi="ar"/>
        </w:rPr>
        <w:t>投</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标</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文</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件  二</w:t>
      </w:r>
    </w:p>
    <w:p w14:paraId="205250A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44"/>
          <w:szCs w:val="44"/>
          <w:highlight w:val="none"/>
        </w:rPr>
      </w:pPr>
      <w:r>
        <w:rPr>
          <w:rFonts w:hint="eastAsia" w:ascii="黑体" w:hAnsi="宋体" w:eastAsia="黑体" w:cs="黑体"/>
          <w:color w:val="auto"/>
          <w:kern w:val="2"/>
          <w:sz w:val="44"/>
          <w:szCs w:val="44"/>
          <w:highlight w:val="none"/>
          <w:lang w:val="en-US" w:eastAsia="zh-CN" w:bidi="ar"/>
        </w:rPr>
        <w:t>（技术标文件）</w:t>
      </w:r>
    </w:p>
    <w:p w14:paraId="39C8A60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924AA4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1A5D3D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D23904">
      <w:pPr>
        <w:pStyle w:val="42"/>
        <w:keepNext w:val="0"/>
        <w:keepLines w:val="0"/>
        <w:widowControl w:val="0"/>
        <w:suppressLineNumbers w:val="0"/>
        <w:adjustRightInd w:val="0"/>
        <w:snapToGrid w:val="0"/>
        <w:spacing w:before="0" w:beforeAutospacing="1" w:after="0" w:afterLines="0" w:afterAutospacing="0" w:line="560" w:lineRule="exact"/>
        <w:ind w:right="0"/>
        <w:jc w:val="center"/>
        <w:rPr>
          <w:rFonts w:hint="default" w:ascii="Times New Roman" w:hAnsi="Times New Roman" w:eastAsia="黑体" w:cs="Times New Roman"/>
          <w:color w:val="auto"/>
          <w:kern w:val="2"/>
          <w:sz w:val="28"/>
          <w:szCs w:val="28"/>
          <w:highlight w:val="none"/>
          <w:lang w:val="en-US"/>
        </w:rPr>
      </w:pPr>
      <w:r>
        <w:rPr>
          <w:rFonts w:hint="default" w:ascii="Times New Roman" w:hAnsi="Times New Roman" w:eastAsia="黑体" w:cs="Times New Roman"/>
          <w:color w:val="auto"/>
          <w:kern w:val="2"/>
          <w:sz w:val="28"/>
          <w:szCs w:val="28"/>
          <w:highlight w:val="none"/>
          <w:lang w:val="en-US" w:eastAsia="zh-CN" w:bidi="ar"/>
        </w:rPr>
        <w:t>项目编号：</w:t>
      </w:r>
      <w:r>
        <w:rPr>
          <w:rFonts w:hint="eastAsia" w:ascii="Times New Roman" w:hAnsi="Times New Roman" w:eastAsia="黑体" w:cs="Times New Roman"/>
          <w:color w:val="auto"/>
          <w:kern w:val="2"/>
          <w:sz w:val="28"/>
          <w:szCs w:val="28"/>
          <w:highlight w:val="none"/>
          <w:u w:val="single"/>
          <w:lang w:val="en-US" w:eastAsia="zh-CN" w:bidi="ar"/>
        </w:rPr>
        <w:t xml:space="preserve">    </w:t>
      </w:r>
    </w:p>
    <w:p w14:paraId="370574F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7EF769A">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0" w:firstLineChars="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0A6984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2E141A">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2FE8F1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81AE22D">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420" w:firstLineChars="20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 xml:space="preserve"> </w:t>
      </w:r>
    </w:p>
    <w:p w14:paraId="2AA04FB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A475EF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52C1EF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0B3C78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黑体" w:cs="Times New Roman"/>
          <w:color w:val="auto"/>
          <w:kern w:val="2"/>
          <w:sz w:val="28"/>
          <w:szCs w:val="28"/>
          <w:highlight w:val="none"/>
          <w:u w:val="single"/>
        </w:rPr>
      </w:pPr>
      <w:r>
        <w:rPr>
          <w:rFonts w:hint="eastAsia" w:ascii="黑体" w:hAnsi="宋体" w:eastAsia="黑体" w:cs="黑体"/>
          <w:color w:val="auto"/>
          <w:kern w:val="2"/>
          <w:sz w:val="28"/>
          <w:szCs w:val="28"/>
          <w:highlight w:val="none"/>
          <w:lang w:val="en-US" w:eastAsia="zh-CN" w:bidi="ar"/>
        </w:rPr>
        <w:t>投标人：</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（签章）</w:t>
      </w:r>
    </w:p>
    <w:p w14:paraId="14585D8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黑体" w:cs="Times New Roman"/>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法定代表人或授权委托人：</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（签章）</w:t>
      </w:r>
    </w:p>
    <w:p w14:paraId="7B6F132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年</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月</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日</w:t>
      </w:r>
    </w:p>
    <w:p w14:paraId="732C2BA4">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2F53350">
      <w:pPr>
        <w:pStyle w:val="7"/>
        <w:widowControl/>
        <w:rPr>
          <w:rFonts w:hint="eastAsia" w:ascii="Arial" w:hAnsi="Arial" w:eastAsia="黑体" w:cs="黑体"/>
          <w:b/>
          <w:bCs/>
          <w:color w:val="auto"/>
          <w:kern w:val="2"/>
          <w:sz w:val="32"/>
          <w:szCs w:val="32"/>
          <w:highlight w:val="none"/>
        </w:rPr>
      </w:pPr>
      <w:r>
        <w:rPr>
          <w:rFonts w:hint="eastAsia" w:ascii="黑体" w:hAnsi="宋体" w:eastAsia="黑体" w:cs="黑体"/>
          <w:b/>
          <w:bCs/>
          <w:color w:val="auto"/>
          <w:kern w:val="2"/>
          <w:sz w:val="32"/>
          <w:szCs w:val="32"/>
          <w:highlight w:val="none"/>
        </w:rPr>
        <w:t>投标文件二：技术标目录</w:t>
      </w:r>
    </w:p>
    <w:p w14:paraId="20807592">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（1）</w:t>
      </w:r>
      <w:r>
        <w:rPr>
          <w:rFonts w:hint="eastAsia" w:ascii="宋体" w:hAnsi="宋体" w:cs="宋体"/>
          <w:color w:val="auto"/>
          <w:kern w:val="2"/>
          <w:sz w:val="21"/>
          <w:szCs w:val="21"/>
          <w:highlight w:val="none"/>
          <w:lang w:val="en-US" w:eastAsia="zh-CN" w:bidi="ar"/>
        </w:rPr>
        <w:t>技术实施方案；</w:t>
      </w:r>
    </w:p>
    <w:p w14:paraId="61F67575">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（2）其他技术标评审所需资料</w:t>
      </w:r>
      <w:r>
        <w:rPr>
          <w:rFonts w:hint="eastAsia" w:ascii="宋体" w:hAnsi="宋体" w:cs="宋体"/>
          <w:color w:val="auto"/>
          <w:kern w:val="2"/>
          <w:sz w:val="21"/>
          <w:szCs w:val="21"/>
          <w:highlight w:val="none"/>
          <w:lang w:val="en-US" w:eastAsia="zh-CN" w:bidi="ar"/>
        </w:rPr>
        <w:t>。</w:t>
      </w:r>
    </w:p>
    <w:p w14:paraId="70D6B87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52383F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color w:val="auto"/>
          <w:kern w:val="2"/>
          <w:sz w:val="21"/>
          <w:szCs w:val="21"/>
          <w:highlight w:val="none"/>
        </w:rPr>
      </w:pPr>
      <w:r>
        <w:rPr>
          <w:rFonts w:hint="eastAsia" w:ascii="仿宋_GB2312" w:hAnsi="Times New Roman" w:eastAsia="仿宋_GB2312" w:cs="仿宋_GB2312"/>
          <w:color w:val="auto"/>
          <w:kern w:val="2"/>
          <w:sz w:val="21"/>
          <w:szCs w:val="21"/>
          <w:highlight w:val="none"/>
          <w:lang w:val="en-US" w:eastAsia="zh-CN" w:bidi="ar"/>
        </w:rPr>
        <w:t xml:space="preserve"> </w:t>
      </w:r>
    </w:p>
    <w:p w14:paraId="64CE274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5E18DB0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EE296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D6688D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C2EA74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7F162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795F94DB">
      <w:pPr>
        <w:rPr>
          <w:color w:val="auto"/>
          <w:highlight w:val="none"/>
        </w:rPr>
      </w:pPr>
      <w:r>
        <w:rPr>
          <w:color w:val="auto"/>
          <w:highlight w:val="none"/>
        </w:rPr>
        <w:br w:type="page"/>
      </w:r>
    </w:p>
    <w:p w14:paraId="2AB368F8">
      <w:pPr>
        <w:pStyle w:val="2"/>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三</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2"/>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962" w:name="_Toc35424973"/>
      <w:bookmarkStart w:id="963" w:name="_Toc19174"/>
      <w:bookmarkStart w:id="964" w:name="_Toc35425139"/>
      <w:bookmarkStart w:id="965" w:name="_Toc78803401"/>
      <w:r>
        <w:rPr>
          <w:rStyle w:val="65"/>
          <w:rFonts w:hint="eastAsia" w:ascii="宋体" w:hAnsi="宋体" w:cs="宋体"/>
          <w:color w:val="auto"/>
          <w:sz w:val="32"/>
          <w:highlight w:val="none"/>
        </w:rPr>
        <w:br w:type="page"/>
      </w:r>
      <w:bookmarkStart w:id="966" w:name="_Toc26670"/>
      <w:bookmarkStart w:id="967" w:name="_Toc19057"/>
      <w:bookmarkStart w:id="968" w:name="_Toc27877"/>
      <w:r>
        <w:rPr>
          <w:rStyle w:val="65"/>
          <w:rFonts w:hint="eastAsia" w:ascii="宋体" w:hAnsi="宋体" w:cs="宋体"/>
          <w:color w:val="auto"/>
          <w:sz w:val="32"/>
          <w:highlight w:val="none"/>
        </w:rPr>
        <w:t>投标文件</w:t>
      </w:r>
      <w:bookmarkEnd w:id="962"/>
      <w:bookmarkEnd w:id="963"/>
      <w:bookmarkEnd w:id="964"/>
      <w:r>
        <w:rPr>
          <w:rStyle w:val="65"/>
          <w:rFonts w:hint="eastAsia" w:ascii="宋体" w:hAnsi="宋体" w:cs="宋体"/>
          <w:color w:val="auto"/>
          <w:sz w:val="32"/>
          <w:highlight w:val="none"/>
          <w:lang w:val="en-US"/>
        </w:rPr>
        <w:t>三</w:t>
      </w:r>
      <w:r>
        <w:rPr>
          <w:rStyle w:val="65"/>
          <w:rFonts w:hint="eastAsia" w:ascii="宋体" w:hAnsi="宋体" w:cs="宋体"/>
          <w:color w:val="auto"/>
          <w:sz w:val="32"/>
          <w:highlight w:val="none"/>
        </w:rPr>
        <w:t>：商务标目录</w:t>
      </w:r>
      <w:bookmarkEnd w:id="965"/>
    </w:p>
    <w:bookmarkEnd w:id="966"/>
    <w:bookmarkEnd w:id="967"/>
    <w:bookmarkEnd w:id="968"/>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3F193C4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14:paraId="3C0E80E0">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）推荐的材料品牌响应表（如有）</w:t>
      </w:r>
      <w:r>
        <w:rPr>
          <w:rFonts w:hint="eastAsia" w:ascii="宋体" w:hAnsi="宋体" w:cs="宋体"/>
          <w:color w:val="auto"/>
          <w:szCs w:val="21"/>
          <w:highlight w:val="none"/>
          <w:lang w:eastAsia="zh-CN"/>
        </w:rPr>
        <w:t>；</w:t>
      </w:r>
    </w:p>
    <w:p w14:paraId="639FB807">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）全国建筑市场监管公共服务平台(四库一平台)企业注册人员网页截图；</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69" w:name="_Toc15058950"/>
      <w:bookmarkStart w:id="970" w:name="_Toc506107366"/>
      <w:bookmarkStart w:id="971" w:name="_Toc35425140"/>
      <w:bookmarkStart w:id="972" w:name="_Toc35424974"/>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5"/>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7D380AA1">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515F61EA">
      <w:pPr>
        <w:spacing w:line="440" w:lineRule="exact"/>
        <w:ind w:firstLine="420" w:firstLineChars="200"/>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8、我方承诺，注册在我公司的现有注册建造师专业、数量，满足我公司响应本项目投标的资质等级对应的《建筑业企业资质标准》及有关文件中规定的注册建造师专业、数量要求。如有不实，我方接受管理部门相关处罚。</w:t>
      </w: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3B95021">
      <w:pPr>
        <w:pStyle w:val="8"/>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）工程量清单报价书</w:t>
      </w:r>
    </w:p>
    <w:p w14:paraId="7FFE3262">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32"/>
          <w:szCs w:val="32"/>
          <w:highlight w:val="none"/>
        </w:rPr>
      </w:pPr>
      <w:r>
        <w:rPr>
          <w:rFonts w:hint="eastAsia" w:ascii="仿宋_GB2312" w:hAnsi="Calibri" w:eastAsia="仿宋_GB2312" w:cs="仿宋_GB2312"/>
          <w:b/>
          <w:bCs w:val="0"/>
          <w:color w:val="000000"/>
          <w:kern w:val="2"/>
          <w:sz w:val="36"/>
          <w:szCs w:val="36"/>
          <w:highlight w:val="none"/>
          <w:lang w:val="en-US" w:eastAsia="zh-CN" w:bidi="ar"/>
        </w:rPr>
        <w:t>①</w:t>
      </w:r>
      <w:r>
        <w:rPr>
          <w:rFonts w:hint="eastAsia" w:ascii="宋体" w:hAnsi="宋体" w:eastAsia="宋体" w:cs="宋体"/>
          <w:b/>
          <w:bCs w:val="0"/>
          <w:color w:val="000000"/>
          <w:kern w:val="2"/>
          <w:sz w:val="36"/>
          <w:szCs w:val="36"/>
          <w:highlight w:val="none"/>
          <w:lang w:val="en-US" w:eastAsia="zh-CN" w:bidi="ar"/>
        </w:rPr>
        <w:t>工程量清单报价书（封面）</w:t>
      </w:r>
      <w:r>
        <w:rPr>
          <w:rFonts w:hint="default" w:ascii="Calibri" w:hAnsi="Calibri" w:eastAsia="宋体" w:cs="Calibri"/>
          <w:color w:val="000000"/>
          <w:kern w:val="2"/>
          <w:sz w:val="32"/>
          <w:szCs w:val="32"/>
          <w:highlight w:val="none"/>
          <w:vertAlign w:val="superscript"/>
          <w:lang w:val="en-US" w:eastAsia="zh-CN" w:bidi="ar"/>
        </w:rPr>
        <w:t>1</w:t>
      </w:r>
    </w:p>
    <w:p w14:paraId="7A6FFF90">
      <w:pPr>
        <w:keepNext w:val="0"/>
        <w:keepLines w:val="0"/>
        <w:widowControl w:val="0"/>
        <w:suppressLineNumbers w:val="0"/>
        <w:spacing w:before="0" w:beforeAutospacing="0" w:after="0" w:afterAutospacing="0"/>
        <w:ind w:left="0" w:right="0"/>
        <w:jc w:val="center"/>
        <w:rPr>
          <w:rFonts w:hint="default" w:ascii="Calibri" w:hAnsi="Calibri" w:cs="Calibri"/>
          <w:b/>
          <w:bCs w:val="0"/>
          <w:color w:val="000000"/>
          <w:kern w:val="2"/>
          <w:sz w:val="32"/>
          <w:szCs w:val="32"/>
          <w:highlight w:val="none"/>
        </w:rPr>
      </w:pPr>
      <w:r>
        <w:rPr>
          <w:rFonts w:hint="default" w:ascii="Calibri" w:hAnsi="Calibri" w:eastAsia="宋体" w:cs="Calibri"/>
          <w:b/>
          <w:bCs w:val="0"/>
          <w:color w:val="000000"/>
          <w:kern w:val="2"/>
          <w:sz w:val="32"/>
          <w:szCs w:val="32"/>
          <w:highlight w:val="none"/>
          <w:lang w:val="en-US" w:eastAsia="zh-CN" w:bidi="ar"/>
        </w:rPr>
        <w:t xml:space="preserve"> </w:t>
      </w:r>
    </w:p>
    <w:p w14:paraId="7EA6DA21">
      <w:pPr>
        <w:keepNext w:val="0"/>
        <w:keepLines w:val="0"/>
        <w:widowControl w:val="0"/>
        <w:suppressLineNumbers w:val="0"/>
        <w:spacing w:before="0" w:beforeAutospacing="0" w:after="0" w:afterAutospacing="0"/>
        <w:ind w:left="0" w:right="0" w:firstLine="643" w:firstLineChars="200"/>
        <w:jc w:val="center"/>
        <w:rPr>
          <w:rFonts w:hint="default" w:ascii="Calibri" w:hAnsi="Calibri" w:cs="Calibri"/>
          <w:b/>
          <w:bCs w:val="0"/>
          <w:color w:val="000000"/>
          <w:kern w:val="2"/>
          <w:sz w:val="32"/>
          <w:szCs w:val="32"/>
          <w:highlight w:val="none"/>
        </w:rPr>
      </w:pPr>
      <w:r>
        <w:rPr>
          <w:rFonts w:hint="eastAsia" w:ascii="宋体" w:hAnsi="宋体" w:eastAsia="宋体" w:cs="宋体"/>
          <w:b/>
          <w:bCs w:val="0"/>
          <w:color w:val="000000"/>
          <w:kern w:val="2"/>
          <w:sz w:val="32"/>
          <w:szCs w:val="32"/>
          <w:highlight w:val="none"/>
          <w:lang w:val="en-US" w:eastAsia="zh-CN" w:bidi="ar"/>
        </w:rPr>
        <w:t>投标总价</w:t>
      </w:r>
    </w:p>
    <w:p w14:paraId="24D68627">
      <w:pPr>
        <w:keepNext w:val="0"/>
        <w:keepLines w:val="0"/>
        <w:widowControl w:val="0"/>
        <w:suppressLineNumbers w:val="0"/>
        <w:spacing w:before="0" w:beforeAutospacing="0" w:after="0" w:afterAutospacing="0" w:line="800" w:lineRule="exact"/>
        <w:ind w:left="0" w:right="0" w:firstLine="640" w:firstLineChars="200"/>
        <w:jc w:val="both"/>
        <w:rPr>
          <w:rFonts w:hint="default" w:ascii="Calibri" w:hAnsi="Calibri" w:cs="Calibri"/>
          <w:color w:val="000000"/>
          <w:kern w:val="2"/>
          <w:sz w:val="32"/>
          <w:szCs w:val="32"/>
          <w:highlight w:val="none"/>
          <w:u w:val="single"/>
        </w:rPr>
      </w:pPr>
      <w:r>
        <w:rPr>
          <w:rFonts w:hint="eastAsia" w:ascii="宋体" w:hAnsi="宋体" w:eastAsia="宋体" w:cs="宋体"/>
          <w:color w:val="000000"/>
          <w:kern w:val="2"/>
          <w:sz w:val="32"/>
          <w:szCs w:val="32"/>
          <w:highlight w:val="none"/>
          <w:lang w:val="en-US" w:eastAsia="zh-CN" w:bidi="ar"/>
        </w:rPr>
        <w:t>招标人：</w:t>
      </w:r>
      <w:r>
        <w:rPr>
          <w:rFonts w:hint="eastAsia" w:ascii="Calibri" w:hAnsi="Calibri" w:eastAsia="宋体" w:cs="宋体"/>
          <w:color w:val="000000"/>
          <w:kern w:val="2"/>
          <w:sz w:val="32"/>
          <w:szCs w:val="32"/>
          <w:highlight w:val="none"/>
          <w:u w:val="single"/>
          <w:lang w:val="en-US" w:eastAsia="zh-CN" w:bidi="ar"/>
        </w:rPr>
        <w:t xml:space="preserve">                                                 </w:t>
      </w:r>
    </w:p>
    <w:p w14:paraId="6EC9E31D">
      <w:pPr>
        <w:keepNext w:val="0"/>
        <w:keepLines w:val="0"/>
        <w:widowControl w:val="0"/>
        <w:suppressLineNumbers w:val="0"/>
        <w:spacing w:before="0" w:beforeAutospacing="0" w:after="0" w:afterAutospacing="0" w:line="800" w:lineRule="exact"/>
        <w:ind w:left="0" w:right="0" w:firstLine="640" w:firstLineChars="200"/>
        <w:jc w:val="both"/>
        <w:rPr>
          <w:rFonts w:hint="default" w:ascii="Calibri" w:hAnsi="Calibri" w:cs="Calibri"/>
          <w:color w:val="000000"/>
          <w:kern w:val="2"/>
          <w:sz w:val="32"/>
          <w:szCs w:val="32"/>
          <w:highlight w:val="none"/>
        </w:rPr>
      </w:pPr>
      <w:r>
        <w:rPr>
          <w:rFonts w:hint="eastAsia" w:ascii="宋体" w:hAnsi="宋体" w:eastAsia="宋体" w:cs="宋体"/>
          <w:color w:val="000000"/>
          <w:kern w:val="2"/>
          <w:sz w:val="32"/>
          <w:szCs w:val="32"/>
          <w:highlight w:val="none"/>
          <w:lang w:val="en-US" w:eastAsia="zh-CN" w:bidi="ar"/>
        </w:rPr>
        <w:t>工程名称：</w:t>
      </w:r>
      <w:r>
        <w:rPr>
          <w:rFonts w:hint="eastAsia" w:ascii="Calibri" w:hAnsi="Calibri" w:eastAsia="宋体" w:cs="宋体"/>
          <w:color w:val="000000"/>
          <w:kern w:val="2"/>
          <w:sz w:val="32"/>
          <w:szCs w:val="32"/>
          <w:highlight w:val="none"/>
          <w:u w:val="single"/>
          <w:lang w:val="en-US" w:eastAsia="zh-CN" w:bidi="ar"/>
        </w:rPr>
        <w:t xml:space="preserve">                                               </w:t>
      </w:r>
    </w:p>
    <w:p w14:paraId="30C7B0B1">
      <w:pPr>
        <w:keepNext w:val="0"/>
        <w:keepLines w:val="0"/>
        <w:widowControl w:val="0"/>
        <w:suppressLineNumbers w:val="0"/>
        <w:spacing w:before="0" w:beforeAutospacing="0" w:after="0" w:afterAutospacing="0" w:line="800" w:lineRule="exact"/>
        <w:ind w:left="0" w:right="0" w:firstLine="640" w:firstLineChars="200"/>
        <w:jc w:val="both"/>
        <w:rPr>
          <w:rFonts w:hint="default" w:ascii="Calibri" w:hAnsi="Calibri" w:cs="Calibri"/>
          <w:color w:val="000000"/>
          <w:kern w:val="2"/>
          <w:sz w:val="32"/>
          <w:szCs w:val="32"/>
          <w:highlight w:val="none"/>
          <w:u w:val="single"/>
        </w:rPr>
      </w:pPr>
      <w:r>
        <w:rPr>
          <w:rFonts w:hint="eastAsia" w:ascii="宋体" w:hAnsi="宋体" w:eastAsia="宋体" w:cs="宋体"/>
          <w:color w:val="000000"/>
          <w:kern w:val="2"/>
          <w:sz w:val="32"/>
          <w:szCs w:val="32"/>
          <w:highlight w:val="none"/>
          <w:lang w:val="en-US" w:eastAsia="zh-CN" w:bidi="ar"/>
        </w:rPr>
        <w:t>投标总价（小写）：</w:t>
      </w:r>
      <w:r>
        <w:rPr>
          <w:rFonts w:hint="eastAsia" w:ascii="Calibri" w:hAnsi="Calibri" w:eastAsia="宋体" w:cs="宋体"/>
          <w:color w:val="000000"/>
          <w:kern w:val="2"/>
          <w:sz w:val="32"/>
          <w:szCs w:val="32"/>
          <w:highlight w:val="none"/>
          <w:u w:val="single"/>
          <w:lang w:val="en-US" w:eastAsia="zh-CN" w:bidi="ar"/>
        </w:rPr>
        <w:t xml:space="preserve">                                       </w:t>
      </w:r>
    </w:p>
    <w:p w14:paraId="540771C6">
      <w:pPr>
        <w:keepNext w:val="0"/>
        <w:keepLines w:val="0"/>
        <w:widowControl w:val="0"/>
        <w:suppressLineNumbers w:val="0"/>
        <w:spacing w:before="0" w:beforeAutospacing="0" w:after="0" w:afterAutospacing="0" w:line="800" w:lineRule="exact"/>
        <w:ind w:left="0" w:right="0" w:firstLine="1920" w:firstLineChars="600"/>
        <w:jc w:val="both"/>
        <w:rPr>
          <w:rFonts w:hint="default" w:ascii="Calibri" w:hAnsi="Calibri" w:cs="Calibri"/>
          <w:color w:val="000000"/>
          <w:kern w:val="2"/>
          <w:sz w:val="32"/>
          <w:szCs w:val="32"/>
          <w:highlight w:val="none"/>
        </w:rPr>
      </w:pPr>
      <w:r>
        <w:rPr>
          <w:rFonts w:hint="eastAsia" w:ascii="宋体" w:hAnsi="宋体" w:eastAsia="宋体" w:cs="宋体"/>
          <w:color w:val="000000"/>
          <w:kern w:val="2"/>
          <w:sz w:val="32"/>
          <w:szCs w:val="32"/>
          <w:highlight w:val="none"/>
          <w:lang w:val="en-US" w:eastAsia="zh-CN" w:bidi="ar"/>
        </w:rPr>
        <w:t>（大写）：</w:t>
      </w:r>
      <w:r>
        <w:rPr>
          <w:rFonts w:hint="eastAsia" w:ascii="Calibri" w:hAnsi="Calibri" w:eastAsia="宋体" w:cs="宋体"/>
          <w:color w:val="000000"/>
          <w:kern w:val="2"/>
          <w:sz w:val="32"/>
          <w:szCs w:val="32"/>
          <w:highlight w:val="none"/>
          <w:u w:val="single"/>
          <w:lang w:val="en-US" w:eastAsia="zh-CN" w:bidi="ar"/>
        </w:rPr>
        <w:t xml:space="preserve">                                       </w:t>
      </w:r>
    </w:p>
    <w:p w14:paraId="51785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color w:val="000000"/>
          <w:kern w:val="2"/>
          <w:sz w:val="32"/>
          <w:szCs w:val="32"/>
          <w:highlight w:val="none"/>
        </w:rPr>
      </w:pPr>
      <w:r>
        <w:rPr>
          <w:rFonts w:hint="default" w:ascii="Calibri" w:hAnsi="Calibri" w:eastAsia="宋体" w:cs="Calibri"/>
          <w:color w:val="000000"/>
          <w:kern w:val="2"/>
          <w:sz w:val="32"/>
          <w:szCs w:val="32"/>
          <w:highlight w:val="none"/>
          <w:lang w:val="en-US" w:eastAsia="zh-CN" w:bidi="ar"/>
        </w:rPr>
        <w:t xml:space="preserve"> </w:t>
      </w:r>
    </w:p>
    <w:p w14:paraId="10D5160E">
      <w:pPr>
        <w:keepNext w:val="0"/>
        <w:keepLines w:val="0"/>
        <w:widowControl w:val="0"/>
        <w:suppressLineNumbers w:val="0"/>
        <w:spacing w:before="0" w:beforeAutospacing="0" w:after="0" w:afterAutospacing="0" w:line="800" w:lineRule="exact"/>
        <w:ind w:left="0" w:right="0" w:firstLine="640" w:firstLineChars="200"/>
        <w:jc w:val="both"/>
        <w:rPr>
          <w:rFonts w:hint="default" w:ascii="Calibri" w:hAnsi="Calibri" w:cs="Calibri"/>
          <w:color w:val="000000"/>
          <w:kern w:val="2"/>
          <w:sz w:val="32"/>
          <w:szCs w:val="32"/>
          <w:highlight w:val="none"/>
        </w:rPr>
      </w:pPr>
      <w:r>
        <w:rPr>
          <w:rFonts w:hint="eastAsia" w:ascii="宋体" w:hAnsi="宋体" w:eastAsia="宋体" w:cs="宋体"/>
          <w:color w:val="000000"/>
          <w:kern w:val="2"/>
          <w:sz w:val="32"/>
          <w:szCs w:val="32"/>
          <w:highlight w:val="none"/>
          <w:lang w:val="en-US" w:eastAsia="zh-CN" w:bidi="ar"/>
        </w:rPr>
        <w:t>投</w:t>
      </w:r>
      <w:r>
        <w:rPr>
          <w:rFonts w:hint="eastAsia" w:ascii="Calibri" w:hAnsi="Calibri" w:eastAsia="宋体" w:cs="宋体"/>
          <w:color w:val="000000"/>
          <w:kern w:val="2"/>
          <w:sz w:val="32"/>
          <w:szCs w:val="32"/>
          <w:highlight w:val="none"/>
          <w:lang w:val="en-US" w:eastAsia="zh-CN" w:bidi="ar"/>
        </w:rPr>
        <w:t xml:space="preserve"> </w:t>
      </w:r>
      <w:r>
        <w:rPr>
          <w:rFonts w:hint="eastAsia" w:ascii="宋体" w:hAnsi="宋体" w:eastAsia="宋体" w:cs="宋体"/>
          <w:color w:val="000000"/>
          <w:kern w:val="2"/>
          <w:sz w:val="32"/>
          <w:szCs w:val="32"/>
          <w:highlight w:val="none"/>
          <w:lang w:val="en-US" w:eastAsia="zh-CN" w:bidi="ar"/>
        </w:rPr>
        <w:t>标</w:t>
      </w:r>
      <w:r>
        <w:rPr>
          <w:rFonts w:hint="eastAsia" w:ascii="Calibri" w:hAnsi="Calibri" w:eastAsia="宋体" w:cs="宋体"/>
          <w:color w:val="000000"/>
          <w:kern w:val="2"/>
          <w:sz w:val="32"/>
          <w:szCs w:val="32"/>
          <w:highlight w:val="none"/>
          <w:lang w:val="en-US" w:eastAsia="zh-CN" w:bidi="ar"/>
        </w:rPr>
        <w:t xml:space="preserve"> </w:t>
      </w:r>
      <w:r>
        <w:rPr>
          <w:rFonts w:hint="eastAsia" w:ascii="宋体" w:hAnsi="宋体" w:eastAsia="宋体" w:cs="宋体"/>
          <w:color w:val="000000"/>
          <w:kern w:val="2"/>
          <w:sz w:val="32"/>
          <w:szCs w:val="32"/>
          <w:highlight w:val="none"/>
          <w:lang w:val="en-US" w:eastAsia="zh-CN" w:bidi="ar"/>
        </w:rPr>
        <w:t>人：</w:t>
      </w:r>
      <w:r>
        <w:rPr>
          <w:rFonts w:hint="eastAsia" w:ascii="Calibri" w:hAnsi="Calibri" w:eastAsia="宋体" w:cs="宋体"/>
          <w:color w:val="000000"/>
          <w:kern w:val="2"/>
          <w:sz w:val="32"/>
          <w:szCs w:val="32"/>
          <w:highlight w:val="none"/>
          <w:u w:val="single"/>
          <w:lang w:val="en-US" w:eastAsia="zh-CN" w:bidi="ar"/>
        </w:rPr>
        <w:t xml:space="preserve">                               </w:t>
      </w:r>
      <w:r>
        <w:rPr>
          <w:rFonts w:hint="eastAsia" w:ascii="Calibri" w:hAnsi="Calibri" w:eastAsia="宋体" w:cs="宋体"/>
          <w:color w:val="000000"/>
          <w:kern w:val="2"/>
          <w:sz w:val="32"/>
          <w:szCs w:val="32"/>
          <w:highlight w:val="none"/>
          <w:lang w:val="en-US" w:eastAsia="zh-CN" w:bidi="ar"/>
        </w:rPr>
        <w:t xml:space="preserve"> </w:t>
      </w:r>
      <w:r>
        <w:rPr>
          <w:rFonts w:hint="default" w:ascii="Calibri" w:hAnsi="Calibri" w:eastAsia="宋体" w:cs="Calibri"/>
          <w:color w:val="000000"/>
          <w:kern w:val="2"/>
          <w:sz w:val="32"/>
          <w:szCs w:val="32"/>
          <w:highlight w:val="none"/>
          <w:lang w:val="en-US" w:eastAsia="zh-CN" w:bidi="ar"/>
        </w:rPr>
        <w:t>(</w:t>
      </w:r>
      <w:r>
        <w:rPr>
          <w:rFonts w:hint="eastAsia" w:ascii="宋体" w:hAnsi="宋体" w:eastAsia="宋体" w:cs="宋体"/>
          <w:color w:val="000000"/>
          <w:kern w:val="2"/>
          <w:sz w:val="32"/>
          <w:szCs w:val="32"/>
          <w:highlight w:val="none"/>
          <w:lang w:val="en-US" w:eastAsia="zh-CN" w:bidi="ar"/>
        </w:rPr>
        <w:t>单位盖章</w:t>
      </w:r>
      <w:r>
        <w:rPr>
          <w:rFonts w:hint="default" w:ascii="Calibri" w:hAnsi="Calibri" w:eastAsia="宋体" w:cs="Calibri"/>
          <w:color w:val="000000"/>
          <w:kern w:val="2"/>
          <w:sz w:val="32"/>
          <w:szCs w:val="32"/>
          <w:highlight w:val="none"/>
          <w:lang w:val="en-US" w:eastAsia="zh-CN" w:bidi="ar"/>
        </w:rPr>
        <w:t>)</w:t>
      </w:r>
    </w:p>
    <w:p w14:paraId="70C83A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color w:val="000000"/>
          <w:kern w:val="2"/>
          <w:sz w:val="32"/>
          <w:szCs w:val="32"/>
          <w:highlight w:val="none"/>
        </w:rPr>
      </w:pPr>
      <w:r>
        <w:rPr>
          <w:rFonts w:hint="default" w:ascii="Calibri" w:hAnsi="Calibri" w:cs="Calibri"/>
          <w:color w:val="000000"/>
          <w:kern w:val="2"/>
          <w:sz w:val="32"/>
          <w:szCs w:val="32"/>
          <w:highlight w:val="none"/>
          <w:lang w:val="en-US" w:eastAsia="zh-CN"/>
        </w:rPr>
        <w:t xml:space="preserve"> </w:t>
      </w:r>
    </w:p>
    <w:p w14:paraId="4DCD5F4E">
      <w:pPr>
        <w:keepNext w:val="0"/>
        <w:keepLines w:val="0"/>
        <w:widowControl w:val="0"/>
        <w:suppressLineNumbers w:val="0"/>
        <w:spacing w:before="0" w:beforeAutospacing="0" w:after="0" w:afterAutospacing="0" w:line="800" w:lineRule="exact"/>
        <w:ind w:left="0" w:right="0" w:firstLine="640" w:firstLineChars="200"/>
        <w:jc w:val="both"/>
        <w:rPr>
          <w:rFonts w:hint="default" w:ascii="Calibri" w:hAnsi="Calibri" w:cs="Calibri"/>
          <w:color w:val="000000"/>
          <w:kern w:val="2"/>
          <w:sz w:val="32"/>
          <w:szCs w:val="32"/>
          <w:highlight w:val="none"/>
        </w:rPr>
      </w:pPr>
      <w:r>
        <w:rPr>
          <w:rFonts w:hint="eastAsia" w:ascii="宋体" w:hAnsi="宋体" w:eastAsia="宋体" w:cs="宋体"/>
          <w:color w:val="000000"/>
          <w:kern w:val="2"/>
          <w:sz w:val="32"/>
          <w:szCs w:val="32"/>
          <w:highlight w:val="none"/>
          <w:lang w:val="en-US" w:eastAsia="zh-CN" w:bidi="ar"/>
        </w:rPr>
        <w:t>法定代表人：</w:t>
      </w:r>
      <w:r>
        <w:rPr>
          <w:rFonts w:hint="eastAsia" w:ascii="Calibri" w:hAnsi="Calibri" w:eastAsia="宋体" w:cs="宋体"/>
          <w:color w:val="000000"/>
          <w:kern w:val="2"/>
          <w:sz w:val="32"/>
          <w:szCs w:val="32"/>
          <w:highlight w:val="none"/>
          <w:u w:val="single"/>
          <w:lang w:val="en-US" w:eastAsia="zh-CN" w:bidi="ar"/>
        </w:rPr>
        <w:t xml:space="preserve">                           </w:t>
      </w:r>
      <w:r>
        <w:rPr>
          <w:rFonts w:hint="eastAsia" w:ascii="Calibri" w:hAnsi="Calibri" w:eastAsia="宋体" w:cs="宋体"/>
          <w:color w:val="000000"/>
          <w:kern w:val="2"/>
          <w:sz w:val="32"/>
          <w:szCs w:val="32"/>
          <w:highlight w:val="none"/>
          <w:lang w:val="en-US" w:eastAsia="zh-CN" w:bidi="ar"/>
        </w:rPr>
        <w:t xml:space="preserve"> </w:t>
      </w:r>
      <w:r>
        <w:rPr>
          <w:rFonts w:hint="default" w:ascii="Calibri" w:hAnsi="Calibri" w:eastAsia="宋体" w:cs="Calibri"/>
          <w:color w:val="000000"/>
          <w:kern w:val="2"/>
          <w:sz w:val="32"/>
          <w:szCs w:val="32"/>
          <w:highlight w:val="none"/>
          <w:lang w:val="en-US" w:eastAsia="zh-CN" w:bidi="ar"/>
        </w:rPr>
        <w:t>(</w:t>
      </w:r>
      <w:r>
        <w:rPr>
          <w:rFonts w:hint="eastAsia" w:ascii="宋体" w:hAnsi="宋体" w:eastAsia="宋体" w:cs="宋体"/>
          <w:color w:val="000000"/>
          <w:kern w:val="2"/>
          <w:sz w:val="32"/>
          <w:szCs w:val="32"/>
          <w:highlight w:val="none"/>
          <w:lang w:val="en-US" w:eastAsia="zh-CN" w:bidi="ar"/>
        </w:rPr>
        <w:t>签字或盖章</w:t>
      </w:r>
      <w:r>
        <w:rPr>
          <w:rFonts w:hint="default" w:ascii="Calibri" w:hAnsi="Calibri" w:eastAsia="宋体" w:cs="Calibri"/>
          <w:color w:val="000000"/>
          <w:kern w:val="2"/>
          <w:sz w:val="32"/>
          <w:szCs w:val="32"/>
          <w:highlight w:val="none"/>
          <w:lang w:val="en-US" w:eastAsia="zh-CN" w:bidi="ar"/>
        </w:rPr>
        <w:t>)</w:t>
      </w:r>
    </w:p>
    <w:p w14:paraId="2ABA18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color w:val="000000"/>
          <w:kern w:val="2"/>
          <w:sz w:val="32"/>
          <w:szCs w:val="32"/>
          <w:highlight w:val="none"/>
          <w:lang w:val="en-US" w:eastAsia="zh-CN"/>
        </w:rPr>
      </w:pPr>
      <w:r>
        <w:rPr>
          <w:rFonts w:hint="default" w:ascii="Calibri" w:hAnsi="Calibri" w:cs="Calibri"/>
          <w:color w:val="000000"/>
          <w:kern w:val="2"/>
          <w:sz w:val="32"/>
          <w:szCs w:val="32"/>
          <w:highlight w:val="none"/>
          <w:lang w:val="en-US" w:eastAsia="zh-CN"/>
        </w:rPr>
        <w:t xml:space="preserve"> </w:t>
      </w:r>
    </w:p>
    <w:p w14:paraId="3ACC6E47">
      <w:pPr>
        <w:keepNext w:val="0"/>
        <w:keepLines w:val="0"/>
        <w:widowControl w:val="0"/>
        <w:suppressLineNumbers w:val="0"/>
        <w:spacing w:before="0" w:beforeAutospacing="0" w:after="0" w:afterAutospacing="0" w:line="800" w:lineRule="exact"/>
        <w:ind w:left="0" w:right="0" w:firstLine="640" w:firstLineChars="200"/>
        <w:jc w:val="both"/>
        <w:rPr>
          <w:rFonts w:hint="default" w:ascii="Calibri" w:hAnsi="Calibri" w:cs="Calibri"/>
          <w:color w:val="000000"/>
          <w:kern w:val="2"/>
          <w:sz w:val="32"/>
          <w:szCs w:val="32"/>
          <w:highlight w:val="none"/>
          <w:u w:val="single"/>
        </w:rPr>
      </w:pPr>
      <w:r>
        <w:rPr>
          <w:rFonts w:hint="eastAsia" w:ascii="宋体" w:hAnsi="宋体" w:eastAsia="宋体" w:cs="宋体"/>
          <w:color w:val="000000"/>
          <w:kern w:val="2"/>
          <w:sz w:val="32"/>
          <w:szCs w:val="32"/>
          <w:highlight w:val="none"/>
          <w:lang w:val="en-US" w:eastAsia="zh-CN" w:bidi="ar"/>
        </w:rPr>
        <w:t>编制人：</w:t>
      </w:r>
      <w:r>
        <w:rPr>
          <w:rFonts w:hint="eastAsia" w:ascii="Calibri" w:hAnsi="Calibri" w:eastAsia="宋体" w:cs="宋体"/>
          <w:color w:val="000000"/>
          <w:kern w:val="2"/>
          <w:sz w:val="32"/>
          <w:szCs w:val="32"/>
          <w:highlight w:val="none"/>
          <w:u w:val="single"/>
          <w:lang w:val="en-US" w:eastAsia="zh-CN" w:bidi="ar"/>
        </w:rPr>
        <w:t xml:space="preserve">                                           </w:t>
      </w:r>
    </w:p>
    <w:p w14:paraId="00033A6D">
      <w:pPr>
        <w:keepNext w:val="0"/>
        <w:keepLines w:val="0"/>
        <w:widowControl w:val="0"/>
        <w:suppressLineNumbers w:val="0"/>
        <w:spacing w:before="0" w:beforeAutospacing="0" w:after="0" w:afterAutospacing="0" w:line="800" w:lineRule="exact"/>
        <w:ind w:left="0" w:right="0" w:firstLine="2720" w:firstLineChars="850"/>
        <w:jc w:val="both"/>
        <w:rPr>
          <w:rFonts w:hint="default" w:ascii="Calibri" w:hAnsi="Calibri" w:cs="Calibri"/>
          <w:color w:val="000000"/>
          <w:kern w:val="2"/>
          <w:sz w:val="32"/>
          <w:szCs w:val="32"/>
          <w:highlight w:val="none"/>
          <w:u w:val="single"/>
        </w:rPr>
      </w:pPr>
      <w:r>
        <w:rPr>
          <w:rFonts w:hint="eastAsia" w:ascii="Calibri" w:hAnsi="Calibri" w:eastAsia="宋体" w:cs="宋体"/>
          <w:color w:val="000000"/>
          <w:kern w:val="2"/>
          <w:sz w:val="32"/>
          <w:szCs w:val="32"/>
          <w:highlight w:val="none"/>
          <w:lang w:val="en-US" w:eastAsia="zh-CN" w:bidi="ar"/>
        </w:rPr>
        <w:t xml:space="preserve"> </w:t>
      </w:r>
      <w:r>
        <w:rPr>
          <w:rFonts w:hint="default" w:ascii="Calibri" w:hAnsi="Calibri" w:eastAsia="宋体" w:cs="Calibri"/>
          <w:color w:val="000000"/>
          <w:kern w:val="2"/>
          <w:sz w:val="32"/>
          <w:szCs w:val="32"/>
          <w:highlight w:val="none"/>
          <w:lang w:val="en-US" w:eastAsia="zh-CN" w:bidi="ar"/>
        </w:rPr>
        <w:t>(</w:t>
      </w:r>
      <w:r>
        <w:rPr>
          <w:rFonts w:hint="eastAsia" w:ascii="宋体" w:hAnsi="宋体" w:eastAsia="宋体" w:cs="宋体"/>
          <w:color w:val="000000"/>
          <w:kern w:val="2"/>
          <w:sz w:val="32"/>
          <w:szCs w:val="32"/>
          <w:highlight w:val="none"/>
          <w:lang w:val="en-US" w:eastAsia="zh-CN" w:bidi="ar"/>
        </w:rPr>
        <w:t>注册造价工程师签字并盖执业专用章</w:t>
      </w:r>
      <w:r>
        <w:rPr>
          <w:rFonts w:hint="default" w:ascii="Calibri" w:hAnsi="Calibri" w:eastAsia="宋体" w:cs="Calibri"/>
          <w:color w:val="000000"/>
          <w:kern w:val="2"/>
          <w:sz w:val="32"/>
          <w:szCs w:val="32"/>
          <w:highlight w:val="none"/>
          <w:lang w:val="en-US" w:eastAsia="zh-CN" w:bidi="ar"/>
        </w:rPr>
        <w:t>)</w:t>
      </w:r>
    </w:p>
    <w:p w14:paraId="1B1C84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color w:val="000000"/>
          <w:kern w:val="2"/>
          <w:sz w:val="32"/>
          <w:szCs w:val="32"/>
          <w:highlight w:val="none"/>
          <w:lang w:val="en-US" w:eastAsia="zh-CN"/>
        </w:rPr>
      </w:pPr>
      <w:r>
        <w:rPr>
          <w:rFonts w:hint="default" w:ascii="Calibri" w:hAnsi="Calibri" w:cs="Calibri"/>
          <w:color w:val="000000"/>
          <w:kern w:val="2"/>
          <w:sz w:val="32"/>
          <w:szCs w:val="32"/>
          <w:highlight w:val="none"/>
          <w:lang w:val="en-US" w:eastAsia="zh-CN"/>
        </w:rPr>
        <w:t xml:space="preserve"> </w:t>
      </w:r>
    </w:p>
    <w:p w14:paraId="766E67FB">
      <w:pPr>
        <w:keepNext w:val="0"/>
        <w:keepLines w:val="0"/>
        <w:widowControl w:val="0"/>
        <w:suppressLineNumbers w:val="0"/>
        <w:spacing w:before="0" w:beforeAutospacing="0" w:after="0" w:afterAutospacing="0" w:line="800" w:lineRule="exact"/>
        <w:ind w:left="0" w:right="0" w:firstLine="640" w:firstLineChars="200"/>
        <w:jc w:val="both"/>
        <w:rPr>
          <w:rFonts w:hint="default" w:ascii="Calibri" w:hAnsi="Calibri" w:cs="Calibri"/>
          <w:color w:val="000000"/>
          <w:kern w:val="2"/>
          <w:sz w:val="32"/>
          <w:szCs w:val="32"/>
          <w:highlight w:val="none"/>
        </w:rPr>
      </w:pPr>
      <w:r>
        <w:rPr>
          <w:rFonts w:hint="eastAsia" w:ascii="宋体" w:hAnsi="宋体" w:eastAsia="宋体" w:cs="宋体"/>
          <w:color w:val="000000"/>
          <w:kern w:val="2"/>
          <w:sz w:val="32"/>
          <w:szCs w:val="32"/>
          <w:highlight w:val="none"/>
          <w:lang w:val="en-US" w:eastAsia="zh-CN" w:bidi="ar"/>
        </w:rPr>
        <w:t>编制时间：</w:t>
      </w:r>
      <w:r>
        <w:rPr>
          <w:rFonts w:hint="eastAsia" w:ascii="Calibri" w:hAnsi="Calibri" w:eastAsia="宋体" w:cs="宋体"/>
          <w:color w:val="000000"/>
          <w:kern w:val="2"/>
          <w:sz w:val="32"/>
          <w:szCs w:val="32"/>
          <w:highlight w:val="none"/>
          <w:u w:val="single"/>
          <w:lang w:val="en-US" w:eastAsia="zh-CN" w:bidi="ar"/>
        </w:rPr>
        <w:t xml:space="preserve">             </w:t>
      </w:r>
      <w:r>
        <w:rPr>
          <w:rFonts w:hint="eastAsia" w:ascii="宋体" w:hAnsi="宋体" w:eastAsia="宋体" w:cs="宋体"/>
          <w:color w:val="000000"/>
          <w:kern w:val="2"/>
          <w:sz w:val="32"/>
          <w:szCs w:val="32"/>
          <w:highlight w:val="none"/>
          <w:lang w:val="en-US" w:eastAsia="zh-CN" w:bidi="ar"/>
        </w:rPr>
        <w:t>年</w:t>
      </w:r>
      <w:r>
        <w:rPr>
          <w:rFonts w:hint="eastAsia" w:ascii="Calibri" w:hAnsi="Calibri" w:eastAsia="宋体" w:cs="宋体"/>
          <w:color w:val="000000"/>
          <w:kern w:val="2"/>
          <w:sz w:val="32"/>
          <w:szCs w:val="32"/>
          <w:highlight w:val="none"/>
          <w:u w:val="single"/>
          <w:lang w:val="en-US" w:eastAsia="zh-CN" w:bidi="ar"/>
        </w:rPr>
        <w:t xml:space="preserve">          </w:t>
      </w:r>
      <w:r>
        <w:rPr>
          <w:rFonts w:hint="eastAsia" w:ascii="宋体" w:hAnsi="宋体" w:eastAsia="宋体" w:cs="宋体"/>
          <w:color w:val="000000"/>
          <w:kern w:val="2"/>
          <w:sz w:val="32"/>
          <w:szCs w:val="32"/>
          <w:highlight w:val="none"/>
          <w:lang w:val="en-US" w:eastAsia="zh-CN" w:bidi="ar"/>
        </w:rPr>
        <w:t>月</w:t>
      </w:r>
      <w:r>
        <w:rPr>
          <w:rFonts w:hint="eastAsia" w:ascii="Calibri" w:hAnsi="Calibri" w:eastAsia="宋体" w:cs="宋体"/>
          <w:color w:val="000000"/>
          <w:kern w:val="2"/>
          <w:sz w:val="32"/>
          <w:szCs w:val="32"/>
          <w:highlight w:val="none"/>
          <w:u w:val="single"/>
          <w:lang w:val="en-US" w:eastAsia="zh-CN" w:bidi="ar"/>
        </w:rPr>
        <w:t xml:space="preserve">          </w:t>
      </w:r>
      <w:r>
        <w:rPr>
          <w:rFonts w:hint="eastAsia" w:ascii="宋体" w:hAnsi="宋体" w:eastAsia="宋体" w:cs="宋体"/>
          <w:color w:val="000000"/>
          <w:kern w:val="2"/>
          <w:sz w:val="32"/>
          <w:szCs w:val="32"/>
          <w:highlight w:val="none"/>
          <w:lang w:val="en-US" w:eastAsia="zh-CN" w:bidi="ar"/>
        </w:rPr>
        <w:t>日</w:t>
      </w:r>
    </w:p>
    <w:p w14:paraId="7BAD322B">
      <w:pPr>
        <w:keepNext w:val="0"/>
        <w:keepLines w:val="0"/>
        <w:widowControl w:val="0"/>
        <w:suppressLineNumbers w:val="0"/>
        <w:spacing w:before="0" w:beforeAutospacing="0" w:after="0" w:afterAutospacing="0"/>
        <w:ind w:left="0" w:right="0"/>
        <w:jc w:val="both"/>
        <w:rPr>
          <w:rFonts w:hint="default" w:ascii="Calibri" w:hAnsi="Calibri" w:cs="Calibri"/>
          <w:color w:val="000000"/>
          <w:kern w:val="2"/>
          <w:sz w:val="32"/>
          <w:szCs w:val="32"/>
          <w:highlight w:val="none"/>
        </w:rPr>
      </w:pPr>
      <w:r>
        <w:rPr>
          <w:rFonts w:hint="default" w:ascii="Calibri" w:hAnsi="Calibri" w:eastAsia="宋体" w:cs="Calibri"/>
          <w:color w:val="000000"/>
          <w:kern w:val="2"/>
          <w:sz w:val="32"/>
          <w:szCs w:val="32"/>
          <w:highlight w:val="none"/>
          <w:lang w:val="en-US" w:eastAsia="zh-CN" w:bidi="ar"/>
        </w:rPr>
        <w:t xml:space="preserve"> </w:t>
      </w:r>
    </w:p>
    <w:p w14:paraId="5D49809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32"/>
          <w:szCs w:val="32"/>
          <w:highlight w:val="none"/>
        </w:rPr>
      </w:pPr>
      <w:r>
        <w:rPr>
          <w:rFonts w:hint="eastAsia" w:ascii="宋体" w:hAnsi="宋体" w:eastAsia="宋体" w:cs="宋体"/>
          <w:color w:val="000000"/>
          <w:kern w:val="2"/>
          <w:sz w:val="18"/>
          <w:szCs w:val="18"/>
          <w:highlight w:val="none"/>
          <w:lang w:val="en-US" w:eastAsia="zh-CN" w:bidi="ar"/>
        </w:rPr>
        <w:t>1注：投标文件格式中工程量清单报价书（封面）及投标报价编制人信息表与投标文件制作工具导出文件不一致的，以投标文件格式文件为准。</w:t>
      </w:r>
      <w:r>
        <w:rPr>
          <w:rFonts w:hint="eastAsia" w:ascii="宋体" w:hAnsi="宋体" w:eastAsia="宋体" w:cs="宋体"/>
          <w:color w:val="000000"/>
          <w:kern w:val="2"/>
          <w:sz w:val="32"/>
          <w:szCs w:val="32"/>
          <w:highlight w:val="none"/>
          <w:lang w:val="en-US" w:eastAsia="zh-CN" w:bidi="ar"/>
        </w:rPr>
        <w:t xml:space="preserve"> </w:t>
      </w:r>
    </w:p>
    <w:p w14:paraId="7EEED4D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32"/>
          <w:szCs w:val="32"/>
          <w:highlight w:val="none"/>
        </w:rPr>
      </w:pPr>
      <w:r>
        <w:rPr>
          <w:rFonts w:hint="eastAsia" w:ascii="宋体" w:hAnsi="宋体" w:eastAsia="宋体" w:cs="宋体"/>
          <w:color w:val="000000"/>
          <w:kern w:val="2"/>
          <w:sz w:val="32"/>
          <w:szCs w:val="32"/>
          <w:highlight w:val="none"/>
          <w:lang w:val="en-US" w:eastAsia="zh-CN" w:bidi="ar"/>
        </w:rPr>
        <w:t xml:space="preserve"> </w:t>
      </w:r>
    </w:p>
    <w:p w14:paraId="018BD2F5">
      <w:pPr>
        <w:rPr>
          <w:rFonts w:hint="eastAsia" w:ascii="宋体" w:hAnsi="宋体" w:eastAsia="宋体" w:cs="宋体"/>
          <w:color w:val="000000"/>
          <w:kern w:val="2"/>
          <w:sz w:val="32"/>
          <w:szCs w:val="32"/>
          <w:highlight w:val="none"/>
          <w:lang w:val="en-US" w:eastAsia="zh-CN" w:bidi="ar"/>
        </w:rPr>
      </w:pPr>
      <w:r>
        <w:rPr>
          <w:rFonts w:hint="eastAsia" w:ascii="宋体" w:hAnsi="宋体" w:eastAsia="宋体" w:cs="宋体"/>
          <w:color w:val="000000"/>
          <w:kern w:val="2"/>
          <w:sz w:val="32"/>
          <w:szCs w:val="32"/>
          <w:highlight w:val="none"/>
          <w:lang w:val="en-US" w:eastAsia="zh-CN" w:bidi="ar"/>
        </w:rPr>
        <w:br w:type="page"/>
      </w:r>
    </w:p>
    <w:p w14:paraId="7030A45E">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32"/>
          <w:szCs w:val="32"/>
          <w:highlight w:val="none"/>
        </w:rPr>
      </w:pPr>
      <w:r>
        <w:rPr>
          <w:rFonts w:hint="eastAsia" w:ascii="宋体" w:hAnsi="宋体" w:eastAsia="宋体" w:cs="宋体"/>
          <w:color w:val="000000"/>
          <w:kern w:val="2"/>
          <w:sz w:val="32"/>
          <w:szCs w:val="32"/>
          <w:highlight w:val="none"/>
          <w:lang w:val="en-US" w:eastAsia="zh-CN" w:bidi="ar"/>
        </w:rPr>
        <w:t>②投标报价编制人信息表</w:t>
      </w:r>
    </w:p>
    <w:p w14:paraId="68A3E06C">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32"/>
          <w:szCs w:val="32"/>
          <w:highlight w:val="none"/>
        </w:rPr>
      </w:pPr>
      <w:r>
        <w:rPr>
          <w:rFonts w:hint="default" w:ascii="Calibri" w:hAnsi="Calibri" w:eastAsia="宋体" w:cs="Calibri"/>
          <w:color w:val="000000"/>
          <w:kern w:val="2"/>
          <w:sz w:val="32"/>
          <w:szCs w:val="32"/>
          <w:highlight w:val="none"/>
          <w:lang w:val="en-US" w:eastAsia="zh-CN" w:bidi="ar"/>
        </w:rPr>
        <w:t xml:space="preserve"> </w:t>
      </w:r>
    </w:p>
    <w:tbl>
      <w:tblPr>
        <w:tblStyle w:val="46"/>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27"/>
        <w:gridCol w:w="1216"/>
        <w:gridCol w:w="2951"/>
        <w:gridCol w:w="1737"/>
        <w:gridCol w:w="1563"/>
        <w:gridCol w:w="1967"/>
      </w:tblGrid>
      <w:tr w14:paraId="61BA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197FB83B">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序号</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9690C82">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姓名</w:t>
            </w:r>
          </w:p>
        </w:tc>
        <w:tc>
          <w:tcPr>
            <w:tcW w:w="2951" w:type="dxa"/>
            <w:tcBorders>
              <w:top w:val="single" w:color="auto" w:sz="4" w:space="0"/>
              <w:left w:val="single" w:color="auto" w:sz="4" w:space="0"/>
              <w:bottom w:val="single" w:color="auto" w:sz="4" w:space="0"/>
              <w:right w:val="single" w:color="auto" w:sz="4" w:space="0"/>
            </w:tcBorders>
            <w:shd w:val="clear" w:color="auto" w:fill="auto"/>
            <w:vAlign w:val="center"/>
          </w:tcPr>
          <w:p w14:paraId="5357D9A0">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身份证号码</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7F1FB198">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手机号码</w:t>
            </w: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3CE3895C">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单位名称</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535A33E8">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注册造价工程师注册证书号</w:t>
            </w:r>
          </w:p>
        </w:tc>
      </w:tr>
      <w:tr w14:paraId="4D91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1377104D">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0215C1B">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2951" w:type="dxa"/>
            <w:tcBorders>
              <w:top w:val="single" w:color="auto" w:sz="4" w:space="0"/>
              <w:left w:val="single" w:color="auto" w:sz="4" w:space="0"/>
              <w:bottom w:val="single" w:color="auto" w:sz="4" w:space="0"/>
              <w:right w:val="single" w:color="auto" w:sz="4" w:space="0"/>
            </w:tcBorders>
            <w:shd w:val="clear" w:color="auto" w:fill="auto"/>
            <w:vAlign w:val="center"/>
          </w:tcPr>
          <w:p w14:paraId="6D9D83FF">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3E8346AA">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6AB8B371">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223FAA66">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r>
      <w:tr w14:paraId="1325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4"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73F2988A">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D4C71A5">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2951" w:type="dxa"/>
            <w:tcBorders>
              <w:top w:val="single" w:color="auto" w:sz="4" w:space="0"/>
              <w:left w:val="single" w:color="auto" w:sz="4" w:space="0"/>
              <w:bottom w:val="single" w:color="auto" w:sz="4" w:space="0"/>
              <w:right w:val="single" w:color="auto" w:sz="4" w:space="0"/>
            </w:tcBorders>
            <w:shd w:val="clear" w:color="auto" w:fill="auto"/>
            <w:vAlign w:val="center"/>
          </w:tcPr>
          <w:p w14:paraId="039041EC">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0F4539E3">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0CBFA99E">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1A5163F5">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r>
    </w:tbl>
    <w:p w14:paraId="59B7900B">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2"/>
          <w:sz w:val="24"/>
          <w:szCs w:val="24"/>
          <w:highlight w:val="none"/>
          <w:lang w:val="en-US" w:eastAsia="zh-CN" w:bidi="ar"/>
        </w:rPr>
        <w:t xml:space="preserve"> </w:t>
      </w:r>
    </w:p>
    <w:p w14:paraId="65045FD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2"/>
          <w:sz w:val="24"/>
          <w:szCs w:val="24"/>
          <w:highlight w:val="none"/>
          <w:lang w:val="en-US" w:eastAsia="zh-CN" w:bidi="ar"/>
        </w:rPr>
        <w:t>注：</w:t>
      </w:r>
    </w:p>
    <w:p w14:paraId="5F80C3A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1. 提供投标报价编制人员的注册造价工程师证书扫描件或影印件；</w:t>
      </w:r>
    </w:p>
    <w:p w14:paraId="3E818EEE">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2. 若投标报价编制人员为投标人委托的造价咨询单位注册造价人员，须提供与造价咨询单位签订的委托协议。</w:t>
      </w:r>
    </w:p>
    <w:p w14:paraId="2A7D5F1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3. 表格内容将作为公安机关和行政主管部门调查串通投标、允许他人以自己名义从事工程造价业务等违法违规行为的重要依据。</w:t>
      </w:r>
    </w:p>
    <w:p w14:paraId="200D8C6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4. 投标人填写内容务必真实准确，否则将承担投标失败、中标无效的风险。</w:t>
      </w:r>
    </w:p>
    <w:p w14:paraId="198ABAC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 xml:space="preserve"> </w:t>
      </w:r>
    </w:p>
    <w:p w14:paraId="6DF8BB87">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 xml:space="preserve"> </w:t>
      </w:r>
    </w:p>
    <w:p w14:paraId="68DCDB9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bCs/>
          <w:color w:val="auto"/>
          <w:kern w:val="2"/>
          <w:sz w:val="24"/>
          <w:szCs w:val="24"/>
          <w:highlight w:val="none"/>
          <w:u w:val="single"/>
        </w:rPr>
      </w:pPr>
      <w:r>
        <w:rPr>
          <w:rFonts w:hint="eastAsia" w:ascii="宋体" w:hAnsi="宋体" w:eastAsia="宋体" w:cs="宋体"/>
          <w:color w:val="000000"/>
          <w:kern w:val="2"/>
          <w:sz w:val="24"/>
          <w:szCs w:val="24"/>
          <w:highlight w:val="none"/>
        </w:rPr>
        <w:t>③</w:t>
      </w:r>
      <w:r>
        <w:rPr>
          <w:rFonts w:hint="eastAsia" w:ascii="宋体" w:hAnsi="宋体" w:eastAsia="宋体" w:cs="宋体"/>
          <w:bCs/>
          <w:color w:val="auto"/>
          <w:kern w:val="2"/>
          <w:sz w:val="24"/>
          <w:szCs w:val="24"/>
          <w:highlight w:val="none"/>
          <w:u w:val="single"/>
          <w:lang w:val="en-US" w:eastAsia="zh-CN" w:bidi="ar"/>
        </w:rPr>
        <w:t>工程量清单报价书格式：见2018版“工程量清单计价文件”格式</w:t>
      </w:r>
    </w:p>
    <w:p w14:paraId="5FADC2FD">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05D1C8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1DA3F6D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A30B572">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1F2C57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9479086">
      <w:pPr>
        <w:pStyle w:val="8"/>
        <w:pageBreakBefore/>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）推荐的材料品牌响应表</w:t>
      </w:r>
    </w:p>
    <w:p w14:paraId="13FC4BEF">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工程</w:t>
      </w:r>
      <w:r>
        <w:rPr>
          <w:rFonts w:hint="eastAsia" w:ascii="宋体" w:hAnsi="宋体" w:eastAsia="宋体" w:cs="宋体"/>
          <w:color w:val="auto"/>
          <w:spacing w:val="-3"/>
          <w:kern w:val="2"/>
          <w:sz w:val="21"/>
          <w:szCs w:val="21"/>
          <w:highlight w:val="none"/>
          <w:lang w:val="en-US" w:eastAsia="zh-CN" w:bidi="ar"/>
        </w:rPr>
        <w:t>名</w:t>
      </w:r>
      <w:r>
        <w:rPr>
          <w:rFonts w:hint="eastAsia" w:ascii="宋体" w:hAnsi="宋体" w:eastAsia="宋体" w:cs="宋体"/>
          <w:color w:val="auto"/>
          <w:kern w:val="2"/>
          <w:sz w:val="21"/>
          <w:szCs w:val="21"/>
          <w:highlight w:val="none"/>
          <w:lang w:val="en-US" w:eastAsia="zh-CN" w:bidi="ar"/>
        </w:rPr>
        <w:t xml:space="preserve">称：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第</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spacing w:val="-3"/>
          <w:kern w:val="2"/>
          <w:sz w:val="21"/>
          <w:szCs w:val="21"/>
          <w:highlight w:val="none"/>
          <w:lang w:val="en-US" w:eastAsia="zh-CN" w:bidi="ar"/>
        </w:rPr>
        <w:t>页</w:t>
      </w:r>
      <w:r>
        <w:rPr>
          <w:rFonts w:hint="eastAsia" w:ascii="宋体" w:hAnsi="宋体" w:eastAsia="宋体" w:cs="宋体"/>
          <w:color w:val="auto"/>
          <w:kern w:val="2"/>
          <w:sz w:val="21"/>
          <w:szCs w:val="21"/>
          <w:highlight w:val="none"/>
          <w:lang w:val="en-US" w:eastAsia="zh-CN" w:bidi="ar"/>
        </w:rPr>
        <w:t xml:space="preserve">共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 xml:space="preserve">页 </w:t>
      </w:r>
    </w:p>
    <w:p w14:paraId="4F365D36">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品牌推荐表（如要求）</w:t>
      </w:r>
    </w:p>
    <w:tbl>
      <w:tblPr>
        <w:tblStyle w:val="46"/>
        <w:tblW w:w="78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6BF0C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643EE19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4E571DC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材料、设备名称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ABE43B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6DEB31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0E4A38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891290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63507FA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47FA635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投标人选定品牌</w:t>
            </w:r>
          </w:p>
        </w:tc>
      </w:tr>
      <w:tr w14:paraId="7EDDB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3802CE9">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02C5B41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8F590F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0AB4FFE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2615139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027972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B4B88E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0A1568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72562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188BC45">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2FFF395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D598EA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8F46AF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5255C8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42CA38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CD3C7C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2876771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129AB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36" w:type="dxa"/>
            <w:tcBorders>
              <w:top w:val="single" w:color="000000" w:sz="4" w:space="0"/>
              <w:left w:val="single" w:color="000000" w:sz="4" w:space="0"/>
              <w:bottom w:val="single" w:color="000000" w:sz="6" w:space="0"/>
              <w:right w:val="single" w:color="000000" w:sz="4" w:space="0"/>
            </w:tcBorders>
            <w:shd w:val="clear" w:color="auto" w:fill="auto"/>
            <w:vAlign w:val="top"/>
          </w:tcPr>
          <w:p w14:paraId="6E89A97E">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685" w:type="dxa"/>
            <w:tcBorders>
              <w:top w:val="single" w:color="000000" w:sz="4" w:space="0"/>
              <w:left w:val="single" w:color="000000" w:sz="4" w:space="0"/>
              <w:bottom w:val="single" w:color="000000" w:sz="6" w:space="0"/>
              <w:right w:val="single" w:color="000000" w:sz="4" w:space="0"/>
            </w:tcBorders>
            <w:shd w:val="clear" w:color="auto" w:fill="auto"/>
            <w:vAlign w:val="top"/>
          </w:tcPr>
          <w:p w14:paraId="7D16FB8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0060109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69BFB40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494BFCB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6" w:space="0"/>
              <w:right w:val="single" w:color="000000" w:sz="4" w:space="0"/>
            </w:tcBorders>
            <w:shd w:val="clear" w:color="auto" w:fill="auto"/>
            <w:vAlign w:val="top"/>
          </w:tcPr>
          <w:p w14:paraId="645AA3D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6" w:space="0"/>
              <w:right w:val="single" w:color="000000" w:sz="4" w:space="0"/>
            </w:tcBorders>
            <w:shd w:val="clear" w:color="auto" w:fill="auto"/>
            <w:vAlign w:val="top"/>
          </w:tcPr>
          <w:p w14:paraId="060C048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6" w:space="0"/>
              <w:right w:val="single" w:color="000000" w:sz="4" w:space="0"/>
            </w:tcBorders>
            <w:shd w:val="clear" w:color="auto" w:fill="auto"/>
            <w:vAlign w:val="top"/>
          </w:tcPr>
          <w:p w14:paraId="31D781E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3695F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4" w:hRule="atLeast"/>
          <w:jc w:val="center"/>
        </w:trPr>
        <w:tc>
          <w:tcPr>
            <w:tcW w:w="636" w:type="dxa"/>
            <w:tcBorders>
              <w:top w:val="single" w:color="000000" w:sz="6" w:space="0"/>
              <w:left w:val="single" w:color="000000" w:sz="4" w:space="0"/>
              <w:bottom w:val="single" w:color="000000" w:sz="4" w:space="0"/>
              <w:right w:val="single" w:color="000000" w:sz="4" w:space="0"/>
            </w:tcBorders>
            <w:shd w:val="clear" w:color="auto" w:fill="auto"/>
            <w:vAlign w:val="top"/>
          </w:tcPr>
          <w:p w14:paraId="258EF1E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685" w:type="dxa"/>
            <w:tcBorders>
              <w:top w:val="single" w:color="000000" w:sz="6" w:space="0"/>
              <w:left w:val="single" w:color="000000" w:sz="4" w:space="0"/>
              <w:bottom w:val="single" w:color="000000" w:sz="4" w:space="0"/>
              <w:right w:val="single" w:color="000000" w:sz="4" w:space="0"/>
            </w:tcBorders>
            <w:shd w:val="clear" w:color="auto" w:fill="auto"/>
            <w:vAlign w:val="top"/>
          </w:tcPr>
          <w:p w14:paraId="6ED0C57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5446EB0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03B19E6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533531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6" w:space="0"/>
              <w:left w:val="single" w:color="000000" w:sz="4" w:space="0"/>
              <w:bottom w:val="single" w:color="000000" w:sz="4" w:space="0"/>
              <w:right w:val="single" w:color="000000" w:sz="4" w:space="0"/>
            </w:tcBorders>
            <w:shd w:val="clear" w:color="auto" w:fill="auto"/>
            <w:vAlign w:val="top"/>
          </w:tcPr>
          <w:p w14:paraId="65CC1E5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6" w:space="0"/>
              <w:left w:val="single" w:color="000000" w:sz="4" w:space="0"/>
              <w:bottom w:val="single" w:color="000000" w:sz="4" w:space="0"/>
              <w:right w:val="single" w:color="000000" w:sz="4" w:space="0"/>
            </w:tcBorders>
            <w:shd w:val="clear" w:color="auto" w:fill="auto"/>
            <w:vAlign w:val="top"/>
          </w:tcPr>
          <w:p w14:paraId="66F7FF1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6" w:space="0"/>
              <w:left w:val="single" w:color="000000" w:sz="4" w:space="0"/>
              <w:bottom w:val="single" w:color="000000" w:sz="4" w:space="0"/>
              <w:right w:val="single" w:color="000000" w:sz="4" w:space="0"/>
            </w:tcBorders>
            <w:shd w:val="clear" w:color="auto" w:fill="auto"/>
            <w:vAlign w:val="top"/>
          </w:tcPr>
          <w:p w14:paraId="21B5CE3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68DC6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5291DF36">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5FA2345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52C28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51FD7F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1EFB93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8F5B4E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16E8EB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7D51A2C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7FEC8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38480B2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7B11757B">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02858C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BBAB97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4E2343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C113B9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7926D5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01F17A6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2057E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125223E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271E7CA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4EAB2B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C9BAE9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4ECB92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3BE8B9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360ED2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2C5CC9E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142E2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4321E3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338BD2E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533CF7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5D361C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7DFA92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634DEC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1A99E7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157BE53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bl>
    <w:p w14:paraId="6CEC8EE6">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1、本表仅针对不采用发包人推荐品牌，采用其他品牌的相应单位填写，并注明并提供相关技术参数、业绩等供评审委员会评审，未在上表中注明且未提供相关技术参数、业绩，或经评审委员会评审未通过的，成交后只能从项目单位推荐品牌中进行选择，价格不予调整。</w:t>
      </w:r>
    </w:p>
    <w:p w14:paraId="0F5C90E0">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2、对于发包人推荐品牌的材料、设备等，投标单位如认为发包人推荐的品牌有限定性、唯一性、明显不在同一档次等级的或者其他疑问的，应在本项目澄清提出的截止时间前提出异议。</w:t>
      </w:r>
    </w:p>
    <w:p w14:paraId="79869350">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rPr>
      </w:pPr>
    </w:p>
    <w:p w14:paraId="320AD530">
      <w:pPr>
        <w:keepNext w:val="0"/>
        <w:keepLines w:val="0"/>
        <w:widowControl w:val="0"/>
        <w:suppressLineNumbers w:val="0"/>
        <w:spacing w:before="0" w:beforeAutospacing="0" w:after="0" w:afterAutospacing="0"/>
        <w:ind w:left="0" w:right="0"/>
        <w:jc w:val="both"/>
        <w:rPr>
          <w:color w:val="auto"/>
          <w:highlight w:val="none"/>
        </w:rPr>
      </w:pPr>
    </w:p>
    <w:p w14:paraId="7AB9FF70">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4</w:t>
      </w:r>
      <w:r>
        <w:rPr>
          <w:rFonts w:hint="eastAsia" w:ascii="宋体" w:hAnsi="宋体" w:cs="宋体"/>
          <w:b/>
          <w:bCs/>
          <w:color w:val="auto"/>
          <w:kern w:val="0"/>
          <w:sz w:val="32"/>
          <w:szCs w:val="32"/>
          <w:highlight w:val="none"/>
          <w:lang w:eastAsia="zh-CN"/>
        </w:rPr>
        <w:t>）全国建筑市场监管公共服务平台(四库一平台)企业注册人员网页截图；</w:t>
      </w:r>
    </w:p>
    <w:p w14:paraId="56E05396">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p>
    <w:p w14:paraId="545CC467">
      <w:pPr>
        <w:pStyle w:val="8"/>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5</w:t>
      </w:r>
      <w:r>
        <w:rPr>
          <w:rFonts w:hint="eastAsia" w:ascii="宋体" w:hAnsi="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rPr>
        <w:t>详细评审所需其他材料（如有）</w:t>
      </w: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969"/>
      <w:bookmarkEnd w:id="970"/>
      <w:bookmarkEnd w:id="971"/>
      <w:bookmarkEnd w:id="972"/>
      <w:bookmarkStart w:id="973" w:name="_Toc78803402"/>
    </w:p>
    <w:p w14:paraId="489D056E">
      <w:pPr>
        <w:pStyle w:val="43"/>
        <w:spacing w:beforeLines="50" w:afterLines="50" w:line="440" w:lineRule="exact"/>
        <w:rPr>
          <w:bCs/>
          <w:color w:val="auto"/>
          <w:szCs w:val="32"/>
          <w:highlight w:val="none"/>
        </w:rPr>
      </w:pPr>
      <w:bookmarkStart w:id="974" w:name="_Toc8955"/>
      <w:bookmarkStart w:id="975" w:name="_Toc29114"/>
      <w:bookmarkStart w:id="976" w:name="_Toc15593"/>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招标单位、招标代理机构对本招标文件的确认</w:t>
      </w:r>
      <w:bookmarkEnd w:id="973"/>
      <w:bookmarkEnd w:id="974"/>
      <w:bookmarkEnd w:id="975"/>
      <w:bookmarkEnd w:id="976"/>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创业北苑小区西侧断头路及小区内部分基础设施微改造工程（二次）</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安徽省滁州市琅琊区清流街道创业北路社区居民委员会</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苏丹</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0550-2590508</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月</w:t>
            </w:r>
          </w:p>
          <w:p w14:paraId="6A97483B">
            <w:pPr>
              <w:pStyle w:val="2"/>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7F66BEEC">
            <w:pPr>
              <w:keepNext w:val="0"/>
              <w:keepLines w:val="0"/>
              <w:suppressLineNumbers w:val="0"/>
              <w:spacing w:before="0" w:beforeAutospacing="0" w:after="0" w:afterAutospacing="0" w:line="560" w:lineRule="exact"/>
              <w:ind w:left="0" w:right="0" w:firstLine="5880" w:firstLineChars="2100"/>
              <w:rPr>
                <w:rFonts w:hint="eastAsia"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月</w:t>
            </w:r>
          </w:p>
          <w:p w14:paraId="0B913135">
            <w:pPr>
              <w:pStyle w:val="2"/>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5" w:type="default"/>
      <w:footerReference r:id="rId6"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34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C342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D6C92AE3"/>
    <w:multiLevelType w:val="multilevel"/>
    <w:tmpl w:val="D6C92AE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E3E014FC"/>
    <w:multiLevelType w:val="multilevel"/>
    <w:tmpl w:val="E3E014FC"/>
    <w:lvl w:ilvl="0" w:tentative="0">
      <w:start w:val="10"/>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E80E6C8"/>
    <w:multiLevelType w:val="singleLevel"/>
    <w:tmpl w:val="1E80E6C8"/>
    <w:lvl w:ilvl="0" w:tentative="0">
      <w:start w:val="3"/>
      <w:numFmt w:val="chineseCounting"/>
      <w:suff w:val="space"/>
      <w:lvlText w:val="第%1章"/>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86DFB"/>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2F23D2"/>
    <w:rsid w:val="01353E46"/>
    <w:rsid w:val="013D20EF"/>
    <w:rsid w:val="013D4C8F"/>
    <w:rsid w:val="0141555F"/>
    <w:rsid w:val="01542AFA"/>
    <w:rsid w:val="015460A2"/>
    <w:rsid w:val="015E6630"/>
    <w:rsid w:val="016453D0"/>
    <w:rsid w:val="016C75C7"/>
    <w:rsid w:val="018D524F"/>
    <w:rsid w:val="019036D8"/>
    <w:rsid w:val="01944054"/>
    <w:rsid w:val="01A01767"/>
    <w:rsid w:val="01A66FAC"/>
    <w:rsid w:val="01BD22C8"/>
    <w:rsid w:val="01BD4FDC"/>
    <w:rsid w:val="01C42B8B"/>
    <w:rsid w:val="01CE3A0A"/>
    <w:rsid w:val="01CF7782"/>
    <w:rsid w:val="01E941AE"/>
    <w:rsid w:val="01ED256A"/>
    <w:rsid w:val="01FE504C"/>
    <w:rsid w:val="02025461"/>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06659A"/>
    <w:rsid w:val="032764F6"/>
    <w:rsid w:val="032C124E"/>
    <w:rsid w:val="03355FAD"/>
    <w:rsid w:val="03357A15"/>
    <w:rsid w:val="033F6615"/>
    <w:rsid w:val="034A4B76"/>
    <w:rsid w:val="03604B36"/>
    <w:rsid w:val="03646BB0"/>
    <w:rsid w:val="036A455B"/>
    <w:rsid w:val="03700AD7"/>
    <w:rsid w:val="037B4D46"/>
    <w:rsid w:val="03881BEB"/>
    <w:rsid w:val="038B058F"/>
    <w:rsid w:val="03936A9A"/>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365D91"/>
    <w:rsid w:val="04533461"/>
    <w:rsid w:val="045E0D7F"/>
    <w:rsid w:val="046E6DDE"/>
    <w:rsid w:val="047015B8"/>
    <w:rsid w:val="048D54DF"/>
    <w:rsid w:val="04B51F1A"/>
    <w:rsid w:val="04BD0338"/>
    <w:rsid w:val="04C56D31"/>
    <w:rsid w:val="04CD0D24"/>
    <w:rsid w:val="04CF0F22"/>
    <w:rsid w:val="04D07A99"/>
    <w:rsid w:val="04D71637"/>
    <w:rsid w:val="04D7542D"/>
    <w:rsid w:val="04DD163F"/>
    <w:rsid w:val="04E452F2"/>
    <w:rsid w:val="04E82F5F"/>
    <w:rsid w:val="05084E1A"/>
    <w:rsid w:val="0536624A"/>
    <w:rsid w:val="05476ED2"/>
    <w:rsid w:val="05507187"/>
    <w:rsid w:val="05547F50"/>
    <w:rsid w:val="05586D81"/>
    <w:rsid w:val="055909BC"/>
    <w:rsid w:val="055E6C99"/>
    <w:rsid w:val="056326BB"/>
    <w:rsid w:val="056775E0"/>
    <w:rsid w:val="05812096"/>
    <w:rsid w:val="05852631"/>
    <w:rsid w:val="05863A76"/>
    <w:rsid w:val="05962A91"/>
    <w:rsid w:val="05A12347"/>
    <w:rsid w:val="05A174D0"/>
    <w:rsid w:val="05A31C11"/>
    <w:rsid w:val="05A54A82"/>
    <w:rsid w:val="05B15E1B"/>
    <w:rsid w:val="05B6570E"/>
    <w:rsid w:val="05B719DB"/>
    <w:rsid w:val="05C018BB"/>
    <w:rsid w:val="05C8568A"/>
    <w:rsid w:val="05D35133"/>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A978A6"/>
    <w:rsid w:val="06B55198"/>
    <w:rsid w:val="06BA577F"/>
    <w:rsid w:val="06C373A0"/>
    <w:rsid w:val="06CA61EA"/>
    <w:rsid w:val="06CE3AAD"/>
    <w:rsid w:val="06D3256B"/>
    <w:rsid w:val="06E93094"/>
    <w:rsid w:val="06F26CF9"/>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D5EE4"/>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E3D26"/>
    <w:rsid w:val="0A4834F8"/>
    <w:rsid w:val="0A6173D2"/>
    <w:rsid w:val="0A682231"/>
    <w:rsid w:val="0A6825A9"/>
    <w:rsid w:val="0A781198"/>
    <w:rsid w:val="0A854E82"/>
    <w:rsid w:val="0A99092D"/>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745622"/>
    <w:rsid w:val="0B832C7E"/>
    <w:rsid w:val="0B895D1E"/>
    <w:rsid w:val="0B903157"/>
    <w:rsid w:val="0B9335CE"/>
    <w:rsid w:val="0BA653BF"/>
    <w:rsid w:val="0BAC6F99"/>
    <w:rsid w:val="0BCD1EAC"/>
    <w:rsid w:val="0BCF142C"/>
    <w:rsid w:val="0BDC319A"/>
    <w:rsid w:val="0BE669AA"/>
    <w:rsid w:val="0BFB783E"/>
    <w:rsid w:val="0BFD5373"/>
    <w:rsid w:val="0BFD6481"/>
    <w:rsid w:val="0BFE68ED"/>
    <w:rsid w:val="0C0F0CD9"/>
    <w:rsid w:val="0C230DF6"/>
    <w:rsid w:val="0C423C85"/>
    <w:rsid w:val="0C631998"/>
    <w:rsid w:val="0C6821F6"/>
    <w:rsid w:val="0C757885"/>
    <w:rsid w:val="0C836789"/>
    <w:rsid w:val="0C990787"/>
    <w:rsid w:val="0C992D4F"/>
    <w:rsid w:val="0C9A6555"/>
    <w:rsid w:val="0CAE3A50"/>
    <w:rsid w:val="0CBF15FF"/>
    <w:rsid w:val="0CC20F4F"/>
    <w:rsid w:val="0CC73EE7"/>
    <w:rsid w:val="0CD90540"/>
    <w:rsid w:val="0CD91857"/>
    <w:rsid w:val="0CDA4E4E"/>
    <w:rsid w:val="0CF258A4"/>
    <w:rsid w:val="0D212A41"/>
    <w:rsid w:val="0D214045"/>
    <w:rsid w:val="0D215F2C"/>
    <w:rsid w:val="0D314FE6"/>
    <w:rsid w:val="0D330BC5"/>
    <w:rsid w:val="0D4032E2"/>
    <w:rsid w:val="0D540C02"/>
    <w:rsid w:val="0D571C0F"/>
    <w:rsid w:val="0D5F19BA"/>
    <w:rsid w:val="0D637F0E"/>
    <w:rsid w:val="0D645222"/>
    <w:rsid w:val="0D6A5410"/>
    <w:rsid w:val="0D794CB6"/>
    <w:rsid w:val="0D8145D3"/>
    <w:rsid w:val="0D8324ED"/>
    <w:rsid w:val="0D8F059D"/>
    <w:rsid w:val="0D8F5855"/>
    <w:rsid w:val="0D936D15"/>
    <w:rsid w:val="0D9827E5"/>
    <w:rsid w:val="0DAF3D29"/>
    <w:rsid w:val="0DBC0BBA"/>
    <w:rsid w:val="0DC466B9"/>
    <w:rsid w:val="0DC54945"/>
    <w:rsid w:val="0DF25BA4"/>
    <w:rsid w:val="0DFD573A"/>
    <w:rsid w:val="0DFE1012"/>
    <w:rsid w:val="0E0B029F"/>
    <w:rsid w:val="0E1A7B1C"/>
    <w:rsid w:val="0E230373"/>
    <w:rsid w:val="0E236E8B"/>
    <w:rsid w:val="0E252C04"/>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DA51FE"/>
    <w:rsid w:val="0EE34A0A"/>
    <w:rsid w:val="0EEF23A4"/>
    <w:rsid w:val="0F0A1DF9"/>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356D2"/>
    <w:rsid w:val="10374301"/>
    <w:rsid w:val="10394E9C"/>
    <w:rsid w:val="103A764D"/>
    <w:rsid w:val="103B6EC4"/>
    <w:rsid w:val="10457DEF"/>
    <w:rsid w:val="10482BD9"/>
    <w:rsid w:val="104A6951"/>
    <w:rsid w:val="105628E7"/>
    <w:rsid w:val="105A27E6"/>
    <w:rsid w:val="105C0FEB"/>
    <w:rsid w:val="108120DC"/>
    <w:rsid w:val="1088747A"/>
    <w:rsid w:val="1089408D"/>
    <w:rsid w:val="108950E7"/>
    <w:rsid w:val="109135C4"/>
    <w:rsid w:val="10A4426E"/>
    <w:rsid w:val="10B656D8"/>
    <w:rsid w:val="10BB6F68"/>
    <w:rsid w:val="10C37A22"/>
    <w:rsid w:val="10C556C7"/>
    <w:rsid w:val="10C55FD8"/>
    <w:rsid w:val="10CF4C25"/>
    <w:rsid w:val="10DD4DDE"/>
    <w:rsid w:val="10F772EF"/>
    <w:rsid w:val="11017A58"/>
    <w:rsid w:val="11023D17"/>
    <w:rsid w:val="110F34C8"/>
    <w:rsid w:val="111016B8"/>
    <w:rsid w:val="114415F3"/>
    <w:rsid w:val="11491151"/>
    <w:rsid w:val="1159543F"/>
    <w:rsid w:val="116230D1"/>
    <w:rsid w:val="11664DAF"/>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B91B6C"/>
    <w:rsid w:val="12C319F0"/>
    <w:rsid w:val="12CB7F7B"/>
    <w:rsid w:val="12D57B5A"/>
    <w:rsid w:val="12D60970"/>
    <w:rsid w:val="12DA74FD"/>
    <w:rsid w:val="12EE12AA"/>
    <w:rsid w:val="12FA6CF3"/>
    <w:rsid w:val="130354DD"/>
    <w:rsid w:val="13160E95"/>
    <w:rsid w:val="131D4A08"/>
    <w:rsid w:val="132A077A"/>
    <w:rsid w:val="132B4874"/>
    <w:rsid w:val="132B7C1A"/>
    <w:rsid w:val="13365D96"/>
    <w:rsid w:val="133833D9"/>
    <w:rsid w:val="13401CF4"/>
    <w:rsid w:val="13434F53"/>
    <w:rsid w:val="13474541"/>
    <w:rsid w:val="13477178"/>
    <w:rsid w:val="13597FDE"/>
    <w:rsid w:val="135C5234"/>
    <w:rsid w:val="13610A7C"/>
    <w:rsid w:val="1370511E"/>
    <w:rsid w:val="138A2CF3"/>
    <w:rsid w:val="139600FA"/>
    <w:rsid w:val="139831BB"/>
    <w:rsid w:val="139B1B3C"/>
    <w:rsid w:val="13AC7923"/>
    <w:rsid w:val="13BB36C2"/>
    <w:rsid w:val="13C163E4"/>
    <w:rsid w:val="13C24A51"/>
    <w:rsid w:val="13CF69C3"/>
    <w:rsid w:val="13E63AA6"/>
    <w:rsid w:val="13EB21F9"/>
    <w:rsid w:val="13F175F7"/>
    <w:rsid w:val="13F85DC5"/>
    <w:rsid w:val="13FB7F63"/>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A979BF"/>
    <w:rsid w:val="14AA6C47"/>
    <w:rsid w:val="14AD74AF"/>
    <w:rsid w:val="14B81325"/>
    <w:rsid w:val="14BB5770"/>
    <w:rsid w:val="14CA4494"/>
    <w:rsid w:val="14DD13B5"/>
    <w:rsid w:val="14DF1102"/>
    <w:rsid w:val="14E74E80"/>
    <w:rsid w:val="14F30E2B"/>
    <w:rsid w:val="14FB05D3"/>
    <w:rsid w:val="14FB1DB1"/>
    <w:rsid w:val="1507775C"/>
    <w:rsid w:val="15082EFA"/>
    <w:rsid w:val="15107A3E"/>
    <w:rsid w:val="15214D63"/>
    <w:rsid w:val="153E6FE7"/>
    <w:rsid w:val="15535F3F"/>
    <w:rsid w:val="15595889"/>
    <w:rsid w:val="155C3CBE"/>
    <w:rsid w:val="15697093"/>
    <w:rsid w:val="15760076"/>
    <w:rsid w:val="157E5DA4"/>
    <w:rsid w:val="159F6FD6"/>
    <w:rsid w:val="15A45C82"/>
    <w:rsid w:val="15A5462A"/>
    <w:rsid w:val="15B01BBF"/>
    <w:rsid w:val="15B55AAF"/>
    <w:rsid w:val="15EC3B3E"/>
    <w:rsid w:val="15F1786F"/>
    <w:rsid w:val="15F24B15"/>
    <w:rsid w:val="15F46C2A"/>
    <w:rsid w:val="15FA6724"/>
    <w:rsid w:val="160202FE"/>
    <w:rsid w:val="16121567"/>
    <w:rsid w:val="16175528"/>
    <w:rsid w:val="16236B8C"/>
    <w:rsid w:val="16257519"/>
    <w:rsid w:val="162D4D4B"/>
    <w:rsid w:val="16343F81"/>
    <w:rsid w:val="163634D4"/>
    <w:rsid w:val="1638724C"/>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214E2"/>
    <w:rsid w:val="17A739C7"/>
    <w:rsid w:val="17C212EB"/>
    <w:rsid w:val="17C42121"/>
    <w:rsid w:val="17D66D1D"/>
    <w:rsid w:val="17D82A95"/>
    <w:rsid w:val="17D86805"/>
    <w:rsid w:val="17DD00AB"/>
    <w:rsid w:val="17FB6C91"/>
    <w:rsid w:val="18053F1E"/>
    <w:rsid w:val="18085749"/>
    <w:rsid w:val="180B6D06"/>
    <w:rsid w:val="181A3262"/>
    <w:rsid w:val="181C3FF8"/>
    <w:rsid w:val="18365CFA"/>
    <w:rsid w:val="184114A1"/>
    <w:rsid w:val="18425C49"/>
    <w:rsid w:val="18550EF6"/>
    <w:rsid w:val="186969E3"/>
    <w:rsid w:val="18883A30"/>
    <w:rsid w:val="188C7694"/>
    <w:rsid w:val="18AE37F5"/>
    <w:rsid w:val="18BE3F0D"/>
    <w:rsid w:val="18C140E3"/>
    <w:rsid w:val="18CD6371"/>
    <w:rsid w:val="18DA0A8E"/>
    <w:rsid w:val="18DA68F2"/>
    <w:rsid w:val="18DC03A2"/>
    <w:rsid w:val="18E11EA5"/>
    <w:rsid w:val="18FA4C8D"/>
    <w:rsid w:val="19054750"/>
    <w:rsid w:val="19083037"/>
    <w:rsid w:val="19092828"/>
    <w:rsid w:val="190A17F9"/>
    <w:rsid w:val="19103908"/>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16732"/>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9A04D5"/>
    <w:rsid w:val="1AA572B8"/>
    <w:rsid w:val="1AA70EB7"/>
    <w:rsid w:val="1AAA4949"/>
    <w:rsid w:val="1AB31D2F"/>
    <w:rsid w:val="1AC00AAF"/>
    <w:rsid w:val="1AC83294"/>
    <w:rsid w:val="1ACE55DA"/>
    <w:rsid w:val="1ACE6054"/>
    <w:rsid w:val="1ACE6D27"/>
    <w:rsid w:val="1AD734D7"/>
    <w:rsid w:val="1AE0038B"/>
    <w:rsid w:val="1AE34AB0"/>
    <w:rsid w:val="1AEF625F"/>
    <w:rsid w:val="1B403FA5"/>
    <w:rsid w:val="1B413D01"/>
    <w:rsid w:val="1B450A9E"/>
    <w:rsid w:val="1B481CDF"/>
    <w:rsid w:val="1B4B17D0"/>
    <w:rsid w:val="1B524326"/>
    <w:rsid w:val="1B55168B"/>
    <w:rsid w:val="1B561283"/>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893E9E"/>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0F63E0"/>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A354C4"/>
    <w:rsid w:val="1DAC63B5"/>
    <w:rsid w:val="1DB571C9"/>
    <w:rsid w:val="1DB624A5"/>
    <w:rsid w:val="1DBF6F5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5642FC"/>
    <w:rsid w:val="1F6725BD"/>
    <w:rsid w:val="1F6F0182"/>
    <w:rsid w:val="1F751014"/>
    <w:rsid w:val="1F7A16FF"/>
    <w:rsid w:val="1F841E94"/>
    <w:rsid w:val="1F86410F"/>
    <w:rsid w:val="1F88077C"/>
    <w:rsid w:val="1F987D78"/>
    <w:rsid w:val="1F9A5C92"/>
    <w:rsid w:val="1FAD0B55"/>
    <w:rsid w:val="1FB57B5F"/>
    <w:rsid w:val="1FBA786C"/>
    <w:rsid w:val="1FBF1E16"/>
    <w:rsid w:val="1FC55FF4"/>
    <w:rsid w:val="1FDF7221"/>
    <w:rsid w:val="1FE07DD2"/>
    <w:rsid w:val="1FF72B1D"/>
    <w:rsid w:val="2000702C"/>
    <w:rsid w:val="201952D2"/>
    <w:rsid w:val="2020109E"/>
    <w:rsid w:val="20220096"/>
    <w:rsid w:val="202816B6"/>
    <w:rsid w:val="202C5156"/>
    <w:rsid w:val="20352DB6"/>
    <w:rsid w:val="20366299"/>
    <w:rsid w:val="204E725A"/>
    <w:rsid w:val="205050F3"/>
    <w:rsid w:val="206003D6"/>
    <w:rsid w:val="20665891"/>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92FEC"/>
    <w:rsid w:val="215B2DFE"/>
    <w:rsid w:val="215C5CD9"/>
    <w:rsid w:val="215F2E6D"/>
    <w:rsid w:val="21787096"/>
    <w:rsid w:val="218041FE"/>
    <w:rsid w:val="218B2E3C"/>
    <w:rsid w:val="21955962"/>
    <w:rsid w:val="219E13DD"/>
    <w:rsid w:val="21B5456C"/>
    <w:rsid w:val="21C0289A"/>
    <w:rsid w:val="21C314C7"/>
    <w:rsid w:val="21CB366A"/>
    <w:rsid w:val="21E53DD4"/>
    <w:rsid w:val="21F91F85"/>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971C0F"/>
    <w:rsid w:val="23AA4BFB"/>
    <w:rsid w:val="23AF4708"/>
    <w:rsid w:val="23B853F0"/>
    <w:rsid w:val="23C16A9A"/>
    <w:rsid w:val="23C465C3"/>
    <w:rsid w:val="23E66003"/>
    <w:rsid w:val="23F80076"/>
    <w:rsid w:val="23FC534D"/>
    <w:rsid w:val="23FE2FB7"/>
    <w:rsid w:val="23FE3AF7"/>
    <w:rsid w:val="240D56FD"/>
    <w:rsid w:val="24150BCD"/>
    <w:rsid w:val="241B7142"/>
    <w:rsid w:val="24452007"/>
    <w:rsid w:val="244802C7"/>
    <w:rsid w:val="244C0B39"/>
    <w:rsid w:val="245A32E7"/>
    <w:rsid w:val="246102B6"/>
    <w:rsid w:val="24635935"/>
    <w:rsid w:val="24660E6A"/>
    <w:rsid w:val="24665559"/>
    <w:rsid w:val="24691825"/>
    <w:rsid w:val="248C1A8E"/>
    <w:rsid w:val="248E0BEE"/>
    <w:rsid w:val="249222CA"/>
    <w:rsid w:val="249B49DE"/>
    <w:rsid w:val="249D1168"/>
    <w:rsid w:val="24B056E4"/>
    <w:rsid w:val="24BE3012"/>
    <w:rsid w:val="24CC572F"/>
    <w:rsid w:val="24CF65FC"/>
    <w:rsid w:val="24D258A5"/>
    <w:rsid w:val="24DA6A74"/>
    <w:rsid w:val="24DB4BCD"/>
    <w:rsid w:val="24E27CCD"/>
    <w:rsid w:val="24F602A0"/>
    <w:rsid w:val="24FD7FDE"/>
    <w:rsid w:val="250025A0"/>
    <w:rsid w:val="250A6257"/>
    <w:rsid w:val="252966D9"/>
    <w:rsid w:val="25296C9F"/>
    <w:rsid w:val="25401D76"/>
    <w:rsid w:val="2544236B"/>
    <w:rsid w:val="25453733"/>
    <w:rsid w:val="255249D2"/>
    <w:rsid w:val="256C3562"/>
    <w:rsid w:val="256E2866"/>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8306C"/>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80018A"/>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312BBF"/>
    <w:rsid w:val="283B7736"/>
    <w:rsid w:val="284C64E6"/>
    <w:rsid w:val="2852403A"/>
    <w:rsid w:val="285F673E"/>
    <w:rsid w:val="28644CCA"/>
    <w:rsid w:val="28687E65"/>
    <w:rsid w:val="28732D83"/>
    <w:rsid w:val="287C6351"/>
    <w:rsid w:val="288051AE"/>
    <w:rsid w:val="288F6949"/>
    <w:rsid w:val="289041D5"/>
    <w:rsid w:val="28911AF2"/>
    <w:rsid w:val="289151CA"/>
    <w:rsid w:val="28A10C81"/>
    <w:rsid w:val="28A2680F"/>
    <w:rsid w:val="28AB1AFF"/>
    <w:rsid w:val="28B63487"/>
    <w:rsid w:val="28DD431A"/>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3C3357"/>
    <w:rsid w:val="2A4926C2"/>
    <w:rsid w:val="2A4B107A"/>
    <w:rsid w:val="2A4D10C0"/>
    <w:rsid w:val="2A4D2BFD"/>
    <w:rsid w:val="2A530EDF"/>
    <w:rsid w:val="2A574428"/>
    <w:rsid w:val="2A5F6992"/>
    <w:rsid w:val="2A7949E3"/>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6F0C66"/>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293467"/>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984D48"/>
    <w:rsid w:val="2DAF3E40"/>
    <w:rsid w:val="2DBE7F60"/>
    <w:rsid w:val="2DDF3360"/>
    <w:rsid w:val="2DE81100"/>
    <w:rsid w:val="2DF6381D"/>
    <w:rsid w:val="2DF6788C"/>
    <w:rsid w:val="2DFB0019"/>
    <w:rsid w:val="2E0D1588"/>
    <w:rsid w:val="2E3944B7"/>
    <w:rsid w:val="2E4749F8"/>
    <w:rsid w:val="2E4C1B78"/>
    <w:rsid w:val="2E73313B"/>
    <w:rsid w:val="2E81720F"/>
    <w:rsid w:val="2E840E29"/>
    <w:rsid w:val="2E866E5E"/>
    <w:rsid w:val="2E9077CD"/>
    <w:rsid w:val="2E9640D5"/>
    <w:rsid w:val="2EA916B2"/>
    <w:rsid w:val="2EB46A04"/>
    <w:rsid w:val="2EB84F76"/>
    <w:rsid w:val="2EBB35CF"/>
    <w:rsid w:val="2EC62DA5"/>
    <w:rsid w:val="2ECB7077"/>
    <w:rsid w:val="2EED318E"/>
    <w:rsid w:val="2EFE3F3B"/>
    <w:rsid w:val="2F0C331C"/>
    <w:rsid w:val="2F0F1794"/>
    <w:rsid w:val="2F176141"/>
    <w:rsid w:val="2F1A0856"/>
    <w:rsid w:val="2F2443BA"/>
    <w:rsid w:val="2F2B5B05"/>
    <w:rsid w:val="2F475C7E"/>
    <w:rsid w:val="2F486024"/>
    <w:rsid w:val="2F522CD5"/>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94F09"/>
    <w:rsid w:val="30ED02EA"/>
    <w:rsid w:val="30FF267A"/>
    <w:rsid w:val="30FF594C"/>
    <w:rsid w:val="310A2A14"/>
    <w:rsid w:val="310F59F0"/>
    <w:rsid w:val="311D200F"/>
    <w:rsid w:val="31395BA8"/>
    <w:rsid w:val="3141666D"/>
    <w:rsid w:val="31422C6A"/>
    <w:rsid w:val="3143321D"/>
    <w:rsid w:val="31480833"/>
    <w:rsid w:val="314B14BF"/>
    <w:rsid w:val="3158219E"/>
    <w:rsid w:val="315C5564"/>
    <w:rsid w:val="316D537E"/>
    <w:rsid w:val="31716348"/>
    <w:rsid w:val="317355F2"/>
    <w:rsid w:val="3185517F"/>
    <w:rsid w:val="3185793C"/>
    <w:rsid w:val="31927602"/>
    <w:rsid w:val="319475D5"/>
    <w:rsid w:val="31975317"/>
    <w:rsid w:val="31A041CB"/>
    <w:rsid w:val="31A87524"/>
    <w:rsid w:val="31B06C89"/>
    <w:rsid w:val="31B91778"/>
    <w:rsid w:val="31C2569E"/>
    <w:rsid w:val="31C96BD0"/>
    <w:rsid w:val="31D04385"/>
    <w:rsid w:val="31D9377A"/>
    <w:rsid w:val="31E15891"/>
    <w:rsid w:val="31F043F4"/>
    <w:rsid w:val="3203475A"/>
    <w:rsid w:val="320F1351"/>
    <w:rsid w:val="32170EE1"/>
    <w:rsid w:val="32463124"/>
    <w:rsid w:val="325066A8"/>
    <w:rsid w:val="32563FE3"/>
    <w:rsid w:val="325C6E21"/>
    <w:rsid w:val="325D3410"/>
    <w:rsid w:val="325F0A17"/>
    <w:rsid w:val="3260226B"/>
    <w:rsid w:val="327652E9"/>
    <w:rsid w:val="327A5FF1"/>
    <w:rsid w:val="32810B80"/>
    <w:rsid w:val="32A55CC0"/>
    <w:rsid w:val="32A937D2"/>
    <w:rsid w:val="32BF4263"/>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CB2F89"/>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9D6F1D"/>
    <w:rsid w:val="349E076A"/>
    <w:rsid w:val="34AF7CC9"/>
    <w:rsid w:val="34B14942"/>
    <w:rsid w:val="34C87463"/>
    <w:rsid w:val="34DB376C"/>
    <w:rsid w:val="34E526B4"/>
    <w:rsid w:val="34F03DC0"/>
    <w:rsid w:val="34FE7262"/>
    <w:rsid w:val="35011425"/>
    <w:rsid w:val="351D1FD7"/>
    <w:rsid w:val="352407FC"/>
    <w:rsid w:val="352612DF"/>
    <w:rsid w:val="35284201"/>
    <w:rsid w:val="35322B1F"/>
    <w:rsid w:val="3535498A"/>
    <w:rsid w:val="35471E10"/>
    <w:rsid w:val="354F3660"/>
    <w:rsid w:val="355004C3"/>
    <w:rsid w:val="35531BEF"/>
    <w:rsid w:val="3556146D"/>
    <w:rsid w:val="355724F0"/>
    <w:rsid w:val="35584DBD"/>
    <w:rsid w:val="35646E1B"/>
    <w:rsid w:val="356B5D07"/>
    <w:rsid w:val="357240D1"/>
    <w:rsid w:val="357A4D33"/>
    <w:rsid w:val="35810326"/>
    <w:rsid w:val="358C5E8C"/>
    <w:rsid w:val="358D7C9B"/>
    <w:rsid w:val="358E2186"/>
    <w:rsid w:val="35AA4C6A"/>
    <w:rsid w:val="35B90B5D"/>
    <w:rsid w:val="35C81F43"/>
    <w:rsid w:val="35CC1726"/>
    <w:rsid w:val="35DE239E"/>
    <w:rsid w:val="35E06512"/>
    <w:rsid w:val="35E33F92"/>
    <w:rsid w:val="35EA0FD5"/>
    <w:rsid w:val="36010FB1"/>
    <w:rsid w:val="360212D1"/>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DA5E17"/>
    <w:rsid w:val="36E65B3A"/>
    <w:rsid w:val="36F01751"/>
    <w:rsid w:val="36FF3742"/>
    <w:rsid w:val="370346A6"/>
    <w:rsid w:val="37113475"/>
    <w:rsid w:val="37252E94"/>
    <w:rsid w:val="37296474"/>
    <w:rsid w:val="373227C5"/>
    <w:rsid w:val="37405833"/>
    <w:rsid w:val="374101FF"/>
    <w:rsid w:val="375869AC"/>
    <w:rsid w:val="375B253A"/>
    <w:rsid w:val="37666B6B"/>
    <w:rsid w:val="37675674"/>
    <w:rsid w:val="376B1978"/>
    <w:rsid w:val="37940CA8"/>
    <w:rsid w:val="37B75A65"/>
    <w:rsid w:val="37C0746E"/>
    <w:rsid w:val="37D848CF"/>
    <w:rsid w:val="37DA41AF"/>
    <w:rsid w:val="37DB157C"/>
    <w:rsid w:val="37DB3C7D"/>
    <w:rsid w:val="37EB761E"/>
    <w:rsid w:val="37EE7D30"/>
    <w:rsid w:val="37F62976"/>
    <w:rsid w:val="37F77F19"/>
    <w:rsid w:val="38034F62"/>
    <w:rsid w:val="38042FDA"/>
    <w:rsid w:val="381C3F20"/>
    <w:rsid w:val="381F0AD4"/>
    <w:rsid w:val="3822692C"/>
    <w:rsid w:val="38343F2A"/>
    <w:rsid w:val="38490F9C"/>
    <w:rsid w:val="384C1631"/>
    <w:rsid w:val="385201EA"/>
    <w:rsid w:val="38542754"/>
    <w:rsid w:val="386C03A0"/>
    <w:rsid w:val="386D6DD1"/>
    <w:rsid w:val="38850AD8"/>
    <w:rsid w:val="38AF5476"/>
    <w:rsid w:val="38B10FD7"/>
    <w:rsid w:val="38B2326B"/>
    <w:rsid w:val="38BD498D"/>
    <w:rsid w:val="38D81B11"/>
    <w:rsid w:val="38ED2653"/>
    <w:rsid w:val="38FC71A8"/>
    <w:rsid w:val="38FD1F03"/>
    <w:rsid w:val="39020983"/>
    <w:rsid w:val="39037F6C"/>
    <w:rsid w:val="39214610"/>
    <w:rsid w:val="39317DFF"/>
    <w:rsid w:val="39335925"/>
    <w:rsid w:val="393C7109"/>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3758E9"/>
    <w:rsid w:val="3A3C7179"/>
    <w:rsid w:val="3A485400"/>
    <w:rsid w:val="3A4F0AA8"/>
    <w:rsid w:val="3A543DA5"/>
    <w:rsid w:val="3A5576B6"/>
    <w:rsid w:val="3A682780"/>
    <w:rsid w:val="3A687850"/>
    <w:rsid w:val="3A697EB7"/>
    <w:rsid w:val="3A701E17"/>
    <w:rsid w:val="3A764E67"/>
    <w:rsid w:val="3A7B71BD"/>
    <w:rsid w:val="3A7F0311"/>
    <w:rsid w:val="3A845141"/>
    <w:rsid w:val="3A8538B6"/>
    <w:rsid w:val="3A884EF1"/>
    <w:rsid w:val="3A8C5141"/>
    <w:rsid w:val="3AA52853"/>
    <w:rsid w:val="3AA648FE"/>
    <w:rsid w:val="3AAA7D3D"/>
    <w:rsid w:val="3AD117FB"/>
    <w:rsid w:val="3AD4138A"/>
    <w:rsid w:val="3AD72904"/>
    <w:rsid w:val="3AD75A09"/>
    <w:rsid w:val="3ADC5AFD"/>
    <w:rsid w:val="3AE17BBC"/>
    <w:rsid w:val="3AE25040"/>
    <w:rsid w:val="3B007A89"/>
    <w:rsid w:val="3B0E664A"/>
    <w:rsid w:val="3B0F5ABD"/>
    <w:rsid w:val="3B1E79B5"/>
    <w:rsid w:val="3B2F4F75"/>
    <w:rsid w:val="3B31477D"/>
    <w:rsid w:val="3B315914"/>
    <w:rsid w:val="3B422101"/>
    <w:rsid w:val="3B455DE4"/>
    <w:rsid w:val="3B467602"/>
    <w:rsid w:val="3B4715CB"/>
    <w:rsid w:val="3B5008D7"/>
    <w:rsid w:val="3B7346FF"/>
    <w:rsid w:val="3B7D5180"/>
    <w:rsid w:val="3B7F15E2"/>
    <w:rsid w:val="3B8536A6"/>
    <w:rsid w:val="3B9F0C51"/>
    <w:rsid w:val="3BA00572"/>
    <w:rsid w:val="3BB1021B"/>
    <w:rsid w:val="3BE15B0C"/>
    <w:rsid w:val="3BF72A83"/>
    <w:rsid w:val="3C096E11"/>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A72347"/>
    <w:rsid w:val="3CAD3C40"/>
    <w:rsid w:val="3CB8043D"/>
    <w:rsid w:val="3CB94BCA"/>
    <w:rsid w:val="3CC35212"/>
    <w:rsid w:val="3CC50225"/>
    <w:rsid w:val="3CD967E3"/>
    <w:rsid w:val="3CDE231E"/>
    <w:rsid w:val="3D245A63"/>
    <w:rsid w:val="3D254E4B"/>
    <w:rsid w:val="3D36346C"/>
    <w:rsid w:val="3D4269DA"/>
    <w:rsid w:val="3D430EA3"/>
    <w:rsid w:val="3D47560D"/>
    <w:rsid w:val="3D523BCD"/>
    <w:rsid w:val="3D645169"/>
    <w:rsid w:val="3D6933DE"/>
    <w:rsid w:val="3D7C3859"/>
    <w:rsid w:val="3D80607F"/>
    <w:rsid w:val="3D8F2120"/>
    <w:rsid w:val="3D8F30A0"/>
    <w:rsid w:val="3D982525"/>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315CE"/>
    <w:rsid w:val="3E5717D0"/>
    <w:rsid w:val="3E5E04B0"/>
    <w:rsid w:val="3E5F4189"/>
    <w:rsid w:val="3E6C1A3F"/>
    <w:rsid w:val="3E734A16"/>
    <w:rsid w:val="3E752133"/>
    <w:rsid w:val="3E7A5DA4"/>
    <w:rsid w:val="3E8F1850"/>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33F65"/>
    <w:rsid w:val="3F3917F4"/>
    <w:rsid w:val="3F397A0D"/>
    <w:rsid w:val="3F4A39C9"/>
    <w:rsid w:val="3F625E8E"/>
    <w:rsid w:val="3F6A673B"/>
    <w:rsid w:val="3F716AD8"/>
    <w:rsid w:val="3F757858"/>
    <w:rsid w:val="3F8C2A74"/>
    <w:rsid w:val="3FA70307"/>
    <w:rsid w:val="3FA70E1B"/>
    <w:rsid w:val="3FA7458E"/>
    <w:rsid w:val="3FB22390"/>
    <w:rsid w:val="3FBA180C"/>
    <w:rsid w:val="3FCF1529"/>
    <w:rsid w:val="3FDD2A57"/>
    <w:rsid w:val="3FE37E33"/>
    <w:rsid w:val="3FF027C2"/>
    <w:rsid w:val="3FF55C7D"/>
    <w:rsid w:val="3FF676AC"/>
    <w:rsid w:val="400E03CE"/>
    <w:rsid w:val="401171AD"/>
    <w:rsid w:val="401C4A76"/>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1D00F5"/>
    <w:rsid w:val="41292B74"/>
    <w:rsid w:val="41406E31"/>
    <w:rsid w:val="414E3836"/>
    <w:rsid w:val="41592854"/>
    <w:rsid w:val="41610FD0"/>
    <w:rsid w:val="416E516B"/>
    <w:rsid w:val="418812BB"/>
    <w:rsid w:val="418D4040"/>
    <w:rsid w:val="419E7FFC"/>
    <w:rsid w:val="419F3079"/>
    <w:rsid w:val="41AE3A67"/>
    <w:rsid w:val="41C95125"/>
    <w:rsid w:val="41D91034"/>
    <w:rsid w:val="41E27AF9"/>
    <w:rsid w:val="41EA02ED"/>
    <w:rsid w:val="42075BA1"/>
    <w:rsid w:val="4215282E"/>
    <w:rsid w:val="42166627"/>
    <w:rsid w:val="42225E0B"/>
    <w:rsid w:val="42383FB6"/>
    <w:rsid w:val="423D7815"/>
    <w:rsid w:val="4246491B"/>
    <w:rsid w:val="424F30C2"/>
    <w:rsid w:val="42591487"/>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A3C4A"/>
    <w:rsid w:val="435720D9"/>
    <w:rsid w:val="435D7A57"/>
    <w:rsid w:val="43615785"/>
    <w:rsid w:val="43732880"/>
    <w:rsid w:val="43865952"/>
    <w:rsid w:val="438F0BB0"/>
    <w:rsid w:val="43993170"/>
    <w:rsid w:val="43AF7095"/>
    <w:rsid w:val="43BF04EA"/>
    <w:rsid w:val="43C05A1E"/>
    <w:rsid w:val="43C755E8"/>
    <w:rsid w:val="43CF4932"/>
    <w:rsid w:val="43D22CDA"/>
    <w:rsid w:val="43D354DC"/>
    <w:rsid w:val="43E3106F"/>
    <w:rsid w:val="43F6451D"/>
    <w:rsid w:val="4405353A"/>
    <w:rsid w:val="44063CF3"/>
    <w:rsid w:val="44072973"/>
    <w:rsid w:val="44095C00"/>
    <w:rsid w:val="44117E2D"/>
    <w:rsid w:val="441822E7"/>
    <w:rsid w:val="442F13DF"/>
    <w:rsid w:val="443F72D5"/>
    <w:rsid w:val="44426345"/>
    <w:rsid w:val="444B2816"/>
    <w:rsid w:val="445279AA"/>
    <w:rsid w:val="4453331F"/>
    <w:rsid w:val="445F3A72"/>
    <w:rsid w:val="445F3A86"/>
    <w:rsid w:val="4478636B"/>
    <w:rsid w:val="447A0DB3"/>
    <w:rsid w:val="447B4624"/>
    <w:rsid w:val="447D2B53"/>
    <w:rsid w:val="4481712B"/>
    <w:rsid w:val="44901E7E"/>
    <w:rsid w:val="449F54A7"/>
    <w:rsid w:val="44A1052F"/>
    <w:rsid w:val="44B26298"/>
    <w:rsid w:val="44C93406"/>
    <w:rsid w:val="44D74994"/>
    <w:rsid w:val="44DD0E3B"/>
    <w:rsid w:val="44E67CEF"/>
    <w:rsid w:val="44F62875"/>
    <w:rsid w:val="44F75334"/>
    <w:rsid w:val="44FB02DC"/>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93028"/>
    <w:rsid w:val="468A02AD"/>
    <w:rsid w:val="468B3DD1"/>
    <w:rsid w:val="469043B7"/>
    <w:rsid w:val="46BF4C9C"/>
    <w:rsid w:val="46C936C8"/>
    <w:rsid w:val="46CB1893"/>
    <w:rsid w:val="46CC37DC"/>
    <w:rsid w:val="46D87DE5"/>
    <w:rsid w:val="46E556A4"/>
    <w:rsid w:val="46E97F6B"/>
    <w:rsid w:val="46EA25E1"/>
    <w:rsid w:val="46EB1077"/>
    <w:rsid w:val="46F34946"/>
    <w:rsid w:val="470C2558"/>
    <w:rsid w:val="472127B7"/>
    <w:rsid w:val="472165B7"/>
    <w:rsid w:val="47277064"/>
    <w:rsid w:val="47323C17"/>
    <w:rsid w:val="4743767B"/>
    <w:rsid w:val="474C305D"/>
    <w:rsid w:val="474E29C1"/>
    <w:rsid w:val="475569C5"/>
    <w:rsid w:val="475A49C5"/>
    <w:rsid w:val="475E44B5"/>
    <w:rsid w:val="476121D8"/>
    <w:rsid w:val="476A063C"/>
    <w:rsid w:val="476C2E00"/>
    <w:rsid w:val="477C748E"/>
    <w:rsid w:val="478A7058"/>
    <w:rsid w:val="47941208"/>
    <w:rsid w:val="47A101B2"/>
    <w:rsid w:val="47AB5220"/>
    <w:rsid w:val="47BF2852"/>
    <w:rsid w:val="47BF386C"/>
    <w:rsid w:val="47C02A7A"/>
    <w:rsid w:val="47C3256A"/>
    <w:rsid w:val="47C95C6C"/>
    <w:rsid w:val="47EC7022"/>
    <w:rsid w:val="47FC7940"/>
    <w:rsid w:val="48030B33"/>
    <w:rsid w:val="48046015"/>
    <w:rsid w:val="480E7E06"/>
    <w:rsid w:val="4819316F"/>
    <w:rsid w:val="482F5E51"/>
    <w:rsid w:val="48384D06"/>
    <w:rsid w:val="483F125D"/>
    <w:rsid w:val="48580B32"/>
    <w:rsid w:val="485A1120"/>
    <w:rsid w:val="485B43A9"/>
    <w:rsid w:val="48635024"/>
    <w:rsid w:val="486C0E54"/>
    <w:rsid w:val="487B675C"/>
    <w:rsid w:val="48954DA6"/>
    <w:rsid w:val="48A95C04"/>
    <w:rsid w:val="48B22238"/>
    <w:rsid w:val="48B33076"/>
    <w:rsid w:val="48C4330A"/>
    <w:rsid w:val="48D55EB3"/>
    <w:rsid w:val="48D9727C"/>
    <w:rsid w:val="48DA0701"/>
    <w:rsid w:val="48DF324A"/>
    <w:rsid w:val="48E052EC"/>
    <w:rsid w:val="48E65AEE"/>
    <w:rsid w:val="48F50E49"/>
    <w:rsid w:val="48F80CE7"/>
    <w:rsid w:val="49096FCD"/>
    <w:rsid w:val="491B0811"/>
    <w:rsid w:val="491D7C08"/>
    <w:rsid w:val="494625B6"/>
    <w:rsid w:val="49507E2D"/>
    <w:rsid w:val="49512BB1"/>
    <w:rsid w:val="495E0009"/>
    <w:rsid w:val="49641F5D"/>
    <w:rsid w:val="49666B6B"/>
    <w:rsid w:val="496F2CCC"/>
    <w:rsid w:val="498F64FC"/>
    <w:rsid w:val="49AD1724"/>
    <w:rsid w:val="49B21663"/>
    <w:rsid w:val="49BE7E39"/>
    <w:rsid w:val="49C40005"/>
    <w:rsid w:val="49C65419"/>
    <w:rsid w:val="49D04BAB"/>
    <w:rsid w:val="49E07403"/>
    <w:rsid w:val="49EA0282"/>
    <w:rsid w:val="49EA17C4"/>
    <w:rsid w:val="49EF440A"/>
    <w:rsid w:val="4A194EA5"/>
    <w:rsid w:val="4A1A2F12"/>
    <w:rsid w:val="4A2B55B2"/>
    <w:rsid w:val="4A2C7C77"/>
    <w:rsid w:val="4A321C6F"/>
    <w:rsid w:val="4A366D8C"/>
    <w:rsid w:val="4A375709"/>
    <w:rsid w:val="4A454E53"/>
    <w:rsid w:val="4A475BFC"/>
    <w:rsid w:val="4A484FA8"/>
    <w:rsid w:val="4A4E1094"/>
    <w:rsid w:val="4A561717"/>
    <w:rsid w:val="4A5971B6"/>
    <w:rsid w:val="4A5D3269"/>
    <w:rsid w:val="4A606796"/>
    <w:rsid w:val="4A717D8F"/>
    <w:rsid w:val="4A7D0F83"/>
    <w:rsid w:val="4A834A22"/>
    <w:rsid w:val="4A8815D3"/>
    <w:rsid w:val="4A9454F9"/>
    <w:rsid w:val="4A972DF7"/>
    <w:rsid w:val="4A992274"/>
    <w:rsid w:val="4AA77F21"/>
    <w:rsid w:val="4AAA2276"/>
    <w:rsid w:val="4AB12CDE"/>
    <w:rsid w:val="4AB26AE1"/>
    <w:rsid w:val="4AB64534"/>
    <w:rsid w:val="4ABD14F2"/>
    <w:rsid w:val="4AC66642"/>
    <w:rsid w:val="4AC87549"/>
    <w:rsid w:val="4AD37353"/>
    <w:rsid w:val="4ADC6651"/>
    <w:rsid w:val="4AE2340C"/>
    <w:rsid w:val="4AE72A13"/>
    <w:rsid w:val="4AFF6999"/>
    <w:rsid w:val="4B0E61F2"/>
    <w:rsid w:val="4B21257E"/>
    <w:rsid w:val="4B290FE3"/>
    <w:rsid w:val="4B295DF2"/>
    <w:rsid w:val="4B322207"/>
    <w:rsid w:val="4B3B5793"/>
    <w:rsid w:val="4B58050B"/>
    <w:rsid w:val="4B5A25F7"/>
    <w:rsid w:val="4B6A0768"/>
    <w:rsid w:val="4B6B0CBD"/>
    <w:rsid w:val="4B6C7334"/>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800A2A"/>
    <w:rsid w:val="4C88081B"/>
    <w:rsid w:val="4C8872A2"/>
    <w:rsid w:val="4C9C19F3"/>
    <w:rsid w:val="4CA47183"/>
    <w:rsid w:val="4CB7606E"/>
    <w:rsid w:val="4CD41741"/>
    <w:rsid w:val="4CDA2830"/>
    <w:rsid w:val="4CDE1861"/>
    <w:rsid w:val="4CF745DE"/>
    <w:rsid w:val="4CFC57E0"/>
    <w:rsid w:val="4D087B01"/>
    <w:rsid w:val="4D0B58BC"/>
    <w:rsid w:val="4D0C050F"/>
    <w:rsid w:val="4D0C2AD5"/>
    <w:rsid w:val="4D1F46E6"/>
    <w:rsid w:val="4D2059FA"/>
    <w:rsid w:val="4D2E3574"/>
    <w:rsid w:val="4D432919"/>
    <w:rsid w:val="4D451B18"/>
    <w:rsid w:val="4D4D5AFE"/>
    <w:rsid w:val="4D502AF2"/>
    <w:rsid w:val="4D5C07F9"/>
    <w:rsid w:val="4D755736"/>
    <w:rsid w:val="4D786533"/>
    <w:rsid w:val="4DAC0A3B"/>
    <w:rsid w:val="4DB92102"/>
    <w:rsid w:val="4DBA3E20"/>
    <w:rsid w:val="4DBC5B64"/>
    <w:rsid w:val="4DC679DB"/>
    <w:rsid w:val="4DE61D12"/>
    <w:rsid w:val="4DF1146E"/>
    <w:rsid w:val="4DF53699"/>
    <w:rsid w:val="4DF82017"/>
    <w:rsid w:val="4DFF4A01"/>
    <w:rsid w:val="4E0E661C"/>
    <w:rsid w:val="4E1E3790"/>
    <w:rsid w:val="4E2E44B5"/>
    <w:rsid w:val="4E4C57ED"/>
    <w:rsid w:val="4E5505A6"/>
    <w:rsid w:val="4E811169"/>
    <w:rsid w:val="4E820BD8"/>
    <w:rsid w:val="4E874C8C"/>
    <w:rsid w:val="4E8D729C"/>
    <w:rsid w:val="4E8E1C0C"/>
    <w:rsid w:val="4E9609D8"/>
    <w:rsid w:val="4E9764FE"/>
    <w:rsid w:val="4E98004C"/>
    <w:rsid w:val="4E9C58C3"/>
    <w:rsid w:val="4EA5208F"/>
    <w:rsid w:val="4EAC01FC"/>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86D37"/>
    <w:rsid w:val="4F7914EF"/>
    <w:rsid w:val="4F7E60F0"/>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05095"/>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651BB"/>
    <w:rsid w:val="50BC2B26"/>
    <w:rsid w:val="50BE1984"/>
    <w:rsid w:val="50D141C6"/>
    <w:rsid w:val="50D94FDD"/>
    <w:rsid w:val="50F115EA"/>
    <w:rsid w:val="50F72C9C"/>
    <w:rsid w:val="50FC0DB6"/>
    <w:rsid w:val="511107EA"/>
    <w:rsid w:val="511300BE"/>
    <w:rsid w:val="511F2007"/>
    <w:rsid w:val="51271E2F"/>
    <w:rsid w:val="51324BC3"/>
    <w:rsid w:val="51342CAA"/>
    <w:rsid w:val="51366F32"/>
    <w:rsid w:val="51406A38"/>
    <w:rsid w:val="514B4E4E"/>
    <w:rsid w:val="516578E1"/>
    <w:rsid w:val="517174DB"/>
    <w:rsid w:val="518049FF"/>
    <w:rsid w:val="51932FAD"/>
    <w:rsid w:val="51A03A83"/>
    <w:rsid w:val="51A06E66"/>
    <w:rsid w:val="51A81966"/>
    <w:rsid w:val="51AF590D"/>
    <w:rsid w:val="51B475E9"/>
    <w:rsid w:val="51BA020E"/>
    <w:rsid w:val="51C05FF6"/>
    <w:rsid w:val="51C32097"/>
    <w:rsid w:val="51D135DE"/>
    <w:rsid w:val="51DF4444"/>
    <w:rsid w:val="51ED6B61"/>
    <w:rsid w:val="51F65295"/>
    <w:rsid w:val="51F872B4"/>
    <w:rsid w:val="51FD3DB6"/>
    <w:rsid w:val="52097713"/>
    <w:rsid w:val="520C3BB6"/>
    <w:rsid w:val="52252174"/>
    <w:rsid w:val="52295AE6"/>
    <w:rsid w:val="522D0E7F"/>
    <w:rsid w:val="523636A7"/>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A12"/>
    <w:rsid w:val="53346B96"/>
    <w:rsid w:val="53456529"/>
    <w:rsid w:val="535D5DC8"/>
    <w:rsid w:val="537961D3"/>
    <w:rsid w:val="537A3167"/>
    <w:rsid w:val="537D2360"/>
    <w:rsid w:val="53811E50"/>
    <w:rsid w:val="5393482C"/>
    <w:rsid w:val="53B22465"/>
    <w:rsid w:val="53B45F49"/>
    <w:rsid w:val="53B72F65"/>
    <w:rsid w:val="53BE3989"/>
    <w:rsid w:val="53D31D7C"/>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72DB4"/>
    <w:rsid w:val="549D6C55"/>
    <w:rsid w:val="54CA07F6"/>
    <w:rsid w:val="54E979F3"/>
    <w:rsid w:val="54EF0774"/>
    <w:rsid w:val="54F2448F"/>
    <w:rsid w:val="54FE2E33"/>
    <w:rsid w:val="54FF3EA3"/>
    <w:rsid w:val="550B2DC8"/>
    <w:rsid w:val="551E1403"/>
    <w:rsid w:val="552038EC"/>
    <w:rsid w:val="5520724E"/>
    <w:rsid w:val="552A00CC"/>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740DC7"/>
    <w:rsid w:val="56753961"/>
    <w:rsid w:val="5677558B"/>
    <w:rsid w:val="569C2904"/>
    <w:rsid w:val="56AA3219"/>
    <w:rsid w:val="56B7174F"/>
    <w:rsid w:val="56CF2574"/>
    <w:rsid w:val="56CF424D"/>
    <w:rsid w:val="56DE4C00"/>
    <w:rsid w:val="570847EE"/>
    <w:rsid w:val="57212E09"/>
    <w:rsid w:val="572763D8"/>
    <w:rsid w:val="57297951"/>
    <w:rsid w:val="573270B5"/>
    <w:rsid w:val="57331689"/>
    <w:rsid w:val="57443B56"/>
    <w:rsid w:val="57614844"/>
    <w:rsid w:val="57664CC0"/>
    <w:rsid w:val="576A00D2"/>
    <w:rsid w:val="576A530D"/>
    <w:rsid w:val="57971A40"/>
    <w:rsid w:val="579E4D2D"/>
    <w:rsid w:val="57A24175"/>
    <w:rsid w:val="57B75717"/>
    <w:rsid w:val="57B91378"/>
    <w:rsid w:val="57C470D2"/>
    <w:rsid w:val="57C77E19"/>
    <w:rsid w:val="57CA488B"/>
    <w:rsid w:val="57DA0118"/>
    <w:rsid w:val="57DB3900"/>
    <w:rsid w:val="57DB47FB"/>
    <w:rsid w:val="57F131F8"/>
    <w:rsid w:val="57FB18AC"/>
    <w:rsid w:val="580619A4"/>
    <w:rsid w:val="580846BB"/>
    <w:rsid w:val="5816050F"/>
    <w:rsid w:val="581D5CC6"/>
    <w:rsid w:val="58205F1A"/>
    <w:rsid w:val="582468CD"/>
    <w:rsid w:val="582840C5"/>
    <w:rsid w:val="583074F9"/>
    <w:rsid w:val="583515AC"/>
    <w:rsid w:val="584B45E2"/>
    <w:rsid w:val="584C2587"/>
    <w:rsid w:val="585127AA"/>
    <w:rsid w:val="585D5314"/>
    <w:rsid w:val="58603D47"/>
    <w:rsid w:val="58660CE3"/>
    <w:rsid w:val="58743A0C"/>
    <w:rsid w:val="58795D80"/>
    <w:rsid w:val="58A76791"/>
    <w:rsid w:val="58BB3CCE"/>
    <w:rsid w:val="58C97BB5"/>
    <w:rsid w:val="58CD3249"/>
    <w:rsid w:val="58DE0E81"/>
    <w:rsid w:val="58E14F7F"/>
    <w:rsid w:val="59125866"/>
    <w:rsid w:val="5915352F"/>
    <w:rsid w:val="59183E6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8976A2"/>
    <w:rsid w:val="59A5117A"/>
    <w:rsid w:val="59A937D5"/>
    <w:rsid w:val="59BA6CB3"/>
    <w:rsid w:val="59BA6CC4"/>
    <w:rsid w:val="59BF6EE5"/>
    <w:rsid w:val="59C75EEA"/>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1122D"/>
    <w:rsid w:val="5AE8436A"/>
    <w:rsid w:val="5AF80AC2"/>
    <w:rsid w:val="5AFE3E43"/>
    <w:rsid w:val="5B072DB6"/>
    <w:rsid w:val="5B19492B"/>
    <w:rsid w:val="5B233465"/>
    <w:rsid w:val="5B2630E4"/>
    <w:rsid w:val="5B506B61"/>
    <w:rsid w:val="5B5F0F2E"/>
    <w:rsid w:val="5B667984"/>
    <w:rsid w:val="5B6B796C"/>
    <w:rsid w:val="5B7C0F56"/>
    <w:rsid w:val="5B8F78B9"/>
    <w:rsid w:val="5B9808C1"/>
    <w:rsid w:val="5BA32ED4"/>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46513"/>
    <w:rsid w:val="5CA51446"/>
    <w:rsid w:val="5CA57080"/>
    <w:rsid w:val="5CA77E21"/>
    <w:rsid w:val="5CAF0BE0"/>
    <w:rsid w:val="5CB458BA"/>
    <w:rsid w:val="5CDC782C"/>
    <w:rsid w:val="5CDF3569"/>
    <w:rsid w:val="5CE23DAC"/>
    <w:rsid w:val="5CE73917"/>
    <w:rsid w:val="5D0A73AF"/>
    <w:rsid w:val="5D120F26"/>
    <w:rsid w:val="5D1F603D"/>
    <w:rsid w:val="5D376039"/>
    <w:rsid w:val="5D3E31E9"/>
    <w:rsid w:val="5D436E42"/>
    <w:rsid w:val="5D63667B"/>
    <w:rsid w:val="5D6F2EDA"/>
    <w:rsid w:val="5D753EAF"/>
    <w:rsid w:val="5D783847"/>
    <w:rsid w:val="5D83037A"/>
    <w:rsid w:val="5D9941C1"/>
    <w:rsid w:val="5DA570B1"/>
    <w:rsid w:val="5DA92832"/>
    <w:rsid w:val="5DAE502B"/>
    <w:rsid w:val="5DB466F3"/>
    <w:rsid w:val="5DB915F2"/>
    <w:rsid w:val="5DBC60F3"/>
    <w:rsid w:val="5DCB1D21"/>
    <w:rsid w:val="5DCD5A99"/>
    <w:rsid w:val="5DDA5440"/>
    <w:rsid w:val="5DDD5947"/>
    <w:rsid w:val="5DDF393D"/>
    <w:rsid w:val="5DDF6E4E"/>
    <w:rsid w:val="5DF9688E"/>
    <w:rsid w:val="5DFA49E0"/>
    <w:rsid w:val="5E1D0F80"/>
    <w:rsid w:val="5E1F3B6D"/>
    <w:rsid w:val="5E224037"/>
    <w:rsid w:val="5E352C38"/>
    <w:rsid w:val="5E3E40FF"/>
    <w:rsid w:val="5E40706E"/>
    <w:rsid w:val="5E4C1080"/>
    <w:rsid w:val="5E4E1C8A"/>
    <w:rsid w:val="5E4F4071"/>
    <w:rsid w:val="5E5B6D6D"/>
    <w:rsid w:val="5E5D7A78"/>
    <w:rsid w:val="5E6006BB"/>
    <w:rsid w:val="5E7833A1"/>
    <w:rsid w:val="5E8274BA"/>
    <w:rsid w:val="5E84136F"/>
    <w:rsid w:val="5E8530EF"/>
    <w:rsid w:val="5EA06D09"/>
    <w:rsid w:val="5EA53C9A"/>
    <w:rsid w:val="5EB822A5"/>
    <w:rsid w:val="5EBC7F37"/>
    <w:rsid w:val="5ECE7D1A"/>
    <w:rsid w:val="5ED36C86"/>
    <w:rsid w:val="5EDA60B0"/>
    <w:rsid w:val="5EE35A57"/>
    <w:rsid w:val="5EFC2E4E"/>
    <w:rsid w:val="5F1645A7"/>
    <w:rsid w:val="5F49114F"/>
    <w:rsid w:val="5F6A54DD"/>
    <w:rsid w:val="5F724B4A"/>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B151FE"/>
    <w:rsid w:val="60C53D01"/>
    <w:rsid w:val="60C9018D"/>
    <w:rsid w:val="60DA12FD"/>
    <w:rsid w:val="61012C93"/>
    <w:rsid w:val="61053FC5"/>
    <w:rsid w:val="610C088E"/>
    <w:rsid w:val="610C1F3F"/>
    <w:rsid w:val="61465D10"/>
    <w:rsid w:val="614A03E6"/>
    <w:rsid w:val="61531A50"/>
    <w:rsid w:val="61532201"/>
    <w:rsid w:val="615838CB"/>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33F8D"/>
    <w:rsid w:val="61F4426B"/>
    <w:rsid w:val="61F83805"/>
    <w:rsid w:val="62022776"/>
    <w:rsid w:val="6205764C"/>
    <w:rsid w:val="62065A1D"/>
    <w:rsid w:val="621F13DC"/>
    <w:rsid w:val="62256C85"/>
    <w:rsid w:val="623600B0"/>
    <w:rsid w:val="62562501"/>
    <w:rsid w:val="6256299E"/>
    <w:rsid w:val="62574D95"/>
    <w:rsid w:val="62583769"/>
    <w:rsid w:val="62586747"/>
    <w:rsid w:val="626C60B7"/>
    <w:rsid w:val="62746498"/>
    <w:rsid w:val="627A6223"/>
    <w:rsid w:val="62922E0D"/>
    <w:rsid w:val="62982A5C"/>
    <w:rsid w:val="62CB6D60"/>
    <w:rsid w:val="62E358B2"/>
    <w:rsid w:val="62EA49F7"/>
    <w:rsid w:val="62F154C5"/>
    <w:rsid w:val="62FD0A5D"/>
    <w:rsid w:val="63162338"/>
    <w:rsid w:val="632036E4"/>
    <w:rsid w:val="63232EB3"/>
    <w:rsid w:val="63267478"/>
    <w:rsid w:val="633D315E"/>
    <w:rsid w:val="63504ABF"/>
    <w:rsid w:val="63517786"/>
    <w:rsid w:val="636447A9"/>
    <w:rsid w:val="637052D7"/>
    <w:rsid w:val="638438AF"/>
    <w:rsid w:val="6388739F"/>
    <w:rsid w:val="6389099E"/>
    <w:rsid w:val="63894210"/>
    <w:rsid w:val="63954DAA"/>
    <w:rsid w:val="639E415F"/>
    <w:rsid w:val="63C74AA3"/>
    <w:rsid w:val="63D87748"/>
    <w:rsid w:val="63DE2EEF"/>
    <w:rsid w:val="63E8362C"/>
    <w:rsid w:val="63F16145"/>
    <w:rsid w:val="64024CFF"/>
    <w:rsid w:val="64090D72"/>
    <w:rsid w:val="641D22DD"/>
    <w:rsid w:val="64426DE8"/>
    <w:rsid w:val="645B3151"/>
    <w:rsid w:val="646A170C"/>
    <w:rsid w:val="646F3D49"/>
    <w:rsid w:val="64701038"/>
    <w:rsid w:val="64722EF6"/>
    <w:rsid w:val="64797A3F"/>
    <w:rsid w:val="647B4B09"/>
    <w:rsid w:val="647B6F79"/>
    <w:rsid w:val="64815AEE"/>
    <w:rsid w:val="648937A8"/>
    <w:rsid w:val="648B1BA9"/>
    <w:rsid w:val="648D0F64"/>
    <w:rsid w:val="64907D0F"/>
    <w:rsid w:val="649449E8"/>
    <w:rsid w:val="649D5D6D"/>
    <w:rsid w:val="64A9391A"/>
    <w:rsid w:val="64AF7CA6"/>
    <w:rsid w:val="64C455F4"/>
    <w:rsid w:val="64D77B16"/>
    <w:rsid w:val="64F55A2C"/>
    <w:rsid w:val="64F953C5"/>
    <w:rsid w:val="651B533C"/>
    <w:rsid w:val="651E27DC"/>
    <w:rsid w:val="65206DF6"/>
    <w:rsid w:val="65291D8F"/>
    <w:rsid w:val="65570D94"/>
    <w:rsid w:val="655774EE"/>
    <w:rsid w:val="65736F26"/>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A4795"/>
    <w:rsid w:val="66AF1795"/>
    <w:rsid w:val="66B07CC1"/>
    <w:rsid w:val="66B14B24"/>
    <w:rsid w:val="66B27D18"/>
    <w:rsid w:val="66BA3EC8"/>
    <w:rsid w:val="66D1442C"/>
    <w:rsid w:val="66D47E7F"/>
    <w:rsid w:val="66D64E5B"/>
    <w:rsid w:val="66DD089D"/>
    <w:rsid w:val="66DD4F9F"/>
    <w:rsid w:val="66DE592A"/>
    <w:rsid w:val="66E63727"/>
    <w:rsid w:val="66F0016C"/>
    <w:rsid w:val="66FA0812"/>
    <w:rsid w:val="66FB2BD0"/>
    <w:rsid w:val="66FC2971"/>
    <w:rsid w:val="670008EB"/>
    <w:rsid w:val="67103ED9"/>
    <w:rsid w:val="67262B05"/>
    <w:rsid w:val="672C7CD4"/>
    <w:rsid w:val="6732696D"/>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D46A71"/>
    <w:rsid w:val="68D56910"/>
    <w:rsid w:val="68EF70C5"/>
    <w:rsid w:val="68F22D9F"/>
    <w:rsid w:val="69162C86"/>
    <w:rsid w:val="69180AD7"/>
    <w:rsid w:val="69214083"/>
    <w:rsid w:val="69313380"/>
    <w:rsid w:val="69456B9A"/>
    <w:rsid w:val="69481344"/>
    <w:rsid w:val="695700E3"/>
    <w:rsid w:val="6980516E"/>
    <w:rsid w:val="698B51FD"/>
    <w:rsid w:val="699024A8"/>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4F12CD"/>
    <w:rsid w:val="6A503532"/>
    <w:rsid w:val="6A5D65D9"/>
    <w:rsid w:val="6A653139"/>
    <w:rsid w:val="6A6908F7"/>
    <w:rsid w:val="6A722F0B"/>
    <w:rsid w:val="6A7A4D5B"/>
    <w:rsid w:val="6A7E7518"/>
    <w:rsid w:val="6A825953"/>
    <w:rsid w:val="6A881C38"/>
    <w:rsid w:val="6A8A11E6"/>
    <w:rsid w:val="6A8B2F63"/>
    <w:rsid w:val="6A955B90"/>
    <w:rsid w:val="6A9C6F1F"/>
    <w:rsid w:val="6AA85E77"/>
    <w:rsid w:val="6AC034F3"/>
    <w:rsid w:val="6AC96987"/>
    <w:rsid w:val="6AD24017"/>
    <w:rsid w:val="6AD42C61"/>
    <w:rsid w:val="6AE14092"/>
    <w:rsid w:val="6AEA323D"/>
    <w:rsid w:val="6AF07997"/>
    <w:rsid w:val="6AF5032D"/>
    <w:rsid w:val="6AFB2812"/>
    <w:rsid w:val="6AFF182D"/>
    <w:rsid w:val="6B032C8C"/>
    <w:rsid w:val="6B0F64B4"/>
    <w:rsid w:val="6B243303"/>
    <w:rsid w:val="6B286A04"/>
    <w:rsid w:val="6B351D0A"/>
    <w:rsid w:val="6B3569BE"/>
    <w:rsid w:val="6B3A1CE8"/>
    <w:rsid w:val="6B3E4E41"/>
    <w:rsid w:val="6B453112"/>
    <w:rsid w:val="6B462B1F"/>
    <w:rsid w:val="6B4D49EF"/>
    <w:rsid w:val="6B556078"/>
    <w:rsid w:val="6B565CD0"/>
    <w:rsid w:val="6B68013D"/>
    <w:rsid w:val="6B7022D0"/>
    <w:rsid w:val="6B7B5422"/>
    <w:rsid w:val="6B852192"/>
    <w:rsid w:val="6B925A32"/>
    <w:rsid w:val="6B9C4F5E"/>
    <w:rsid w:val="6BA92B5A"/>
    <w:rsid w:val="6BB42760"/>
    <w:rsid w:val="6BD37065"/>
    <w:rsid w:val="6BDB3A77"/>
    <w:rsid w:val="6BE13B5E"/>
    <w:rsid w:val="6BE31674"/>
    <w:rsid w:val="6BE95EA9"/>
    <w:rsid w:val="6BEA6094"/>
    <w:rsid w:val="6C114575"/>
    <w:rsid w:val="6C2A7712"/>
    <w:rsid w:val="6C3E2214"/>
    <w:rsid w:val="6C427652"/>
    <w:rsid w:val="6C4D48CD"/>
    <w:rsid w:val="6C5F6456"/>
    <w:rsid w:val="6C643A6C"/>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0C170B"/>
    <w:rsid w:val="6E25722B"/>
    <w:rsid w:val="6E315BD0"/>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AA5FFD"/>
    <w:rsid w:val="6FB37BE5"/>
    <w:rsid w:val="6FBB1BF5"/>
    <w:rsid w:val="6FC2450B"/>
    <w:rsid w:val="6FC7059A"/>
    <w:rsid w:val="6FCA64CD"/>
    <w:rsid w:val="6FE112C4"/>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2697"/>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3637B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8922C2"/>
    <w:rsid w:val="74957A1D"/>
    <w:rsid w:val="74976F8C"/>
    <w:rsid w:val="749A7D0E"/>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30F1E"/>
    <w:rsid w:val="759D26FD"/>
    <w:rsid w:val="75A847A4"/>
    <w:rsid w:val="75BA7DC9"/>
    <w:rsid w:val="75C158E1"/>
    <w:rsid w:val="75D75BBF"/>
    <w:rsid w:val="75F25C45"/>
    <w:rsid w:val="75F8173D"/>
    <w:rsid w:val="75FE15A4"/>
    <w:rsid w:val="76027B21"/>
    <w:rsid w:val="76087EFE"/>
    <w:rsid w:val="76157B85"/>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7606F"/>
    <w:rsid w:val="768E7AAD"/>
    <w:rsid w:val="7696026B"/>
    <w:rsid w:val="769D37DC"/>
    <w:rsid w:val="76AD1FDF"/>
    <w:rsid w:val="76AF483A"/>
    <w:rsid w:val="76B86E58"/>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AA2807"/>
    <w:rsid w:val="78B20233"/>
    <w:rsid w:val="78D12FAA"/>
    <w:rsid w:val="78D855C6"/>
    <w:rsid w:val="78FC0536"/>
    <w:rsid w:val="78FE7954"/>
    <w:rsid w:val="792C4CC9"/>
    <w:rsid w:val="79315979"/>
    <w:rsid w:val="79424F4F"/>
    <w:rsid w:val="795831E5"/>
    <w:rsid w:val="795A5FDB"/>
    <w:rsid w:val="796E7E54"/>
    <w:rsid w:val="79756315"/>
    <w:rsid w:val="79765CDA"/>
    <w:rsid w:val="797C76D7"/>
    <w:rsid w:val="798B6ADC"/>
    <w:rsid w:val="79971D97"/>
    <w:rsid w:val="79A47621"/>
    <w:rsid w:val="79AA18D2"/>
    <w:rsid w:val="79AB6836"/>
    <w:rsid w:val="79C56A19"/>
    <w:rsid w:val="79D957CA"/>
    <w:rsid w:val="79DA621C"/>
    <w:rsid w:val="79E56BF4"/>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2A3D4A"/>
    <w:rsid w:val="7B332F87"/>
    <w:rsid w:val="7B334D35"/>
    <w:rsid w:val="7B36137C"/>
    <w:rsid w:val="7B3A2568"/>
    <w:rsid w:val="7B486307"/>
    <w:rsid w:val="7B51165F"/>
    <w:rsid w:val="7B6F5B5B"/>
    <w:rsid w:val="7B7415FA"/>
    <w:rsid w:val="7B765886"/>
    <w:rsid w:val="7B7C4D25"/>
    <w:rsid w:val="7B893C25"/>
    <w:rsid w:val="7B8B5C40"/>
    <w:rsid w:val="7B90640C"/>
    <w:rsid w:val="7B922E29"/>
    <w:rsid w:val="7B98728E"/>
    <w:rsid w:val="7BAB0D70"/>
    <w:rsid w:val="7BBC11CF"/>
    <w:rsid w:val="7BBF79A8"/>
    <w:rsid w:val="7BC24F1F"/>
    <w:rsid w:val="7BE129E3"/>
    <w:rsid w:val="7BE23EB3"/>
    <w:rsid w:val="7BE81FC4"/>
    <w:rsid w:val="7BE91898"/>
    <w:rsid w:val="7BF72207"/>
    <w:rsid w:val="7C161B08"/>
    <w:rsid w:val="7C3A2FA7"/>
    <w:rsid w:val="7C541407"/>
    <w:rsid w:val="7C5840BF"/>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0DA7"/>
    <w:rsid w:val="7D4F1BCF"/>
    <w:rsid w:val="7D533A52"/>
    <w:rsid w:val="7D5B43D0"/>
    <w:rsid w:val="7D5B67C5"/>
    <w:rsid w:val="7D6243C6"/>
    <w:rsid w:val="7D76523E"/>
    <w:rsid w:val="7D78086B"/>
    <w:rsid w:val="7D781E69"/>
    <w:rsid w:val="7D7B5075"/>
    <w:rsid w:val="7D832173"/>
    <w:rsid w:val="7D8A3C14"/>
    <w:rsid w:val="7D8C5B06"/>
    <w:rsid w:val="7D934401"/>
    <w:rsid w:val="7D953960"/>
    <w:rsid w:val="7D961406"/>
    <w:rsid w:val="7DA05D3C"/>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B47F46"/>
    <w:rsid w:val="7EB94600"/>
    <w:rsid w:val="7ECE52DF"/>
    <w:rsid w:val="7ECF7C45"/>
    <w:rsid w:val="7ED82860"/>
    <w:rsid w:val="7EED4BDD"/>
    <w:rsid w:val="7EF45DB1"/>
    <w:rsid w:val="7EFD2358"/>
    <w:rsid w:val="7EFF5324"/>
    <w:rsid w:val="7F03165A"/>
    <w:rsid w:val="7F077A20"/>
    <w:rsid w:val="7F077BC2"/>
    <w:rsid w:val="7F09267A"/>
    <w:rsid w:val="7F1A681E"/>
    <w:rsid w:val="7F2B23E6"/>
    <w:rsid w:val="7F2B4123"/>
    <w:rsid w:val="7F2C666B"/>
    <w:rsid w:val="7F3426C9"/>
    <w:rsid w:val="7F3E0944"/>
    <w:rsid w:val="7F3E5DC7"/>
    <w:rsid w:val="7F437894"/>
    <w:rsid w:val="7F556AC1"/>
    <w:rsid w:val="7F5C2ED4"/>
    <w:rsid w:val="7F5E061E"/>
    <w:rsid w:val="7F643B5C"/>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autoRedefine/>
    <w:qFormat/>
    <w:uiPriority w:val="0"/>
    <w:pPr>
      <w:keepNext/>
      <w:keepLines/>
      <w:spacing w:line="415" w:lineRule="auto"/>
      <w:outlineLvl w:val="2"/>
    </w:pPr>
    <w:rPr>
      <w:b/>
      <w:bCs/>
      <w:kern w:val="0"/>
      <w:sz w:val="32"/>
      <w:szCs w:val="32"/>
    </w:rPr>
  </w:style>
  <w:style w:type="paragraph" w:styleId="9">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6"/>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6"/>
    <w:autoRedefine/>
    <w:qFormat/>
    <w:uiPriority w:val="0"/>
    <w:pPr>
      <w:jc w:val="left"/>
    </w:pPr>
    <w:rPr>
      <w:rFonts w:ascii="黑体" w:hAnsi="黑体" w:eastAsia="黑体"/>
      <w:sz w:val="21"/>
    </w:rPr>
  </w:style>
  <w:style w:type="paragraph" w:customStyle="1" w:styleId="80">
    <w:name w:val="样式4"/>
    <w:basedOn w:val="8"/>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8"/>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8"/>
    <w:autoRedefine/>
    <w:qFormat/>
    <w:uiPriority w:val="0"/>
    <w:rPr>
      <w:rFonts w:eastAsia="Arial"/>
    </w:rPr>
  </w:style>
  <w:style w:type="paragraph" w:customStyle="1" w:styleId="98">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10"/>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8"/>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7"/>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 w:type="paragraph" w:customStyle="1" w:styleId="217">
    <w:name w:val="l正文"/>
    <w:basedOn w:val="1"/>
    <w:qFormat/>
    <w:uiPriority w:val="0"/>
    <w:pPr>
      <w:keepNext w:val="0"/>
      <w:keepLines w:val="0"/>
      <w:widowControl w:val="0"/>
      <w:suppressLineNumbers w:val="0"/>
      <w:spacing w:before="0" w:beforeAutospacing="0" w:after="0" w:afterAutospacing="0" w:line="300" w:lineRule="auto"/>
      <w:ind w:left="0" w:right="0" w:firstLine="200" w:firstLineChars="200"/>
      <w:jc w:val="both"/>
    </w:pPr>
    <w:rPr>
      <w:rFonts w:hint="eastAsia" w:ascii="楷体_GB2312" w:hAnsi="Times" w:eastAsia="楷体_GB2312"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85</Pages>
  <Words>225</Words>
  <Characters>255</Characters>
  <Lines>1</Lines>
  <Paragraphs>1</Paragraphs>
  <TotalTime>12</TotalTime>
  <ScaleCrop>false</ScaleCrop>
  <LinksUpToDate>false</LinksUpToDate>
  <CharactersWithSpaces>326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2026-06-08T00:45:26Z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3B9C75BDA2FF420B91E1C1DD7F991C2E_13</vt:lpwstr>
  </property>
  <property fmtid="{D5CDD505-2E9C-101B-9397-08002B2CF9AE}" pid="4" name="KSOTemplateDocerSaveRecord">
    <vt:lpwstr>eyJoZGlkIjoiZmI5ZDY5ZDNjMmE2ZDcxYTFkMDY0Zjg5Mjg3YTE0YTgiLCJ1c2VySWQiOiI1MDM3MjkwOTMifQ==</vt:lpwstr>
  </property>
</Properties>
</file>