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701FE8">
      <w:pPr>
        <w:keepNext w:val="0"/>
        <w:keepLines w:val="0"/>
        <w:widowControl/>
        <w:suppressLineNumbers w:val="0"/>
        <w:spacing w:before="0" w:beforeAutospacing="0" w:after="0" w:afterAutospacing="0" w:line="357" w:lineRule="atLeast"/>
        <w:ind w:left="0" w:right="0"/>
        <w:jc w:val="both"/>
        <w:rPr>
          <w:sz w:val="39"/>
          <w:szCs w:val="21"/>
          <w:highlight w:val="none"/>
          <w:lang w:val="en-US"/>
        </w:rPr>
      </w:pPr>
    </w:p>
    <w:p w14:paraId="1DB74014">
      <w:pPr>
        <w:keepNext w:val="0"/>
        <w:keepLines w:val="0"/>
        <w:widowControl/>
        <w:suppressLineNumbers w:val="0"/>
        <w:spacing w:before="0" w:beforeAutospacing="0" w:after="0" w:afterAutospacing="0" w:line="357" w:lineRule="atLeast"/>
        <w:ind w:left="0" w:right="0"/>
        <w:jc w:val="center"/>
        <w:rPr>
          <w:rFonts w:hint="eastAsia" w:ascii="Times New Roman" w:hAnsi="Times New Roman" w:eastAsia="宋体" w:cs="宋体"/>
          <w:b/>
          <w:bCs w:val="0"/>
          <w:color w:val="000000"/>
          <w:kern w:val="0"/>
          <w:sz w:val="48"/>
          <w:szCs w:val="28"/>
          <w:highlight w:val="none"/>
          <w:u w:color="000000"/>
          <w:lang w:val="en-US" w:eastAsia="zh-CN" w:bidi="ar"/>
        </w:rPr>
      </w:pPr>
    </w:p>
    <w:p w14:paraId="61A754CE">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
          <w:bCs w:val="0"/>
          <w:color w:val="000000"/>
          <w:kern w:val="0"/>
          <w:sz w:val="84"/>
          <w:szCs w:val="84"/>
          <w:highlight w:val="none"/>
          <w:u w:color="000000"/>
          <w:lang w:val="en-US" w:eastAsia="zh-CN" w:bidi="ar"/>
        </w:rPr>
      </w:pPr>
      <w:r>
        <w:rPr>
          <w:rFonts w:hint="eastAsia" w:ascii="Times New Roman" w:hAnsi="Times New Roman" w:eastAsia="宋体" w:cs="宋体"/>
          <w:b/>
          <w:bCs w:val="0"/>
          <w:color w:val="000000"/>
          <w:kern w:val="0"/>
          <w:sz w:val="48"/>
          <w:szCs w:val="28"/>
          <w:highlight w:val="none"/>
          <w:u w:color="000000"/>
          <w:lang w:val="en-US" w:eastAsia="zh-CN" w:bidi="ar"/>
        </w:rPr>
        <w:t>滁州至南京城际铁路（滁州段）一期管道防寒保温项目</w:t>
      </w:r>
    </w:p>
    <w:p w14:paraId="2CD5D2FB">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
          <w:bCs w:val="0"/>
          <w:color w:val="000000"/>
          <w:kern w:val="0"/>
          <w:sz w:val="84"/>
          <w:szCs w:val="84"/>
          <w:highlight w:val="none"/>
          <w:u w:color="000000"/>
          <w:lang w:val="en-US" w:eastAsia="zh-CN" w:bidi="ar"/>
        </w:rPr>
      </w:pPr>
    </w:p>
    <w:p w14:paraId="2E1271B7">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Cs/>
          <w:color w:val="0000FF"/>
          <w:sz w:val="28"/>
          <w:szCs w:val="28"/>
          <w:highlight w:val="none"/>
          <w:lang w:val="en-US"/>
        </w:rPr>
      </w:pPr>
      <w:r>
        <w:rPr>
          <w:rFonts w:hint="eastAsia" w:ascii="宋体" w:hAnsi="宋体" w:eastAsia="宋体" w:cs="宋体"/>
          <w:b/>
          <w:bCs w:val="0"/>
          <w:color w:val="000000"/>
          <w:kern w:val="0"/>
          <w:sz w:val="84"/>
          <w:szCs w:val="84"/>
          <w:highlight w:val="none"/>
          <w:u w:color="000000"/>
          <w:lang w:val="en-US" w:eastAsia="zh-CN" w:bidi="ar"/>
        </w:rPr>
        <w:t>招 标 文 件</w:t>
      </w:r>
    </w:p>
    <w:p w14:paraId="4D3A62A7">
      <w:pPr>
        <w:keepNext w:val="0"/>
        <w:keepLines w:val="0"/>
        <w:widowControl/>
        <w:suppressLineNumbers w:val="0"/>
        <w:spacing w:before="0" w:beforeAutospacing="0" w:after="0" w:afterAutospacing="0" w:line="357" w:lineRule="atLeast"/>
        <w:ind w:left="0" w:right="0" w:firstLine="2520" w:firstLineChars="900"/>
        <w:jc w:val="both"/>
        <w:rPr>
          <w:rFonts w:hint="eastAsia" w:ascii="宋体" w:hAnsi="宋体" w:eastAsia="宋体" w:cs="宋体"/>
          <w:highlight w:val="none"/>
          <w:lang w:val="en-US"/>
        </w:rPr>
      </w:pPr>
      <w:r>
        <w:rPr>
          <w:rFonts w:hint="eastAsia" w:ascii="宋体" w:hAnsi="宋体" w:eastAsia="宋体" w:cs="宋体"/>
          <w:bCs/>
          <w:color w:val="0000FF"/>
          <w:kern w:val="0"/>
          <w:sz w:val="28"/>
          <w:szCs w:val="28"/>
          <w:highlight w:val="none"/>
          <w:u w:color="000000"/>
          <w:lang w:val="en-US" w:eastAsia="zh-CN" w:bidi="ar"/>
        </w:rPr>
        <w:t xml:space="preserve">                 </w:t>
      </w:r>
    </w:p>
    <w:p w14:paraId="6551BB04">
      <w:pPr>
        <w:pStyle w:val="18"/>
        <w:widowControl/>
        <w:rPr>
          <w:highlight w:val="none"/>
          <w:lang w:val="en-US"/>
        </w:rPr>
      </w:pPr>
      <w:r>
        <w:rPr>
          <w:highlight w:val="none"/>
          <w:lang w:val="en-US"/>
        </w:rPr>
        <w:t xml:space="preserve"> </w:t>
      </w:r>
    </w:p>
    <w:p w14:paraId="2265E232">
      <w:pPr>
        <w:pStyle w:val="18"/>
        <w:widowControl/>
        <w:rPr>
          <w:highlight w:val="none"/>
          <w:lang w:val="en-US"/>
        </w:rPr>
      </w:pPr>
      <w:r>
        <w:rPr>
          <w:highlight w:val="none"/>
          <w:lang w:val="en-US"/>
        </w:rPr>
        <w:t xml:space="preserve"> </w:t>
      </w:r>
    </w:p>
    <w:p w14:paraId="313CB13E">
      <w:pPr>
        <w:pStyle w:val="18"/>
        <w:widowControl/>
        <w:rPr>
          <w:highlight w:val="none"/>
          <w:lang w:val="en-US"/>
        </w:rPr>
      </w:pPr>
      <w:r>
        <w:rPr>
          <w:highlight w:val="none"/>
          <w:lang w:val="en-US"/>
        </w:rPr>
        <w:t xml:space="preserve"> </w:t>
      </w:r>
    </w:p>
    <w:p w14:paraId="15F020CD">
      <w:pPr>
        <w:pStyle w:val="18"/>
        <w:widowControl/>
        <w:rPr>
          <w:highlight w:val="none"/>
          <w:lang w:val="en-US"/>
        </w:rPr>
      </w:pPr>
      <w:r>
        <w:rPr>
          <w:highlight w:val="none"/>
          <w:lang w:val="en-US"/>
        </w:rPr>
        <w:t xml:space="preserve"> </w:t>
      </w:r>
    </w:p>
    <w:p w14:paraId="13060FF7">
      <w:pPr>
        <w:pStyle w:val="18"/>
        <w:widowControl/>
        <w:rPr>
          <w:rFonts w:eastAsia="宋体"/>
          <w:highlight w:val="none"/>
          <w:lang w:val="en-US"/>
        </w:rPr>
      </w:pPr>
      <w:r>
        <w:rPr>
          <w:highlight w:val="none"/>
          <w:lang w:val="en-US"/>
        </w:rPr>
        <w:t xml:space="preserve"> </w:t>
      </w:r>
    </w:p>
    <w:p w14:paraId="72405FB7">
      <w:pPr>
        <w:adjustRightInd w:val="0"/>
        <w:snapToGrid w:val="0"/>
        <w:ind w:firstLine="302" w:firstLineChars="94"/>
        <w:rPr>
          <w:rFonts w:hint="eastAsia" w:ascii="宋体" w:hAnsi="宋体"/>
          <w:b/>
          <w:sz w:val="32"/>
          <w:highlight w:val="none"/>
          <w:u w:val="thick"/>
        </w:rPr>
      </w:pPr>
      <w:r>
        <w:rPr>
          <w:rFonts w:hint="eastAsia" w:ascii="宋体" w:hAnsi="宋体"/>
          <w:b/>
          <w:sz w:val="32"/>
          <w:highlight w:val="none"/>
        </w:rPr>
        <w:t>招  标  人:</w:t>
      </w:r>
      <w:r>
        <w:rPr>
          <w:rFonts w:hint="eastAsia" w:ascii="宋体" w:hAnsi="宋体"/>
          <w:b/>
          <w:sz w:val="32"/>
          <w:highlight w:val="none"/>
          <w:u w:val="thick"/>
        </w:rPr>
        <w:t xml:space="preserve">  </w:t>
      </w:r>
      <w:r>
        <w:rPr>
          <w:rFonts w:hint="eastAsia" w:ascii="宋体" w:hAnsi="宋体"/>
          <w:b/>
          <w:sz w:val="32"/>
          <w:highlight w:val="none"/>
          <w:u w:val="thick"/>
          <w:lang w:val="en-US" w:eastAsia="zh-CN"/>
        </w:rPr>
        <w:t xml:space="preserve"> </w:t>
      </w:r>
      <w:r>
        <w:rPr>
          <w:rFonts w:hint="eastAsia" w:ascii="宋体" w:hAnsi="宋体"/>
          <w:b/>
          <w:sz w:val="32"/>
          <w:highlight w:val="none"/>
          <w:u w:val="thick"/>
          <w:lang w:eastAsia="zh-CN"/>
        </w:rPr>
        <w:t>滁州市滁宁城际铁路开发建设有限公司</w:t>
      </w:r>
      <w:r>
        <w:rPr>
          <w:rFonts w:hint="eastAsia" w:ascii="宋体" w:hAnsi="宋体"/>
          <w:b/>
          <w:sz w:val="32"/>
          <w:highlight w:val="none"/>
          <w:u w:val="thick"/>
        </w:rPr>
        <w:t xml:space="preserve"> </w:t>
      </w:r>
    </w:p>
    <w:p w14:paraId="3A101657">
      <w:pPr>
        <w:adjustRightInd w:val="0"/>
        <w:snapToGrid w:val="0"/>
        <w:ind w:firstLine="302" w:firstLineChars="94"/>
        <w:rPr>
          <w:rFonts w:hint="eastAsia" w:ascii="宋体" w:hAnsi="宋体"/>
          <w:b/>
          <w:sz w:val="32"/>
          <w:highlight w:val="none"/>
          <w:u w:val="thick"/>
        </w:rPr>
      </w:pPr>
    </w:p>
    <w:p w14:paraId="2E9A6BF1">
      <w:pPr>
        <w:adjustRightInd w:val="0"/>
        <w:snapToGrid w:val="0"/>
        <w:ind w:firstLine="340" w:firstLineChars="94"/>
        <w:rPr>
          <w:rFonts w:hint="eastAsia" w:ascii="宋体" w:hAnsi="宋体"/>
          <w:spacing w:val="20"/>
          <w:sz w:val="32"/>
          <w:highlight w:val="none"/>
          <w:u w:val="single"/>
        </w:rPr>
      </w:pPr>
      <w:r>
        <w:rPr>
          <w:rFonts w:hint="eastAsia" w:ascii="宋体" w:hAnsi="宋体"/>
          <w:b/>
          <w:spacing w:val="20"/>
          <w:sz w:val="32"/>
          <w:highlight w:val="none"/>
        </w:rPr>
        <w:t>招标代理机构:</w:t>
      </w:r>
      <w:r>
        <w:rPr>
          <w:rFonts w:hint="eastAsia" w:ascii="宋体" w:hAnsi="宋体"/>
          <w:b/>
          <w:spacing w:val="20"/>
          <w:sz w:val="32"/>
          <w:highlight w:val="none"/>
          <w:u w:val="thick"/>
        </w:rPr>
        <w:t xml:space="preserve"> </w:t>
      </w:r>
      <w:r>
        <w:rPr>
          <w:rFonts w:hint="eastAsia" w:ascii="宋体" w:hAnsi="宋体"/>
          <w:b/>
          <w:sz w:val="32"/>
          <w:highlight w:val="none"/>
          <w:u w:val="thick"/>
        </w:rPr>
        <w:t xml:space="preserve">滁州市城投工程咨询管理有限公司   </w:t>
      </w:r>
    </w:p>
    <w:p w14:paraId="085CEEDC">
      <w:pPr>
        <w:adjustRightInd w:val="0"/>
        <w:snapToGrid w:val="0"/>
        <w:rPr>
          <w:rFonts w:hint="eastAsia" w:ascii="宋体" w:hAnsi="宋体"/>
          <w:spacing w:val="20"/>
          <w:sz w:val="32"/>
          <w:highlight w:val="none"/>
          <w:u w:val="single"/>
        </w:rPr>
      </w:pPr>
    </w:p>
    <w:p w14:paraId="4B01FC1A">
      <w:pPr>
        <w:adjustRightInd w:val="0"/>
        <w:snapToGrid w:val="0"/>
        <w:spacing w:line="460" w:lineRule="exact"/>
        <w:ind w:firstLine="354" w:firstLineChars="98"/>
        <w:rPr>
          <w:rFonts w:hint="eastAsia" w:ascii="宋体" w:hAnsi="宋体"/>
          <w:b/>
          <w:spacing w:val="20"/>
          <w:sz w:val="32"/>
          <w:szCs w:val="32"/>
          <w:highlight w:val="none"/>
        </w:rPr>
      </w:pPr>
      <w:r>
        <w:rPr>
          <w:rFonts w:hint="eastAsia" w:ascii="宋体" w:hAnsi="宋体"/>
          <w:b/>
          <w:spacing w:val="20"/>
          <w:sz w:val="32"/>
          <w:highlight w:val="none"/>
        </w:rPr>
        <w:t>发 布 日 期:</w:t>
      </w:r>
      <w:r>
        <w:rPr>
          <w:rFonts w:hint="eastAsia" w:ascii="宋体" w:hAnsi="宋体"/>
          <w:b/>
          <w:sz w:val="32"/>
          <w:highlight w:val="none"/>
          <w:u w:val="thick"/>
        </w:rPr>
        <w:t xml:space="preserve">           202</w:t>
      </w:r>
      <w:r>
        <w:rPr>
          <w:rFonts w:hint="eastAsia" w:ascii="宋体" w:hAnsi="宋体"/>
          <w:b/>
          <w:sz w:val="32"/>
          <w:highlight w:val="none"/>
          <w:u w:val="thick"/>
          <w:lang w:val="en-US" w:eastAsia="zh-CN"/>
        </w:rPr>
        <w:t>6</w:t>
      </w:r>
      <w:r>
        <w:rPr>
          <w:rFonts w:hint="eastAsia" w:ascii="宋体" w:hAnsi="宋体"/>
          <w:b/>
          <w:sz w:val="32"/>
          <w:highlight w:val="none"/>
          <w:u w:val="thick"/>
        </w:rPr>
        <w:t>年</w:t>
      </w:r>
      <w:r>
        <w:rPr>
          <w:rFonts w:hint="eastAsia" w:ascii="宋体" w:hAnsi="宋体"/>
          <w:b/>
          <w:sz w:val="32"/>
          <w:highlight w:val="none"/>
          <w:u w:val="thick"/>
          <w:lang w:val="en-US" w:eastAsia="zh-CN"/>
        </w:rPr>
        <w:t>5</w:t>
      </w:r>
      <w:r>
        <w:rPr>
          <w:rFonts w:hint="eastAsia" w:ascii="宋体" w:hAnsi="宋体"/>
          <w:b/>
          <w:sz w:val="32"/>
          <w:highlight w:val="none"/>
          <w:u w:val="thick"/>
        </w:rPr>
        <w:t xml:space="preserve">月            </w:t>
      </w:r>
    </w:p>
    <w:p w14:paraId="57DADD6F">
      <w:pPr>
        <w:pStyle w:val="6"/>
        <w:widowControl/>
        <w:spacing w:before="0" w:beforeAutospacing="0" w:after="120" w:afterAutospacing="0"/>
        <w:ind w:leftChars="200" w:right="0"/>
        <w:rPr>
          <w:highlight w:val="none"/>
          <w:lang w:val="en-US"/>
        </w:rPr>
      </w:pPr>
      <w:r>
        <w:rPr>
          <w:highlight w:val="none"/>
          <w:lang w:val="en-US"/>
        </w:rPr>
        <w:t xml:space="preserve"> </w:t>
      </w:r>
    </w:p>
    <w:p w14:paraId="64F2DFD4">
      <w:pPr>
        <w:keepNext w:val="0"/>
        <w:keepLines w:val="0"/>
        <w:widowControl/>
        <w:suppressLineNumbers w:val="0"/>
        <w:spacing w:before="0" w:beforeAutospacing="0" w:after="0" w:afterAutospacing="0" w:line="357" w:lineRule="atLeast"/>
        <w:ind w:left="0" w:right="-216" w:rightChars="-103"/>
        <w:jc w:val="center"/>
        <w:rPr>
          <w:rFonts w:hint="eastAsia" w:ascii="宋体" w:hAnsi="宋体" w:eastAsia="宋体" w:cs="宋体"/>
          <w:b/>
          <w:bCs w:val="0"/>
          <w:sz w:val="36"/>
          <w:szCs w:val="36"/>
          <w:highlight w:val="none"/>
          <w:lang w:val="en-US"/>
        </w:rPr>
      </w:pPr>
      <w:r>
        <w:rPr>
          <w:rFonts w:hint="eastAsia" w:ascii="宋体" w:hAnsi="宋体" w:eastAsia="宋体" w:cs="宋体"/>
          <w:b/>
          <w:bCs w:val="0"/>
          <w:color w:val="000000"/>
          <w:kern w:val="0"/>
          <w:sz w:val="36"/>
          <w:szCs w:val="36"/>
          <w:highlight w:val="none"/>
          <w:u w:color="000000"/>
          <w:lang w:val="en-US" w:eastAsia="zh-CN" w:bidi="ar"/>
        </w:rPr>
        <w:t xml:space="preserve"> </w:t>
      </w:r>
    </w:p>
    <w:p w14:paraId="049D5674">
      <w:pPr>
        <w:jc w:val="center"/>
        <w:rPr>
          <w:rFonts w:hint="eastAsia" w:ascii="宋体" w:hAnsi="宋体" w:eastAsia="宋体" w:cs="宋体"/>
          <w:b/>
          <w:bCs w:val="0"/>
          <w:color w:val="000000"/>
          <w:kern w:val="0"/>
          <w:sz w:val="36"/>
          <w:szCs w:val="36"/>
          <w:highlight w:val="none"/>
          <w:u w:color="000000"/>
          <w:lang w:val="en-US" w:eastAsia="zh-CN" w:bidi="ar"/>
        </w:rPr>
      </w:pPr>
    </w:p>
    <w:p w14:paraId="68C9FD00">
      <w:pPr>
        <w:jc w:val="center"/>
        <w:rPr>
          <w:rFonts w:hint="eastAsia" w:ascii="宋体" w:hAnsi="宋体" w:eastAsia="宋体" w:cs="宋体"/>
          <w:b/>
          <w:bCs w:val="0"/>
          <w:sz w:val="36"/>
          <w:szCs w:val="36"/>
          <w:highlight w:val="none"/>
          <w:lang w:val="en-US"/>
        </w:rPr>
      </w:pPr>
      <w:r>
        <w:rPr>
          <w:rFonts w:hint="eastAsia" w:ascii="宋体" w:hAnsi="宋体" w:eastAsia="宋体" w:cs="宋体"/>
          <w:b/>
          <w:bCs w:val="0"/>
          <w:color w:val="000000"/>
          <w:kern w:val="0"/>
          <w:sz w:val="36"/>
          <w:szCs w:val="36"/>
          <w:highlight w:val="none"/>
          <w:u w:color="000000"/>
          <w:lang w:val="en-US" w:eastAsia="zh-CN" w:bidi="ar"/>
        </w:rPr>
        <w:t xml:space="preserve">目 </w:t>
      </w:r>
      <w:r>
        <w:rPr>
          <w:rFonts w:hint="default" w:ascii="Times New Roman" w:hAnsi="Times New Roman" w:eastAsia="宋体" w:cs="Times New Roman"/>
          <w:b/>
          <w:bCs w:val="0"/>
          <w:color w:val="000000"/>
          <w:kern w:val="0"/>
          <w:sz w:val="36"/>
          <w:szCs w:val="36"/>
          <w:highlight w:val="none"/>
          <w:u w:color="000000"/>
          <w:lang w:val="en-US" w:eastAsia="zh-CN" w:bidi="ar"/>
        </w:rPr>
        <w:t xml:space="preserve"> </w:t>
      </w:r>
      <w:r>
        <w:rPr>
          <w:rFonts w:hint="eastAsia" w:ascii="宋体" w:hAnsi="宋体" w:eastAsia="宋体" w:cs="宋体"/>
          <w:b/>
          <w:bCs w:val="0"/>
          <w:color w:val="000000"/>
          <w:kern w:val="0"/>
          <w:sz w:val="36"/>
          <w:szCs w:val="36"/>
          <w:highlight w:val="none"/>
          <w:u w:color="000000"/>
          <w:lang w:val="en-US" w:eastAsia="zh-CN" w:bidi="ar"/>
        </w:rPr>
        <w:t>录</w:t>
      </w:r>
    </w:p>
    <w:p w14:paraId="0BBA8ED2">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第一章  招标公告</w:t>
      </w:r>
      <w:bookmarkStart w:id="0" w:name="OLE_LINK4"/>
      <w:r>
        <w:rPr>
          <w:rFonts w:hint="eastAsia" w:ascii="宋体" w:hAnsi="宋体" w:eastAsia="宋体" w:cs="宋体"/>
          <w:color w:val="000000"/>
          <w:kern w:val="0"/>
          <w:sz w:val="24"/>
          <w:szCs w:val="24"/>
          <w:highlight w:val="none"/>
          <w:u w:color="000000"/>
          <w:lang w:val="en-US" w:eastAsia="zh-CN" w:bidi="ar"/>
        </w:rPr>
        <w:t xml:space="preserve"> …………………………………………………………………</w:t>
      </w:r>
      <w:bookmarkEnd w:id="0"/>
      <w:r>
        <w:rPr>
          <w:rFonts w:hint="eastAsia" w:ascii="宋体" w:hAnsi="宋体" w:eastAsia="宋体" w:cs="宋体"/>
          <w:color w:val="000000"/>
          <w:kern w:val="0"/>
          <w:sz w:val="24"/>
          <w:szCs w:val="24"/>
          <w:highlight w:val="none"/>
          <w:u w:color="000000"/>
          <w:lang w:val="en-US" w:eastAsia="zh-CN" w:bidi="ar"/>
        </w:rPr>
        <w:t>1</w:t>
      </w:r>
    </w:p>
    <w:p w14:paraId="5023954A">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第二章  投标人须知 ………………………………………………………………3</w:t>
      </w:r>
    </w:p>
    <w:p w14:paraId="648B4037">
      <w:pPr>
        <w:keepNext w:val="0"/>
        <w:keepLines w:val="0"/>
        <w:widowControl/>
        <w:suppressLineNumbers w:val="0"/>
        <w:spacing w:before="0" w:beforeAutospacing="0" w:after="0" w:afterAutospacing="0" w:line="720" w:lineRule="auto"/>
        <w:ind w:left="0" w:right="0"/>
        <w:jc w:val="both"/>
        <w:rPr>
          <w:rFonts w:hint="default"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第三章  资格审查办法……………………………………………………………14</w:t>
      </w:r>
    </w:p>
    <w:p w14:paraId="6AE266BC">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第四章  评标办法…………………………………………………………………15</w:t>
      </w:r>
    </w:p>
    <w:p w14:paraId="5A66841E">
      <w:pPr>
        <w:keepNext w:val="0"/>
        <w:keepLines w:val="0"/>
        <w:widowControl/>
        <w:suppressLineNumbers w:val="0"/>
        <w:spacing w:before="0" w:beforeAutospacing="0" w:after="0" w:afterAutospacing="0" w:line="720" w:lineRule="auto"/>
        <w:ind w:left="0" w:right="0"/>
        <w:jc w:val="both"/>
        <w:rPr>
          <w:rFonts w:hint="default"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第五章  用户需求书………………………………………………………………19</w:t>
      </w:r>
    </w:p>
    <w:p w14:paraId="1436ADDF">
      <w:pPr>
        <w:keepNext w:val="0"/>
        <w:keepLines w:val="0"/>
        <w:widowControl/>
        <w:suppressLineNumbers w:val="0"/>
        <w:spacing w:before="0" w:beforeAutospacing="0" w:after="0" w:afterAutospacing="0" w:line="720" w:lineRule="auto"/>
        <w:ind w:left="0" w:right="0"/>
        <w:jc w:val="both"/>
        <w:rPr>
          <w:rFonts w:hint="default"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第六章  合同条款及格式…………………………………………………………37</w:t>
      </w:r>
    </w:p>
    <w:p w14:paraId="36DFDF3D">
      <w:pPr>
        <w:keepNext w:val="0"/>
        <w:keepLines w:val="0"/>
        <w:widowControl/>
        <w:suppressLineNumbers w:val="0"/>
        <w:spacing w:before="0" w:beforeAutospacing="0" w:after="0" w:afterAutospacing="0" w:line="720" w:lineRule="auto"/>
        <w:ind w:left="0" w:right="0"/>
        <w:jc w:val="both"/>
        <w:rPr>
          <w:rFonts w:hint="default"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第七章  投标文件格式……………………………………………………………46</w:t>
      </w:r>
    </w:p>
    <w:p w14:paraId="7B3A915D">
      <w:pPr>
        <w:keepNext w:val="0"/>
        <w:keepLines w:val="0"/>
        <w:widowControl/>
        <w:suppressLineNumbers w:val="0"/>
        <w:spacing w:before="0" w:beforeAutospacing="0" w:after="0" w:afterAutospacing="0" w:line="720" w:lineRule="auto"/>
        <w:ind w:left="0" w:right="0"/>
        <w:jc w:val="both"/>
        <w:rPr>
          <w:rFonts w:hint="default"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第八章  招标人、招标代理机构对本招标文件的确认…………………………53</w:t>
      </w:r>
    </w:p>
    <w:p w14:paraId="7C586AB0">
      <w:pPr>
        <w:rPr>
          <w:rFonts w:hint="eastAsia" w:ascii="宋体" w:hAnsi="宋体" w:eastAsia="宋体" w:cs="宋体"/>
          <w:sz w:val="24"/>
          <w:szCs w:val="24"/>
          <w:highlight w:val="none"/>
          <w:lang w:val="en-US" w:eastAsia="zh-CN" w:bidi="ar"/>
        </w:rPr>
        <w:sectPr>
          <w:pgSz w:w="11906" w:h="16838"/>
          <w:pgMar w:top="1440" w:right="1800" w:bottom="1440" w:left="1800" w:header="851" w:footer="992" w:gutter="0"/>
          <w:pgNumType w:fmt="decimal" w:start="1"/>
          <w:cols w:space="425" w:num="1"/>
          <w:docGrid w:type="lines" w:linePitch="312" w:charSpace="0"/>
        </w:sectPr>
      </w:pPr>
    </w:p>
    <w:p w14:paraId="69713157">
      <w:pPr>
        <w:pStyle w:val="18"/>
        <w:keepNext w:val="0"/>
        <w:keepLines w:val="0"/>
        <w:pageBreakBefore w:val="0"/>
        <w:widowControl/>
        <w:kinsoku/>
        <w:overflowPunct/>
        <w:topLinePunct w:val="0"/>
        <w:autoSpaceDN/>
        <w:bidi w:val="0"/>
        <w:adjustRightInd/>
        <w:snapToGrid/>
        <w:spacing w:beforeAutospacing="0" w:afterAutospacing="0" w:line="480" w:lineRule="exact"/>
        <w:jc w:val="center"/>
        <w:textAlignment w:val="auto"/>
        <w:rPr>
          <w:rFonts w:hint="eastAsia" w:ascii="宋体" w:hAnsi="宋体" w:eastAsia="宋体" w:cs="宋体"/>
          <w:b/>
          <w:bCs/>
          <w:highlight w:val="none"/>
          <w:lang w:val="en-US"/>
        </w:rPr>
      </w:pPr>
      <w:bookmarkStart w:id="1" w:name="_Toc29214"/>
      <w:bookmarkEnd w:id="1"/>
      <w:bookmarkStart w:id="2" w:name="_Toc23741_WPSOffice_Level1"/>
      <w:bookmarkEnd w:id="2"/>
      <w:r>
        <w:rPr>
          <w:rFonts w:hint="eastAsia" w:ascii="宋体" w:hAnsi="宋体" w:eastAsia="宋体" w:cs="宋体"/>
          <w:b/>
          <w:bCs/>
          <w:highlight w:val="none"/>
          <w:lang w:eastAsia="zh-CN"/>
        </w:rPr>
        <w:t>第一章</w:t>
      </w:r>
      <w:r>
        <w:rPr>
          <w:rFonts w:hint="eastAsia" w:ascii="宋体" w:hAnsi="Calibri" w:eastAsia="楷体_GB2312" w:cs="宋体"/>
          <w:b/>
          <w:bCs/>
          <w:highlight w:val="none"/>
          <w:lang w:val="en-US"/>
        </w:rPr>
        <w:t xml:space="preserve">  </w:t>
      </w:r>
      <w:bookmarkStart w:id="3" w:name="_Toc7358"/>
      <w:bookmarkEnd w:id="3"/>
      <w:bookmarkStart w:id="4" w:name="_Toc18980_WPSOffice_Level1"/>
      <w:bookmarkEnd w:id="4"/>
      <w:r>
        <w:rPr>
          <w:rFonts w:hint="eastAsia" w:ascii="宋体" w:hAnsi="宋体" w:eastAsia="宋体" w:cs="宋体"/>
          <w:b/>
          <w:bCs/>
          <w:highlight w:val="none"/>
          <w:lang w:eastAsia="zh-CN"/>
        </w:rPr>
        <w:t>招标公告</w:t>
      </w:r>
    </w:p>
    <w:p w14:paraId="4801437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eastAsia" w:ascii="宋体" w:hAnsi="宋体" w:eastAsia="宋体" w:cs="宋体"/>
          <w:color w:val="000000"/>
          <w:kern w:val="0"/>
          <w:sz w:val="24"/>
          <w:szCs w:val="24"/>
          <w:highlight w:val="none"/>
          <w:u w:color="000000"/>
          <w:lang w:val="en-US" w:eastAsia="zh-CN" w:bidi="ar"/>
        </w:rPr>
      </w:pPr>
      <w:bookmarkStart w:id="5" w:name="_Toc28359079"/>
      <w:bookmarkEnd w:id="5"/>
      <w:bookmarkStart w:id="6" w:name="_Toc28359002"/>
      <w:bookmarkEnd w:id="6"/>
      <w:bookmarkStart w:id="7" w:name="_Toc58430305"/>
      <w:bookmarkEnd w:id="7"/>
      <w:bookmarkStart w:id="8" w:name="_Toc35393621"/>
      <w:bookmarkEnd w:id="8"/>
      <w:bookmarkStart w:id="9" w:name="_Toc35393790"/>
      <w:r>
        <w:rPr>
          <w:rFonts w:hint="eastAsia" w:ascii="宋体" w:hAnsi="宋体" w:eastAsia="宋体" w:cs="宋体"/>
          <w:color w:val="000000"/>
          <w:kern w:val="0"/>
          <w:sz w:val="24"/>
          <w:szCs w:val="24"/>
          <w:highlight w:val="none"/>
          <w:u w:color="000000"/>
          <w:lang w:val="en-US" w:eastAsia="zh-CN" w:bidi="ar"/>
        </w:rPr>
        <w:t>项目概况</w:t>
      </w:r>
    </w:p>
    <w:p w14:paraId="53112DB6">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滁州至南京城际铁路（滁州段）一期管道防寒保温项目的潜在投标人应在滁州市滁宁城际铁路开发建设有限公司网站（http://czctgs.cn/）获取招标文件，并于2026年5月28日9时00分（北京时间）前递交投标文件。</w:t>
      </w:r>
    </w:p>
    <w:p w14:paraId="03D12322">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一、项目基本情况</w:t>
      </w:r>
      <w:bookmarkEnd w:id="9"/>
    </w:p>
    <w:p w14:paraId="09D8D39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478" w:leftChars="228" w:right="0" w:firstLine="0" w:firstLineChars="0"/>
        <w:jc w:val="both"/>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项目名称：滁州至南京城际铁路（滁州段）一期管道防寒保温项目</w:t>
      </w:r>
    </w:p>
    <w:p w14:paraId="552C87C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478" w:leftChars="228" w:right="0" w:firstLine="0" w:firstLineChars="0"/>
        <w:jc w:val="both"/>
        <w:textAlignment w:val="auto"/>
        <w:rPr>
          <w:rFonts w:hint="default" w:ascii="宋体" w:hAnsi="宋体" w:eastAsia="宋体" w:cs="宋体"/>
          <w:b w:val="0"/>
          <w:bCs w:val="0"/>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预算金额：700000元</w:t>
      </w:r>
    </w:p>
    <w:p w14:paraId="4AF8BD9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最高限价：本项目最高限价为（人民币）700000元，投标报价不得超过最高限价，否则按无效投标处理。</w:t>
      </w:r>
    </w:p>
    <w:p w14:paraId="341E7E15">
      <w:pPr>
        <w:pageBreakBefore w:val="0"/>
        <w:kinsoku/>
        <w:overflowPunct/>
        <w:topLinePunct w:val="0"/>
        <w:autoSpaceDE/>
        <w:autoSpaceDN/>
        <w:bidi w:val="0"/>
        <w:snapToGrid/>
        <w:spacing w:line="400" w:lineRule="exact"/>
        <w:ind w:firstLine="480" w:firstLineChars="200"/>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采购需求：对滁宁城际铁路（滁州段）控制中心、相官车辆段未做保温的生活、消防管道进行保温加装，详见用户需求书</w:t>
      </w:r>
      <w:r>
        <w:rPr>
          <w:rFonts w:hint="eastAsia" w:ascii="宋体" w:hAnsi="宋体" w:eastAsia="宋体" w:cs="宋体"/>
          <w:szCs w:val="21"/>
          <w:highlight w:val="none"/>
          <w:lang w:val="en-US" w:eastAsia="zh-CN"/>
        </w:rPr>
        <w:t>。</w:t>
      </w:r>
    </w:p>
    <w:p w14:paraId="7C85A14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default"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工期：自签订合同之日起210个日历天内完成并通过验收。</w:t>
      </w:r>
    </w:p>
    <w:p w14:paraId="18D3B2AC">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kern w:val="0"/>
          <w:sz w:val="24"/>
          <w:szCs w:val="24"/>
          <w:highlight w:val="none"/>
          <w:u w:color="000000"/>
          <w:lang w:val="en-US" w:eastAsia="zh-CN" w:bidi="ar"/>
        </w:rPr>
      </w:pPr>
      <w:r>
        <w:rPr>
          <w:rFonts w:hint="eastAsia" w:ascii="宋体" w:hAnsi="宋体" w:eastAsia="宋体" w:cs="宋体"/>
          <w:b w:val="0"/>
          <w:bCs w:val="0"/>
          <w:color w:val="000000"/>
          <w:kern w:val="0"/>
          <w:sz w:val="24"/>
          <w:szCs w:val="24"/>
          <w:highlight w:val="none"/>
          <w:u w:color="000000"/>
          <w:lang w:val="en-US" w:eastAsia="zh-CN" w:bidi="ar"/>
        </w:rPr>
        <w:t>本项目不接受联合体投标。</w:t>
      </w:r>
    </w:p>
    <w:p w14:paraId="58C6F4C4">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8" w:firstLineChars="200"/>
        <w:jc w:val="both"/>
        <w:textAlignment w:val="auto"/>
        <w:rPr>
          <w:rFonts w:hint="eastAsia" w:ascii="宋体" w:hAnsi="宋体" w:eastAsia="宋体" w:cs="宋体"/>
          <w:b/>
          <w:bCs w:val="0"/>
          <w:spacing w:val="2"/>
          <w:sz w:val="24"/>
          <w:szCs w:val="24"/>
          <w:highlight w:val="none"/>
          <w:lang w:val="en-US"/>
        </w:rPr>
      </w:pPr>
      <w:r>
        <w:rPr>
          <w:rFonts w:hint="eastAsia" w:ascii="宋体" w:hAnsi="宋体" w:eastAsia="宋体" w:cs="宋体"/>
          <w:b/>
          <w:bCs w:val="0"/>
          <w:color w:val="000000"/>
          <w:spacing w:val="2"/>
          <w:kern w:val="0"/>
          <w:sz w:val="24"/>
          <w:szCs w:val="24"/>
          <w:highlight w:val="none"/>
          <w:u w:color="000000"/>
          <w:lang w:val="en-US" w:eastAsia="zh-CN" w:bidi="ar"/>
        </w:rPr>
        <w:t>二、</w:t>
      </w:r>
      <w:r>
        <w:rPr>
          <w:rFonts w:hint="eastAsia" w:ascii="宋体" w:hAnsi="宋体" w:eastAsia="宋体" w:cs="宋体"/>
          <w:b/>
          <w:bCs w:val="0"/>
          <w:color w:val="000000"/>
          <w:kern w:val="0"/>
          <w:sz w:val="24"/>
          <w:szCs w:val="24"/>
          <w:highlight w:val="none"/>
          <w:u w:color="000000"/>
          <w:lang w:val="en-US" w:eastAsia="zh-CN" w:bidi="ar"/>
        </w:rPr>
        <w:t>申请人的资格要求</w:t>
      </w:r>
    </w:p>
    <w:p w14:paraId="68CA6C6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投标人须在中华人民共和国境内注册（不含港澳台）并取得营业执照且具有相应供货服务能力。</w:t>
      </w:r>
    </w:p>
    <w:p w14:paraId="72B177D4">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三、获取招标文件</w:t>
      </w:r>
    </w:p>
    <w:p w14:paraId="13F522E8">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540"/>
        <w:jc w:val="both"/>
        <w:textAlignment w:val="auto"/>
        <w:rPr>
          <w:rFonts w:hint="eastAsia" w:ascii="宋体" w:hAnsi="宋体" w:eastAsia="宋体" w:cs="宋体"/>
          <w:sz w:val="24"/>
          <w:szCs w:val="24"/>
          <w:highlight w:val="none"/>
          <w:u w:val="single"/>
          <w:lang w:val="en-US"/>
        </w:rPr>
      </w:pPr>
      <w:r>
        <w:rPr>
          <w:rFonts w:hint="eastAsia" w:ascii="宋体" w:hAnsi="宋体" w:eastAsia="宋体" w:cs="宋体"/>
          <w:color w:val="000000"/>
          <w:kern w:val="0"/>
          <w:sz w:val="24"/>
          <w:szCs w:val="24"/>
          <w:highlight w:val="none"/>
          <w:u w:color="000000"/>
          <w:lang w:val="en-US" w:eastAsia="zh-CN" w:bidi="ar"/>
        </w:rPr>
        <w:t>时间：</w:t>
      </w:r>
      <w:r>
        <w:rPr>
          <w:rFonts w:hint="eastAsia" w:ascii="宋体" w:hAnsi="宋体" w:eastAsia="宋体" w:cs="宋体"/>
          <w:color w:val="000000"/>
          <w:kern w:val="0"/>
          <w:sz w:val="24"/>
          <w:szCs w:val="24"/>
          <w:highlight w:val="none"/>
          <w:u w:val="single" w:color="000000"/>
          <w:lang w:val="en-US" w:eastAsia="zh-CN" w:bidi="ar"/>
        </w:rPr>
        <w:t xml:space="preserve"> 2026年5月22日</w:t>
      </w:r>
      <w:r>
        <w:rPr>
          <w:rFonts w:hint="eastAsia" w:ascii="宋体" w:hAnsi="宋体" w:eastAsia="宋体" w:cs="宋体"/>
          <w:color w:val="000000"/>
          <w:kern w:val="0"/>
          <w:sz w:val="24"/>
          <w:szCs w:val="24"/>
          <w:highlight w:val="none"/>
          <w:u w:color="000000"/>
          <w:lang w:val="en-US" w:eastAsia="zh-CN" w:bidi="ar"/>
        </w:rPr>
        <w:t>至</w:t>
      </w:r>
      <w:r>
        <w:rPr>
          <w:rFonts w:hint="eastAsia" w:ascii="宋体" w:hAnsi="宋体" w:eastAsia="宋体" w:cs="宋体"/>
          <w:color w:val="000000"/>
          <w:kern w:val="0"/>
          <w:sz w:val="24"/>
          <w:szCs w:val="24"/>
          <w:highlight w:val="none"/>
          <w:u w:val="single" w:color="000000"/>
          <w:lang w:val="en-US" w:eastAsia="zh-CN" w:bidi="ar"/>
        </w:rPr>
        <w:t xml:space="preserve"> 2026年5月28日</w:t>
      </w:r>
    </w:p>
    <w:p w14:paraId="4C8A0E62">
      <w:pPr>
        <w:keepNext w:val="0"/>
        <w:keepLines w:val="0"/>
        <w:pageBreakBefore w:val="0"/>
        <w:kinsoku/>
        <w:overflowPunct/>
        <w:topLinePunct w:val="0"/>
        <w:autoSpaceDE/>
        <w:autoSpaceDN/>
        <w:bidi w:val="0"/>
        <w:adjustRightInd/>
        <w:snapToGrid/>
        <w:spacing w:line="480" w:lineRule="exact"/>
        <w:ind w:firstLine="540"/>
        <w:textAlignment w:val="auto"/>
        <w:rPr>
          <w:rFonts w:ascii="宋体" w:hAnsi="宋体" w:cs="宋体"/>
          <w:color w:val="auto"/>
          <w:sz w:val="24"/>
          <w:szCs w:val="24"/>
          <w:highlight w:val="none"/>
        </w:rPr>
      </w:pPr>
      <w:r>
        <w:rPr>
          <w:rFonts w:hint="eastAsia" w:ascii="宋体" w:hAnsi="宋体" w:eastAsia="宋体" w:cs="宋体"/>
          <w:color w:val="000000"/>
          <w:kern w:val="0"/>
          <w:sz w:val="24"/>
          <w:szCs w:val="24"/>
          <w:highlight w:val="none"/>
          <w:u w:color="000000"/>
          <w:lang w:val="en-US" w:eastAsia="zh-CN" w:bidi="ar"/>
        </w:rPr>
        <w:t>地点：</w:t>
      </w:r>
      <w:r>
        <w:rPr>
          <w:rFonts w:hint="eastAsia" w:ascii="宋体" w:hAnsi="宋体" w:cs="宋体"/>
          <w:color w:val="auto"/>
          <w:sz w:val="24"/>
          <w:szCs w:val="24"/>
          <w:highlight w:val="none"/>
          <w:lang w:eastAsia="zh-CN"/>
        </w:rPr>
        <w:t>滁州市滁宁城际铁路开发建设有限公司</w:t>
      </w:r>
      <w:r>
        <w:rPr>
          <w:rFonts w:hint="eastAsia" w:ascii="宋体" w:hAnsi="宋体" w:cs="宋体"/>
          <w:color w:val="auto"/>
          <w:sz w:val="24"/>
          <w:szCs w:val="24"/>
          <w:highlight w:val="none"/>
        </w:rPr>
        <w:t>网站</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eastAsia="zh-CN"/>
        </w:rPr>
        <w:t>http://czctgs.cn/</w:t>
      </w:r>
      <w:r>
        <w:rPr>
          <w:rFonts w:hint="eastAsia" w:ascii="宋体" w:hAnsi="宋体" w:cs="宋体"/>
          <w:color w:val="auto"/>
          <w:sz w:val="24"/>
          <w:szCs w:val="24"/>
          <w:highlight w:val="none"/>
          <w:u w:val="single"/>
        </w:rPr>
        <w:t>）</w:t>
      </w:r>
    </w:p>
    <w:p w14:paraId="343A6E1B">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54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方式：网上下载</w:t>
      </w:r>
    </w:p>
    <w:p w14:paraId="341CE36A">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54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售价：0元</w:t>
      </w:r>
    </w:p>
    <w:p w14:paraId="12C638EF">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
          <w:bCs w:val="0"/>
          <w:sz w:val="24"/>
          <w:szCs w:val="24"/>
          <w:highlight w:val="none"/>
          <w:lang w:val="en-US"/>
        </w:rPr>
      </w:pPr>
      <w:bookmarkStart w:id="10" w:name="_Toc35393793"/>
      <w:bookmarkEnd w:id="10"/>
      <w:bookmarkStart w:id="11" w:name="_Toc28359082"/>
      <w:bookmarkEnd w:id="11"/>
      <w:bookmarkStart w:id="12" w:name="_Toc58430308"/>
      <w:bookmarkEnd w:id="12"/>
      <w:bookmarkStart w:id="13" w:name="_Toc28359005"/>
      <w:bookmarkEnd w:id="13"/>
      <w:r>
        <w:rPr>
          <w:rFonts w:hint="eastAsia" w:ascii="宋体" w:hAnsi="宋体" w:cs="宋体"/>
          <w:b/>
          <w:color w:val="auto"/>
          <w:sz w:val="24"/>
          <w:szCs w:val="24"/>
          <w:highlight w:val="none"/>
        </w:rPr>
        <w:t>四、提交投标文件截止时间、开标时间和</w:t>
      </w:r>
      <w:r>
        <w:rPr>
          <w:rFonts w:hint="eastAsia" w:ascii="宋体" w:hAnsi="宋体" w:cs="宋体"/>
          <w:b/>
          <w:color w:val="auto"/>
          <w:sz w:val="24"/>
          <w:szCs w:val="24"/>
          <w:highlight w:val="none"/>
          <w:lang w:val="en-US" w:eastAsia="zh-CN"/>
        </w:rPr>
        <w:t>地点</w:t>
      </w:r>
    </w:p>
    <w:p w14:paraId="4D4A626C">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截止时间：</w:t>
      </w:r>
      <w:r>
        <w:rPr>
          <w:rFonts w:hint="eastAsia" w:ascii="宋体" w:hAnsi="宋体" w:eastAsia="宋体" w:cs="宋体"/>
          <w:bCs/>
          <w:color w:val="000000"/>
          <w:kern w:val="0"/>
          <w:sz w:val="24"/>
          <w:szCs w:val="24"/>
          <w:highlight w:val="none"/>
          <w:u w:val="single" w:color="000000"/>
          <w:lang w:val="en-US" w:eastAsia="zh-CN" w:bidi="ar"/>
        </w:rPr>
        <w:t>2026年5月28日9时00分</w:t>
      </w:r>
      <w:r>
        <w:rPr>
          <w:rFonts w:hint="eastAsia" w:ascii="宋体" w:hAnsi="宋体" w:eastAsia="宋体" w:cs="宋体"/>
          <w:bCs/>
          <w:color w:val="000000"/>
          <w:kern w:val="0"/>
          <w:sz w:val="24"/>
          <w:szCs w:val="24"/>
          <w:highlight w:val="none"/>
          <w:u w:color="000000"/>
          <w:lang w:val="en-US" w:eastAsia="zh-CN" w:bidi="ar"/>
        </w:rPr>
        <w:t>（北京时间）</w:t>
      </w:r>
    </w:p>
    <w:p w14:paraId="5277FFED">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地点：滁州市龙蟠大道109号（房产商务大厦）6楼622会议室</w:t>
      </w:r>
    </w:p>
    <w:p w14:paraId="6C3487F5">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default"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投标文件递交方式：①投标人须在投标文件截止时间前将投标文件以电子邮件的方式一次性发送至滁州市城投工程咨询管理有限公司邮箱（czsctzx@163.com），投标文件格式限定为加密PDF格式，将文件命名为“投标单位名称（联系人及联系电话）+项目名称”，在提交投标文件截止时间后送达的投标文件将被拒绝，投标文件送达时间以滁州市城投工程咨询管理有限公司邮箱显示的邮件送达时间为准。若投标人重复发送电子投标文件的，将以投标文件截止时间前最后收到的投标文件为准。若投标文件无法打开的，投标文件将被拒绝。</w:t>
      </w:r>
      <w:r>
        <w:rPr>
          <w:rFonts w:hint="eastAsia" w:ascii="宋体" w:hAnsi="宋体" w:eastAsia="宋体" w:cs="宋体"/>
          <w:color w:val="000000"/>
          <w:kern w:val="0"/>
          <w:sz w:val="24"/>
          <w:szCs w:val="24"/>
          <w:highlight w:val="none"/>
          <w:u w:color="000000"/>
          <w:lang w:val="en-US" w:eastAsia="zh-CN" w:bidi="ar"/>
        </w:rPr>
        <w:fldChar w:fldCharType="begin"/>
      </w:r>
      <w:r>
        <w:rPr>
          <w:rFonts w:hint="eastAsia" w:ascii="宋体" w:hAnsi="宋体" w:eastAsia="宋体" w:cs="宋体"/>
          <w:color w:val="000000"/>
          <w:kern w:val="0"/>
          <w:sz w:val="24"/>
          <w:szCs w:val="24"/>
          <w:highlight w:val="none"/>
          <w:u w:color="000000"/>
          <w:lang w:val="en-US" w:eastAsia="zh-CN" w:bidi="ar"/>
        </w:rPr>
        <w:instrText xml:space="preserve"> HYPERLINK "mailto:2、在递交截止时间后30分钟内，将解压密码通过邮箱发送至代理机构邮箱（czsctgczx@163.com）" </w:instrText>
      </w:r>
      <w:r>
        <w:rPr>
          <w:rFonts w:hint="eastAsia" w:ascii="宋体" w:hAnsi="宋体" w:eastAsia="宋体" w:cs="宋体"/>
          <w:color w:val="000000"/>
          <w:kern w:val="0"/>
          <w:sz w:val="24"/>
          <w:szCs w:val="24"/>
          <w:highlight w:val="none"/>
          <w:u w:color="000000"/>
          <w:lang w:val="en-US" w:eastAsia="zh-CN" w:bidi="ar"/>
        </w:rPr>
        <w:fldChar w:fldCharType="separate"/>
      </w:r>
      <w:r>
        <w:rPr>
          <w:rFonts w:hint="eastAsia" w:ascii="宋体" w:hAnsi="宋体" w:eastAsia="宋体" w:cs="宋体"/>
          <w:color w:val="000000"/>
          <w:kern w:val="0"/>
          <w:sz w:val="24"/>
          <w:szCs w:val="24"/>
          <w:highlight w:val="none"/>
          <w:u w:color="000000"/>
          <w:lang w:val="en-US" w:eastAsia="zh-CN" w:bidi="ar"/>
        </w:rPr>
        <w:t>②在投标截止时间后30分钟内，将投标文件密码通过邮箱发送至滁州市城投工程咨询管理有限公司邮箱（czsctzx@163.com）</w:t>
      </w:r>
      <w:r>
        <w:rPr>
          <w:rFonts w:hint="eastAsia" w:ascii="宋体" w:hAnsi="宋体" w:eastAsia="宋体" w:cs="宋体"/>
          <w:color w:val="000000"/>
          <w:kern w:val="0"/>
          <w:sz w:val="24"/>
          <w:szCs w:val="24"/>
          <w:highlight w:val="none"/>
          <w:u w:color="000000"/>
          <w:lang w:val="en-US" w:eastAsia="zh-CN" w:bidi="ar"/>
        </w:rPr>
        <w:fldChar w:fldCharType="end"/>
      </w:r>
      <w:r>
        <w:rPr>
          <w:rFonts w:hint="eastAsia" w:ascii="宋体" w:hAnsi="宋体" w:eastAsia="宋体" w:cs="宋体"/>
          <w:color w:val="000000"/>
          <w:kern w:val="0"/>
          <w:sz w:val="24"/>
          <w:szCs w:val="24"/>
          <w:highlight w:val="none"/>
          <w:u w:color="000000"/>
          <w:lang w:val="en-US" w:eastAsia="zh-CN" w:bidi="ar"/>
        </w:rPr>
        <w:t>，未在规定时间内发送密码或发送的密码无法正确打开投标文件的，投标文件将被拒绝。</w:t>
      </w:r>
    </w:p>
    <w:p w14:paraId="186381E6">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五、投标保证金金额及缴纳账户</w:t>
      </w:r>
    </w:p>
    <w:p w14:paraId="502F0490">
      <w:pPr>
        <w:keepNext w:val="0"/>
        <w:keepLines w:val="0"/>
        <w:pageBreakBefore w:val="0"/>
        <w:widowControl/>
        <w:kinsoku/>
        <w:overflowPunct/>
        <w:topLinePunct w:val="0"/>
        <w:autoSpaceDE w:val="0"/>
        <w:autoSpaceDN/>
        <w:bidi w:val="0"/>
        <w:adjustRightInd/>
        <w:snapToGrid/>
        <w:spacing w:line="440" w:lineRule="exact"/>
        <w:ind w:firstLine="480" w:firstLineChars="200"/>
        <w:textAlignment w:val="auto"/>
        <w:rPr>
          <w:rFonts w:hint="eastAsia" w:ascii="宋体" w:hAnsi="宋体" w:eastAsia="宋体" w:cs="宋体"/>
          <w:bCs/>
          <w:color w:val="auto"/>
          <w:kern w:val="0"/>
          <w:sz w:val="24"/>
          <w:highlight w:val="none"/>
          <w:u w:color="000000"/>
          <w:lang w:bidi="ar"/>
        </w:rPr>
      </w:pPr>
      <w:r>
        <w:rPr>
          <w:rFonts w:hint="eastAsia" w:ascii="宋体" w:hAnsi="宋体" w:eastAsia="宋体" w:cs="宋体"/>
          <w:bCs/>
          <w:color w:val="auto"/>
          <w:kern w:val="0"/>
          <w:sz w:val="24"/>
          <w:highlight w:val="none"/>
          <w:u w:color="000000"/>
          <w:lang w:bidi="ar"/>
        </w:rPr>
        <w:t>是否要求投标人提交投标保证金：</w:t>
      </w:r>
      <w:r>
        <w:rPr>
          <w:rFonts w:hint="eastAsia" w:ascii="宋体" w:hAnsi="宋体" w:eastAsia="宋体" w:cs="宋体"/>
          <w:bCs/>
          <w:color w:val="auto"/>
          <w:kern w:val="0"/>
          <w:sz w:val="24"/>
          <w:highlight w:val="none"/>
          <w:u w:color="000000"/>
          <w:lang w:val="en-US" w:eastAsia="zh-CN" w:bidi="ar"/>
        </w:rPr>
        <w:t>不</w:t>
      </w:r>
      <w:r>
        <w:rPr>
          <w:rFonts w:hint="eastAsia" w:ascii="宋体" w:hAnsi="宋体" w:eastAsia="宋体" w:cs="宋体"/>
          <w:bCs/>
          <w:color w:val="auto"/>
          <w:kern w:val="0"/>
          <w:sz w:val="24"/>
          <w:highlight w:val="none"/>
          <w:u w:color="000000"/>
          <w:lang w:bidi="ar"/>
        </w:rPr>
        <w:t>要求。</w:t>
      </w:r>
    </w:p>
    <w:p w14:paraId="0AEACD3B">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8" w:firstLineChars="200"/>
        <w:jc w:val="both"/>
        <w:textAlignment w:val="auto"/>
        <w:rPr>
          <w:rFonts w:hint="eastAsia" w:ascii="宋体" w:hAnsi="宋体" w:eastAsia="宋体" w:cs="宋体"/>
          <w:b/>
          <w:bCs w:val="0"/>
          <w:spacing w:val="2"/>
          <w:sz w:val="24"/>
          <w:szCs w:val="24"/>
          <w:highlight w:val="none"/>
          <w:lang w:val="en-US"/>
        </w:rPr>
      </w:pPr>
      <w:r>
        <w:rPr>
          <w:rFonts w:hint="eastAsia" w:ascii="宋体" w:hAnsi="宋体" w:eastAsia="宋体" w:cs="宋体"/>
          <w:b/>
          <w:bCs w:val="0"/>
          <w:color w:val="000000"/>
          <w:spacing w:val="2"/>
          <w:kern w:val="0"/>
          <w:sz w:val="24"/>
          <w:szCs w:val="24"/>
          <w:highlight w:val="none"/>
          <w:u w:color="000000"/>
          <w:lang w:val="en-US" w:eastAsia="zh-CN" w:bidi="ar"/>
        </w:rPr>
        <w:t>六、</w:t>
      </w:r>
      <w:r>
        <w:rPr>
          <w:rFonts w:hint="eastAsia" w:ascii="宋体" w:hAnsi="宋体" w:eastAsia="宋体" w:cs="宋体"/>
          <w:b/>
          <w:bCs w:val="0"/>
          <w:color w:val="000000"/>
          <w:kern w:val="0"/>
          <w:sz w:val="24"/>
          <w:szCs w:val="24"/>
          <w:highlight w:val="none"/>
          <w:u w:color="000000"/>
          <w:lang w:val="en-US" w:eastAsia="zh-CN" w:bidi="ar"/>
        </w:rPr>
        <w:t>对本次招标提出询问，请按以下方式联系</w:t>
      </w:r>
    </w:p>
    <w:p w14:paraId="77349B10">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1.招标人信息</w:t>
      </w:r>
    </w:p>
    <w:p w14:paraId="195CA355">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 xml:space="preserve">名称：滁州市滁宁城际铁路开发建设有限公司   </w:t>
      </w:r>
    </w:p>
    <w:p w14:paraId="582FFFE7">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 xml:space="preserve">地址：滁州市徽州路与扬子路交叉口东南侧7楼 </w:t>
      </w:r>
    </w:p>
    <w:p w14:paraId="47F84668">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000000"/>
          <w:kern w:val="0"/>
          <w:sz w:val="24"/>
          <w:szCs w:val="24"/>
          <w:highlight w:val="none"/>
          <w:u w:color="000000"/>
          <w:lang w:val="en-US" w:eastAsia="zh-CN" w:bidi="ar"/>
        </w:rPr>
      </w:pPr>
      <w:r>
        <w:rPr>
          <w:rFonts w:hint="eastAsia" w:ascii="宋体" w:hAnsi="宋体" w:eastAsia="宋体" w:cs="宋体"/>
          <w:bCs/>
          <w:color w:val="000000"/>
          <w:kern w:val="0"/>
          <w:sz w:val="24"/>
          <w:szCs w:val="24"/>
          <w:highlight w:val="none"/>
          <w:u w:color="000000"/>
          <w:lang w:val="en-US" w:eastAsia="zh-CN" w:bidi="ar"/>
        </w:rPr>
        <w:t>联系方式：</w:t>
      </w:r>
      <w:bookmarkStart w:id="14" w:name="_Toc28359010"/>
      <w:bookmarkEnd w:id="14"/>
      <w:bookmarkStart w:id="15" w:name="_Toc28359087"/>
      <w:r>
        <w:rPr>
          <w:rFonts w:hint="eastAsia" w:ascii="宋体" w:hAnsi="宋体" w:eastAsia="宋体" w:cs="宋体"/>
          <w:bCs/>
          <w:color w:val="000000"/>
          <w:kern w:val="0"/>
          <w:sz w:val="24"/>
          <w:highlight w:val="none"/>
          <w:lang w:eastAsia="zh-CN" w:bidi="ar"/>
        </w:rPr>
        <w:t>13339207910</w:t>
      </w:r>
    </w:p>
    <w:p w14:paraId="41CD5F16">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2.</w:t>
      </w:r>
      <w:bookmarkEnd w:id="15"/>
      <w:r>
        <w:rPr>
          <w:rFonts w:hint="eastAsia" w:ascii="宋体" w:hAnsi="宋体" w:eastAsia="宋体" w:cs="宋体"/>
          <w:bCs/>
          <w:color w:val="000000"/>
          <w:kern w:val="0"/>
          <w:sz w:val="24"/>
          <w:szCs w:val="24"/>
          <w:highlight w:val="none"/>
          <w:u w:color="000000"/>
          <w:lang w:val="en-US" w:eastAsia="zh-CN" w:bidi="ar"/>
        </w:rPr>
        <w:t>代理机构信息</w:t>
      </w:r>
    </w:p>
    <w:p w14:paraId="082FEFFF">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名称：滁州市城投工程咨询管理有限公司</w:t>
      </w:r>
    </w:p>
    <w:p w14:paraId="4DD7911C">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地址：滁州市龙蟠大道109号房产大厦6楼605室</w:t>
      </w:r>
    </w:p>
    <w:p w14:paraId="2BF4BF62">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联系方式：0550-3519519、18005505728</w:t>
      </w:r>
    </w:p>
    <w:p w14:paraId="1C43192F">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3.项目联系方式</w:t>
      </w:r>
    </w:p>
    <w:p w14:paraId="2F73EC90">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 xml:space="preserve">项目联系人：杨雅辰、周蓓蕾    </w:t>
      </w:r>
    </w:p>
    <w:p w14:paraId="1D303122">
      <w:pPr>
        <w:pStyle w:val="21"/>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600" w:lineRule="auto"/>
        <w:ind w:left="0" w:right="0" w:firstLine="480" w:firstLineChars="200"/>
        <w:jc w:val="left"/>
        <w:textAlignment w:val="auto"/>
        <w:rPr>
          <w:rFonts w:hint="eastAsia" w:ascii="宋体" w:hAnsi="宋体" w:eastAsia="宋体" w:cs="宋体"/>
          <w:bCs/>
          <w:color w:val="000000"/>
          <w:kern w:val="0"/>
          <w:sz w:val="24"/>
          <w:szCs w:val="24"/>
          <w:highlight w:val="none"/>
          <w:u w:color="000000"/>
          <w:lang w:val="en-US" w:eastAsia="zh-CN" w:bidi="ar"/>
        </w:rPr>
      </w:pPr>
      <w:r>
        <w:rPr>
          <w:rFonts w:hint="eastAsia" w:ascii="宋体" w:hAnsi="宋体" w:eastAsia="宋体" w:cs="宋体"/>
          <w:bCs/>
          <w:color w:val="000000"/>
          <w:kern w:val="0"/>
          <w:sz w:val="24"/>
          <w:szCs w:val="24"/>
          <w:highlight w:val="none"/>
          <w:u w:color="000000"/>
          <w:lang w:val="en-US" w:eastAsia="zh-CN" w:bidi="ar"/>
        </w:rPr>
        <w:t>电话：</w:t>
      </w:r>
      <w:r>
        <w:rPr>
          <w:rFonts w:hint="eastAsia" w:ascii="宋体" w:hAnsi="宋体" w:eastAsia="宋体" w:cs="宋体"/>
          <w:bCs/>
          <w:color w:val="000000"/>
          <w:kern w:val="0"/>
          <w:sz w:val="24"/>
          <w:highlight w:val="none"/>
          <w:lang w:eastAsia="zh-CN" w:bidi="ar"/>
        </w:rPr>
        <w:t>13339207910</w:t>
      </w:r>
      <w:r>
        <w:rPr>
          <w:rFonts w:hint="eastAsia" w:ascii="宋体" w:hAnsi="宋体" w:eastAsia="宋体" w:cs="宋体"/>
          <w:bCs/>
          <w:color w:val="000000"/>
          <w:kern w:val="0"/>
          <w:sz w:val="24"/>
          <w:szCs w:val="24"/>
          <w:highlight w:val="none"/>
          <w:u w:color="000000"/>
          <w:lang w:val="en-US" w:eastAsia="zh-CN" w:bidi="ar"/>
        </w:rPr>
        <w:t>、18005505728</w:t>
      </w:r>
    </w:p>
    <w:p w14:paraId="15B7BEBE">
      <w:pPr>
        <w:keepNext w:val="0"/>
        <w:keepLines w:val="0"/>
        <w:pageBreakBefore w:val="0"/>
        <w:widowControl/>
        <w:numPr>
          <w:ilvl w:val="0"/>
          <w:numId w:val="1"/>
        </w:numPr>
        <w:suppressLineNumbers w:val="0"/>
        <w:kinsoku/>
        <w:overflowPunct/>
        <w:topLinePunct w:val="0"/>
        <w:autoSpaceDE w:val="0"/>
        <w:autoSpaceDN/>
        <w:bidi w:val="0"/>
        <w:adjustRightInd/>
        <w:snapToGrid/>
        <w:spacing w:before="0" w:beforeAutospacing="0" w:after="0" w:afterAutospacing="0" w:line="480" w:lineRule="exact"/>
        <w:ind w:right="0"/>
        <w:jc w:val="center"/>
        <w:textAlignment w:val="auto"/>
        <w:rPr>
          <w:rFonts w:hint="eastAsia" w:ascii="宋体" w:hAnsi="宋体" w:eastAsia="宋体" w:cs="宋体"/>
          <w:b/>
          <w:bCs/>
          <w:color w:val="auto"/>
          <w:kern w:val="0"/>
          <w:sz w:val="28"/>
          <w:szCs w:val="28"/>
          <w:highlight w:val="none"/>
          <w:u w:color="000000"/>
          <w:lang w:val="en-US" w:eastAsia="zh-CN" w:bidi="ar"/>
        </w:rPr>
      </w:pPr>
      <w:r>
        <w:rPr>
          <w:rFonts w:hint="eastAsia" w:ascii="宋体" w:hAnsi="宋体" w:eastAsia="宋体" w:cs="宋体"/>
          <w:bCs/>
          <w:color w:val="000000"/>
          <w:kern w:val="0"/>
          <w:sz w:val="24"/>
          <w:szCs w:val="24"/>
          <w:highlight w:val="none"/>
          <w:u w:color="000000"/>
          <w:lang w:val="en-US" w:eastAsia="zh-CN" w:bidi="ar"/>
        </w:rPr>
        <w:br w:type="page"/>
      </w:r>
      <w:r>
        <w:rPr>
          <w:rFonts w:hint="eastAsia" w:ascii="宋体" w:hAnsi="宋体" w:eastAsia="宋体" w:cs="宋体"/>
          <w:b/>
          <w:bCs/>
          <w:color w:val="auto"/>
          <w:kern w:val="0"/>
          <w:sz w:val="28"/>
          <w:szCs w:val="28"/>
          <w:highlight w:val="none"/>
          <w:u w:color="000000"/>
          <w:lang w:val="en-US" w:eastAsia="zh-CN" w:bidi="ar"/>
        </w:rPr>
        <w:t>投标人须知</w:t>
      </w:r>
      <w:bookmarkStart w:id="16" w:name="_Toc9559"/>
      <w:bookmarkEnd w:id="16"/>
      <w:bookmarkStart w:id="17" w:name="_Toc28003_WPSOffice_Level2"/>
    </w:p>
    <w:p w14:paraId="46AA4A47">
      <w:pPr>
        <w:keepNext w:val="0"/>
        <w:keepLines w:val="0"/>
        <w:pageBreakBefore w:val="0"/>
        <w:widowControl/>
        <w:numPr>
          <w:ilvl w:val="0"/>
          <w:numId w:val="0"/>
        </w:numPr>
        <w:suppressLineNumbers w:val="0"/>
        <w:kinsoku/>
        <w:overflowPunct/>
        <w:topLinePunct w:val="0"/>
        <w:autoSpaceDE w:val="0"/>
        <w:autoSpaceDN/>
        <w:bidi w:val="0"/>
        <w:adjustRightInd/>
        <w:snapToGrid/>
        <w:spacing w:before="0" w:beforeAutospacing="0" w:after="0" w:afterAutospacing="0" w:line="480" w:lineRule="exact"/>
        <w:ind w:right="0" w:rightChars="0"/>
        <w:jc w:val="center"/>
        <w:textAlignment w:val="auto"/>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一、投标人须知前附表</w:t>
      </w:r>
      <w:bookmarkEnd w:id="17"/>
    </w:p>
    <w:tbl>
      <w:tblPr>
        <w:tblStyle w:val="23"/>
        <w:tblW w:w="9809" w:type="dxa"/>
        <w:tblInd w:w="-26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Layout w:type="fixed"/>
        <w:tblCellMar>
          <w:top w:w="0" w:type="dxa"/>
          <w:left w:w="108" w:type="dxa"/>
          <w:bottom w:w="0" w:type="dxa"/>
          <w:right w:w="108" w:type="dxa"/>
        </w:tblCellMar>
      </w:tblPr>
      <w:tblGrid>
        <w:gridCol w:w="1035"/>
        <w:gridCol w:w="2446"/>
        <w:gridCol w:w="6328"/>
      </w:tblGrid>
      <w:tr w14:paraId="014B12D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6" w:hRule="atLeast"/>
        </w:trPr>
        <w:tc>
          <w:tcPr>
            <w:tcW w:w="1035" w:type="dxa"/>
            <w:tcBorders>
              <w:top w:val="single" w:color="auto" w:sz="12" w:space="0"/>
              <w:left w:val="single" w:color="auto" w:sz="12" w:space="0"/>
              <w:bottom w:val="single" w:color="auto" w:sz="8" w:space="0"/>
              <w:right w:val="single" w:color="auto" w:sz="8" w:space="0"/>
            </w:tcBorders>
            <w:shd w:val="clear" w:color="auto" w:fill="auto"/>
            <w:vAlign w:val="center"/>
          </w:tcPr>
          <w:p w14:paraId="79D18432">
            <w:pPr>
              <w:pStyle w:val="13"/>
              <w:keepNext w:val="0"/>
              <w:keepLines w:val="0"/>
              <w:pageBreakBefore w:val="0"/>
              <w:widowControl/>
              <w:kinsoku/>
              <w:wordWrap/>
              <w:overflowPunct/>
              <w:topLinePunct w:val="0"/>
              <w:autoSpaceDN/>
              <w:bidi w:val="0"/>
              <w:adjustRightInd/>
              <w:snapToGrid/>
              <w:spacing w:line="360" w:lineRule="exact"/>
              <w:jc w:val="center"/>
              <w:textAlignment w:val="auto"/>
              <w:rPr>
                <w:rFonts w:hint="eastAsia" w:eastAsia="宋体" w:cs="Times New Roman"/>
                <w:b/>
                <w:bCs w:val="0"/>
                <w:highlight w:val="none"/>
                <w:lang w:val="en-US" w:eastAsia="zh-CN"/>
              </w:rPr>
            </w:pPr>
            <w:r>
              <w:rPr>
                <w:rFonts w:hint="eastAsia" w:cs="Times New Roman"/>
                <w:b/>
                <w:bCs w:val="0"/>
                <w:highlight w:val="none"/>
                <w:lang w:val="en-US" w:eastAsia="zh-CN"/>
              </w:rPr>
              <w:t>序号</w:t>
            </w:r>
          </w:p>
        </w:tc>
        <w:tc>
          <w:tcPr>
            <w:tcW w:w="2446" w:type="dxa"/>
            <w:tcBorders>
              <w:top w:val="single" w:color="auto" w:sz="12" w:space="0"/>
              <w:left w:val="single" w:color="auto" w:sz="8" w:space="0"/>
              <w:bottom w:val="single" w:color="auto" w:sz="8" w:space="0"/>
              <w:right w:val="single" w:color="auto" w:sz="8" w:space="0"/>
            </w:tcBorders>
            <w:shd w:val="clear" w:color="auto" w:fill="auto"/>
            <w:vAlign w:val="center"/>
          </w:tcPr>
          <w:p w14:paraId="2AD19423">
            <w:pPr>
              <w:pStyle w:val="13"/>
              <w:keepNext w:val="0"/>
              <w:keepLines w:val="0"/>
              <w:pageBreakBefore w:val="0"/>
              <w:widowControl/>
              <w:kinsoku/>
              <w:wordWrap/>
              <w:overflowPunct/>
              <w:topLinePunct w:val="0"/>
              <w:autoSpaceDN/>
              <w:bidi w:val="0"/>
              <w:adjustRightInd/>
              <w:snapToGrid/>
              <w:spacing w:line="360" w:lineRule="exact"/>
              <w:jc w:val="center"/>
              <w:textAlignment w:val="auto"/>
              <w:rPr>
                <w:rFonts w:cs="Times New Roman"/>
                <w:b/>
                <w:bCs w:val="0"/>
                <w:highlight w:val="none"/>
                <w:lang w:val="en-US"/>
              </w:rPr>
            </w:pPr>
            <w:r>
              <w:rPr>
                <w:rFonts w:hint="eastAsia"/>
                <w:b/>
                <w:color w:val="auto"/>
                <w:szCs w:val="21"/>
                <w:highlight w:val="none"/>
                <w:lang w:val="en-US" w:eastAsia="zh-CN"/>
              </w:rPr>
              <w:t>条款名称</w:t>
            </w:r>
          </w:p>
        </w:tc>
        <w:tc>
          <w:tcPr>
            <w:tcW w:w="6328" w:type="dxa"/>
            <w:tcBorders>
              <w:top w:val="single" w:color="auto" w:sz="12" w:space="0"/>
              <w:left w:val="single" w:color="auto" w:sz="8" w:space="0"/>
              <w:bottom w:val="single" w:color="auto" w:sz="8" w:space="0"/>
              <w:right w:val="single" w:color="auto" w:sz="12" w:space="0"/>
            </w:tcBorders>
            <w:shd w:val="clear" w:color="auto" w:fill="auto"/>
            <w:vAlign w:val="center"/>
          </w:tcPr>
          <w:p w14:paraId="46C92CB0">
            <w:pPr>
              <w:pStyle w:val="13"/>
              <w:keepNext w:val="0"/>
              <w:keepLines w:val="0"/>
              <w:pageBreakBefore w:val="0"/>
              <w:widowControl/>
              <w:kinsoku/>
              <w:wordWrap/>
              <w:overflowPunct/>
              <w:topLinePunct w:val="0"/>
              <w:autoSpaceDN/>
              <w:bidi w:val="0"/>
              <w:adjustRightInd/>
              <w:snapToGrid/>
              <w:spacing w:line="360" w:lineRule="exact"/>
              <w:jc w:val="center"/>
              <w:textAlignment w:val="auto"/>
              <w:rPr>
                <w:rFonts w:cs="Times New Roman"/>
                <w:b/>
                <w:bCs w:val="0"/>
                <w:highlight w:val="none"/>
                <w:lang w:val="en-US"/>
              </w:rPr>
            </w:pPr>
            <w:r>
              <w:rPr>
                <w:rFonts w:cs="Times New Roman"/>
                <w:b/>
                <w:bCs w:val="0"/>
                <w:highlight w:val="none"/>
              </w:rPr>
              <w:t>说明与要求</w:t>
            </w:r>
          </w:p>
        </w:tc>
      </w:tr>
      <w:tr w14:paraId="3DEDF6C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4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1BE3D36">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9F79B70">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项目名称</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EB5F2B4">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hint="default" w:cs="Times New Roman"/>
                <w:bCs/>
                <w:highlight w:val="none"/>
                <w:lang w:val="en-US" w:eastAsia="zh-CN"/>
              </w:rPr>
            </w:pPr>
            <w:r>
              <w:rPr>
                <w:rFonts w:hint="eastAsia" w:cs="Times New Roman"/>
                <w:bCs/>
                <w:highlight w:val="none"/>
                <w:lang w:eastAsia="zh-CN"/>
              </w:rPr>
              <w:t>滁州至南京城际铁路（滁州段）一期管道防寒保温项目</w:t>
            </w:r>
          </w:p>
        </w:tc>
      </w:tr>
      <w:tr w14:paraId="41AC808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9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2598881">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FDF3EC7">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ascii="宋体" w:hAnsi="宋体" w:eastAsia="宋体" w:cs="Times New Roman"/>
                <w:highlight w:val="none"/>
                <w:lang w:val="en-US"/>
              </w:rPr>
            </w:pPr>
            <w:r>
              <w:rPr>
                <w:rFonts w:hint="eastAsia" w:cs="Times New Roman"/>
                <w:highlight w:val="none"/>
                <w:lang w:val="en-US" w:eastAsia="zh-CN"/>
              </w:rPr>
              <w:t>工</w:t>
            </w:r>
            <w:r>
              <w:rPr>
                <w:rFonts w:hint="eastAsia" w:ascii="宋体" w:hAnsi="宋体" w:eastAsia="宋体" w:cs="Times New Roman"/>
                <w:highlight w:val="none"/>
                <w:lang w:val="en-US" w:eastAsia="zh-CN"/>
              </w:rPr>
              <w:t>期</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BDE0AD4">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hint="eastAsia" w:cs="Times New Roman"/>
                <w:bCs/>
                <w:highlight w:val="none"/>
                <w:lang w:val="en-US" w:eastAsia="zh-CN"/>
              </w:rPr>
            </w:pPr>
            <w:r>
              <w:rPr>
                <w:rFonts w:hint="eastAsia" w:ascii="宋体" w:hAnsi="宋体" w:eastAsia="宋体" w:cs="宋体"/>
                <w:color w:val="000000"/>
                <w:kern w:val="2"/>
                <w:sz w:val="21"/>
                <w:szCs w:val="21"/>
                <w:highlight w:val="none"/>
                <w:u w:color="000000"/>
                <w:lang w:val="en-US" w:eastAsia="zh-CN" w:bidi="ar"/>
              </w:rPr>
              <w:t>详见第一章</w:t>
            </w:r>
            <w:r>
              <w:rPr>
                <w:rFonts w:hint="eastAsia" w:ascii="ˎ̥" w:hAnsi="ˎ̥" w:eastAsia="宋体" w:cs="宋体"/>
                <w:color w:val="000000"/>
                <w:kern w:val="2"/>
                <w:sz w:val="21"/>
                <w:szCs w:val="21"/>
                <w:highlight w:val="none"/>
                <w:u w:color="000000"/>
                <w:lang w:val="en-US" w:eastAsia="zh-CN" w:bidi="ar"/>
              </w:rPr>
              <w:t>“招标公告”</w:t>
            </w:r>
          </w:p>
        </w:tc>
      </w:tr>
      <w:tr w14:paraId="5343A21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7B1A8B0">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206D413">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hint="eastAsia" w:cs="Times New Roman"/>
                <w:highlight w:val="none"/>
                <w:lang w:val="en-US" w:eastAsia="zh-CN"/>
              </w:rPr>
              <w:t>项目</w:t>
            </w:r>
            <w:r>
              <w:rPr>
                <w:rFonts w:cs="Times New Roman"/>
                <w:highlight w:val="none"/>
              </w:rPr>
              <w:t>地点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E7DD6A9">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bCs/>
                <w:highlight w:val="none"/>
                <w:lang w:val="en-US"/>
              </w:rPr>
            </w:pPr>
            <w:r>
              <w:rPr>
                <w:rFonts w:hint="eastAsia" w:ascii="宋体" w:hAnsi="宋体" w:eastAsia="宋体" w:cs="宋体"/>
                <w:color w:val="000000"/>
                <w:szCs w:val="21"/>
                <w:highlight w:val="none"/>
                <w:lang w:val="en-US" w:eastAsia="zh-CN"/>
              </w:rPr>
              <w:t>招标人指定地点</w:t>
            </w:r>
          </w:p>
        </w:tc>
      </w:tr>
      <w:tr w14:paraId="61021BD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2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BDF2975">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8F17EF3">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招标人联系人及电话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044EE84">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cs="宋体"/>
                <w:highlight w:val="none"/>
                <w:lang w:val="en-US"/>
              </w:rPr>
            </w:pPr>
            <w:r>
              <w:rPr>
                <w:rFonts w:hint="eastAsia" w:cs="宋体-18030"/>
                <w:color w:val="auto"/>
                <w:sz w:val="21"/>
                <w:szCs w:val="21"/>
                <w:highlight w:val="none"/>
                <w:lang w:val="en-US" w:eastAsia="zh-CN"/>
              </w:rPr>
              <w:t>杨雅</w:t>
            </w:r>
            <w:r>
              <w:rPr>
                <w:rFonts w:hint="eastAsia" w:ascii="宋体" w:hAnsi="宋体" w:eastAsia="宋体" w:cs="宋体-18030"/>
                <w:color w:val="auto"/>
                <w:sz w:val="21"/>
                <w:szCs w:val="21"/>
                <w:highlight w:val="none"/>
                <w:lang w:val="en-US" w:eastAsia="zh-CN"/>
              </w:rPr>
              <w:t>辰  13339207910</w:t>
            </w:r>
          </w:p>
        </w:tc>
      </w:tr>
      <w:tr w14:paraId="6355949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6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F41DC7C">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EB5C718">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代理机构联系人及电话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E66BD4B">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cs="宋体"/>
                <w:highlight w:val="none"/>
                <w:lang w:val="en-US"/>
              </w:rPr>
            </w:pPr>
            <w:r>
              <w:rPr>
                <w:rFonts w:cs="宋体"/>
                <w:highlight w:val="none"/>
              </w:rPr>
              <w:t xml:space="preserve">周蓓蕾 </w:t>
            </w:r>
            <w:r>
              <w:rPr>
                <w:rFonts w:hint="eastAsia" w:cs="宋体"/>
                <w:highlight w:val="none"/>
                <w:lang w:val="en-US" w:eastAsia="zh-CN"/>
              </w:rPr>
              <w:t xml:space="preserve"> </w:t>
            </w:r>
            <w:r>
              <w:rPr>
                <w:rFonts w:cs="宋体"/>
                <w:highlight w:val="none"/>
                <w:lang w:val="en-US"/>
              </w:rPr>
              <w:t>0550-3519519  18005505728</w:t>
            </w:r>
          </w:p>
        </w:tc>
      </w:tr>
      <w:tr w14:paraId="10225E0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5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7B4C7FA">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F512C85">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资金来源</w:t>
            </w:r>
            <w:r>
              <w:rPr>
                <w:rFonts w:cs="Times New Roman"/>
                <w:highlight w:val="none"/>
                <w:lang w:val="en-US"/>
              </w:rPr>
              <w:t xml:space="preserve">                                                                                                                                                                 </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E7429AC">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highlight w:val="none"/>
                <w:lang w:val="en-US"/>
              </w:rPr>
            </w:pPr>
            <w:r>
              <w:rPr>
                <w:rFonts w:cs="Times New Roman"/>
                <w:highlight w:val="none"/>
              </w:rPr>
              <w:t>自筹资金</w:t>
            </w:r>
          </w:p>
        </w:tc>
      </w:tr>
      <w:tr w14:paraId="0634EB6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8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2FB25F5">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A18DD82">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项目预算</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90BD7EE">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hint="default" w:ascii="宋体" w:hAnsi="宋体" w:eastAsia="宋体" w:cs="宋体"/>
                <w:bCs/>
                <w:color w:val="000000"/>
                <w:szCs w:val="21"/>
                <w:highlight w:val="none"/>
                <w:lang w:val="en-US" w:eastAsia="zh-CN"/>
              </w:rPr>
            </w:pPr>
            <w:r>
              <w:rPr>
                <w:rFonts w:hint="eastAsia" w:cs="宋体"/>
                <w:bCs/>
                <w:color w:val="000000"/>
                <w:szCs w:val="21"/>
                <w:highlight w:val="none"/>
                <w:lang w:val="en-US" w:eastAsia="zh-CN"/>
              </w:rPr>
              <w:t>700000元</w:t>
            </w:r>
          </w:p>
        </w:tc>
      </w:tr>
      <w:tr w14:paraId="722D8D5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8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CE83B9C">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2E656D7">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hint="default" w:eastAsia="宋体" w:cs="Times New Roman"/>
                <w:highlight w:val="none"/>
                <w:lang w:val="en-US" w:eastAsia="zh-CN"/>
              </w:rPr>
            </w:pPr>
            <w:r>
              <w:rPr>
                <w:rFonts w:cs="Times New Roman"/>
                <w:highlight w:val="none"/>
              </w:rPr>
              <w:t>最高限价</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D647838">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本项目最高限价为（人民币）</w:t>
            </w:r>
            <w:r>
              <w:rPr>
                <w:rFonts w:hint="eastAsia" w:cs="宋体"/>
                <w:bCs/>
                <w:color w:val="000000"/>
                <w:szCs w:val="21"/>
                <w:highlight w:val="none"/>
                <w:lang w:val="en-US" w:eastAsia="zh-CN"/>
              </w:rPr>
              <w:t>700000元</w:t>
            </w:r>
            <w:r>
              <w:rPr>
                <w:rFonts w:hint="eastAsia" w:ascii="宋体" w:hAnsi="宋体" w:eastAsia="宋体" w:cs="宋体"/>
                <w:bCs/>
                <w:color w:val="000000"/>
                <w:szCs w:val="21"/>
                <w:highlight w:val="none"/>
                <w:lang w:val="en-US" w:eastAsia="zh-CN"/>
              </w:rPr>
              <w:t>，投标报价不得超过最高限价，否则按无效投标处理。</w:t>
            </w:r>
          </w:p>
        </w:tc>
      </w:tr>
      <w:tr w14:paraId="1EB4034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C0106EA">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551771F">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采购内容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98EC8EA">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highlight w:val="none"/>
                <w:lang w:val="en-US"/>
              </w:rPr>
            </w:pPr>
            <w:r>
              <w:rPr>
                <w:rFonts w:hint="eastAsia" w:cs="Times New Roman"/>
                <w:highlight w:val="none"/>
                <w:lang w:val="en-US" w:eastAsia="zh-CN"/>
              </w:rPr>
              <w:t>详见</w:t>
            </w:r>
            <w:r>
              <w:rPr>
                <w:rFonts w:hint="eastAsia" w:hAnsi="宋体" w:cs="宋体"/>
                <w:bCs/>
                <w:color w:val="000000"/>
                <w:szCs w:val="21"/>
                <w:highlight w:val="none"/>
              </w:rPr>
              <w:t>《</w:t>
            </w:r>
            <w:r>
              <w:rPr>
                <w:rFonts w:hint="eastAsia" w:cs="宋体"/>
                <w:bCs/>
                <w:color w:val="000000"/>
                <w:szCs w:val="21"/>
                <w:highlight w:val="none"/>
                <w:lang w:val="en-US" w:eastAsia="zh-CN"/>
              </w:rPr>
              <w:t>用户需求书</w:t>
            </w:r>
            <w:r>
              <w:rPr>
                <w:rFonts w:hint="eastAsia" w:hAnsi="宋体" w:cs="宋体"/>
                <w:bCs/>
                <w:color w:val="000000"/>
                <w:szCs w:val="21"/>
                <w:highlight w:val="none"/>
              </w:rPr>
              <w:t>》</w:t>
            </w:r>
          </w:p>
        </w:tc>
      </w:tr>
      <w:tr w14:paraId="6156BB5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AE1CB8B">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8A74711">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标包划分</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18EA6DE">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hint="eastAsia" w:eastAsia="宋体" w:cs="宋体"/>
                <w:highlight w:val="none"/>
                <w:lang w:val="en-US" w:eastAsia="zh-CN"/>
              </w:rPr>
            </w:pPr>
            <w:r>
              <w:rPr>
                <w:rFonts w:cs="Times New Roman"/>
                <w:highlight w:val="none"/>
              </w:rPr>
              <w:t>本项目划分为</w:t>
            </w:r>
            <w:r>
              <w:rPr>
                <w:rFonts w:cs="Times New Roman"/>
                <w:highlight w:val="none"/>
                <w:u w:val="single"/>
                <w:lang w:val="en-US"/>
              </w:rPr>
              <w:t xml:space="preserve"> 1 </w:t>
            </w:r>
            <w:r>
              <w:rPr>
                <w:rFonts w:cs="Times New Roman"/>
                <w:highlight w:val="none"/>
              </w:rPr>
              <w:t>个标</w:t>
            </w:r>
            <w:r>
              <w:rPr>
                <w:rFonts w:hint="eastAsia" w:cs="Times New Roman"/>
                <w:highlight w:val="none"/>
                <w:lang w:val="en-US" w:eastAsia="zh-CN"/>
              </w:rPr>
              <w:t>段</w:t>
            </w:r>
          </w:p>
        </w:tc>
      </w:tr>
      <w:tr w14:paraId="63E7C54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0C2D4DD">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C5F999B">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招标方式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150A01E">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highlight w:val="none"/>
                <w:lang w:val="en-US"/>
              </w:rPr>
            </w:pPr>
            <w:r>
              <w:rPr>
                <w:rFonts w:cs="宋体"/>
                <w:highlight w:val="none"/>
              </w:rPr>
              <w:t>公开</w:t>
            </w:r>
            <w:r>
              <w:rPr>
                <w:rFonts w:cs="Times New Roman"/>
                <w:highlight w:val="none"/>
              </w:rPr>
              <w:t>招标</w:t>
            </w:r>
          </w:p>
        </w:tc>
      </w:tr>
      <w:tr w14:paraId="2046F9F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50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D61F256">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5F75E68">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投标人资格条件及其他要求</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FCB316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default" w:ascii="ˎ̥" w:hAnsi="ˎ̥" w:eastAsia="ˎ̥" w:cs="ˎ̥"/>
                <w:kern w:val="2"/>
                <w:highlight w:val="none"/>
                <w:lang w:val="en-US"/>
              </w:rPr>
            </w:pPr>
            <w:r>
              <w:rPr>
                <w:rFonts w:hint="eastAsia" w:ascii="宋体" w:hAnsi="宋体" w:eastAsia="宋体" w:cs="宋体"/>
                <w:color w:val="000000"/>
                <w:kern w:val="2"/>
                <w:sz w:val="21"/>
                <w:szCs w:val="21"/>
                <w:highlight w:val="none"/>
                <w:u w:color="000000"/>
                <w:lang w:val="en-US" w:eastAsia="zh-CN" w:bidi="ar"/>
              </w:rPr>
              <w:t>详见第一章</w:t>
            </w:r>
            <w:r>
              <w:rPr>
                <w:rFonts w:hint="eastAsia" w:ascii="ˎ̥" w:hAnsi="ˎ̥" w:eastAsia="宋体" w:cs="宋体"/>
                <w:color w:val="000000"/>
                <w:kern w:val="2"/>
                <w:sz w:val="21"/>
                <w:szCs w:val="21"/>
                <w:highlight w:val="none"/>
                <w:u w:color="000000"/>
                <w:lang w:val="en-US" w:eastAsia="zh-CN" w:bidi="ar"/>
              </w:rPr>
              <w:t>“招标公告”</w:t>
            </w:r>
          </w:p>
        </w:tc>
      </w:tr>
      <w:tr w14:paraId="5C30D07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5FC1684">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F362973">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踏勘现场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04D11FD">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highlight w:val="none"/>
                <w:lang w:val="en-US"/>
              </w:rPr>
            </w:pPr>
            <w:r>
              <w:rPr>
                <w:rFonts w:cs="Times New Roman"/>
                <w:highlight w:val="none"/>
              </w:rPr>
              <w:t>不组织</w:t>
            </w:r>
            <w:r>
              <w:rPr>
                <w:rFonts w:cs="Times New Roman"/>
                <w:highlight w:val="none"/>
                <w:lang w:val="en-US"/>
              </w:rPr>
              <w:t>,</w:t>
            </w:r>
            <w:r>
              <w:rPr>
                <w:rFonts w:cs="Times New Roman"/>
                <w:highlight w:val="none"/>
              </w:rPr>
              <w:t>投标人自行踏勘现场</w:t>
            </w:r>
          </w:p>
        </w:tc>
      </w:tr>
      <w:tr w14:paraId="0EE711C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7DEB2CC">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123901C">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投标预备会</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FF06243">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highlight w:val="none"/>
                <w:lang w:val="en-US"/>
              </w:rPr>
            </w:pPr>
            <w:r>
              <w:rPr>
                <w:rFonts w:cs="Times New Roman"/>
                <w:highlight w:val="none"/>
              </w:rPr>
              <w:t>不召开</w:t>
            </w:r>
          </w:p>
        </w:tc>
      </w:tr>
      <w:tr w14:paraId="28C407E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D0CDB3D">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C63C30C">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投标人提出</w:t>
            </w:r>
            <w:r>
              <w:rPr>
                <w:rFonts w:cs="Times New Roman"/>
                <w:highlight w:val="none"/>
                <w:u w:val="single"/>
              </w:rPr>
              <w:t>疑问</w:t>
            </w:r>
            <w:r>
              <w:rPr>
                <w:rFonts w:cs="Times New Roman"/>
                <w:highlight w:val="none"/>
              </w:rPr>
              <w:t>的截止时间及方式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130C485">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b w:val="0"/>
                <w:bCs w:val="0"/>
                <w:highlight w:val="none"/>
                <w:lang w:val="en-US"/>
              </w:rPr>
            </w:pPr>
            <w:r>
              <w:rPr>
                <w:rFonts w:cs="Times New Roman"/>
                <w:b w:val="0"/>
                <w:bCs w:val="0"/>
                <w:highlight w:val="none"/>
              </w:rPr>
              <w:t>如投标人对招标文件有疑问，请于</w:t>
            </w:r>
            <w:r>
              <w:rPr>
                <w:rFonts w:cs="Times New Roman"/>
                <w:b w:val="0"/>
                <w:bCs w:val="0"/>
                <w:highlight w:val="none"/>
                <w:lang w:val="en-US"/>
              </w:rPr>
              <w:t>202</w:t>
            </w:r>
            <w:r>
              <w:rPr>
                <w:rFonts w:hint="eastAsia" w:cs="Times New Roman"/>
                <w:b w:val="0"/>
                <w:bCs w:val="0"/>
                <w:highlight w:val="none"/>
                <w:lang w:val="en-US" w:eastAsia="zh-CN"/>
              </w:rPr>
              <w:t>6</w:t>
            </w:r>
            <w:r>
              <w:rPr>
                <w:rFonts w:cs="Times New Roman"/>
                <w:b w:val="0"/>
                <w:bCs w:val="0"/>
                <w:highlight w:val="none"/>
              </w:rPr>
              <w:t>年</w:t>
            </w:r>
            <w:r>
              <w:rPr>
                <w:rFonts w:hint="eastAsia" w:cs="Times New Roman"/>
                <w:b w:val="0"/>
                <w:bCs w:val="0"/>
                <w:highlight w:val="none"/>
                <w:lang w:val="en-US" w:eastAsia="zh-CN"/>
              </w:rPr>
              <w:t>5</w:t>
            </w:r>
            <w:r>
              <w:rPr>
                <w:rFonts w:cs="Times New Roman"/>
                <w:b w:val="0"/>
                <w:bCs w:val="0"/>
                <w:highlight w:val="none"/>
              </w:rPr>
              <w:t>月</w:t>
            </w:r>
            <w:r>
              <w:rPr>
                <w:rFonts w:hint="eastAsia" w:cs="Times New Roman"/>
                <w:b w:val="0"/>
                <w:bCs w:val="0"/>
                <w:highlight w:val="none"/>
                <w:lang w:val="en-US" w:eastAsia="zh-CN"/>
              </w:rPr>
              <w:t>25</w:t>
            </w:r>
            <w:r>
              <w:rPr>
                <w:rFonts w:cs="Times New Roman"/>
                <w:b w:val="0"/>
                <w:bCs w:val="0"/>
                <w:highlight w:val="none"/>
              </w:rPr>
              <w:t>日</w:t>
            </w:r>
            <w:r>
              <w:rPr>
                <w:rFonts w:hAnsi="Times New Roman" w:cs="Times New Roman"/>
                <w:b w:val="0"/>
                <w:bCs w:val="0"/>
                <w:highlight w:val="none"/>
                <w:lang w:val="en-US"/>
              </w:rPr>
              <w:t>1</w:t>
            </w:r>
            <w:r>
              <w:rPr>
                <w:rFonts w:hint="eastAsia" w:hAnsi="Times New Roman" w:cs="Times New Roman"/>
                <w:b w:val="0"/>
                <w:bCs w:val="0"/>
                <w:highlight w:val="none"/>
                <w:lang w:val="en-US" w:eastAsia="zh-CN"/>
              </w:rPr>
              <w:t>2</w:t>
            </w:r>
            <w:r>
              <w:rPr>
                <w:rFonts w:hAnsi="Times New Roman" w:cs="Times New Roman"/>
                <w:b w:val="0"/>
                <w:bCs w:val="0"/>
                <w:highlight w:val="none"/>
              </w:rPr>
              <w:t>时前</w:t>
            </w:r>
            <w:r>
              <w:rPr>
                <w:rFonts w:cs="Times New Roman"/>
                <w:b w:val="0"/>
                <w:bCs w:val="0"/>
                <w:highlight w:val="none"/>
              </w:rPr>
              <w:t>将疑问内容以书面的形式加盖投标单位公章，发送至滁州市城投工程咨询管理有限公司邮箱（</w:t>
            </w:r>
            <w:r>
              <w:rPr>
                <w:rFonts w:hAnsi="Times New Roman" w:cs="Times New Roman"/>
                <w:b w:val="0"/>
                <w:bCs w:val="0"/>
                <w:highlight w:val="none"/>
                <w:lang w:val="en-US"/>
              </w:rPr>
              <w:t>czsctzx@163.com</w:t>
            </w:r>
            <w:r>
              <w:rPr>
                <w:rFonts w:hAnsi="Times New Roman" w:cs="Times New Roman"/>
                <w:b w:val="0"/>
                <w:bCs w:val="0"/>
                <w:highlight w:val="none"/>
              </w:rPr>
              <w:t>）。</w:t>
            </w:r>
          </w:p>
        </w:tc>
      </w:tr>
      <w:tr w14:paraId="5E7EE64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AD35E22">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98D3735">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招标人澄清的时间及方式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2EA56D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b w:val="0"/>
                <w:bCs w:val="0"/>
                <w:kern w:val="2"/>
                <w:highlight w:val="none"/>
                <w:lang w:val="en-US"/>
              </w:rPr>
            </w:pPr>
            <w:r>
              <w:rPr>
                <w:rFonts w:hint="eastAsia" w:ascii="宋体" w:hAnsi="宋体" w:eastAsia="宋体" w:cs="宋体"/>
                <w:b w:val="0"/>
                <w:bCs w:val="0"/>
                <w:color w:val="000000"/>
                <w:kern w:val="2"/>
                <w:sz w:val="21"/>
                <w:szCs w:val="21"/>
                <w:highlight w:val="none"/>
                <w:u w:color="000000"/>
                <w:lang w:val="en-US" w:eastAsia="zh-CN" w:bidi="ar"/>
              </w:rPr>
              <w:t>招标人将在</w:t>
            </w:r>
            <w:r>
              <w:rPr>
                <w:rFonts w:hint="eastAsia" w:ascii="宋体" w:hAnsi="宋体" w:eastAsia="宋体" w:cs="Times New Roman"/>
                <w:b w:val="0"/>
                <w:bCs w:val="0"/>
                <w:color w:val="auto"/>
                <w:kern w:val="2"/>
                <w:sz w:val="21"/>
                <w:szCs w:val="21"/>
                <w:highlight w:val="none"/>
                <w:u w:color="auto"/>
                <w:lang w:val="en-US" w:eastAsia="zh-CN" w:bidi="ar"/>
              </w:rPr>
              <w:t>2026年5月25日17时后</w:t>
            </w:r>
            <w:r>
              <w:rPr>
                <w:rFonts w:hint="eastAsia" w:ascii="宋体" w:hAnsi="宋体" w:eastAsia="宋体" w:cs="宋体"/>
                <w:b w:val="0"/>
                <w:bCs w:val="0"/>
                <w:color w:val="000000"/>
                <w:kern w:val="2"/>
                <w:sz w:val="21"/>
                <w:szCs w:val="21"/>
                <w:highlight w:val="none"/>
                <w:u w:color="000000"/>
                <w:lang w:val="en-US" w:eastAsia="zh-CN" w:bidi="ar"/>
              </w:rPr>
              <w:t>以澄清公告形式在</w:t>
            </w:r>
            <w:r>
              <w:rPr>
                <w:rFonts w:hint="eastAsia" w:ascii="宋体" w:cs="宋体"/>
                <w:szCs w:val="21"/>
                <w:highlight w:val="none"/>
                <w:lang w:eastAsia="zh-CN"/>
              </w:rPr>
              <w:t>滁州市滁宁城际铁路开发建设有限公司</w:t>
            </w:r>
            <w:r>
              <w:rPr>
                <w:rFonts w:hint="eastAsia" w:ascii="宋体" w:cs="宋体"/>
                <w:szCs w:val="21"/>
                <w:highlight w:val="none"/>
                <w:lang w:val="en-US" w:eastAsia="zh-CN"/>
              </w:rPr>
              <w:t>网站</w:t>
            </w:r>
            <w:r>
              <w:rPr>
                <w:rFonts w:hint="eastAsia" w:ascii="宋体" w:cs="宋体"/>
                <w:szCs w:val="21"/>
                <w:highlight w:val="none"/>
              </w:rPr>
              <w:t xml:space="preserve">（ </w:t>
            </w:r>
            <w:r>
              <w:rPr>
                <w:rFonts w:hint="eastAsia" w:ascii="宋体" w:cs="宋体"/>
                <w:szCs w:val="21"/>
                <w:highlight w:val="none"/>
                <w:lang w:eastAsia="zh-CN"/>
              </w:rPr>
              <w:t>http://czctgs.cn/</w:t>
            </w:r>
            <w:r>
              <w:rPr>
                <w:rFonts w:hint="eastAsia" w:ascii="宋体" w:cs="宋体"/>
                <w:szCs w:val="21"/>
                <w:highlight w:val="none"/>
              </w:rPr>
              <w:t>）发布。</w:t>
            </w:r>
          </w:p>
        </w:tc>
      </w:tr>
      <w:tr w14:paraId="5F80614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2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C652E41">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9B80818">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联合体投标</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BDE0FF9">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highlight w:val="none"/>
                <w:lang w:val="en-US"/>
              </w:rPr>
            </w:pPr>
            <w:r>
              <w:rPr>
                <w:rFonts w:cs="Times New Roman"/>
                <w:highlight w:val="none"/>
              </w:rPr>
              <w:t>本次招标</w:t>
            </w:r>
            <w:r>
              <w:rPr>
                <w:rFonts w:cs="Times New Roman"/>
                <w:highlight w:val="none"/>
                <w:u w:val="single"/>
              </w:rPr>
              <w:t>不接受</w:t>
            </w:r>
            <w:r>
              <w:rPr>
                <w:rFonts w:cs="Times New Roman"/>
                <w:highlight w:val="none"/>
              </w:rPr>
              <w:t>联合体投标</w:t>
            </w:r>
          </w:p>
        </w:tc>
      </w:tr>
      <w:tr w14:paraId="542CEA0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65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54FE3A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18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EAFBE2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default"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代理服务费及专家评审费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95F3F3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代理服务费金额：招标代理费5250元，不含专家评审费（专家评审费用以实际支付为准，预计2000元整）。</w:t>
            </w:r>
          </w:p>
          <w:p w14:paraId="0A2D303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代理服务费及专家评审费支付主体：中标单位，中标单位在获取中标通知书时一次性支付给代理机构。</w:t>
            </w:r>
          </w:p>
        </w:tc>
      </w:tr>
      <w:tr w14:paraId="528EA8D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9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97D35E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19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228F74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27" w:rightChars="-13"/>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投标人要求澄清招标文件的截止时间及方式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E5F907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同表15条</w:t>
            </w:r>
          </w:p>
        </w:tc>
      </w:tr>
      <w:tr w14:paraId="6BE6D82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F0CA0EA">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20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5A2366D">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投标有效期</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531B796">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highlight w:val="none"/>
                <w:lang w:val="en-US"/>
              </w:rPr>
            </w:pPr>
            <w:r>
              <w:rPr>
                <w:rFonts w:cs="Times New Roman"/>
                <w:highlight w:val="none"/>
              </w:rPr>
              <w:t>投标有效期为</w:t>
            </w:r>
            <w:r>
              <w:rPr>
                <w:rFonts w:cs="Times New Roman"/>
                <w:highlight w:val="none"/>
                <w:u w:val="single"/>
                <w:lang w:val="en-US"/>
              </w:rPr>
              <w:t xml:space="preserve"> </w:t>
            </w:r>
            <w:r>
              <w:rPr>
                <w:rFonts w:hint="eastAsia" w:cs="Times New Roman"/>
                <w:highlight w:val="none"/>
                <w:u w:val="single"/>
                <w:lang w:val="en-US" w:eastAsia="zh-CN"/>
              </w:rPr>
              <w:t>6</w:t>
            </w:r>
            <w:r>
              <w:rPr>
                <w:rFonts w:cs="Times New Roman"/>
                <w:highlight w:val="none"/>
                <w:u w:val="single"/>
                <w:lang w:val="en-US"/>
              </w:rPr>
              <w:t xml:space="preserve">0 </w:t>
            </w:r>
            <w:r>
              <w:rPr>
                <w:rFonts w:cs="Times New Roman"/>
                <w:highlight w:val="none"/>
              </w:rPr>
              <w:t>日历天（从投标截止之日算起）。在此期限内，凡符合本招标文件要求的投标文件均保持有效。</w:t>
            </w:r>
          </w:p>
        </w:tc>
      </w:tr>
      <w:tr w14:paraId="65BC998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6AD8CC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21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EAD5D7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default"/>
                <w:kern w:val="2"/>
                <w:highlight w:val="none"/>
                <w:lang w:val="en-US"/>
              </w:rPr>
            </w:pPr>
            <w:r>
              <w:rPr>
                <w:rFonts w:hint="eastAsia" w:ascii="宋体" w:hAnsi="宋体" w:eastAsia="宋体" w:cs="宋体"/>
                <w:color w:val="000000"/>
                <w:kern w:val="2"/>
                <w:sz w:val="21"/>
                <w:szCs w:val="21"/>
                <w:highlight w:val="none"/>
                <w:u w:color="000000"/>
                <w:lang w:val="en-US" w:eastAsia="zh-CN" w:bidi="ar"/>
              </w:rPr>
              <w:t>投标保证金</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top"/>
          </w:tcPr>
          <w:p w14:paraId="55905A8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default"/>
                <w:kern w:val="2"/>
                <w:highlight w:val="none"/>
                <w:lang w:val="en-US"/>
              </w:rPr>
            </w:pPr>
            <w:r>
              <w:rPr>
                <w:rFonts w:hint="eastAsia" w:ascii="宋体" w:hAnsi="宋体" w:eastAsia="宋体" w:cs="宋体"/>
                <w:color w:val="000000"/>
                <w:kern w:val="2"/>
                <w:sz w:val="21"/>
                <w:szCs w:val="21"/>
                <w:highlight w:val="none"/>
                <w:u w:color="000000"/>
                <w:lang w:val="en-US" w:eastAsia="zh-CN" w:bidi="ar"/>
              </w:rPr>
              <w:t>本项目不要求投标人提交投标保证金</w:t>
            </w:r>
          </w:p>
        </w:tc>
      </w:tr>
      <w:tr w14:paraId="6917C9E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1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38E014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cs="宋体" w:eastAsiaTheme="minorEastAsia"/>
                <w:color w:val="auto"/>
                <w:sz w:val="21"/>
                <w:szCs w:val="21"/>
                <w:highlight w:val="none"/>
                <w:lang w:val="en-US" w:eastAsia="zh-CN"/>
              </w:rPr>
            </w:pPr>
            <w:r>
              <w:rPr>
                <w:rFonts w:hint="eastAsia" w:ascii="宋体" w:cs="宋体"/>
                <w:color w:val="auto"/>
                <w:sz w:val="21"/>
                <w:szCs w:val="21"/>
                <w:highlight w:val="none"/>
                <w:lang w:val="en-US" w:eastAsia="zh-CN"/>
              </w:rPr>
              <w:t>22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987C15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eastAsiaTheme="minorEastAsia"/>
                <w:color w:val="auto"/>
                <w:sz w:val="21"/>
                <w:szCs w:val="21"/>
                <w:highlight w:val="none"/>
                <w:lang w:eastAsia="zh-CN"/>
              </w:rPr>
            </w:pPr>
            <w:r>
              <w:rPr>
                <w:rFonts w:hint="eastAsia" w:ascii="宋体" w:hAnsi="宋体" w:cs="宋体"/>
                <w:szCs w:val="21"/>
                <w:highlight w:val="none"/>
              </w:rPr>
              <w:t>投标文件</w:t>
            </w:r>
            <w:r>
              <w:rPr>
                <w:rFonts w:hint="eastAsia" w:ascii="宋体" w:hAnsi="宋体" w:cs="宋体"/>
                <w:szCs w:val="21"/>
                <w:highlight w:val="none"/>
                <w:lang w:val="en-US" w:eastAsia="zh-CN"/>
              </w:rPr>
              <w:t>份数</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047F5A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lang w:val="en-US" w:eastAsia="zh-CN"/>
              </w:rPr>
              <w:t>PDF电子版投标文件一份，</w:t>
            </w:r>
            <w:r>
              <w:rPr>
                <w:rFonts w:hint="eastAsia" w:ascii="宋体" w:hAnsi="宋体" w:eastAsia="宋体" w:cs="宋体"/>
                <w:b/>
                <w:bCs/>
                <w:i w:val="0"/>
                <w:iCs w:val="0"/>
                <w:color w:val="auto"/>
                <w:kern w:val="0"/>
                <w:sz w:val="21"/>
                <w:szCs w:val="21"/>
                <w:highlight w:val="none"/>
                <w:u w:val="single"/>
              </w:rPr>
              <w:t>（投标人中标后须递交与网上电子投标文件完全一致的纸质版投标文件，并按要求加盖单位章；</w:t>
            </w:r>
            <w:r>
              <w:rPr>
                <w:rFonts w:hint="eastAsia" w:ascii="宋体" w:hAnsi="宋体" w:cs="宋体"/>
                <w:b/>
                <w:bCs/>
                <w:i w:val="0"/>
                <w:iCs w:val="0"/>
                <w:color w:val="auto"/>
                <w:kern w:val="0"/>
                <w:sz w:val="21"/>
                <w:szCs w:val="21"/>
                <w:highlight w:val="none"/>
                <w:u w:val="single"/>
              </w:rPr>
              <w:t>份数：正本1份，副本</w:t>
            </w:r>
            <w:r>
              <w:rPr>
                <w:rFonts w:hint="eastAsia" w:ascii="宋体" w:hAnsi="宋体" w:cs="宋体"/>
                <w:b/>
                <w:bCs/>
                <w:i w:val="0"/>
                <w:iCs w:val="0"/>
                <w:color w:val="auto"/>
                <w:kern w:val="0"/>
                <w:sz w:val="21"/>
                <w:szCs w:val="21"/>
                <w:highlight w:val="none"/>
                <w:u w:val="single"/>
                <w:lang w:val="en-US" w:eastAsia="zh-CN"/>
              </w:rPr>
              <w:t>2</w:t>
            </w:r>
            <w:r>
              <w:rPr>
                <w:rFonts w:hint="eastAsia" w:ascii="宋体" w:hAnsi="宋体" w:cs="宋体"/>
                <w:b/>
                <w:bCs/>
                <w:i w:val="0"/>
                <w:iCs w:val="0"/>
                <w:color w:val="auto"/>
                <w:kern w:val="0"/>
                <w:sz w:val="21"/>
                <w:szCs w:val="21"/>
                <w:highlight w:val="none"/>
                <w:u w:val="single"/>
              </w:rPr>
              <w:t>份；中标单位领取中标通知书时，一并递交给代理机构）</w:t>
            </w:r>
          </w:p>
        </w:tc>
      </w:tr>
      <w:tr w14:paraId="689D9D0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E89E71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23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51ACA3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kern w:val="2"/>
                <w:highlight w:val="none"/>
                <w:lang w:val="en-US"/>
              </w:rPr>
            </w:pPr>
            <w:r>
              <w:rPr>
                <w:rFonts w:hint="eastAsia" w:ascii="宋体"/>
                <w:color w:val="auto"/>
                <w:sz w:val="21"/>
                <w:szCs w:val="21"/>
                <w:highlight w:val="none"/>
              </w:rPr>
              <w:t>投标文件</w:t>
            </w:r>
            <w:r>
              <w:rPr>
                <w:rFonts w:hint="eastAsia" w:ascii="宋体"/>
                <w:color w:val="auto"/>
                <w:sz w:val="21"/>
                <w:szCs w:val="21"/>
                <w:highlight w:val="none"/>
                <w:lang w:val="en-US" w:eastAsia="zh-CN"/>
              </w:rPr>
              <w:t>及样品</w:t>
            </w:r>
            <w:r>
              <w:rPr>
                <w:rFonts w:hint="eastAsia" w:ascii="宋体"/>
                <w:color w:val="auto"/>
                <w:sz w:val="21"/>
                <w:szCs w:val="21"/>
                <w:highlight w:val="none"/>
              </w:rPr>
              <w:t>提交截止时间</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AF37AC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18" w:firstLineChars="9"/>
              <w:textAlignment w:val="auto"/>
              <w:rPr>
                <w:rFonts w:hint="eastAsia" w:ascii="宋体" w:hAnsi="宋体" w:eastAsia="宋体" w:cs="宋体"/>
                <w:kern w:val="2"/>
                <w:highlight w:val="none"/>
                <w:lang w:val="en-US"/>
              </w:rPr>
            </w:pPr>
            <w:r>
              <w:rPr>
                <w:rFonts w:hint="eastAsia" w:ascii="宋体" w:hAnsi="宋体" w:cs="宋体"/>
                <w:szCs w:val="21"/>
                <w:highlight w:val="none"/>
              </w:rPr>
              <w:t>在</w:t>
            </w:r>
            <w:r>
              <w:rPr>
                <w:rFonts w:hint="eastAsia" w:ascii="宋体" w:hAnsi="宋体" w:cs="宋体"/>
                <w:szCs w:val="21"/>
                <w:highlight w:val="none"/>
                <w:u w:val="single"/>
              </w:rPr>
              <w:t xml:space="preserve"> 202</w:t>
            </w:r>
            <w:r>
              <w:rPr>
                <w:rFonts w:hint="eastAsia" w:ascii="宋体" w:hAnsi="宋体" w:cs="宋体"/>
                <w:szCs w:val="21"/>
                <w:highlight w:val="none"/>
                <w:u w:val="single"/>
                <w:lang w:val="en-US" w:eastAsia="zh-CN"/>
              </w:rPr>
              <w:t>6</w:t>
            </w:r>
            <w:r>
              <w:rPr>
                <w:rFonts w:hint="eastAsia" w:ascii="宋体" w:hAnsi="宋体" w:cs="宋体"/>
                <w:szCs w:val="21"/>
                <w:highlight w:val="none"/>
                <w:u w:val="single"/>
              </w:rPr>
              <w:t>年</w:t>
            </w:r>
            <w:r>
              <w:rPr>
                <w:rFonts w:hint="eastAsia" w:ascii="宋体" w:hAnsi="宋体" w:cs="宋体"/>
                <w:szCs w:val="21"/>
                <w:highlight w:val="none"/>
                <w:u w:val="single"/>
                <w:lang w:val="en-US" w:eastAsia="zh-CN"/>
              </w:rPr>
              <w:t>5</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28</w:t>
            </w:r>
            <w:r>
              <w:rPr>
                <w:rFonts w:hint="eastAsia" w:ascii="宋体" w:hAnsi="宋体" w:cs="宋体"/>
                <w:szCs w:val="21"/>
                <w:highlight w:val="none"/>
                <w:u w:val="single"/>
              </w:rPr>
              <w:t>日</w:t>
            </w:r>
            <w:r>
              <w:rPr>
                <w:rFonts w:hint="eastAsia" w:ascii="宋体" w:hAnsi="宋体" w:cs="宋体"/>
                <w:szCs w:val="21"/>
                <w:highlight w:val="none"/>
                <w:u w:val="single"/>
                <w:lang w:val="en-US" w:eastAsia="zh-CN"/>
              </w:rPr>
              <w:t>9</w:t>
            </w:r>
            <w:r>
              <w:rPr>
                <w:rFonts w:hint="eastAsia" w:ascii="宋体" w:hAnsi="宋体" w:cs="宋体"/>
                <w:szCs w:val="21"/>
                <w:highlight w:val="none"/>
                <w:u w:val="single"/>
              </w:rPr>
              <w:t>时00分</w:t>
            </w:r>
            <w:r>
              <w:rPr>
                <w:rFonts w:hint="eastAsia" w:ascii="宋体" w:hAnsi="宋体" w:cs="宋体"/>
                <w:bCs/>
                <w:spacing w:val="-4"/>
                <w:kern w:val="0"/>
                <w:szCs w:val="21"/>
                <w:highlight w:val="none"/>
              </w:rPr>
              <w:t>（北京时间）</w:t>
            </w:r>
          </w:p>
        </w:tc>
      </w:tr>
      <w:tr w14:paraId="0C1E364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F042FB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auto"/>
              <w:rPr>
                <w:rFonts w:hint="default" w:eastAsia="宋体" w:cs="Times New Roman"/>
                <w:highlight w:val="none"/>
                <w:lang w:val="en-US" w:eastAsia="zh-CN"/>
              </w:rPr>
            </w:pPr>
            <w:r>
              <w:rPr>
                <w:rFonts w:hint="eastAsia" w:ascii="宋体" w:hAnsi="宋体" w:eastAsia="宋体" w:cs="宋体"/>
                <w:kern w:val="2"/>
                <w:highlight w:val="none"/>
                <w:lang w:val="en-US" w:eastAsia="zh-CN"/>
              </w:rPr>
              <w:t>24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C7B0B7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default" w:cs="Times New Roman"/>
                <w:highlight w:val="none"/>
                <w:lang w:val="en-US"/>
              </w:rPr>
            </w:pPr>
            <w:r>
              <w:rPr>
                <w:rFonts w:hint="eastAsia" w:ascii="宋体" w:hAnsi="宋体" w:eastAsia="宋体" w:cs="宋体"/>
                <w:color w:val="000000"/>
                <w:kern w:val="2"/>
                <w:sz w:val="21"/>
                <w:szCs w:val="21"/>
                <w:highlight w:val="none"/>
                <w:u w:color="000000"/>
                <w:lang w:val="en-US" w:eastAsia="zh-CN" w:bidi="ar"/>
              </w:rPr>
              <w:t>是否退还投标文件</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3ED43E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否</w:t>
            </w:r>
          </w:p>
        </w:tc>
      </w:tr>
      <w:tr w14:paraId="7E30538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50D0D3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auto"/>
              <w:rPr>
                <w:rFonts w:hint="default" w:eastAsia="宋体" w:cs="Times New Roman"/>
                <w:highlight w:val="none"/>
                <w:lang w:val="en-US" w:eastAsia="zh-CN"/>
              </w:rPr>
            </w:pPr>
            <w:r>
              <w:rPr>
                <w:rFonts w:hint="eastAsia" w:ascii="宋体" w:hAnsi="宋体" w:eastAsia="宋体" w:cs="宋体"/>
                <w:kern w:val="2"/>
                <w:highlight w:val="none"/>
                <w:lang w:val="en-US" w:eastAsia="zh-CN"/>
              </w:rPr>
              <w:t>25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1A1029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default" w:cs="Times New Roman"/>
                <w:highlight w:val="none"/>
                <w:lang w:val="en-US"/>
              </w:rPr>
            </w:pPr>
            <w:r>
              <w:rPr>
                <w:rFonts w:hint="eastAsia" w:ascii="宋体" w:hAnsi="宋体" w:eastAsia="宋体" w:cs="宋体"/>
                <w:color w:val="000000"/>
                <w:kern w:val="2"/>
                <w:sz w:val="21"/>
                <w:szCs w:val="21"/>
                <w:highlight w:val="none"/>
                <w:u w:color="000000"/>
                <w:lang w:val="en-US" w:eastAsia="zh-CN" w:bidi="ar"/>
              </w:rPr>
              <w:t>开标时间及地点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31B600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开标时间：2026年5月28日9时00分（北京时间）</w:t>
            </w:r>
          </w:p>
          <w:p w14:paraId="3557CCB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default" w:cs="Times New Roman"/>
                <w:highlight w:val="none"/>
                <w:lang w:val="en-US"/>
              </w:rPr>
            </w:pPr>
            <w:r>
              <w:rPr>
                <w:rFonts w:hint="eastAsia" w:ascii="宋体" w:hAnsi="宋体" w:eastAsia="宋体" w:cs="宋体"/>
                <w:color w:val="000000"/>
                <w:kern w:val="2"/>
                <w:sz w:val="21"/>
                <w:szCs w:val="21"/>
                <w:highlight w:val="none"/>
                <w:u w:color="000000"/>
                <w:lang w:val="en-US" w:eastAsia="zh-CN" w:bidi="ar"/>
              </w:rPr>
              <w:t>开标地点：滁州市龙蟠大道109号（房产商务大厦）6楼622会议室</w:t>
            </w:r>
          </w:p>
        </w:tc>
      </w:tr>
      <w:tr w14:paraId="285E653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5F3065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auto"/>
              <w:rPr>
                <w:rFonts w:hint="default" w:eastAsia="宋体" w:cs="Times New Roman"/>
                <w:highlight w:val="none"/>
                <w:lang w:val="en-US" w:eastAsia="zh-CN"/>
              </w:rPr>
            </w:pPr>
            <w:r>
              <w:rPr>
                <w:rFonts w:hint="eastAsia" w:ascii="宋体" w:hAnsi="宋体" w:eastAsia="宋体" w:cs="宋体"/>
                <w:kern w:val="2"/>
                <w:highlight w:val="none"/>
                <w:lang w:val="en-US" w:eastAsia="zh-CN"/>
              </w:rPr>
              <w:t>26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224575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default" w:cs="Times New Roman"/>
                <w:highlight w:val="none"/>
                <w:lang w:val="en-US"/>
              </w:rPr>
            </w:pPr>
            <w:r>
              <w:rPr>
                <w:rFonts w:hint="eastAsia" w:ascii="宋体" w:hAnsi="宋体" w:eastAsia="宋体" w:cs="宋体"/>
                <w:color w:val="000000"/>
                <w:kern w:val="2"/>
                <w:sz w:val="21"/>
                <w:szCs w:val="21"/>
                <w:highlight w:val="none"/>
                <w:u w:color="000000"/>
                <w:lang w:val="en-US" w:eastAsia="zh-CN" w:bidi="ar"/>
              </w:rPr>
              <w:t>开标程序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A05D76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both"/>
              <w:textAlignment w:val="auto"/>
              <w:rPr>
                <w:rFonts w:hint="default" w:cs="Times New Roman"/>
                <w:spacing w:val="-4"/>
                <w:highlight w:val="none"/>
                <w:lang w:val="en-US"/>
              </w:rPr>
            </w:pPr>
            <w:r>
              <w:rPr>
                <w:rFonts w:hint="eastAsia" w:ascii="宋体" w:hAnsi="宋体" w:eastAsia="宋体" w:cs="宋体"/>
                <w:b w:val="0"/>
                <w:bCs w:val="0"/>
                <w:color w:val="auto"/>
                <w:sz w:val="21"/>
                <w:szCs w:val="21"/>
                <w:highlight w:val="none"/>
                <w:lang w:val="en-US" w:eastAsia="zh-CN"/>
              </w:rPr>
              <w:t>由代理机构开启电子投标文件，报评标委员会评审。</w:t>
            </w:r>
          </w:p>
        </w:tc>
      </w:tr>
      <w:tr w14:paraId="4C55DB8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1E24F8A">
            <w:pPr>
              <w:pStyle w:val="13"/>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cs="Times New Roman"/>
                <w:highlight w:val="none"/>
                <w:lang w:val="en-US" w:eastAsia="zh-CN"/>
              </w:rPr>
              <w:t>27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D53964E">
            <w:pPr>
              <w:pStyle w:val="13"/>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left"/>
              <w:textAlignment w:val="auto"/>
              <w:rPr>
                <w:rFonts w:hint="eastAsia" w:ascii="宋体" w:hAnsi="宋体" w:eastAsia="宋体" w:cs="宋体"/>
                <w:kern w:val="2"/>
                <w:highlight w:val="none"/>
                <w:lang w:val="en-US"/>
              </w:rPr>
            </w:pPr>
            <w:r>
              <w:rPr>
                <w:rFonts w:cs="Times New Roman"/>
                <w:highlight w:val="none"/>
              </w:rPr>
              <w:t>评标委员会的组建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6B1AE7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评标委员会由招标人依法组建。</w:t>
            </w:r>
          </w:p>
        </w:tc>
      </w:tr>
      <w:tr w14:paraId="7E0F932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06F7DE7">
            <w:pPr>
              <w:pStyle w:val="13"/>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cs="Times New Roman"/>
                <w:highlight w:val="none"/>
                <w:lang w:val="en-US" w:eastAsia="zh-CN"/>
              </w:rPr>
              <w:t>28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54C3F13">
            <w:pPr>
              <w:pStyle w:val="13"/>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left"/>
              <w:textAlignment w:val="auto"/>
              <w:rPr>
                <w:rFonts w:hint="eastAsia" w:ascii="宋体" w:hAnsi="宋体" w:eastAsia="宋体" w:cs="宋体"/>
                <w:kern w:val="2"/>
                <w:highlight w:val="none"/>
                <w:lang w:val="en-US"/>
              </w:rPr>
            </w:pPr>
            <w:r>
              <w:rPr>
                <w:rFonts w:cs="Times New Roman"/>
                <w:highlight w:val="none"/>
              </w:rPr>
              <w:t>是否授权评标委员会确定中标候选人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F492EDB">
            <w:pPr>
              <w:pStyle w:val="13"/>
              <w:keepNext w:val="0"/>
              <w:keepLines w:val="0"/>
              <w:pageBreakBefore w:val="0"/>
              <w:widowControl/>
              <w:kinsoku/>
              <w:wordWrap/>
              <w:overflowPunct/>
              <w:topLinePunct w:val="0"/>
              <w:autoSpaceDE w:val="0"/>
              <w:autoSpaceDN/>
              <w:bidi w:val="0"/>
              <w:adjustRightInd/>
              <w:snapToGrid/>
              <w:spacing w:line="360" w:lineRule="exact"/>
              <w:ind w:left="0" w:leftChars="0" w:right="0" w:rightChars="0"/>
              <w:textAlignment w:val="auto"/>
              <w:rPr>
                <w:rFonts w:hint="eastAsia" w:ascii="宋体" w:hAnsi="宋体" w:eastAsia="宋体" w:cs="宋体"/>
                <w:kern w:val="2"/>
                <w:highlight w:val="none"/>
                <w:lang w:val="en-US"/>
              </w:rPr>
            </w:pPr>
            <w:r>
              <w:rPr>
                <w:rFonts w:hint="eastAsia" w:ascii="宋体" w:hAnsi="宋体" w:cs="宋体"/>
                <w:szCs w:val="21"/>
                <w:highlight w:val="none"/>
              </w:rPr>
              <w:t>是，推荐的中标候选人数3名，并标明排序。</w:t>
            </w:r>
          </w:p>
        </w:tc>
      </w:tr>
      <w:tr w14:paraId="73FDF55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0DEA56A">
            <w:pPr>
              <w:pStyle w:val="13"/>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cs="Times New Roman"/>
                <w:highlight w:val="none"/>
                <w:lang w:val="en-US" w:eastAsia="zh-CN"/>
              </w:rPr>
              <w:t>29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5D1504E">
            <w:pPr>
              <w:pStyle w:val="13"/>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left"/>
              <w:textAlignment w:val="auto"/>
              <w:rPr>
                <w:rFonts w:hint="eastAsia" w:ascii="宋体" w:hAnsi="宋体" w:cs="宋体"/>
                <w:szCs w:val="21"/>
                <w:highlight w:val="none"/>
              </w:rPr>
            </w:pPr>
            <w:r>
              <w:rPr>
                <w:rFonts w:cs="Times New Roman"/>
                <w:highlight w:val="none"/>
              </w:rPr>
              <w:t>中标结果公告媒介</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top"/>
          </w:tcPr>
          <w:p w14:paraId="129759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14:paraId="33FE59A3">
            <w:pPr>
              <w:pStyle w:val="13"/>
              <w:keepNext w:val="0"/>
              <w:keepLines w:val="0"/>
              <w:pageBreakBefore w:val="0"/>
              <w:widowControl/>
              <w:kinsoku/>
              <w:wordWrap/>
              <w:overflowPunct/>
              <w:topLinePunct w:val="0"/>
              <w:autoSpaceDE w:val="0"/>
              <w:autoSpaceDN/>
              <w:bidi w:val="0"/>
              <w:adjustRightInd/>
              <w:snapToGrid/>
              <w:spacing w:line="360" w:lineRule="exact"/>
              <w:ind w:left="0" w:leftChars="0" w:right="0" w:rightChars="0"/>
              <w:textAlignment w:val="auto"/>
              <w:rPr>
                <w:rFonts w:hint="eastAsia" w:ascii="宋体" w:hAnsi="宋体" w:cs="宋体"/>
                <w:szCs w:val="21"/>
                <w:highlight w:val="none"/>
              </w:rPr>
            </w:pPr>
            <w:r>
              <w:rPr>
                <w:rFonts w:hint="eastAsia" w:ascii="宋体" w:hAnsi="宋体" w:eastAsia="宋体" w:cs="宋体"/>
                <w:b w:val="0"/>
                <w:bCs w:val="0"/>
                <w:color w:val="auto"/>
                <w:sz w:val="21"/>
                <w:szCs w:val="21"/>
                <w:highlight w:val="none"/>
              </w:rPr>
              <w:t>公示期限：公示发布次日起3日（如公示第三日为休息日或节假日，则顺延至休息日或节假日后第一个工作日）</w:t>
            </w:r>
          </w:p>
        </w:tc>
      </w:tr>
      <w:tr w14:paraId="7351B89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268D56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30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CF614B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中标通知书</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B0F31E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both"/>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中标通知书须加盖招标人、招标代理公司公章后方可发出。</w:t>
            </w:r>
          </w:p>
        </w:tc>
      </w:tr>
      <w:tr w14:paraId="2E06315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E27531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kern w:val="2"/>
                <w:highlight w:val="none"/>
                <w:lang w:val="en-US" w:eastAsia="zh-CN"/>
              </w:rPr>
            </w:pPr>
            <w:r>
              <w:rPr>
                <w:rFonts w:hint="eastAsia" w:ascii="宋体" w:hAnsi="宋体" w:eastAsia="宋体" w:cs="宋体"/>
                <w:kern w:val="2"/>
                <w:highlight w:val="none"/>
                <w:lang w:val="en-US" w:eastAsia="zh-CN"/>
              </w:rPr>
              <w:t>31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A39A25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履约担保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F65246A">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highlight w:val="none"/>
              </w:rPr>
            </w:pPr>
            <w:r>
              <w:rPr>
                <w:rFonts w:hint="eastAsia" w:ascii="宋体" w:hAnsi="宋体" w:eastAsia="宋体" w:cs="宋体"/>
                <w:highlight w:val="none"/>
              </w:rPr>
              <w:t>要求中标人提交履约</w:t>
            </w:r>
            <w:r>
              <w:rPr>
                <w:rFonts w:hint="eastAsia" w:ascii="宋体" w:hAnsi="宋体" w:eastAsia="宋体" w:cs="宋体"/>
                <w:highlight w:val="none"/>
                <w:lang w:val="en-US" w:eastAsia="zh-CN"/>
              </w:rPr>
              <w:t>担保</w:t>
            </w:r>
            <w:r>
              <w:rPr>
                <w:rFonts w:hint="eastAsia" w:ascii="宋体" w:hAnsi="宋体" w:eastAsia="宋体" w:cs="宋体"/>
                <w:highlight w:val="none"/>
              </w:rPr>
              <w:t>。</w:t>
            </w:r>
          </w:p>
          <w:p w14:paraId="7E606E33">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highlight w:val="none"/>
              </w:rPr>
            </w:pPr>
            <w:r>
              <w:rPr>
                <w:rFonts w:hint="eastAsia" w:ascii="宋体" w:hAnsi="宋体" w:eastAsia="宋体" w:cs="宋体"/>
                <w:highlight w:val="none"/>
              </w:rPr>
              <w:t>形式：支持银行转账、银行电汇、银行保函、担保机构担保、保证保险使用。</w:t>
            </w:r>
          </w:p>
          <w:p w14:paraId="45F5CF1C">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highlight w:val="none"/>
              </w:rPr>
            </w:pPr>
            <w:r>
              <w:rPr>
                <w:rFonts w:hint="eastAsia" w:ascii="宋体" w:hAnsi="宋体" w:eastAsia="宋体" w:cs="宋体"/>
                <w:highlight w:val="none"/>
              </w:rPr>
              <w:t>金额：</w:t>
            </w:r>
            <w:r>
              <w:rPr>
                <w:rFonts w:hint="eastAsia" w:ascii="Times New Roman" w:hAnsi="Times New Roman" w:eastAsia="宋体" w:cs="Times New Roman"/>
                <w:highlight w:val="none"/>
              </w:rPr>
              <w:t>中标合同金额×</w:t>
            </w:r>
            <w:r>
              <w:rPr>
                <w:rFonts w:hint="eastAsia" w:ascii="Times New Roman" w:hAnsi="Times New Roman" w:eastAsia="宋体" w:cs="Times New Roman"/>
                <w:highlight w:val="none"/>
                <w:lang w:val="en-US" w:eastAsia="zh-CN"/>
              </w:rPr>
              <w:t>10</w:t>
            </w:r>
            <w:r>
              <w:rPr>
                <w:rFonts w:hint="eastAsia" w:ascii="Times New Roman" w:hAnsi="Times New Roman" w:eastAsia="宋体" w:cs="Times New Roman"/>
                <w:highlight w:val="none"/>
              </w:rPr>
              <w:t>%</w:t>
            </w:r>
            <w:r>
              <w:rPr>
                <w:rFonts w:hint="eastAsia" w:ascii="宋体" w:hAnsi="宋体" w:eastAsia="宋体" w:cs="宋体"/>
                <w:highlight w:val="none"/>
              </w:rPr>
              <w:t>；</w:t>
            </w:r>
          </w:p>
          <w:p w14:paraId="27FFE6C2">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highlight w:val="none"/>
              </w:rPr>
            </w:pPr>
            <w:r>
              <w:rPr>
                <w:rFonts w:hint="eastAsia" w:ascii="宋体" w:hAnsi="宋体" w:eastAsia="宋体" w:cs="宋体"/>
                <w:highlight w:val="none"/>
              </w:rPr>
              <w:t xml:space="preserve">收款单位：另行通知                  </w:t>
            </w:r>
          </w:p>
          <w:p w14:paraId="00DAAA83">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highlight w:val="none"/>
              </w:rPr>
            </w:pPr>
            <w:r>
              <w:rPr>
                <w:rFonts w:hint="eastAsia" w:ascii="宋体" w:hAnsi="宋体" w:eastAsia="宋体" w:cs="宋体"/>
                <w:highlight w:val="none"/>
              </w:rPr>
              <w:t xml:space="preserve">开户银行：另行通知                 </w:t>
            </w:r>
          </w:p>
          <w:p w14:paraId="60261D19">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highlight w:val="none"/>
              </w:rPr>
            </w:pPr>
            <w:r>
              <w:rPr>
                <w:rFonts w:hint="eastAsia" w:ascii="宋体" w:hAnsi="宋体" w:eastAsia="宋体" w:cs="宋体"/>
                <w:highlight w:val="none"/>
              </w:rPr>
              <w:t xml:space="preserve">银行账号：另行通知  </w:t>
            </w:r>
          </w:p>
          <w:p w14:paraId="512DFE86">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highlight w:val="none"/>
              </w:rPr>
            </w:pPr>
            <w:r>
              <w:rPr>
                <w:rFonts w:hint="eastAsia" w:ascii="宋体" w:hAnsi="宋体" w:eastAsia="宋体" w:cs="宋体"/>
                <w:highlight w:val="none"/>
              </w:rPr>
              <w:t>缴纳时限：中标人须在中标通知书发出后30日内完成履约</w:t>
            </w:r>
            <w:r>
              <w:rPr>
                <w:rFonts w:hint="eastAsia" w:ascii="宋体" w:hAnsi="宋体" w:eastAsia="宋体" w:cs="宋体"/>
                <w:highlight w:val="none"/>
                <w:lang w:val="en-US" w:eastAsia="zh-CN"/>
              </w:rPr>
              <w:t>担保</w:t>
            </w:r>
            <w:r>
              <w:rPr>
                <w:rFonts w:hint="eastAsia" w:ascii="宋体" w:hAnsi="宋体" w:eastAsia="宋体" w:cs="宋体"/>
                <w:highlight w:val="none"/>
              </w:rPr>
              <w:t xml:space="preserve">缴纳及合同签订，如未按期交齐履约保证金或未按期签订合同的，视同放弃中标资格。 </w:t>
            </w:r>
          </w:p>
          <w:p w14:paraId="4FCFC0BD">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highlight w:val="none"/>
              </w:rPr>
            </w:pPr>
            <w:r>
              <w:rPr>
                <w:rFonts w:hint="eastAsia" w:ascii="宋体" w:hAnsi="宋体" w:eastAsia="宋体" w:cs="宋体"/>
                <w:highlight w:val="none"/>
              </w:rPr>
              <w:t>退还时限：</w:t>
            </w:r>
            <w:r>
              <w:rPr>
                <w:rFonts w:hint="eastAsia" w:ascii="宋体" w:hAnsi="宋体" w:eastAsia="宋体" w:cs="宋体"/>
                <w:highlight w:val="none"/>
                <w:lang w:val="en-US" w:eastAsia="zh-CN"/>
              </w:rPr>
              <w:t xml:space="preserve">中标人在本合同约定的服务期限届满并经招标人验收合格后30日内办理履约保证金（或履约保函）退还手续。 </w:t>
            </w:r>
          </w:p>
          <w:p w14:paraId="26233BD8">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highlight w:val="none"/>
              </w:rPr>
            </w:pPr>
            <w:r>
              <w:rPr>
                <w:rFonts w:hint="eastAsia" w:ascii="宋体" w:hAnsi="宋体" w:eastAsia="宋体" w:cs="宋体"/>
                <w:highlight w:val="none"/>
              </w:rPr>
              <w:t>其他相关要求：</w:t>
            </w:r>
          </w:p>
          <w:p w14:paraId="271302D8">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highlight w:val="none"/>
              </w:rPr>
            </w:pPr>
            <w:r>
              <w:rPr>
                <w:rFonts w:hint="eastAsia" w:ascii="宋体" w:hAnsi="宋体" w:eastAsia="宋体" w:cs="宋体"/>
                <w:highlight w:val="none"/>
              </w:rPr>
              <w:t>1、采用银行保函的具体要求</w:t>
            </w:r>
          </w:p>
          <w:p w14:paraId="6239D505">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highlight w:val="none"/>
              </w:rPr>
            </w:pPr>
            <w:r>
              <w:rPr>
                <w:rFonts w:hint="eastAsia" w:ascii="宋体" w:hAnsi="宋体" w:eastAsia="宋体" w:cs="宋体"/>
                <w:highlight w:val="none"/>
              </w:rPr>
              <w:t>①保函形式须为见索即付型（无条件保函）；</w:t>
            </w:r>
          </w:p>
          <w:p w14:paraId="6F24071A">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highlight w:val="none"/>
              </w:rPr>
            </w:pPr>
            <w:r>
              <w:rPr>
                <w:rFonts w:hint="eastAsia" w:ascii="宋体" w:hAnsi="宋体" w:eastAsia="宋体" w:cs="宋体"/>
                <w:highlight w:val="none"/>
              </w:rPr>
              <w:t>②须经招标人认可。</w:t>
            </w:r>
          </w:p>
          <w:p w14:paraId="406C052B">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highlight w:val="none"/>
              </w:rPr>
            </w:pPr>
            <w:r>
              <w:rPr>
                <w:rFonts w:hint="eastAsia" w:ascii="宋体" w:hAnsi="宋体" w:eastAsia="宋体" w:cs="宋体"/>
                <w:highlight w:val="none"/>
              </w:rPr>
              <w:t>2、采用担保保函的具体要求：须经招标人认可。</w:t>
            </w:r>
          </w:p>
          <w:p w14:paraId="0089C700">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highlight w:val="none"/>
              </w:rPr>
            </w:pPr>
            <w:r>
              <w:rPr>
                <w:rFonts w:hint="eastAsia" w:ascii="宋体" w:hAnsi="宋体" w:eastAsia="宋体" w:cs="宋体"/>
                <w:highlight w:val="none"/>
              </w:rPr>
              <w:t>3、采用商业保险的具体要求：须经招标人认可。</w:t>
            </w:r>
          </w:p>
          <w:p w14:paraId="455A0B28">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highlight w:val="none"/>
              </w:rPr>
              <w:t>4、采用第三方担保的具体要求：须经招标人认可。</w:t>
            </w:r>
          </w:p>
        </w:tc>
      </w:tr>
      <w:tr w14:paraId="7B33C6F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515"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40687B2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付款方式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57E03B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default" w:ascii="宋体" w:hAnsi="Times New Roman" w:eastAsia="宋体" w:cs="Times New Roman"/>
                <w:color w:val="auto"/>
                <w:sz w:val="21"/>
                <w:szCs w:val="21"/>
                <w:highlight w:val="none"/>
                <w:lang w:val="en-US" w:eastAsia="zh-CN"/>
              </w:rPr>
            </w:pPr>
            <w:r>
              <w:rPr>
                <w:rFonts w:hint="eastAsia" w:ascii="宋体" w:hAnsi="宋体" w:eastAsia="宋体" w:cs="宋体"/>
                <w:color w:val="000000"/>
                <w:kern w:val="2"/>
                <w:sz w:val="21"/>
                <w:szCs w:val="21"/>
                <w:highlight w:val="none"/>
                <w:u w:color="000000"/>
                <w:lang w:val="en-US" w:eastAsia="zh-CN" w:bidi="ar"/>
              </w:rPr>
              <w:t>工程完工及验收通过后，中标人提交付款申请及工作量清单，招标人审核后并按合同约定扣除索赔款项、违约金等，于30天内向中标人一次性支付结算款的97%，剩余3%待1年质保期满后一次性支付。</w:t>
            </w:r>
          </w:p>
        </w:tc>
      </w:tr>
      <w:tr w14:paraId="1E37181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5364177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招标文件获取方式和时间</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top"/>
          </w:tcPr>
          <w:p w14:paraId="4960497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招标文件获取方式：网上下载；</w:t>
            </w:r>
          </w:p>
          <w:p w14:paraId="0F77B2B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获取时间：招标文件发布至投标截止时间。</w:t>
            </w:r>
          </w:p>
        </w:tc>
      </w:tr>
      <w:tr w14:paraId="4857418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095010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hAnsi="Times New Roman" w:eastAsia="宋体" w:cs="Times New Roman"/>
                <w:color w:val="auto"/>
                <w:sz w:val="21"/>
                <w:szCs w:val="21"/>
                <w:highlight w:val="none"/>
              </w:rPr>
              <w:t>解释权</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E21E5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1、构成本招标文件的各个组成文件应互为解释，互为说明；</w:t>
            </w:r>
          </w:p>
          <w:p w14:paraId="5D22E1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2、同一组成文件中就同一事项的规定或约定不一致的，以编排顺序在后者为准；</w:t>
            </w:r>
          </w:p>
          <w:p w14:paraId="63194C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3、如有不明确或不一致，构成合同文件组成内容的，以合同文件约定内容为准，且以专用合同条款约定的合同文件优先顺序解释；</w:t>
            </w:r>
          </w:p>
          <w:p w14:paraId="094D81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hAnsi="Times New Roman" w:eastAsia="宋体" w:cs="Times New Roman"/>
                <w:color w:val="auto"/>
                <w:sz w:val="21"/>
                <w:szCs w:val="21"/>
                <w:highlight w:val="none"/>
                <w:lang w:val="en-US" w:eastAsia="zh-CN"/>
              </w:rPr>
              <w:t>4</w:t>
            </w:r>
            <w:r>
              <w:rPr>
                <w:rFonts w:hint="eastAsia" w:ascii="宋体" w:hAnsi="Times New Roman" w:eastAsia="宋体" w:cs="Times New Roman"/>
                <w:color w:val="auto"/>
                <w:sz w:val="21"/>
                <w:szCs w:val="21"/>
                <w:highlight w:val="none"/>
              </w:rPr>
              <w:t>、按本款前述规定仍不能形成结论的，由招标人负责解释。</w:t>
            </w:r>
          </w:p>
        </w:tc>
      </w:tr>
      <w:tr w14:paraId="2766F1E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93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4498CE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同义词语</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1E309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构成招标文件组成部分的“通用合同条款”、“专用合同条款”、“</w:t>
            </w:r>
            <w:r>
              <w:rPr>
                <w:rFonts w:hint="eastAsia" w:ascii="宋体" w:hAnsi="Times New Roman" w:eastAsia="宋体" w:cs="Times New Roman"/>
                <w:color w:val="auto"/>
                <w:sz w:val="21"/>
                <w:szCs w:val="21"/>
                <w:highlight w:val="none"/>
                <w:lang w:eastAsia="zh-CN"/>
              </w:rPr>
              <w:t>资信标</w:t>
            </w:r>
            <w:r>
              <w:rPr>
                <w:rFonts w:hint="eastAsia" w:ascii="宋体" w:hAnsi="Times New Roman" w:eastAsia="宋体" w:cs="Times New Roman"/>
                <w:color w:val="auto"/>
                <w:sz w:val="21"/>
                <w:szCs w:val="21"/>
                <w:highlight w:val="none"/>
              </w:rPr>
              <w:t>准和要求”等章节中 “发包人”和“承包人”，等同于招标投标阶段的“招标人”和“投标人/中标人”。</w:t>
            </w:r>
          </w:p>
        </w:tc>
      </w:tr>
      <w:tr w14:paraId="4FF1DEE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12" w:space="0"/>
              <w:right w:val="single" w:color="auto" w:sz="8" w:space="0"/>
            </w:tcBorders>
            <w:shd w:val="clear" w:color="auto" w:fill="auto"/>
            <w:vAlign w:val="center"/>
          </w:tcPr>
          <w:p w14:paraId="768E2AA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备注</w:t>
            </w:r>
          </w:p>
        </w:tc>
        <w:tc>
          <w:tcPr>
            <w:tcW w:w="6328" w:type="dxa"/>
            <w:tcBorders>
              <w:top w:val="single" w:color="auto" w:sz="8" w:space="0"/>
              <w:left w:val="single" w:color="auto" w:sz="8" w:space="0"/>
              <w:bottom w:val="single" w:color="auto" w:sz="12" w:space="0"/>
              <w:right w:val="single" w:color="auto" w:sz="12" w:space="0"/>
            </w:tcBorders>
            <w:shd w:val="clear" w:color="auto" w:fill="auto"/>
            <w:vAlign w:val="center"/>
          </w:tcPr>
          <w:p w14:paraId="6A0D4D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highlight w:val="none"/>
                <w:lang w:val="en-US" w:eastAsia="zh-CN"/>
              </w:rPr>
            </w:pPr>
            <w:r>
              <w:rPr>
                <w:rFonts w:hint="eastAsia"/>
                <w:highlight w:val="none"/>
                <w:lang w:val="en-US" w:eastAsia="zh-CN"/>
              </w:rPr>
              <w:t>1、本项目采购清单中的技术规格以及参照的品牌或型号、推荐品牌仅起说明作用，并没有任何限制性。投标人在投标过程中可以选用替代标准、品牌/型号，但这些替代要实质上满足或者优于采购清单的相关要求。</w:t>
            </w:r>
          </w:p>
          <w:p w14:paraId="0AC4F7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highlight w:val="none"/>
                <w:lang w:val="en-US" w:eastAsia="zh-CN"/>
              </w:rPr>
            </w:pPr>
            <w:r>
              <w:rPr>
                <w:rFonts w:hint="eastAsia"/>
                <w:highlight w:val="none"/>
                <w:lang w:val="en-US" w:eastAsia="zh-CN"/>
              </w:rPr>
              <w:t>2、评标委员会只依靠投标人递交的投标文件及其按照招标文件要求提供的所有证明材料进行评审，而不依靠任何外来的证明材料。</w:t>
            </w:r>
          </w:p>
          <w:p w14:paraId="6F63E2C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highlight w:val="none"/>
                <w:lang w:val="en-US" w:eastAsia="zh-CN"/>
              </w:rPr>
            </w:pPr>
            <w:r>
              <w:rPr>
                <w:rFonts w:hint="eastAsia"/>
                <w:highlight w:val="none"/>
                <w:lang w:val="en-US" w:eastAsia="zh-CN"/>
              </w:rPr>
              <w:fldChar w:fldCharType="begin"/>
            </w:r>
            <w:r>
              <w:rPr>
                <w:rFonts w:hint="eastAsia"/>
                <w:highlight w:val="none"/>
                <w:lang w:val="en-US" w:eastAsia="zh-CN"/>
              </w:rPr>
              <w:instrText xml:space="preserve"> HYPERLINK "mailto:4、投标人须在投标文件截止时间前将投标文件以电子邮件的方式一次性发送至滁州市城投工程咨询管理有限公司邮箱（czsctzx@163.com），投标文件格式限定为PDF格式，将文件命名为\“投标单位名称（联系人及联系电话）+项目名称\”，在提交投标文件截止时间后送达的投标文件将被拒绝，投标文件送达时间以滁州市城投工程咨询管理有限公司邮箱显示的邮件送达时间为准，投标文件无法打开的，按无效投标处理。" </w:instrText>
            </w:r>
            <w:r>
              <w:rPr>
                <w:rFonts w:hint="eastAsia"/>
                <w:highlight w:val="none"/>
                <w:lang w:val="en-US" w:eastAsia="zh-CN"/>
              </w:rPr>
              <w:fldChar w:fldCharType="separate"/>
            </w:r>
            <w:r>
              <w:rPr>
                <w:rFonts w:hint="eastAsia"/>
                <w:highlight w:val="none"/>
                <w:lang w:val="en-US" w:eastAsia="zh-CN"/>
              </w:rPr>
              <w:t>3、投标人须在投标文件截止时间前将投标文件以电子邮件的方式一次性发送至滁州市城投工程咨询管理有限公司邮箱（czsctzx@163.com），投标文件格式限定为PDF格式，将文件命名为“投标单位名称（联系人及联系电话）+项目名称”，在提交投标文件截止时间后送达的投标文件将被拒绝，投标文件送达时间以滁州市城投工程咨询管理有限公司邮箱显示的邮件送达时间为准，投标文件无法打开的，按无效投标处理。</w:t>
            </w:r>
            <w:r>
              <w:rPr>
                <w:rFonts w:hint="eastAsia"/>
                <w:highlight w:val="none"/>
                <w:lang w:val="en-US" w:eastAsia="zh-CN"/>
              </w:rPr>
              <w:fldChar w:fldCharType="end"/>
            </w:r>
          </w:p>
          <w:p w14:paraId="059027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highlight w:val="none"/>
                <w:lang w:val="en-US" w:eastAsia="zh-CN"/>
              </w:rPr>
            </w:pPr>
            <w:r>
              <w:rPr>
                <w:rFonts w:hint="eastAsia"/>
                <w:highlight w:val="none"/>
                <w:lang w:val="en-US" w:eastAsia="zh-CN"/>
              </w:rPr>
              <w:t>4、中标人提供的所有货物、材料或配件必须是全新的、合格的且未曾使用过的，否则，造成的一切后果由中标人承担。</w:t>
            </w:r>
          </w:p>
          <w:p w14:paraId="24D7D0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highlight w:val="none"/>
                <w:lang w:val="en-US" w:eastAsia="zh-CN"/>
              </w:rPr>
            </w:pPr>
            <w:r>
              <w:rPr>
                <w:rFonts w:hint="eastAsia"/>
                <w:highlight w:val="none"/>
                <w:lang w:val="en-US" w:eastAsia="zh-CN"/>
              </w:rPr>
              <w:t>5、对于有损坏等未通过招标人验收合格的货物，中标人应自行清理出招标人场地并承担所有相关费用，不增加结算金额。</w:t>
            </w:r>
          </w:p>
          <w:p w14:paraId="4FA8BB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highlight w:val="none"/>
                <w:lang w:val="en-US" w:eastAsia="zh-CN"/>
              </w:rPr>
            </w:pPr>
            <w:r>
              <w:rPr>
                <w:rFonts w:hint="eastAsia"/>
                <w:highlight w:val="none"/>
                <w:lang w:val="en-US" w:eastAsia="zh-CN"/>
              </w:rPr>
              <w:t>6、</w:t>
            </w:r>
            <w:r>
              <w:rPr>
                <w:rFonts w:hint="eastAsia" w:ascii="Times New Roman" w:hAnsi="Times New Roman" w:eastAsia="宋体" w:cs="Times New Roman"/>
                <w:highlight w:val="none"/>
                <w:lang w:val="en-US" w:eastAsia="zh-CN"/>
              </w:rPr>
              <w:t>招标人保留变更合同签订主体或增加第三方参与合同签订的权利。</w:t>
            </w:r>
          </w:p>
          <w:p w14:paraId="41EFA2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highlight w:val="none"/>
                <w:lang w:val="en-US" w:eastAsia="zh-CN"/>
              </w:rPr>
            </w:pPr>
            <w:r>
              <w:rPr>
                <w:rFonts w:hint="eastAsia"/>
                <w:highlight w:val="none"/>
                <w:lang w:val="en-US" w:eastAsia="zh-CN"/>
              </w:rPr>
              <w:t>7、招标人对本项目执行过程中的所有争议拥有最终的裁决权，投标人应无条件地服从招标人的裁决，不得以任何理由提出增加本项目合同费用和延误本项目工期。</w:t>
            </w:r>
          </w:p>
          <w:p w14:paraId="518268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eastAsia="宋体"/>
                <w:highlight w:val="none"/>
                <w:lang w:val="en-US" w:eastAsia="zh-CN"/>
              </w:rPr>
            </w:pPr>
            <w:r>
              <w:rPr>
                <w:rFonts w:hint="eastAsia"/>
                <w:highlight w:val="none"/>
                <w:lang w:val="en-US" w:eastAsia="zh-CN"/>
              </w:rPr>
              <w:t>8、本项目严禁非法转包，一经发现，招标人依法处理。</w:t>
            </w:r>
          </w:p>
        </w:tc>
      </w:tr>
    </w:tbl>
    <w:p w14:paraId="66FE8003">
      <w:pPr>
        <w:rPr>
          <w:rFonts w:hint="eastAsia" w:ascii="宋体" w:hAnsi="宋体" w:eastAsia="宋体" w:cs="宋体"/>
          <w:b/>
          <w:bCs w:val="0"/>
          <w:color w:val="000000"/>
          <w:kern w:val="0"/>
          <w:sz w:val="28"/>
          <w:szCs w:val="28"/>
          <w:highlight w:val="none"/>
          <w:u w:color="000000"/>
          <w:lang w:val="en-US" w:eastAsia="zh-CN" w:bidi="ar"/>
        </w:rPr>
      </w:pPr>
      <w:bookmarkStart w:id="18" w:name="_Toc122"/>
      <w:bookmarkEnd w:id="18"/>
      <w:r>
        <w:rPr>
          <w:rFonts w:hint="eastAsia" w:ascii="宋体" w:hAnsi="宋体" w:eastAsia="宋体" w:cs="宋体"/>
          <w:b/>
          <w:bCs w:val="0"/>
          <w:color w:val="000000"/>
          <w:kern w:val="0"/>
          <w:sz w:val="28"/>
          <w:szCs w:val="28"/>
          <w:highlight w:val="none"/>
          <w:u w:color="000000"/>
          <w:lang w:val="en-US" w:eastAsia="zh-CN" w:bidi="ar"/>
        </w:rPr>
        <w:br w:type="page"/>
      </w:r>
    </w:p>
    <w:p w14:paraId="17C9A56F">
      <w:pPr>
        <w:keepNext w:val="0"/>
        <w:keepLines w:val="0"/>
        <w:widowControl w:val="0"/>
        <w:suppressLineNumbers w:val="0"/>
        <w:snapToGrid w:val="0"/>
        <w:spacing w:before="156" w:beforeLines="50" w:beforeAutospacing="0" w:after="156" w:afterLines="50" w:afterAutospacing="0" w:line="440" w:lineRule="exact"/>
        <w:ind w:left="0" w:right="0"/>
        <w:jc w:val="center"/>
        <w:outlineLvl w:val="1"/>
        <w:rPr>
          <w:rFonts w:hint="eastAsia" w:ascii="宋体" w:hAnsi="宋体" w:eastAsia="宋体" w:cs="宋体"/>
          <w:b/>
          <w:bCs w:val="0"/>
          <w:sz w:val="28"/>
          <w:szCs w:val="28"/>
          <w:highlight w:val="none"/>
          <w:lang w:val="en-US"/>
        </w:rPr>
      </w:pPr>
      <w:r>
        <w:rPr>
          <w:rFonts w:hint="eastAsia" w:ascii="宋体" w:hAnsi="宋体" w:eastAsia="宋体" w:cs="宋体"/>
          <w:b/>
          <w:bCs w:val="0"/>
          <w:color w:val="000000"/>
          <w:kern w:val="0"/>
          <w:sz w:val="28"/>
          <w:szCs w:val="28"/>
          <w:highlight w:val="none"/>
          <w:u w:color="000000"/>
          <w:lang w:val="en-US" w:eastAsia="zh-CN" w:bidi="ar"/>
        </w:rPr>
        <w:t>二、投标人须知</w:t>
      </w:r>
    </w:p>
    <w:p w14:paraId="449D382D">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8"/>
          <w:szCs w:val="28"/>
          <w:highlight w:val="none"/>
          <w:lang w:val="en-US"/>
        </w:rPr>
      </w:pPr>
      <w:bookmarkStart w:id="19" w:name="_Toc26859"/>
      <w:bookmarkEnd w:id="19"/>
      <w:bookmarkStart w:id="20" w:name="_Toc14421_WPSOffice_Level3"/>
      <w:r>
        <w:rPr>
          <w:rFonts w:hint="eastAsia" w:ascii="宋体" w:hAnsi="宋体" w:eastAsia="宋体" w:cs="宋体"/>
          <w:b/>
          <w:bCs w:val="0"/>
          <w:color w:val="000000"/>
          <w:kern w:val="0"/>
          <w:sz w:val="28"/>
          <w:szCs w:val="28"/>
          <w:highlight w:val="none"/>
          <w:u w:color="000000"/>
          <w:lang w:val="en-US" w:eastAsia="zh-CN" w:bidi="ar"/>
        </w:rPr>
        <w:t>（一）总  则</w:t>
      </w:r>
      <w:bookmarkEnd w:id="20"/>
    </w:p>
    <w:p w14:paraId="0E3FDFA6">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1.项目概况</w:t>
      </w:r>
    </w:p>
    <w:p w14:paraId="7415B090">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1.1本次招标项目名称：见投标人须知前附表。</w:t>
      </w:r>
    </w:p>
    <w:p w14:paraId="09AD4A60">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招标人：见投标人须知前附表。</w:t>
      </w:r>
    </w:p>
    <w:p w14:paraId="3187F3C0">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工期：见投标人须知前附表。</w:t>
      </w:r>
    </w:p>
    <w:p w14:paraId="695365B7">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项目地点：见投标人须知前附表。</w:t>
      </w:r>
    </w:p>
    <w:p w14:paraId="3EE39438">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1.2招标人及联系人: 见投标人须知前附表。</w:t>
      </w:r>
    </w:p>
    <w:p w14:paraId="4A85545F">
      <w:pPr>
        <w:keepNext w:val="0"/>
        <w:keepLines w:val="0"/>
        <w:widowControl/>
        <w:suppressLineNumbers w:val="0"/>
        <w:snapToGrid w:val="0"/>
        <w:spacing w:before="0" w:beforeAutospacing="0" w:after="0" w:afterAutospacing="0" w:line="440" w:lineRule="exact"/>
        <w:ind w:left="0" w:right="0" w:firstLine="525" w:firstLineChars="25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代理机构及联系人: 见投标人须知前附表。</w:t>
      </w:r>
    </w:p>
    <w:p w14:paraId="44564A7E">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1.3资金来源：见投标人须知前附表。</w:t>
      </w:r>
    </w:p>
    <w:p w14:paraId="662DED84">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1.4本项目预算：见投标人须知前附表。</w:t>
      </w:r>
    </w:p>
    <w:p w14:paraId="656B64EA">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1.5本项目最高限价：见投标人须知前附表。</w:t>
      </w:r>
    </w:p>
    <w:p w14:paraId="59761A15">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2.招标范围</w:t>
      </w:r>
    </w:p>
    <w:p w14:paraId="11E88C30">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2.1 采购内容：见投标人须知前附表。</w:t>
      </w:r>
    </w:p>
    <w:p w14:paraId="769EAC62">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2.2技术要求：详见</w:t>
      </w:r>
      <w:r>
        <w:rPr>
          <w:rFonts w:hint="eastAsia" w:cs="Times New Roman"/>
          <w:highlight w:val="none"/>
          <w:lang w:val="en-US" w:eastAsia="zh-CN"/>
        </w:rPr>
        <w:t>《</w:t>
      </w:r>
      <w:r>
        <w:rPr>
          <w:rFonts w:hint="eastAsia" w:hAnsi="宋体" w:cs="宋体"/>
          <w:bCs/>
          <w:color w:val="000000"/>
          <w:szCs w:val="21"/>
          <w:highlight w:val="none"/>
          <w:lang w:eastAsia="zh-CN"/>
        </w:rPr>
        <w:t>用户需求书</w:t>
      </w:r>
      <w:r>
        <w:rPr>
          <w:rFonts w:hint="eastAsia" w:cs="Times New Roman"/>
          <w:highlight w:val="none"/>
          <w:lang w:val="en-US" w:eastAsia="zh-CN"/>
        </w:rPr>
        <w:t>》</w:t>
      </w:r>
      <w:r>
        <w:rPr>
          <w:rFonts w:hint="eastAsia" w:ascii="宋体" w:hAnsi="宋体" w:eastAsia="宋体" w:cs="宋体"/>
          <w:color w:val="000000"/>
          <w:kern w:val="0"/>
          <w:sz w:val="21"/>
          <w:szCs w:val="21"/>
          <w:highlight w:val="none"/>
          <w:u w:color="000000"/>
          <w:lang w:val="en-US" w:eastAsia="zh-CN" w:bidi="ar"/>
        </w:rPr>
        <w:t>。</w:t>
      </w:r>
    </w:p>
    <w:p w14:paraId="2501DB12">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3.标包划分</w:t>
      </w:r>
    </w:p>
    <w:p w14:paraId="705978E2">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3.1本项目划分：见投标人须知前附表。</w:t>
      </w:r>
    </w:p>
    <w:p w14:paraId="746F3D09">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4.招标方式</w:t>
      </w:r>
    </w:p>
    <w:p w14:paraId="4AAAB334">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4.1本项目招标方式：见投标人须知前附表。</w:t>
      </w:r>
    </w:p>
    <w:p w14:paraId="1D8BE481">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5.计价方式</w:t>
      </w:r>
    </w:p>
    <w:p w14:paraId="5D0E8E53">
      <w:pPr>
        <w:snapToGrid w:val="0"/>
        <w:spacing w:line="440" w:lineRule="exact"/>
        <w:ind w:firstLine="420" w:firstLineChars="200"/>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5.1本次招标项目合同采用</w:t>
      </w:r>
      <w:r>
        <w:rPr>
          <w:rFonts w:hint="eastAsia" w:ascii="宋体" w:hAnsi="宋体" w:eastAsia="宋体" w:cs="宋体"/>
          <w:color w:val="000000"/>
          <w:kern w:val="0"/>
          <w:sz w:val="21"/>
          <w:szCs w:val="21"/>
          <w:highlight w:val="none"/>
          <w:u w:val="single" w:color="000000"/>
          <w:lang w:val="en-US" w:eastAsia="zh-CN" w:bidi="ar"/>
        </w:rPr>
        <w:t xml:space="preserve">   固定总价 。  </w:t>
      </w:r>
    </w:p>
    <w:p w14:paraId="07A88783">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6.评标办法</w:t>
      </w:r>
    </w:p>
    <w:p w14:paraId="610F4AD2">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6.1本次招标评标采用</w:t>
      </w:r>
      <w:r>
        <w:rPr>
          <w:rFonts w:hint="eastAsia" w:ascii="宋体" w:hAnsi="宋体" w:eastAsia="宋体" w:cs="宋体"/>
          <w:color w:val="000000"/>
          <w:kern w:val="0"/>
          <w:sz w:val="21"/>
          <w:szCs w:val="21"/>
          <w:highlight w:val="none"/>
          <w:u w:val="single" w:color="000000"/>
          <w:lang w:val="en-US" w:eastAsia="zh-CN" w:bidi="ar"/>
        </w:rPr>
        <w:t xml:space="preserve"> </w:t>
      </w:r>
      <w:r>
        <w:rPr>
          <w:rFonts w:hint="eastAsia" w:ascii="宋体"/>
          <w:szCs w:val="21"/>
          <w:highlight w:val="none"/>
          <w:u w:val="single"/>
          <w:lang w:eastAsia="zh-CN"/>
        </w:rPr>
        <w:t>最低评标价法</w:t>
      </w:r>
      <w:r>
        <w:rPr>
          <w:rFonts w:hint="eastAsia" w:ascii="宋体" w:hAnsi="宋体" w:eastAsia="宋体" w:cs="宋体"/>
          <w:color w:val="000000"/>
          <w:kern w:val="0"/>
          <w:sz w:val="21"/>
          <w:szCs w:val="21"/>
          <w:highlight w:val="none"/>
          <w:u w:val="single" w:color="000000"/>
          <w:lang w:val="en-US" w:eastAsia="zh-CN" w:bidi="ar"/>
        </w:rPr>
        <w:t xml:space="preserve"> 。</w:t>
      </w:r>
      <w:r>
        <w:rPr>
          <w:rFonts w:hint="eastAsia" w:ascii="宋体" w:hAnsi="宋体" w:eastAsia="宋体" w:cs="宋体"/>
          <w:color w:val="000000"/>
          <w:kern w:val="0"/>
          <w:sz w:val="21"/>
          <w:szCs w:val="21"/>
          <w:highlight w:val="none"/>
          <w:u w:color="000000"/>
          <w:lang w:val="en-US" w:eastAsia="zh-CN" w:bidi="ar"/>
        </w:rPr>
        <w:t>（详见第四章评标办法）</w:t>
      </w:r>
    </w:p>
    <w:p w14:paraId="5742EA33">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7.投标人资格</w:t>
      </w:r>
    </w:p>
    <w:p w14:paraId="4BEDCB41">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7.1具体详见投标人须知前附表。</w:t>
      </w:r>
    </w:p>
    <w:p w14:paraId="2CEA47E8">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8. 投标费用</w:t>
      </w:r>
    </w:p>
    <w:p w14:paraId="34384500">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8.1投标人准备和参加投标活动发生的费用自理。</w:t>
      </w:r>
    </w:p>
    <w:p w14:paraId="3C9E41F1">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default" w:ascii="宋体" w:hAnsi="宋体" w:eastAsia="宋体" w:cs="宋体"/>
          <w:b/>
          <w:bCs w:val="0"/>
          <w:color w:val="000000"/>
          <w:kern w:val="0"/>
          <w:sz w:val="21"/>
          <w:szCs w:val="21"/>
          <w:highlight w:val="none"/>
          <w:u w:color="000000"/>
          <w:lang w:val="en-US" w:eastAsia="zh-CN" w:bidi="ar"/>
        </w:rPr>
        <w:t>9.</w:t>
      </w:r>
      <w:bookmarkStart w:id="21" w:name="_Toc247513962"/>
      <w:bookmarkEnd w:id="21"/>
      <w:bookmarkStart w:id="22" w:name="_Toc152042315"/>
      <w:bookmarkEnd w:id="22"/>
      <w:bookmarkStart w:id="23" w:name="_Toc152045539"/>
      <w:bookmarkEnd w:id="23"/>
      <w:bookmarkStart w:id="24" w:name="_Toc247527563"/>
      <w:bookmarkEnd w:id="24"/>
      <w:bookmarkStart w:id="25" w:name="_Toc296602429"/>
      <w:bookmarkEnd w:id="25"/>
      <w:bookmarkStart w:id="26" w:name="_Toc144974507"/>
      <w:bookmarkEnd w:id="26"/>
      <w:bookmarkStart w:id="27" w:name="_Toc247592876"/>
      <w:r>
        <w:rPr>
          <w:rFonts w:hint="eastAsia" w:ascii="宋体" w:hAnsi="宋体" w:eastAsia="宋体" w:cs="宋体"/>
          <w:b/>
          <w:bCs w:val="0"/>
          <w:color w:val="000000"/>
          <w:kern w:val="0"/>
          <w:sz w:val="21"/>
          <w:szCs w:val="21"/>
          <w:highlight w:val="none"/>
          <w:u w:color="000000"/>
          <w:lang w:val="en-US" w:eastAsia="zh-CN" w:bidi="ar"/>
        </w:rPr>
        <w:t xml:space="preserve"> 踏勘现场</w:t>
      </w:r>
      <w:bookmarkEnd w:id="27"/>
    </w:p>
    <w:p w14:paraId="6ED84257">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 xml:space="preserve">9.1 投标人须知前附表规定组织踏勘现场的，招标人按投标人须知前附表规定的时间、地点组织投标人踏勘项目现场。 </w:t>
      </w:r>
    </w:p>
    <w:p w14:paraId="3D5AD10E">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9.2 投标人踏勘现场发生的费用自理。</w:t>
      </w:r>
    </w:p>
    <w:p w14:paraId="1943CDED">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9.3 除招标人的原因外，投标人自行负责在踏勘现场中所发生的人员伤亡和财产损失。</w:t>
      </w:r>
    </w:p>
    <w:p w14:paraId="49CC04F0">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9.4 招标人在踏勘现场中介绍的场地和相关的周边环境情况，供投标人在编制投标文件时参考，招标人不对投标人据此作出的判断和决策负责。</w:t>
      </w:r>
    </w:p>
    <w:p w14:paraId="7664EDE5">
      <w:pPr>
        <w:spacing w:line="440" w:lineRule="exact"/>
        <w:ind w:firstLine="409" w:firstLineChars="195"/>
        <w:rPr>
          <w:rFonts w:hint="eastAsia"/>
          <w:highlight w:val="none"/>
          <w:lang w:val="en-US"/>
        </w:rPr>
      </w:pPr>
      <w:r>
        <w:rPr>
          <w:rFonts w:hint="eastAsia" w:ascii="宋体" w:hAnsi="Times New Roman" w:eastAsia="宋体" w:cs="Times New Roman"/>
          <w:color w:val="auto"/>
          <w:szCs w:val="21"/>
          <w:highlight w:val="none"/>
          <w:lang w:val="en-US" w:eastAsia="zh-CN"/>
        </w:rPr>
        <w:t>9.5</w:t>
      </w:r>
      <w:r>
        <w:rPr>
          <w:rFonts w:hint="eastAsia" w:ascii="宋体" w:hAnsi="Times New Roman" w:eastAsia="宋体" w:cs="Times New Roman"/>
          <w:color w:val="auto"/>
          <w:szCs w:val="21"/>
          <w:highlight w:val="none"/>
        </w:rPr>
        <w:t>无论投标人是否到施工现场实地踏勘，中标后签订合同时和履约过程中，投标人不得以不完全了解现场情况或现场情况与招标文件描述不一致等为由，提出任何形式的增加工程造价或索赔的要求。</w:t>
      </w:r>
    </w:p>
    <w:p w14:paraId="5A9CC7D0">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default" w:ascii="宋体" w:hAnsi="宋体" w:eastAsia="宋体" w:cs="宋体"/>
          <w:b/>
          <w:bCs w:val="0"/>
          <w:color w:val="000000"/>
          <w:kern w:val="0"/>
          <w:sz w:val="21"/>
          <w:szCs w:val="21"/>
          <w:highlight w:val="none"/>
          <w:u w:color="000000"/>
          <w:lang w:val="en-US" w:eastAsia="zh-CN" w:bidi="ar"/>
        </w:rPr>
        <w:t xml:space="preserve">10. </w:t>
      </w:r>
      <w:r>
        <w:rPr>
          <w:rFonts w:hint="eastAsia" w:ascii="宋体" w:hAnsi="宋体" w:eastAsia="宋体" w:cs="宋体"/>
          <w:b/>
          <w:bCs w:val="0"/>
          <w:color w:val="000000"/>
          <w:kern w:val="0"/>
          <w:sz w:val="21"/>
          <w:szCs w:val="21"/>
          <w:highlight w:val="none"/>
          <w:u w:color="000000"/>
          <w:lang w:val="en-US" w:eastAsia="zh-CN" w:bidi="ar"/>
        </w:rPr>
        <w:t>投标预备会（本项目不采用）</w:t>
      </w:r>
    </w:p>
    <w:p w14:paraId="2D87B0E3">
      <w:pPr>
        <w:spacing w:line="440" w:lineRule="exact"/>
        <w:ind w:firstLine="409" w:firstLineChars="195"/>
        <w:rPr>
          <w:rFonts w:hint="eastAsia" w:ascii="宋体"/>
          <w:color w:val="000000"/>
          <w:szCs w:val="21"/>
          <w:highlight w:val="none"/>
        </w:rPr>
      </w:pPr>
      <w:r>
        <w:rPr>
          <w:rFonts w:hint="eastAsia" w:ascii="宋体"/>
          <w:color w:val="000000"/>
          <w:szCs w:val="21"/>
          <w:highlight w:val="none"/>
        </w:rPr>
        <w:t>10.1投标人须知前附表规定召开投标预备会的，</w:t>
      </w:r>
      <w:r>
        <w:rPr>
          <w:rFonts w:hint="eastAsia" w:ascii="宋体"/>
          <w:color w:val="000000"/>
          <w:szCs w:val="21"/>
          <w:highlight w:val="none"/>
          <w:lang w:val="en-US" w:eastAsia="zh-CN"/>
        </w:rPr>
        <w:t>招标人</w:t>
      </w:r>
      <w:r>
        <w:rPr>
          <w:rFonts w:hint="eastAsia" w:ascii="宋体"/>
          <w:color w:val="000000"/>
          <w:szCs w:val="21"/>
          <w:highlight w:val="none"/>
        </w:rPr>
        <w:t>按投标人须知前附表规定的时间和地点召开投标预备会，澄清投标人提出的问题。</w:t>
      </w:r>
    </w:p>
    <w:p w14:paraId="667991AB">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11. 联合投标</w:t>
      </w:r>
    </w:p>
    <w:p w14:paraId="16C8EE4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color="000000"/>
          <w:lang w:val="en-US" w:eastAsia="zh-CN" w:bidi="ar"/>
        </w:rPr>
        <w:t xml:space="preserve">11.1 </w:t>
      </w:r>
      <w:r>
        <w:rPr>
          <w:rFonts w:hint="eastAsia" w:ascii="宋体" w:hAnsi="宋体" w:eastAsia="宋体" w:cs="宋体"/>
          <w:color w:val="000000"/>
          <w:kern w:val="0"/>
          <w:sz w:val="21"/>
          <w:szCs w:val="21"/>
          <w:highlight w:val="none"/>
          <w:u w:color="000000"/>
          <w:lang w:val="en-US" w:eastAsia="zh-CN" w:bidi="ar"/>
        </w:rPr>
        <w:t>本次招标</w:t>
      </w:r>
      <w:r>
        <w:rPr>
          <w:rFonts w:hint="eastAsia" w:ascii="宋体" w:hAnsi="宋体" w:eastAsia="宋体" w:cs="宋体"/>
          <w:color w:val="000000"/>
          <w:kern w:val="0"/>
          <w:sz w:val="21"/>
          <w:szCs w:val="21"/>
          <w:highlight w:val="none"/>
          <w:u w:val="single" w:color="000000"/>
          <w:lang w:val="en-US" w:eastAsia="zh-CN" w:bidi="ar"/>
        </w:rPr>
        <w:t>不接受</w:t>
      </w:r>
      <w:r>
        <w:rPr>
          <w:rFonts w:hint="eastAsia" w:ascii="宋体" w:hAnsi="宋体" w:eastAsia="宋体" w:cs="宋体"/>
          <w:color w:val="000000"/>
          <w:kern w:val="0"/>
          <w:sz w:val="21"/>
          <w:szCs w:val="21"/>
          <w:highlight w:val="none"/>
          <w:u w:color="000000"/>
          <w:lang w:val="en-US" w:eastAsia="zh-CN" w:bidi="ar"/>
        </w:rPr>
        <w:t>联合体投标。</w:t>
      </w:r>
    </w:p>
    <w:p w14:paraId="08F70E2C">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12.招标代理费</w:t>
      </w:r>
    </w:p>
    <w:p w14:paraId="0B5D753D">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bCs/>
          <w:color w:val="000000"/>
          <w:kern w:val="0"/>
          <w:sz w:val="21"/>
          <w:szCs w:val="21"/>
          <w:highlight w:val="none"/>
          <w:u w:color="000000"/>
          <w:lang w:val="en-US" w:eastAsia="zh-CN" w:bidi="ar"/>
        </w:rPr>
        <w:t xml:space="preserve">12.1 </w:t>
      </w:r>
      <w:r>
        <w:rPr>
          <w:rFonts w:hint="eastAsia" w:ascii="宋体" w:hAnsi="宋体" w:eastAsia="宋体" w:cs="宋体"/>
          <w:color w:val="000000"/>
          <w:kern w:val="0"/>
          <w:sz w:val="21"/>
          <w:szCs w:val="21"/>
          <w:highlight w:val="none"/>
          <w:u w:color="000000"/>
          <w:lang w:val="en-US" w:eastAsia="zh-CN" w:bidi="ar"/>
        </w:rPr>
        <w:t>本项目的招标代理费详见投标人须知前附表。</w:t>
      </w:r>
    </w:p>
    <w:p w14:paraId="3FFA7F90">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13.投标人应注意的事项</w:t>
      </w:r>
    </w:p>
    <w:p w14:paraId="23AD1BFF">
      <w:pPr>
        <w:spacing w:line="360" w:lineRule="auto"/>
        <w:ind w:firstLine="420" w:firstLineChars="200"/>
        <w:rPr>
          <w:rFonts w:hint="eastAsia" w:ascii="宋体"/>
          <w:szCs w:val="21"/>
          <w:highlight w:val="none"/>
        </w:rPr>
      </w:pPr>
      <w:bookmarkStart w:id="28" w:name="_Toc10668_WPSOffice_Level3"/>
      <w:bookmarkEnd w:id="28"/>
      <w:bookmarkStart w:id="29" w:name="_Toc24655"/>
      <w:bookmarkEnd w:id="29"/>
      <w:r>
        <w:rPr>
          <w:rFonts w:hint="eastAsia" w:ascii="宋体"/>
          <w:szCs w:val="21"/>
          <w:highlight w:val="none"/>
        </w:rPr>
        <w:t>13.1投标人一旦按规定参加投标，即被认为接受了本招标文件中的所有条件和规定。投标人必须严格按招标文件的要求编制投标文件，以便评委审核。否则，由此产生的一切后果由投标人承担。</w:t>
      </w:r>
    </w:p>
    <w:p w14:paraId="154387F7">
      <w:pPr>
        <w:spacing w:line="360" w:lineRule="auto"/>
        <w:ind w:firstLine="420" w:firstLineChars="200"/>
        <w:rPr>
          <w:rFonts w:hint="eastAsia" w:ascii="宋体"/>
          <w:szCs w:val="21"/>
          <w:highlight w:val="none"/>
        </w:rPr>
      </w:pPr>
      <w:r>
        <w:rPr>
          <w:rFonts w:hint="eastAsia" w:ascii="宋体"/>
          <w:szCs w:val="21"/>
          <w:highlight w:val="none"/>
        </w:rPr>
        <w:t>13.2投标人对采购内容中规定的技术参数、规格、数量和要求等必须满足招标文件的相关要求。</w:t>
      </w:r>
    </w:p>
    <w:p w14:paraId="02E25687">
      <w:pPr>
        <w:spacing w:line="440" w:lineRule="exact"/>
        <w:ind w:firstLine="420" w:firstLineChars="200"/>
        <w:rPr>
          <w:rFonts w:hint="eastAsia" w:ascii="宋体"/>
          <w:szCs w:val="21"/>
          <w:highlight w:val="none"/>
        </w:rPr>
      </w:pPr>
      <w:r>
        <w:rPr>
          <w:rFonts w:hint="eastAsia" w:ascii="宋体"/>
          <w:szCs w:val="21"/>
          <w:highlight w:val="none"/>
        </w:rPr>
        <w:t>13.</w:t>
      </w:r>
      <w:r>
        <w:rPr>
          <w:rFonts w:hint="eastAsia" w:ascii="宋体"/>
          <w:szCs w:val="21"/>
          <w:highlight w:val="none"/>
          <w:lang w:val="en-US" w:eastAsia="zh-CN"/>
        </w:rPr>
        <w:t>3</w:t>
      </w:r>
      <w:r>
        <w:rPr>
          <w:rFonts w:hint="eastAsia" w:ascii="宋体"/>
          <w:szCs w:val="21"/>
          <w:highlight w:val="none"/>
        </w:rPr>
        <w:t xml:space="preserve"> </w:t>
      </w:r>
      <w:r>
        <w:rPr>
          <w:rFonts w:ascii="宋体"/>
          <w:bCs/>
          <w:szCs w:val="21"/>
          <w:highlight w:val="none"/>
        </w:rPr>
        <w:t>单位负责人为同一人或者存在直接控股、管理关系的不同</w:t>
      </w:r>
      <w:r>
        <w:rPr>
          <w:rFonts w:hint="eastAsia" w:ascii="宋体"/>
          <w:bCs/>
          <w:szCs w:val="21"/>
          <w:highlight w:val="none"/>
          <w:lang w:eastAsia="zh-CN"/>
        </w:rPr>
        <w:t>投标人</w:t>
      </w:r>
      <w:r>
        <w:rPr>
          <w:rFonts w:ascii="宋体"/>
          <w:bCs/>
          <w:szCs w:val="21"/>
          <w:highlight w:val="none"/>
        </w:rPr>
        <w:t>，不得参加同一合同项下的采购活动。</w:t>
      </w:r>
    </w:p>
    <w:p w14:paraId="17E2E871">
      <w:pPr>
        <w:spacing w:line="400" w:lineRule="exact"/>
        <w:ind w:firstLine="417" w:firstLineChars="199"/>
        <w:jc w:val="left"/>
        <w:rPr>
          <w:rFonts w:hint="eastAsia" w:ascii="宋体"/>
          <w:szCs w:val="21"/>
          <w:highlight w:val="none"/>
        </w:rPr>
      </w:pPr>
      <w:r>
        <w:rPr>
          <w:rFonts w:hint="eastAsia" w:ascii="宋体"/>
          <w:szCs w:val="21"/>
          <w:highlight w:val="none"/>
        </w:rPr>
        <w:t>13.</w:t>
      </w:r>
      <w:r>
        <w:rPr>
          <w:rFonts w:hint="eastAsia" w:ascii="宋体"/>
          <w:szCs w:val="21"/>
          <w:highlight w:val="none"/>
          <w:lang w:val="en-US" w:eastAsia="zh-CN"/>
        </w:rPr>
        <w:t>4</w:t>
      </w:r>
      <w:r>
        <w:rPr>
          <w:rFonts w:hint="eastAsia" w:ascii="宋体"/>
          <w:szCs w:val="21"/>
          <w:highlight w:val="none"/>
        </w:rPr>
        <w:t>投标人被视为充分熟悉本招标项目所在地的与履行合同有关的各种情况，包括但不限于：</w:t>
      </w:r>
    </w:p>
    <w:p w14:paraId="650B1BB6">
      <w:pPr>
        <w:spacing w:line="400" w:lineRule="exact"/>
        <w:ind w:firstLine="315" w:firstLineChars="150"/>
        <w:rPr>
          <w:rFonts w:hint="eastAsia" w:ascii="宋体"/>
          <w:szCs w:val="21"/>
          <w:highlight w:val="none"/>
        </w:rPr>
      </w:pPr>
      <w:r>
        <w:rPr>
          <w:rFonts w:hint="eastAsia" w:ascii="宋体"/>
          <w:szCs w:val="21"/>
          <w:highlight w:val="none"/>
        </w:rPr>
        <w:t>（1）国家对本次投标货物和服务的生产、安装调试、验收、维修等有关法律、法规及行业管理标准；</w:t>
      </w:r>
    </w:p>
    <w:p w14:paraId="5EA21800">
      <w:pPr>
        <w:spacing w:line="400" w:lineRule="exact"/>
        <w:ind w:firstLine="315" w:firstLineChars="150"/>
        <w:rPr>
          <w:rFonts w:hint="eastAsia" w:ascii="宋体"/>
          <w:szCs w:val="21"/>
          <w:highlight w:val="none"/>
        </w:rPr>
      </w:pPr>
      <w:r>
        <w:rPr>
          <w:rFonts w:hint="eastAsia" w:ascii="宋体"/>
          <w:szCs w:val="21"/>
          <w:highlight w:val="none"/>
        </w:rPr>
        <w:t>（2）安徽省及滁州市等有关管理部门的相关规定；</w:t>
      </w:r>
    </w:p>
    <w:p w14:paraId="0E199FBD">
      <w:pPr>
        <w:spacing w:line="400" w:lineRule="exact"/>
        <w:ind w:firstLine="315" w:firstLineChars="150"/>
        <w:rPr>
          <w:rFonts w:hint="eastAsia" w:ascii="宋体"/>
          <w:szCs w:val="21"/>
          <w:highlight w:val="none"/>
        </w:rPr>
      </w:pPr>
      <w:r>
        <w:rPr>
          <w:rFonts w:hint="eastAsia" w:ascii="宋体"/>
          <w:szCs w:val="21"/>
          <w:highlight w:val="none"/>
        </w:rPr>
        <w:t>（3）招标人的相关场地情况、基础建设、电力供应情况及相关设计标准。</w:t>
      </w:r>
    </w:p>
    <w:p w14:paraId="1B2FBB4A">
      <w:pPr>
        <w:spacing w:line="400" w:lineRule="exact"/>
        <w:ind w:firstLine="315" w:firstLineChars="150"/>
        <w:rPr>
          <w:rFonts w:ascii="宋体"/>
          <w:szCs w:val="21"/>
          <w:highlight w:val="none"/>
        </w:rPr>
      </w:pPr>
      <w:r>
        <w:rPr>
          <w:rFonts w:hint="eastAsia" w:ascii="宋体"/>
          <w:szCs w:val="21"/>
          <w:highlight w:val="none"/>
        </w:rPr>
        <w:t>本招标文件不再对上述情况进行描述。</w:t>
      </w:r>
    </w:p>
    <w:p w14:paraId="421FD498">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14.保密</w:t>
      </w:r>
    </w:p>
    <w:p w14:paraId="3890C355">
      <w:pPr>
        <w:spacing w:line="440" w:lineRule="exact"/>
        <w:ind w:firstLine="525" w:firstLineChars="250"/>
        <w:rPr>
          <w:rFonts w:ascii="宋体"/>
          <w:bCs/>
          <w:color w:val="0000FF"/>
          <w:szCs w:val="21"/>
          <w:highlight w:val="none"/>
        </w:rPr>
      </w:pPr>
      <w:r>
        <w:rPr>
          <w:rFonts w:hint="eastAsia" w:ascii="宋体"/>
          <w:bCs/>
          <w:szCs w:val="21"/>
          <w:highlight w:val="none"/>
        </w:rPr>
        <w:t xml:space="preserve">参与招标投标活动的各方应对招标文件和投标文件中的商业和技术等秘密保密，违者应对由此造成的后果承担法律责任。 </w:t>
      </w:r>
    </w:p>
    <w:p w14:paraId="1E7702FA">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000000"/>
          <w:kern w:val="0"/>
          <w:sz w:val="24"/>
          <w:szCs w:val="24"/>
          <w:highlight w:val="none"/>
          <w:u w:color="000000"/>
          <w:lang w:val="en-US" w:eastAsia="zh-CN" w:bidi="ar"/>
        </w:rPr>
      </w:pPr>
    </w:p>
    <w:p w14:paraId="5620FC83">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（二）招标文件</w:t>
      </w:r>
    </w:p>
    <w:p w14:paraId="61211ECF">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15. 招标文件的编制依据</w:t>
      </w:r>
    </w:p>
    <w:p w14:paraId="5FF3DC6A">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黑体" w:hAnsi="宋体" w:eastAsia="黑体" w:cs="宋体"/>
          <w:b/>
          <w:bCs w:val="0"/>
          <w:highlight w:val="none"/>
          <w:lang w:val="en-US"/>
        </w:rPr>
      </w:pPr>
      <w:r>
        <w:rPr>
          <w:rFonts w:hint="eastAsia" w:ascii="宋体" w:hAnsi="宋体" w:eastAsia="宋体" w:cs="宋体"/>
          <w:color w:val="000000"/>
          <w:kern w:val="0"/>
          <w:sz w:val="21"/>
          <w:szCs w:val="21"/>
          <w:highlight w:val="none"/>
          <w:u w:color="000000"/>
          <w:lang w:val="en-US" w:eastAsia="zh-CN" w:bidi="ar"/>
        </w:rPr>
        <w:t>根据《中华人民共和国招标投标法》、《中华人民共和国招标投标法实施条例》和《中华人民共和国民法典》</w:t>
      </w:r>
      <w:r>
        <w:rPr>
          <w:rFonts w:hint="eastAsia" w:ascii="宋体" w:hAnsi="宋体" w:eastAsia="宋体" w:cs="宋体"/>
          <w:color w:val="000000"/>
          <w:spacing w:val="-2"/>
          <w:kern w:val="0"/>
          <w:sz w:val="21"/>
          <w:szCs w:val="21"/>
          <w:highlight w:val="none"/>
          <w:u w:color="000000"/>
          <w:lang w:val="en-US" w:eastAsia="zh-CN" w:bidi="ar"/>
        </w:rPr>
        <w:t>等相关法律法规和规章及部、省、市级规范性文件的规定，编制本招标文件。</w:t>
      </w:r>
    </w:p>
    <w:p w14:paraId="11A948F9">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16. 招标文件的组成</w:t>
      </w:r>
    </w:p>
    <w:p w14:paraId="4B475B06">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16.1 招标文件包括内容：</w:t>
      </w:r>
    </w:p>
    <w:p w14:paraId="57A355B7">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第一章  招标公告</w:t>
      </w:r>
    </w:p>
    <w:p w14:paraId="10B2E017">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第二章  投标须知</w:t>
      </w:r>
    </w:p>
    <w:p w14:paraId="1752288B">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第三章  资格审查办法</w:t>
      </w:r>
    </w:p>
    <w:p w14:paraId="6D10238E">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第四章  评标办法</w:t>
      </w:r>
    </w:p>
    <w:p w14:paraId="2398EDEE">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第五章  用户需求书</w:t>
      </w:r>
    </w:p>
    <w:p w14:paraId="37B88F6C">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第六章  合同条款及格式</w:t>
      </w:r>
    </w:p>
    <w:p w14:paraId="187886B2">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第七章  投标文件格式</w:t>
      </w:r>
    </w:p>
    <w:p w14:paraId="38CC658D">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第八章  招标人、招标代理机构对本文件的确认</w:t>
      </w:r>
    </w:p>
    <w:p w14:paraId="311A9843">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16.2 除16.1内容外，招标答疑亦为招标文件的组成部分，对招标人和投标人起约束作用。</w:t>
      </w:r>
    </w:p>
    <w:p w14:paraId="3F40563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Times New Roman" w:eastAsia="宋体" w:cs="Times New Roman"/>
          <w:szCs w:val="21"/>
          <w:highlight w:val="none"/>
          <w:lang w:eastAsia="zh-CN"/>
        </w:rPr>
      </w:pPr>
      <w:r>
        <w:rPr>
          <w:rFonts w:hint="eastAsia" w:ascii="宋体" w:hAnsi="Times New Roman" w:eastAsia="宋体" w:cs="Times New Roman"/>
          <w:szCs w:val="21"/>
          <w:highlight w:val="none"/>
        </w:rPr>
        <w:t>16.3投标人应仔细阅读和检查招标文件的全部内容。如发现缺页或附件不全，应及时向招标人提出，以便补齐</w:t>
      </w:r>
      <w:r>
        <w:rPr>
          <w:rFonts w:hint="eastAsia" w:ascii="宋体" w:hAnsi="Times New Roman" w:eastAsia="宋体" w:cs="Times New Roman"/>
          <w:szCs w:val="21"/>
          <w:highlight w:val="none"/>
          <w:lang w:eastAsia="zh-CN"/>
        </w:rPr>
        <w:t>。</w:t>
      </w:r>
    </w:p>
    <w:p w14:paraId="67D7E6D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auto"/>
          <w:szCs w:val="21"/>
          <w:highlight w:val="none"/>
        </w:rPr>
      </w:pPr>
      <w:r>
        <w:rPr>
          <w:rFonts w:hint="eastAsia" w:ascii="宋体" w:hAnsi="Times New Roman" w:eastAsia="宋体" w:cs="Times New Roman"/>
          <w:szCs w:val="21"/>
          <w:highlight w:val="none"/>
        </w:rPr>
        <w:t>16.4 当招标文件、招标文件的澄清或修改等在同一内容的表述上不一致时，以最后发出的文件为准。</w:t>
      </w:r>
    </w:p>
    <w:p w14:paraId="16B2BF85">
      <w:pPr>
        <w:spacing w:line="440" w:lineRule="exact"/>
        <w:ind w:firstLine="420" w:firstLineChars="200"/>
        <w:rPr>
          <w:rFonts w:hint="eastAsia" w:ascii="黑体" w:hAnsi="宋体" w:eastAsia="黑体" w:cs="宋体"/>
          <w:b/>
          <w:bCs/>
          <w:highlight w:val="none"/>
          <w:lang w:val="en-US"/>
        </w:rPr>
      </w:pPr>
      <w:r>
        <w:rPr>
          <w:rFonts w:hint="eastAsia" w:ascii="黑体" w:hAnsi="宋体" w:eastAsia="黑体" w:cs="宋体"/>
          <w:b/>
          <w:bCs/>
          <w:color w:val="000000"/>
          <w:kern w:val="0"/>
          <w:sz w:val="21"/>
          <w:szCs w:val="21"/>
          <w:highlight w:val="none"/>
          <w:u w:color="000000"/>
          <w:lang w:val="en-US" w:eastAsia="zh-CN" w:bidi="ar"/>
        </w:rPr>
        <w:t xml:space="preserve">17. </w:t>
      </w:r>
      <w:r>
        <w:rPr>
          <w:rFonts w:hint="eastAsia" w:ascii="宋体" w:hAnsi="Times New Roman" w:eastAsia="宋体" w:cs="Times New Roman"/>
          <w:b/>
          <w:bCs/>
          <w:color w:val="auto"/>
          <w:szCs w:val="21"/>
          <w:highlight w:val="none"/>
        </w:rPr>
        <w:t>招标文件的异议</w:t>
      </w:r>
      <w:r>
        <w:rPr>
          <w:rFonts w:hint="eastAsia" w:ascii="宋体" w:hAnsi="Times New Roman" w:eastAsia="宋体" w:cs="Times New Roman"/>
          <w:b/>
          <w:bCs/>
          <w:color w:val="auto"/>
          <w:szCs w:val="21"/>
          <w:highlight w:val="none"/>
          <w:lang w:eastAsia="zh-CN"/>
        </w:rPr>
        <w:t>、</w:t>
      </w:r>
      <w:r>
        <w:rPr>
          <w:rFonts w:hint="eastAsia" w:ascii="宋体" w:hAnsi="Times New Roman" w:eastAsia="宋体" w:cs="Times New Roman"/>
          <w:b/>
          <w:bCs/>
          <w:color w:val="auto"/>
          <w:szCs w:val="21"/>
          <w:highlight w:val="none"/>
          <w:lang w:val="en-US" w:eastAsia="zh-CN"/>
        </w:rPr>
        <w:t>澄清</w:t>
      </w:r>
    </w:p>
    <w:p w14:paraId="5F643BE0">
      <w:pPr>
        <w:spacing w:line="440" w:lineRule="exact"/>
        <w:ind w:firstLine="420" w:firstLineChars="200"/>
        <w:rPr>
          <w:rFonts w:ascii="宋体" w:hAnsi="Times New Roman" w:eastAsia="宋体" w:cs="Times New Roman"/>
          <w:bCs/>
          <w:szCs w:val="21"/>
          <w:highlight w:val="none"/>
        </w:rPr>
      </w:pPr>
      <w:r>
        <w:rPr>
          <w:rFonts w:hint="eastAsia" w:ascii="宋体" w:hAnsi="宋体" w:eastAsia="宋体" w:cs="宋体"/>
          <w:color w:val="000000"/>
          <w:kern w:val="0"/>
          <w:szCs w:val="21"/>
          <w:highlight w:val="none"/>
          <w:u w:color="000000"/>
          <w:lang w:bidi="ar"/>
        </w:rPr>
        <w:t xml:space="preserve">17.1 </w:t>
      </w:r>
      <w:r>
        <w:rPr>
          <w:rFonts w:hint="eastAsia" w:ascii="宋体" w:hAnsi="Times New Roman" w:eastAsia="宋体" w:cs="Times New Roman"/>
          <w:bCs/>
          <w:szCs w:val="21"/>
          <w:highlight w:val="none"/>
        </w:rPr>
        <w:t>投标人或其他利害关系人投标人应仔细阅读和检查招标文件的全部内容，对招标文件有异议的，应在投标人须知前附表规定的书面形式提出。招标人将在收到异议之日起3日内作出答复；作出答复前，将暂停招标投标活动。</w:t>
      </w:r>
    </w:p>
    <w:p w14:paraId="6CC63017">
      <w:pPr>
        <w:widowControl/>
        <w:spacing w:line="400" w:lineRule="exact"/>
        <w:ind w:firstLine="420" w:firstLineChars="200"/>
        <w:rPr>
          <w:rFonts w:ascii="宋体" w:hAnsi="宋体" w:eastAsia="宋体" w:cs="宋体"/>
          <w:bCs/>
          <w:highlight w:val="none"/>
        </w:rPr>
      </w:pPr>
      <w:r>
        <w:rPr>
          <w:rFonts w:hint="eastAsia" w:ascii="宋体" w:hAnsi="宋体" w:eastAsia="宋体" w:cs="宋体"/>
          <w:bCs/>
          <w:color w:val="000000"/>
          <w:kern w:val="0"/>
          <w:szCs w:val="21"/>
          <w:highlight w:val="none"/>
          <w:u w:color="000000"/>
          <w:lang w:bidi="ar"/>
        </w:rPr>
        <w:t>17.2 投标人应在投标截止时间前关注原采购信息发布媒体上有关本项目有无变更公告，如不及时查看造成后果由投标人自负。</w:t>
      </w:r>
    </w:p>
    <w:p w14:paraId="2AE75A34">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18. 招标文件的发出</w:t>
      </w:r>
    </w:p>
    <w:p w14:paraId="2672C156">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color="000000"/>
          <w:lang w:val="en-US" w:eastAsia="zh-CN" w:bidi="ar"/>
        </w:rPr>
        <w:t>18.1招标文件、招标文件的澄清、修改、补充及招标答疑等均在</w:t>
      </w:r>
      <w:r>
        <w:rPr>
          <w:rFonts w:hint="eastAsia" w:ascii="宋体" w:hAnsi="宋体" w:eastAsia="宋体" w:cs="宋体"/>
          <w:color w:val="000000"/>
          <w:kern w:val="0"/>
          <w:sz w:val="21"/>
          <w:szCs w:val="21"/>
          <w:highlight w:val="none"/>
          <w:u w:color="000000"/>
          <w:lang w:val="en-US" w:eastAsia="zh-CN" w:bidi="ar"/>
        </w:rPr>
        <w:t>滁州市滁宁城际铁路开发建设有限公司网站（http://czctgs.cn/）</w:t>
      </w:r>
      <w:r>
        <w:rPr>
          <w:rFonts w:hint="eastAsia" w:ascii="宋体" w:hAnsi="宋体" w:eastAsia="宋体" w:cs="宋体"/>
          <w:bCs/>
          <w:color w:val="000000"/>
          <w:kern w:val="0"/>
          <w:sz w:val="21"/>
          <w:szCs w:val="21"/>
          <w:highlight w:val="none"/>
          <w:u w:color="000000"/>
          <w:lang w:val="en-US" w:eastAsia="zh-CN" w:bidi="ar"/>
        </w:rPr>
        <w:t>发出。</w:t>
      </w:r>
    </w:p>
    <w:p w14:paraId="77D85133">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000000"/>
          <w:kern w:val="0"/>
          <w:sz w:val="21"/>
          <w:szCs w:val="21"/>
          <w:highlight w:val="none"/>
          <w:u w:color="000000"/>
          <w:lang w:val="en-US" w:eastAsia="zh-CN" w:bidi="ar"/>
        </w:rPr>
      </w:pPr>
      <w:bookmarkStart w:id="30" w:name="_Toc1549_WPSOffice_Level3"/>
      <w:bookmarkEnd w:id="30"/>
      <w:bookmarkStart w:id="31" w:name="_Toc9710"/>
      <w:r>
        <w:rPr>
          <w:rFonts w:hint="eastAsia" w:ascii="宋体" w:hAnsi="宋体" w:eastAsia="宋体" w:cs="宋体"/>
          <w:b/>
          <w:bCs w:val="0"/>
          <w:color w:val="000000"/>
          <w:kern w:val="0"/>
          <w:sz w:val="21"/>
          <w:szCs w:val="21"/>
          <w:highlight w:val="none"/>
          <w:u w:color="000000"/>
          <w:lang w:val="en-US" w:eastAsia="zh-CN" w:bidi="ar"/>
        </w:rPr>
        <w:t>19.样品</w:t>
      </w:r>
      <w:bookmarkEnd w:id="31"/>
    </w:p>
    <w:p w14:paraId="20DA7934">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19.1本项目无需提供样品。</w:t>
      </w:r>
    </w:p>
    <w:p w14:paraId="1E81783C">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（三）投标文件的编制</w:t>
      </w:r>
    </w:p>
    <w:p w14:paraId="1F40CE47">
      <w:pPr>
        <w:keepNext w:val="0"/>
        <w:keepLines w:val="0"/>
        <w:widowControl w:val="0"/>
        <w:suppressLineNumbers w:val="0"/>
        <w:spacing w:before="0" w:beforeAutospacing="0" w:after="0" w:afterAutospacing="0" w:line="440" w:lineRule="exact"/>
        <w:ind w:left="0" w:right="0" w:firstLine="514" w:firstLineChars="245"/>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20. 投标的语言及度量衡单位</w:t>
      </w:r>
    </w:p>
    <w:p w14:paraId="4E431746">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Calibri"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20.1投标人的投标文件、以及投标人与招标人就投标的所有往来函电，均须使用简体中文。</w:t>
      </w:r>
    </w:p>
    <w:p w14:paraId="538CB80F">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Calibri"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20.2除招标文件中另有规定外，投标文件所使用的度量衡均须采用法定计量单位。</w:t>
      </w:r>
    </w:p>
    <w:p w14:paraId="040871EC">
      <w:pPr>
        <w:keepNext w:val="0"/>
        <w:keepLines w:val="0"/>
        <w:widowControl w:val="0"/>
        <w:suppressLineNumbers w:val="0"/>
        <w:spacing w:before="0" w:beforeAutospacing="0" w:after="0" w:afterAutospacing="0" w:line="440" w:lineRule="exact"/>
        <w:ind w:left="0" w:right="0" w:firstLine="514" w:firstLineChars="245"/>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21. 投标文件的组成</w:t>
      </w:r>
    </w:p>
    <w:p w14:paraId="2A83C705">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21.1投标文件</w:t>
      </w:r>
      <w:r>
        <w:rPr>
          <w:rFonts w:hint="default" w:ascii="宋体" w:hAnsi="宋体" w:eastAsia="宋体" w:cs="宋体"/>
          <w:color w:val="000000"/>
          <w:kern w:val="0"/>
          <w:sz w:val="21"/>
          <w:szCs w:val="21"/>
          <w:highlight w:val="none"/>
          <w:u w:color="000000"/>
          <w:lang w:val="en-US" w:eastAsia="zh-CN" w:bidi="ar"/>
        </w:rPr>
        <w:t>须</w:t>
      </w:r>
      <w:r>
        <w:rPr>
          <w:rFonts w:hint="eastAsia" w:ascii="宋体" w:hAnsi="宋体" w:eastAsia="宋体" w:cs="宋体"/>
          <w:color w:val="000000"/>
          <w:kern w:val="0"/>
          <w:sz w:val="21"/>
          <w:szCs w:val="21"/>
          <w:highlight w:val="none"/>
          <w:u w:color="000000"/>
          <w:lang w:val="en-US" w:eastAsia="zh-CN" w:bidi="ar"/>
        </w:rPr>
        <w:t>签字盖章完毕后扫描成一个连续性的整体PDF格式文件。</w:t>
      </w:r>
    </w:p>
    <w:p w14:paraId="34D8DBB4">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21.2投标文件的编制</w:t>
      </w:r>
    </w:p>
    <w:p w14:paraId="3ED9BAEF">
      <w:pPr>
        <w:keepNext w:val="0"/>
        <w:keepLines w:val="0"/>
        <w:widowControl/>
        <w:numPr>
          <w:ilvl w:val="0"/>
          <w:numId w:val="2"/>
        </w:numPr>
        <w:suppressLineNumbers w:val="0"/>
        <w:spacing w:before="0" w:beforeAutospacing="0" w:after="0" w:afterAutospacing="0" w:line="380" w:lineRule="exact"/>
        <w:ind w:left="0" w:right="0" w:firstLine="424" w:firstLineChars="202"/>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投标文件应按第六章“投标文件格式文本”进行编写，如有必要，可以增加附页，作为投标文件的组成部分。</w:t>
      </w:r>
    </w:p>
    <w:p w14:paraId="3AF4E612">
      <w:pPr>
        <w:keepNext w:val="0"/>
        <w:keepLines w:val="0"/>
        <w:widowControl w:val="0"/>
        <w:suppressLineNumbers w:val="0"/>
        <w:spacing w:before="0" w:beforeAutospacing="0" w:after="0" w:afterAutospacing="0" w:line="440" w:lineRule="exact"/>
        <w:ind w:left="0" w:right="0" w:firstLine="514" w:firstLineChars="245"/>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22.投标报价</w:t>
      </w:r>
    </w:p>
    <w:p w14:paraId="53765A0D">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22.1投标报价文件中的单价和总价全部采用人民币表示。</w:t>
      </w:r>
    </w:p>
    <w:p w14:paraId="108D8313">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22.2投标人只允许有一个方案、一个报价。</w:t>
      </w:r>
    </w:p>
    <w:p w14:paraId="12D0DBD9">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22.3投标报价包括完成本项目全部供货及服务的一切费用：包括但不限于材料费、装卸费、运输费、管理费、安装费、其他费用（如包装费、仓储费、保管费）、利润、招标代理费、专家评审费、售后服务费、税金、政策性文件规定及合同包含的所有风险和责任等、货物送至招标人指定地点前的各项应有费用。投标时投标人必须保证报价的完整性，如有漏报，则视为优惠，中标后不允许追加费用。</w:t>
      </w:r>
    </w:p>
    <w:p w14:paraId="337A7458">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22.4投标报价的价格是完成项目全部内容（包括后期的相关服务）的价格，其总价即为履行合同的固定总价。</w:t>
      </w:r>
    </w:p>
    <w:p w14:paraId="67A2F6E6">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22.5投标报价应由法定代表人或被授权人签署。</w:t>
      </w:r>
    </w:p>
    <w:p w14:paraId="57A545A5">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22.6投标人的投标报价不得超过最高限价，否则将作为无效投标处理。</w:t>
      </w:r>
    </w:p>
    <w:p w14:paraId="225928F8">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22.7总投标价中不得包含招标文件要求以外的内容，否则，在评标时不予核减，但在授予合同时，招标人有权将这部分价格从其中标价格中扣除。</w:t>
      </w:r>
    </w:p>
    <w:p w14:paraId="24B73527">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22.8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08E2BB90">
      <w:pPr>
        <w:keepNext w:val="0"/>
        <w:keepLines w:val="0"/>
        <w:widowControl w:val="0"/>
        <w:suppressLineNumbers w:val="0"/>
        <w:spacing w:before="0" w:beforeAutospacing="0" w:after="0" w:afterAutospacing="0" w:line="440" w:lineRule="exact"/>
        <w:ind w:left="0" w:right="0" w:firstLine="514" w:firstLineChars="245"/>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23.投标有效期</w:t>
      </w:r>
    </w:p>
    <w:p w14:paraId="54BEF1E4">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23.1 除投标人须知前附表另有规定外，投标有效期为60天。</w:t>
      </w:r>
    </w:p>
    <w:p w14:paraId="1BF52864">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23.2在投标有效期内，投标人撤销或修改其投标文件的，应承担招标文件和法律规定的责任。</w:t>
      </w:r>
    </w:p>
    <w:p w14:paraId="7F018D6A">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23.3出现特殊情况需要延长投标有效期的，招标人以书面形式通知所有投标人延长投标有效期。投标人同意延长的，不得要求或被允许修改或撤销其投标文件；投标人拒绝延长的，其投标失效。</w:t>
      </w:r>
    </w:p>
    <w:p w14:paraId="6AE99086">
      <w:pPr>
        <w:keepNext w:val="0"/>
        <w:keepLines w:val="0"/>
        <w:widowControl w:val="0"/>
        <w:suppressLineNumbers w:val="0"/>
        <w:spacing w:before="0" w:beforeAutospacing="0" w:after="0" w:afterAutospacing="0" w:line="440" w:lineRule="exact"/>
        <w:ind w:left="0" w:right="0" w:firstLine="514" w:firstLineChars="245"/>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24.投标保证金</w:t>
      </w:r>
    </w:p>
    <w:p w14:paraId="08E9E097">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24.1本项目不要求投标人提交投标保证金。</w:t>
      </w:r>
    </w:p>
    <w:p w14:paraId="7749EDAD">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4"/>
          <w:szCs w:val="24"/>
          <w:highlight w:val="none"/>
          <w:lang w:val="en-US"/>
        </w:rPr>
      </w:pPr>
      <w:bookmarkStart w:id="32" w:name="_Toc6570_WPSOffice_Level3"/>
      <w:bookmarkEnd w:id="32"/>
      <w:bookmarkStart w:id="33" w:name="_Toc26398"/>
      <w:r>
        <w:rPr>
          <w:rFonts w:hint="eastAsia" w:ascii="宋体" w:hAnsi="宋体" w:eastAsia="宋体" w:cs="宋体"/>
          <w:b/>
          <w:bCs w:val="0"/>
          <w:color w:val="000000"/>
          <w:kern w:val="0"/>
          <w:sz w:val="24"/>
          <w:szCs w:val="24"/>
          <w:highlight w:val="none"/>
          <w:u w:color="000000"/>
          <w:lang w:val="en-US" w:eastAsia="zh-CN" w:bidi="ar"/>
        </w:rPr>
        <w:t>（四）投标文件的递交</w:t>
      </w:r>
      <w:bookmarkEnd w:id="33"/>
    </w:p>
    <w:p w14:paraId="1B1DB80D">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b/>
          <w:bCs w:val="0"/>
          <w:highlight w:val="none"/>
          <w:lang w:val="en-US"/>
        </w:rPr>
      </w:pPr>
      <w:bookmarkStart w:id="34" w:name="_Toc490"/>
      <w:bookmarkEnd w:id="34"/>
      <w:bookmarkStart w:id="35" w:name="_Toc30407_WPSOffice_Level3"/>
      <w:bookmarkEnd w:id="35"/>
      <w:r>
        <w:rPr>
          <w:rFonts w:hint="eastAsia" w:ascii="宋体" w:hAnsi="宋体" w:eastAsia="宋体" w:cs="宋体"/>
          <w:b/>
          <w:bCs w:val="0"/>
          <w:color w:val="000000"/>
          <w:kern w:val="0"/>
          <w:sz w:val="21"/>
          <w:szCs w:val="21"/>
          <w:highlight w:val="none"/>
          <w:u w:color="000000"/>
          <w:lang w:val="en-US" w:eastAsia="zh-CN" w:bidi="ar"/>
        </w:rPr>
        <w:t>25.投标文件的份数和签署</w:t>
      </w:r>
    </w:p>
    <w:p w14:paraId="01571672">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25.1投标文件份数：一份PDF电子版投标文件。投标人中标后须递交与网上电子投标文件完全一致的纸质版投标文件，并按要求加盖公章；份数：正本1份，副本2份；中标单位领取中标通知书时，一并递交给招标代理机构。</w:t>
      </w:r>
    </w:p>
    <w:p w14:paraId="286B56F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25.2按格式文件要求签字或盖章，否则经评委会一致认定且经过招标人同意后, 按照无效投标处理。</w:t>
      </w:r>
    </w:p>
    <w:p w14:paraId="7DA5DF43">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26. 投标文件的提交</w:t>
      </w:r>
    </w:p>
    <w:p w14:paraId="4AF98246">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26.1</w:t>
      </w:r>
      <w:r>
        <w:rPr>
          <w:rFonts w:hint="eastAsia" w:ascii="宋体" w:hAnsi="宋体" w:eastAsia="宋体" w:cs="宋体"/>
          <w:highlight w:val="none"/>
        </w:rPr>
        <w:t>①投标人须在投标文件截止时间前将投标文件以电子邮件的方式一次性发送至滁州市城投工程咨询管理有限公司邮箱（czsctzx@163.com），投标文件格式限定为加密PDF格式，将文件命名为“投标单位名称（联系人及联系电话）+项目名称”，在提交投标文件截止时间后送达的投标文件将被拒绝，投标文件送达时间以滁州市城投工程咨询管理有限公司邮箱显示的邮件送达时间为准。若投标人重复发送电子投标文件的，将以投标文件截止时间前最后收到的投标文件为准。若投标文件无法打开的，投标文件将被拒绝。</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"mailto:2、在递交截止时间后30分钟内，将解压密码通过邮箱发送至代理机构邮箱（czsctgczx@163.com）" </w:instrText>
      </w:r>
      <w:r>
        <w:rPr>
          <w:rFonts w:hint="eastAsia" w:ascii="宋体" w:hAnsi="宋体" w:eastAsia="宋体" w:cs="宋体"/>
          <w:highlight w:val="none"/>
        </w:rPr>
        <w:fldChar w:fldCharType="separate"/>
      </w:r>
      <w:r>
        <w:rPr>
          <w:rFonts w:hint="eastAsia" w:ascii="宋体" w:hAnsi="宋体" w:eastAsia="宋体" w:cs="宋体"/>
          <w:highlight w:val="none"/>
        </w:rPr>
        <w:t>②在投标截止时间后30分钟内，将投标文件密码通过邮箱发送至滁州市城投工程咨询管理有限公司邮箱（czsctzx@163.com）</w:t>
      </w:r>
      <w:r>
        <w:rPr>
          <w:rFonts w:hint="eastAsia" w:ascii="宋体" w:hAnsi="宋体" w:eastAsia="宋体" w:cs="宋体"/>
          <w:highlight w:val="none"/>
        </w:rPr>
        <w:fldChar w:fldCharType="end"/>
      </w:r>
      <w:r>
        <w:rPr>
          <w:rFonts w:hint="eastAsia" w:ascii="宋体" w:hAnsi="宋体" w:eastAsia="宋体" w:cs="宋体"/>
          <w:highlight w:val="none"/>
        </w:rPr>
        <w:t>，未在规定时间内发送密码或发送的密码无法正确打开投标文件的，投标文件将被拒绝。</w:t>
      </w:r>
    </w:p>
    <w:p w14:paraId="0F241F9C">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27．投标文件的</w:t>
      </w:r>
      <w:r>
        <w:rPr>
          <w:rFonts w:hint="eastAsia" w:ascii="宋体"/>
          <w:b/>
          <w:szCs w:val="21"/>
          <w:highlight w:val="none"/>
        </w:rPr>
        <w:t>修改与撤回</w:t>
      </w:r>
    </w:p>
    <w:p w14:paraId="34E83124">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27.1在第一章“招标公告”规定的投标截止时间前，投标人可以自行从网上撤回已递交的投标文件，并可修改后重新发送，开标时以投标截止时间前投标人最后送达的投标文件为准。</w:t>
      </w:r>
    </w:p>
    <w:p w14:paraId="7B884CA0">
      <w:pPr>
        <w:keepNext w:val="0"/>
        <w:keepLines w:val="0"/>
        <w:widowControl/>
        <w:suppressLineNumbers w:val="0"/>
        <w:spacing w:before="0" w:beforeAutospacing="0" w:after="0" w:afterAutospacing="0" w:line="440" w:lineRule="exact"/>
        <w:ind w:right="0"/>
        <w:jc w:val="center"/>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（五）开标、评标和定标</w:t>
      </w:r>
    </w:p>
    <w:p w14:paraId="18CA4689">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b/>
          <w:bCs w:val="0"/>
          <w:highlight w:val="none"/>
          <w:lang w:val="en-US"/>
        </w:rPr>
      </w:pPr>
      <w:bookmarkStart w:id="36" w:name="_Toc28864"/>
      <w:bookmarkEnd w:id="36"/>
      <w:bookmarkStart w:id="37" w:name="_Toc8453_WPSOffice_Level3"/>
      <w:r>
        <w:rPr>
          <w:rFonts w:hint="eastAsia" w:ascii="宋体" w:hAnsi="宋体" w:eastAsia="宋体" w:cs="宋体"/>
          <w:b/>
          <w:bCs w:val="0"/>
          <w:color w:val="000000"/>
          <w:kern w:val="0"/>
          <w:sz w:val="21"/>
          <w:szCs w:val="21"/>
          <w:highlight w:val="none"/>
          <w:u w:color="000000"/>
          <w:lang w:val="en-US" w:eastAsia="zh-CN" w:bidi="ar"/>
        </w:rPr>
        <w:t>28.</w:t>
      </w:r>
      <w:r>
        <w:rPr>
          <w:rFonts w:hint="eastAsia" w:ascii="黑体" w:hAnsi="宋体" w:eastAsia="黑体" w:cs="宋体"/>
          <w:b/>
          <w:bCs w:val="0"/>
          <w:color w:val="000000"/>
          <w:kern w:val="0"/>
          <w:sz w:val="21"/>
          <w:szCs w:val="21"/>
          <w:highlight w:val="none"/>
          <w:u w:color="000000"/>
          <w:lang w:val="en-US" w:eastAsia="zh-CN" w:bidi="ar"/>
        </w:rPr>
        <w:t>开标</w:t>
      </w:r>
    </w:p>
    <w:p w14:paraId="1E5A5BF2">
      <w:pPr>
        <w:keepNext w:val="0"/>
        <w:keepLines w:val="0"/>
        <w:widowControl/>
        <w:suppressLineNumbers w:val="0"/>
        <w:autoSpaceDE w:val="0"/>
        <w:autoSpaceDN/>
        <w:spacing w:before="0" w:beforeAutospacing="0" w:after="0" w:afterAutospacing="0" w:line="40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28.1 开标的时间和地点</w:t>
      </w:r>
    </w:p>
    <w:p w14:paraId="2283822C">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28.1.1招标人投标须知前附表规定的提交投标文件的截止时间和地点公开开标。</w:t>
      </w:r>
    </w:p>
    <w:p w14:paraId="722E3AAD">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28.2 参与开标的监督部门</w:t>
      </w:r>
    </w:p>
    <w:p w14:paraId="203BC218">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spacing w:val="-8"/>
          <w:highlight w:val="none"/>
          <w:lang w:val="en-US"/>
        </w:rPr>
      </w:pPr>
      <w:bookmarkStart w:id="38" w:name="_Toc15542_WPSOffice_Level3"/>
      <w:bookmarkEnd w:id="38"/>
      <w:r>
        <w:rPr>
          <w:rFonts w:hint="eastAsia" w:ascii="宋体" w:hAnsi="宋体" w:eastAsia="宋体" w:cs="宋体"/>
          <w:color w:val="000000"/>
          <w:kern w:val="0"/>
          <w:sz w:val="21"/>
          <w:szCs w:val="21"/>
          <w:highlight w:val="none"/>
          <w:u w:color="000000"/>
          <w:lang w:val="en-US" w:eastAsia="zh-CN" w:bidi="ar"/>
        </w:rPr>
        <w:t>28.2.1招标人可以邀请相关监管部门参加。</w:t>
      </w:r>
    </w:p>
    <w:p w14:paraId="0FCD1FAD">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color w:val="000000"/>
          <w:kern w:val="0"/>
          <w:sz w:val="21"/>
          <w:szCs w:val="21"/>
          <w:highlight w:val="none"/>
          <w:u w:color="000000"/>
          <w:lang w:val="en-US" w:eastAsia="zh-CN" w:bidi="ar"/>
        </w:rPr>
        <w:t>28.3开标程序</w:t>
      </w:r>
    </w:p>
    <w:p w14:paraId="399F5213">
      <w:pPr>
        <w:keepNext w:val="0"/>
        <w:keepLines w:val="0"/>
        <w:widowControl/>
        <w:suppressLineNumbers w:val="0"/>
        <w:spacing w:before="0" w:beforeAutospacing="0" w:after="0" w:afterAutospacing="0" w:line="400" w:lineRule="exact"/>
        <w:ind w:left="0" w:right="-155" w:rightChars="-74"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开标会议由</w:t>
      </w:r>
      <w:r>
        <w:rPr>
          <w:rFonts w:hint="eastAsia" w:ascii="宋体" w:hAnsi="宋体" w:eastAsia="宋体" w:cs="宋体"/>
          <w:color w:val="000000"/>
          <w:kern w:val="0"/>
          <w:sz w:val="21"/>
          <w:szCs w:val="21"/>
          <w:highlight w:val="none"/>
          <w:u w:val="single" w:color="000000"/>
          <w:lang w:val="en-US" w:eastAsia="zh-CN" w:bidi="ar"/>
        </w:rPr>
        <w:t xml:space="preserve"> 滁州市城投工程咨询管理有限公司 </w:t>
      </w:r>
      <w:r>
        <w:rPr>
          <w:rFonts w:hint="eastAsia" w:ascii="宋体" w:hAnsi="宋体" w:eastAsia="宋体" w:cs="宋体"/>
          <w:color w:val="000000"/>
          <w:kern w:val="0"/>
          <w:sz w:val="21"/>
          <w:szCs w:val="21"/>
          <w:highlight w:val="none"/>
          <w:u w:color="000000"/>
          <w:lang w:val="en-US" w:eastAsia="zh-CN" w:bidi="ar"/>
        </w:rPr>
        <w:t>主持。</w:t>
      </w:r>
    </w:p>
    <w:p w14:paraId="13DBB84F">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（1）宣布开标纪律；</w:t>
      </w:r>
    </w:p>
    <w:p w14:paraId="69819017">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（2）宣布采购人、代理机构主持人、见证人等有关人员姓名；</w:t>
      </w:r>
    </w:p>
    <w:p w14:paraId="409899A8">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（3）公布投标人投标报价、服务期及其他内容，并记录在案</w:t>
      </w:r>
    </w:p>
    <w:p w14:paraId="2BCB4407">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（4）开标结束。</w:t>
      </w:r>
    </w:p>
    <w:p w14:paraId="06923436">
      <w:pPr>
        <w:keepNext w:val="0"/>
        <w:keepLines w:val="0"/>
        <w:widowControl/>
        <w:suppressLineNumbers w:val="0"/>
        <w:spacing w:before="0" w:beforeAutospacing="0" w:after="0" w:afterAutospacing="0" w:line="400" w:lineRule="exact"/>
        <w:ind w:left="0" w:right="-155" w:rightChars="-74"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29.开标异议</w:t>
      </w:r>
    </w:p>
    <w:p w14:paraId="6B92F22F">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投标人对开标有异议的，</w:t>
      </w:r>
      <w:r>
        <w:rPr>
          <w:rFonts w:hint="eastAsia" w:ascii="宋体" w:hAnsi="宋体" w:eastAsia="宋体" w:cs="宋体"/>
          <w:color w:val="000000"/>
          <w:szCs w:val="21"/>
          <w:highlight w:val="none"/>
        </w:rPr>
        <w:t>应当在开标过程中提出，招标人在开标过程中作出答复，并制作记录。</w:t>
      </w:r>
    </w:p>
    <w:p w14:paraId="0157C60D">
      <w:pPr>
        <w:keepNext w:val="0"/>
        <w:keepLines w:val="0"/>
        <w:widowControl/>
        <w:suppressLineNumbers w:val="0"/>
        <w:spacing w:before="0" w:beforeAutospacing="0" w:after="0" w:afterAutospacing="0" w:line="440" w:lineRule="exact"/>
        <w:ind w:left="0" w:right="0" w:firstLine="420" w:firstLineChars="200"/>
        <w:jc w:val="left"/>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30.评标委员会</w:t>
      </w:r>
    </w:p>
    <w:p w14:paraId="3985D341">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30.1  评标委员会的组成</w:t>
      </w:r>
    </w:p>
    <w:p w14:paraId="0B01EBCE">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30.1.1</w:t>
      </w:r>
      <w:r>
        <w:rPr>
          <w:rFonts w:hint="eastAsia" w:ascii="宋体" w:hAnsi="宋体" w:cs="宋体"/>
          <w:color w:val="auto"/>
          <w:szCs w:val="21"/>
          <w:highlight w:val="none"/>
        </w:rPr>
        <w:t>评标由招标人依法组建的评标委员会负责。评标委员会由招标人或其委托的招标代理机构熟悉相关业务的代表，以及有关技术、经济等方面的专家组成。</w:t>
      </w:r>
    </w:p>
    <w:p w14:paraId="53FA51EB">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lang w:val="en-US" w:eastAsia="zh-CN"/>
        </w:rPr>
        <w:t>30</w:t>
      </w:r>
      <w:r>
        <w:rPr>
          <w:rFonts w:ascii="宋体" w:hAnsi="宋体" w:cs="宋体"/>
          <w:color w:val="auto"/>
          <w:szCs w:val="21"/>
          <w:highlight w:val="none"/>
        </w:rPr>
        <w:t xml:space="preserve">.2 </w:t>
      </w:r>
      <w:r>
        <w:rPr>
          <w:rFonts w:hint="eastAsia" w:ascii="宋体" w:hAnsi="宋体" w:cs="宋体"/>
          <w:color w:val="auto"/>
          <w:szCs w:val="21"/>
          <w:highlight w:val="none"/>
        </w:rPr>
        <w:t>评标委员会成员有下列情形之一的，应当回避：</w:t>
      </w:r>
    </w:p>
    <w:p w14:paraId="45E5AF56">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）投标人或投标人主要负责人的近亲属；</w:t>
      </w:r>
    </w:p>
    <w:p w14:paraId="4C978292">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）项目主管部门或者行政监督部门的人员；</w:t>
      </w:r>
    </w:p>
    <w:p w14:paraId="2C985052">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）与投标人有经济利益关系；</w:t>
      </w:r>
    </w:p>
    <w:p w14:paraId="73B4E9CC">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）曾因在招标、评标以及其他与招标投标有关活动中从事违法行为而受过行政处罚或刑事处罚的；</w:t>
      </w:r>
    </w:p>
    <w:p w14:paraId="2B1A9721">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）与投标人有其他利害关系。</w:t>
      </w:r>
    </w:p>
    <w:p w14:paraId="5094578A">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评标过程中，评标委员会成员有回避事由、擅离职守或因健康等原因不能继续评标的，招标人有权更换。被更换的评标委员会成员作出的评审结论无效，由更换后的评标委员会成员重新进行评审。</w:t>
      </w:r>
    </w:p>
    <w:p w14:paraId="1D37B270">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color="000000"/>
          <w:lang w:val="en-US" w:eastAsia="zh-CN" w:bidi="ar"/>
        </w:rPr>
        <w:t>30.4</w:t>
      </w:r>
      <w:r>
        <w:rPr>
          <w:rFonts w:hint="eastAsia" w:ascii="宋体" w:hAnsi="宋体" w:eastAsia="宋体" w:cs="宋体"/>
          <w:b/>
          <w:bCs/>
          <w:color w:val="000000"/>
          <w:kern w:val="0"/>
          <w:sz w:val="21"/>
          <w:szCs w:val="21"/>
          <w:highlight w:val="none"/>
          <w:u w:color="000000"/>
          <w:lang w:val="en-US" w:eastAsia="zh-CN" w:bidi="ar"/>
        </w:rPr>
        <w:t>招标人授权评标委员会对投标人资格进行审查。</w:t>
      </w:r>
    </w:p>
    <w:p w14:paraId="2BB48C23">
      <w:pPr>
        <w:keepNext w:val="0"/>
        <w:keepLines w:val="0"/>
        <w:widowControl/>
        <w:suppressLineNumbers w:val="0"/>
        <w:spacing w:before="0" w:beforeAutospacing="0" w:after="0" w:afterAutospacing="0" w:line="400" w:lineRule="exact"/>
        <w:ind w:left="0" w:right="0" w:firstLine="415" w:firstLineChars="198"/>
        <w:jc w:val="left"/>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31. 评标</w:t>
      </w:r>
    </w:p>
    <w:p w14:paraId="750F17A7">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.1评标委员会按照第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章“评标办法”规定的方法、评审因素、标准和程序对投标文件进行评审。第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章“评标办法”没有规定的方法、评审因素和标准，不作为评标依据。</w:t>
      </w:r>
    </w:p>
    <w:p w14:paraId="2EF7E832">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highlight w:val="none"/>
          <w:lang w:val="en-US"/>
        </w:rPr>
      </w:pP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.2评标完成后，评标委员会应向招标人提交书面评标报告和中标候选人名单。评标委员会推荐中标候选人的人数见投标人须知前附表。</w:t>
      </w:r>
    </w:p>
    <w:p w14:paraId="17190F33">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31.3评标原则：</w:t>
      </w:r>
    </w:p>
    <w:p w14:paraId="757B694E">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bookmarkStart w:id="39" w:name="_Toc5272_WPSOffice_Level3"/>
      <w:bookmarkEnd w:id="39"/>
      <w:r>
        <w:rPr>
          <w:rFonts w:hint="eastAsia" w:ascii="宋体" w:hAnsi="宋体" w:eastAsia="宋体" w:cs="宋体"/>
          <w:color w:val="000000"/>
          <w:kern w:val="0"/>
          <w:sz w:val="21"/>
          <w:szCs w:val="21"/>
          <w:highlight w:val="none"/>
          <w:u w:color="000000"/>
          <w:lang w:val="en-US" w:eastAsia="zh-CN" w:bidi="ar"/>
        </w:rPr>
        <w:t>31.3.1遵循公平、公正、科学和择优的原则。</w:t>
      </w:r>
    </w:p>
    <w:p w14:paraId="7E580809">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31.4报价合理性的判断</w:t>
      </w:r>
    </w:p>
    <w:p w14:paraId="1F6C7515">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评标委员会认为投标人的报价明显低于其他通过符合性审查投标人的报价，有可能影响产品质量或者不能诚信履约的，应当要求其在系统中合理的时间内提供说明，必要时提交相关证明材料；投标人不能证明其报价合理性的，评标委员会应当将其作为无效投标处理。</w:t>
      </w:r>
    </w:p>
    <w:p w14:paraId="1BD4457C">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3</w:t>
      </w:r>
      <w:r>
        <w:rPr>
          <w:rFonts w:hint="eastAsia" w:ascii="宋体" w:hAnsi="Times New Roman" w:eastAsia="宋体" w:cs="Times New Roman"/>
          <w:color w:val="auto"/>
          <w:szCs w:val="21"/>
          <w:highlight w:val="none"/>
          <w:lang w:val="en-US" w:eastAsia="zh-CN"/>
        </w:rPr>
        <w:t>1</w:t>
      </w:r>
      <w:r>
        <w:rPr>
          <w:rFonts w:hint="eastAsia" w:ascii="宋体" w:hAnsi="Times New Roman" w:eastAsia="宋体" w:cs="Times New Roman"/>
          <w:color w:val="auto"/>
          <w:szCs w:val="21"/>
          <w:highlight w:val="none"/>
        </w:rPr>
        <w:t>.</w:t>
      </w:r>
      <w:r>
        <w:rPr>
          <w:rFonts w:hint="eastAsia" w:ascii="宋体" w:hAnsi="Times New Roman" w:eastAsia="宋体" w:cs="Times New Roman"/>
          <w:color w:val="auto"/>
          <w:szCs w:val="21"/>
          <w:highlight w:val="none"/>
          <w:lang w:val="en-US" w:eastAsia="zh-CN"/>
        </w:rPr>
        <w:t>5</w:t>
      </w:r>
      <w:r>
        <w:rPr>
          <w:rFonts w:hint="eastAsia" w:ascii="宋体" w:hAnsi="Times New Roman" w:eastAsia="宋体" w:cs="Times New Roman"/>
          <w:color w:val="auto"/>
          <w:szCs w:val="21"/>
          <w:highlight w:val="none"/>
        </w:rPr>
        <w:t>评审意见分歧的处理办法</w:t>
      </w:r>
    </w:p>
    <w:p w14:paraId="0491C263">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（1）评标委员会应当对投标人提供的报告、证明材料及详细说明认真研究。对存在意见分歧的，可采用投票方式表决决定（按多数评委意见为准）；</w:t>
      </w:r>
    </w:p>
    <w:p w14:paraId="5D855998">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（2）招标投标当事人对评标结果提出异议或者投诉，公共资源交易监督机构认为需要重新进行评标的，评标委员会成员应当按照公共资源交易监督机构要求重新评标。</w:t>
      </w:r>
    </w:p>
    <w:p w14:paraId="684098FF">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31.6</w:t>
      </w:r>
      <w:r>
        <w:rPr>
          <w:rFonts w:hint="eastAsia" w:ascii="宋体" w:hAnsi="Times New Roman" w:eastAsia="宋体" w:cs="Times New Roman"/>
          <w:color w:val="auto"/>
          <w:szCs w:val="21"/>
          <w:highlight w:val="none"/>
        </w:rPr>
        <w:t>评标报告的签署</w:t>
      </w:r>
    </w:p>
    <w:p w14:paraId="6928153F">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31.6</w:t>
      </w:r>
      <w:r>
        <w:rPr>
          <w:rFonts w:hint="eastAsia" w:ascii="宋体" w:hAnsi="Times New Roman" w:eastAsia="宋体" w:cs="Times New Roman"/>
          <w:color w:val="auto"/>
          <w:szCs w:val="21"/>
          <w:highlight w:val="none"/>
        </w:rPr>
        <w:t>.1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41827E7C">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31.7</w:t>
      </w:r>
      <w:r>
        <w:rPr>
          <w:rFonts w:hint="eastAsia" w:ascii="宋体" w:hAnsi="Times New Roman" w:eastAsia="宋体" w:cs="Times New Roman"/>
          <w:color w:val="auto"/>
          <w:szCs w:val="21"/>
          <w:highlight w:val="none"/>
        </w:rPr>
        <w:t>评标过程的保密</w:t>
      </w:r>
    </w:p>
    <w:p w14:paraId="54DD55BB">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31.7.1</w:t>
      </w:r>
      <w:r>
        <w:rPr>
          <w:rFonts w:hint="eastAsia" w:ascii="宋体" w:hAnsi="Times New Roman" w:eastAsia="宋体" w:cs="Times New Roman"/>
          <w:color w:val="auto"/>
          <w:szCs w:val="21"/>
          <w:highlight w:val="none"/>
        </w:rPr>
        <w:t>评标委员会成员和与评标活动有关的工作人员不得透露对投标文件的评审和比较、中标人的推荐情况以及与评标有关的其他情况。</w:t>
      </w:r>
    </w:p>
    <w:p w14:paraId="1A29DA8C">
      <w:pPr>
        <w:widowControl/>
        <w:spacing w:line="440" w:lineRule="exact"/>
        <w:ind w:left="415" w:leftChars="198"/>
        <w:jc w:val="left"/>
        <w:rPr>
          <w:rFonts w:hint="eastAsia" w:ascii="宋体"/>
          <w:szCs w:val="21"/>
          <w:highlight w:val="none"/>
        </w:rPr>
      </w:pPr>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2</w:t>
      </w:r>
      <w:r>
        <w:rPr>
          <w:rFonts w:hint="eastAsia" w:ascii="宋体" w:hAnsi="宋体" w:eastAsia="宋体" w:cs="宋体"/>
          <w:b/>
          <w:color w:val="000000"/>
          <w:kern w:val="0"/>
          <w:szCs w:val="21"/>
          <w:highlight w:val="none"/>
          <w:u w:color="000000"/>
          <w:lang w:bidi="ar"/>
        </w:rPr>
        <w:t xml:space="preserve">.重新招标 </w:t>
      </w:r>
    </w:p>
    <w:p w14:paraId="659940D8">
      <w:pPr>
        <w:tabs>
          <w:tab w:val="left" w:pos="720"/>
        </w:tabs>
        <w:spacing w:line="420" w:lineRule="exact"/>
        <w:ind w:firstLine="420" w:firstLineChars="200"/>
        <w:jc w:val="left"/>
        <w:rPr>
          <w:rFonts w:hint="eastAsia" w:ascii="宋体" w:hAnsi="Times New Roman" w:eastAsia="宋体" w:cs="Times New Roman"/>
          <w:szCs w:val="21"/>
          <w:highlight w:val="none"/>
        </w:rPr>
      </w:pPr>
      <w:r>
        <w:rPr>
          <w:rFonts w:hint="eastAsia" w:ascii="宋体" w:hAnsi="Times New Roman" w:eastAsia="宋体" w:cs="Times New Roman"/>
          <w:szCs w:val="21"/>
          <w:highlight w:val="none"/>
          <w:lang w:val="en-US" w:eastAsia="zh-CN"/>
        </w:rPr>
        <w:t>3</w:t>
      </w:r>
      <w:r>
        <w:rPr>
          <w:rFonts w:hint="eastAsia" w:ascii="宋体" w:hAnsi="Times New Roman" w:eastAsia="宋体" w:cs="Times New Roman"/>
          <w:szCs w:val="21"/>
          <w:highlight w:val="none"/>
        </w:rPr>
        <w:t>2.1.1依法必须招标的项目有下列情形之一的，招标人将重新招标：</w:t>
      </w:r>
    </w:p>
    <w:p w14:paraId="3FF81B36">
      <w:pPr>
        <w:tabs>
          <w:tab w:val="left" w:pos="720"/>
        </w:tabs>
        <w:spacing w:line="420" w:lineRule="exact"/>
        <w:ind w:firstLine="420" w:firstLineChars="200"/>
        <w:jc w:val="left"/>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（1）投标截止时间止，投标人少于3个的；</w:t>
      </w:r>
    </w:p>
    <w:p w14:paraId="17352445">
      <w:pPr>
        <w:tabs>
          <w:tab w:val="left" w:pos="720"/>
        </w:tabs>
        <w:spacing w:line="420" w:lineRule="exact"/>
        <w:ind w:firstLine="420" w:firstLineChars="200"/>
        <w:jc w:val="left"/>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（2）经评标委员会评审后否决所有投标的；</w:t>
      </w:r>
    </w:p>
    <w:p w14:paraId="2FDE3298">
      <w:pPr>
        <w:tabs>
          <w:tab w:val="left" w:pos="720"/>
        </w:tabs>
        <w:spacing w:line="420" w:lineRule="exact"/>
        <w:ind w:firstLine="420" w:firstLineChars="200"/>
        <w:jc w:val="left"/>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（3）中标候选人均未与招标人签订合同的；</w:t>
      </w:r>
    </w:p>
    <w:p w14:paraId="279DE8E6">
      <w:pPr>
        <w:tabs>
          <w:tab w:val="left" w:pos="720"/>
        </w:tabs>
        <w:spacing w:line="420" w:lineRule="exact"/>
        <w:ind w:firstLine="420" w:firstLineChars="200"/>
        <w:jc w:val="left"/>
        <w:rPr>
          <w:rFonts w:hint="eastAsia" w:ascii="宋体" w:hAnsi="宋体" w:eastAsia="宋体" w:cs="宋体"/>
          <w:highlight w:val="none"/>
          <w:lang w:val="en-US"/>
        </w:rPr>
      </w:pPr>
      <w:r>
        <w:rPr>
          <w:rFonts w:hint="eastAsia" w:ascii="宋体" w:hAnsi="Times New Roman" w:eastAsia="宋体" w:cs="Times New Roman"/>
          <w:szCs w:val="21"/>
          <w:highlight w:val="none"/>
        </w:rPr>
        <w:t>（4）法律、法规规定的其他情形。</w:t>
      </w:r>
    </w:p>
    <w:p w14:paraId="01E638B2">
      <w:pPr>
        <w:keepNext w:val="0"/>
        <w:keepLines w:val="0"/>
        <w:widowControl w:val="0"/>
        <w:suppressLineNumbers w:val="0"/>
        <w:autoSpaceDE w:val="0"/>
        <w:autoSpaceDN/>
        <w:snapToGrid w:val="0"/>
        <w:spacing w:before="156" w:beforeLines="50" w:beforeAutospacing="0" w:after="156" w:afterLines="50" w:afterAutospacing="0" w:line="40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（六）合同授予</w:t>
      </w:r>
      <w:bookmarkEnd w:id="37"/>
    </w:p>
    <w:p w14:paraId="416185CB">
      <w:pPr>
        <w:keepNext w:val="0"/>
        <w:keepLines w:val="0"/>
        <w:widowControl/>
        <w:suppressLineNumbers w:val="0"/>
        <w:spacing w:before="0" w:beforeAutospacing="0" w:after="0" w:afterAutospacing="0" w:line="440" w:lineRule="exact"/>
        <w:ind w:left="0" w:right="0" w:firstLine="420" w:firstLineChars="200"/>
        <w:jc w:val="left"/>
        <w:rPr>
          <w:rFonts w:hint="eastAsia" w:ascii="黑体" w:hAnsi="宋体" w:eastAsia="黑体" w:cs="宋体"/>
          <w:b/>
          <w:bCs w:val="0"/>
          <w:color w:val="000000"/>
          <w:kern w:val="0"/>
          <w:sz w:val="21"/>
          <w:szCs w:val="21"/>
          <w:highlight w:val="none"/>
          <w:u w:color="000000"/>
          <w:lang w:val="en-US" w:eastAsia="zh-CN" w:bidi="ar"/>
        </w:rPr>
      </w:pPr>
      <w:r>
        <w:rPr>
          <w:rFonts w:hint="eastAsia" w:ascii="黑体" w:hAnsi="宋体" w:eastAsia="黑体" w:cs="宋体"/>
          <w:b/>
          <w:bCs w:val="0"/>
          <w:color w:val="000000"/>
          <w:kern w:val="0"/>
          <w:sz w:val="21"/>
          <w:szCs w:val="21"/>
          <w:highlight w:val="none"/>
          <w:u w:color="000000"/>
          <w:lang w:val="en-US" w:eastAsia="zh-CN" w:bidi="ar"/>
        </w:rPr>
        <w:t>33.中标公示</w:t>
      </w:r>
    </w:p>
    <w:p w14:paraId="02FD880D">
      <w:pPr>
        <w:spacing w:line="420" w:lineRule="exact"/>
        <w:ind w:firstLine="420" w:firstLineChars="200"/>
        <w:jc w:val="left"/>
        <w:rPr>
          <w:rFonts w:ascii="宋体" w:hAnsi="宋体" w:eastAsia="宋体" w:cs="宋体"/>
          <w:highlight w:val="none"/>
        </w:rPr>
      </w:pPr>
      <w:r>
        <w:rPr>
          <w:rFonts w:hint="eastAsia" w:ascii="宋体" w:hAnsi="宋体" w:eastAsia="宋体" w:cs="宋体"/>
          <w:color w:val="000000"/>
          <w:kern w:val="0"/>
          <w:szCs w:val="21"/>
          <w:highlight w:val="none"/>
          <w:u w:color="000000"/>
          <w:lang w:bidi="ar"/>
        </w:rPr>
        <w:t>3</w:t>
      </w:r>
      <w:r>
        <w:rPr>
          <w:rFonts w:hint="eastAsia" w:ascii="宋体" w:hAnsi="宋体" w:eastAsia="宋体" w:cs="宋体"/>
          <w:color w:val="000000"/>
          <w:kern w:val="0"/>
          <w:szCs w:val="21"/>
          <w:highlight w:val="none"/>
          <w:u w:color="000000"/>
          <w:lang w:val="en-US" w:eastAsia="zh-CN" w:bidi="ar"/>
        </w:rPr>
        <w:t>3</w:t>
      </w:r>
      <w:r>
        <w:rPr>
          <w:rFonts w:hint="eastAsia" w:ascii="宋体" w:hAnsi="宋体" w:eastAsia="宋体" w:cs="宋体"/>
          <w:color w:val="000000"/>
          <w:kern w:val="0"/>
          <w:szCs w:val="21"/>
          <w:highlight w:val="none"/>
          <w:u w:color="000000"/>
          <w:lang w:bidi="ar"/>
        </w:rPr>
        <w:t>.1</w:t>
      </w:r>
      <w:r>
        <w:rPr>
          <w:rFonts w:hint="eastAsia" w:ascii="宋体" w:hAnsi="Times New Roman" w:eastAsia="宋体" w:cs="Times New Roman"/>
          <w:szCs w:val="21"/>
          <w:highlight w:val="none"/>
        </w:rPr>
        <w:t>招标人在收到评标报告之日起3日内，按照投标人须知前附表规定的公示媒介和期限依法公示。公示期不得少于3日。</w:t>
      </w:r>
    </w:p>
    <w:p w14:paraId="50B43749">
      <w:pPr>
        <w:keepNext w:val="0"/>
        <w:keepLines w:val="0"/>
        <w:widowControl/>
        <w:suppressLineNumbers w:val="0"/>
        <w:spacing w:before="0" w:beforeAutospacing="0" w:after="0" w:afterAutospacing="0" w:line="440" w:lineRule="exact"/>
        <w:ind w:left="0" w:right="0" w:firstLine="420" w:firstLineChars="200"/>
        <w:jc w:val="left"/>
        <w:rPr>
          <w:rFonts w:hint="eastAsia" w:ascii="黑体" w:hAnsi="宋体" w:eastAsia="黑体" w:cs="宋体"/>
          <w:b/>
          <w:bCs w:val="0"/>
          <w:color w:val="000000"/>
          <w:kern w:val="0"/>
          <w:sz w:val="21"/>
          <w:szCs w:val="21"/>
          <w:highlight w:val="none"/>
          <w:u w:color="000000"/>
          <w:lang w:val="en-US" w:eastAsia="zh-CN" w:bidi="ar"/>
        </w:rPr>
      </w:pPr>
      <w:r>
        <w:rPr>
          <w:rFonts w:hint="eastAsia" w:ascii="黑体" w:hAnsi="宋体" w:eastAsia="黑体" w:cs="宋体"/>
          <w:b/>
          <w:bCs w:val="0"/>
          <w:color w:val="000000"/>
          <w:kern w:val="0"/>
          <w:sz w:val="21"/>
          <w:szCs w:val="21"/>
          <w:highlight w:val="none"/>
          <w:u w:color="000000"/>
          <w:lang w:val="en-US" w:eastAsia="zh-CN" w:bidi="ar"/>
        </w:rPr>
        <w:t>34.评标结果异议</w:t>
      </w:r>
    </w:p>
    <w:p w14:paraId="35617F15">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3</w:t>
      </w:r>
      <w:r>
        <w:rPr>
          <w:rFonts w:hint="eastAsia" w:ascii="宋体" w:hAnsi="Times New Roman" w:eastAsia="宋体" w:cs="Times New Roman"/>
          <w:szCs w:val="21"/>
          <w:highlight w:val="none"/>
          <w:lang w:val="en-US" w:eastAsia="zh-CN"/>
        </w:rPr>
        <w:t>4</w:t>
      </w:r>
      <w:r>
        <w:rPr>
          <w:rFonts w:hint="eastAsia" w:ascii="宋体" w:hAnsi="Times New Roman" w:eastAsia="宋体" w:cs="Times New Roman"/>
          <w:szCs w:val="21"/>
          <w:highlight w:val="none"/>
        </w:rPr>
        <w:t>.1投标人或其他利害关系人对评标结果有异议的，应在中标候选人公示期内提出。招标人将在收到异议之日起3日内作出答复；作出答复前，将暂停招标投标活动。</w:t>
      </w:r>
    </w:p>
    <w:p w14:paraId="51F323CD">
      <w:pPr>
        <w:keepNext w:val="0"/>
        <w:keepLines w:val="0"/>
        <w:widowControl/>
        <w:suppressLineNumbers w:val="0"/>
        <w:spacing w:before="0" w:beforeAutospacing="0" w:after="0" w:afterAutospacing="0" w:line="440" w:lineRule="exact"/>
        <w:ind w:left="0" w:right="0" w:firstLine="420" w:firstLineChars="200"/>
        <w:jc w:val="left"/>
        <w:rPr>
          <w:rFonts w:hint="eastAsia" w:ascii="黑体" w:hAnsi="宋体" w:eastAsia="黑体" w:cs="宋体"/>
          <w:b/>
          <w:bCs w:val="0"/>
          <w:color w:val="000000"/>
          <w:kern w:val="0"/>
          <w:sz w:val="21"/>
          <w:szCs w:val="21"/>
          <w:highlight w:val="none"/>
          <w:u w:color="000000"/>
          <w:lang w:val="en-US" w:eastAsia="zh-CN" w:bidi="ar"/>
        </w:rPr>
      </w:pPr>
      <w:r>
        <w:rPr>
          <w:rFonts w:hint="eastAsia" w:ascii="黑体" w:hAnsi="宋体" w:eastAsia="黑体" w:cs="宋体"/>
          <w:b/>
          <w:bCs w:val="0"/>
          <w:color w:val="000000"/>
          <w:kern w:val="0"/>
          <w:sz w:val="21"/>
          <w:szCs w:val="21"/>
          <w:highlight w:val="none"/>
          <w:u w:color="000000"/>
          <w:lang w:val="en-US" w:eastAsia="zh-CN" w:bidi="ar"/>
        </w:rPr>
        <w:t>35.定标</w:t>
      </w:r>
    </w:p>
    <w:p w14:paraId="4B6E375A">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3</w:t>
      </w:r>
      <w:r>
        <w:rPr>
          <w:rFonts w:hint="eastAsia" w:ascii="宋体" w:hAnsi="Times New Roman" w:eastAsia="宋体" w:cs="Times New Roman"/>
          <w:szCs w:val="21"/>
          <w:highlight w:val="none"/>
          <w:lang w:val="en-US" w:eastAsia="zh-CN"/>
        </w:rPr>
        <w:t>5</w:t>
      </w:r>
      <w:r>
        <w:rPr>
          <w:rFonts w:hint="eastAsia" w:ascii="宋体" w:hAnsi="Times New Roman" w:eastAsia="宋体" w:cs="Times New Roman"/>
          <w:szCs w:val="21"/>
          <w:highlight w:val="none"/>
        </w:rPr>
        <w:t>.1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2A34F50C">
      <w:pPr>
        <w:keepNext w:val="0"/>
        <w:keepLines w:val="0"/>
        <w:widowControl/>
        <w:suppressLineNumbers w:val="0"/>
        <w:spacing w:before="0" w:beforeAutospacing="0" w:after="0" w:afterAutospacing="0" w:line="440" w:lineRule="exact"/>
        <w:ind w:left="0" w:right="0" w:firstLine="420" w:firstLineChars="200"/>
        <w:jc w:val="left"/>
        <w:rPr>
          <w:rFonts w:hint="eastAsia" w:ascii="黑体" w:hAnsi="宋体" w:eastAsia="黑体" w:cs="宋体"/>
          <w:b/>
          <w:bCs w:val="0"/>
          <w:color w:val="000000"/>
          <w:kern w:val="0"/>
          <w:sz w:val="21"/>
          <w:szCs w:val="21"/>
          <w:highlight w:val="none"/>
          <w:u w:color="000000"/>
          <w:lang w:val="en-US" w:eastAsia="zh-CN" w:bidi="ar"/>
        </w:rPr>
      </w:pPr>
      <w:r>
        <w:rPr>
          <w:rFonts w:hint="eastAsia" w:ascii="黑体" w:hAnsi="宋体" w:eastAsia="黑体" w:cs="宋体"/>
          <w:b/>
          <w:bCs w:val="0"/>
          <w:color w:val="000000"/>
          <w:kern w:val="0"/>
          <w:sz w:val="21"/>
          <w:szCs w:val="21"/>
          <w:highlight w:val="none"/>
          <w:u w:color="000000"/>
          <w:lang w:val="en-US" w:eastAsia="zh-CN" w:bidi="ar"/>
        </w:rPr>
        <w:t>36.中标通知</w:t>
      </w:r>
    </w:p>
    <w:p w14:paraId="2DEF0FA8">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3</w:t>
      </w:r>
      <w:r>
        <w:rPr>
          <w:rFonts w:hint="eastAsia" w:ascii="宋体" w:hAnsi="Times New Roman" w:eastAsia="宋体" w:cs="Times New Roman"/>
          <w:szCs w:val="21"/>
          <w:highlight w:val="none"/>
          <w:lang w:val="en-US" w:eastAsia="zh-CN"/>
        </w:rPr>
        <w:t>6</w:t>
      </w:r>
      <w:r>
        <w:rPr>
          <w:rFonts w:hint="eastAsia" w:ascii="宋体" w:hAnsi="Times New Roman" w:eastAsia="宋体" w:cs="Times New Roman"/>
          <w:szCs w:val="21"/>
          <w:highlight w:val="none"/>
        </w:rPr>
        <w:t>.1在本招标文件规定的投标有效期内，招标人向中标人发出中标通知书，同时将中标结果通知未中标的投标人。</w:t>
      </w:r>
    </w:p>
    <w:p w14:paraId="6EE24B61">
      <w:pPr>
        <w:keepNext w:val="0"/>
        <w:keepLines w:val="0"/>
        <w:widowControl w:val="0"/>
        <w:suppressLineNumbers w:val="0"/>
        <w:autoSpaceDE w:val="0"/>
        <w:autoSpaceDN/>
        <w:spacing w:before="0" w:beforeAutospacing="0" w:after="0" w:afterAutospacing="0" w:line="400" w:lineRule="exact"/>
        <w:ind w:left="0" w:right="0"/>
        <w:jc w:val="both"/>
        <w:rPr>
          <w:rFonts w:hint="eastAsia" w:ascii="黑体" w:hAnsi="宋体" w:eastAsia="黑体" w:cs="宋体"/>
          <w:b/>
          <w:bCs w:val="0"/>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 xml:space="preserve">  </w:t>
      </w:r>
      <w:r>
        <w:rPr>
          <w:rFonts w:hint="eastAsia" w:ascii="宋体" w:hAnsi="Times New Roman" w:eastAsia="宋体" w:cs="Times New Roman"/>
          <w:b/>
          <w:color w:val="auto"/>
          <w:spacing w:val="0"/>
          <w:sz w:val="21"/>
          <w:szCs w:val="21"/>
          <w:highlight w:val="none"/>
          <w:lang w:val="en-US" w:eastAsia="zh-CN"/>
        </w:rPr>
        <w:t xml:space="preserve"> </w:t>
      </w:r>
      <w:r>
        <w:rPr>
          <w:rFonts w:hint="eastAsia" w:ascii="黑体" w:hAnsi="宋体" w:eastAsia="黑体" w:cs="宋体"/>
          <w:b/>
          <w:bCs w:val="0"/>
          <w:color w:val="000000"/>
          <w:kern w:val="0"/>
          <w:sz w:val="21"/>
          <w:szCs w:val="21"/>
          <w:highlight w:val="none"/>
          <w:u w:color="000000"/>
          <w:lang w:val="en-US" w:eastAsia="zh-CN" w:bidi="ar"/>
        </w:rPr>
        <w:t xml:space="preserve"> </w:t>
      </w:r>
      <w:bookmarkStart w:id="40" w:name="_Toc7247"/>
      <w:bookmarkEnd w:id="40"/>
      <w:r>
        <w:rPr>
          <w:rFonts w:hint="eastAsia" w:ascii="黑体" w:hAnsi="宋体" w:eastAsia="黑体" w:cs="宋体"/>
          <w:b/>
          <w:bCs w:val="0"/>
          <w:color w:val="000000"/>
          <w:kern w:val="0"/>
          <w:sz w:val="21"/>
          <w:szCs w:val="21"/>
          <w:highlight w:val="none"/>
          <w:u w:color="000000"/>
          <w:lang w:val="en-US" w:eastAsia="zh-CN" w:bidi="ar"/>
        </w:rPr>
        <w:t xml:space="preserve"> 37.</w:t>
      </w:r>
      <w:bookmarkStart w:id="41" w:name="_Toc217446068"/>
      <w:r>
        <w:rPr>
          <w:rFonts w:hint="eastAsia" w:ascii="黑体" w:hAnsi="宋体" w:eastAsia="黑体" w:cs="宋体"/>
          <w:b/>
          <w:bCs w:val="0"/>
          <w:color w:val="000000"/>
          <w:kern w:val="0"/>
          <w:sz w:val="21"/>
          <w:szCs w:val="21"/>
          <w:highlight w:val="none"/>
          <w:u w:color="000000"/>
          <w:lang w:val="en-US" w:eastAsia="zh-CN" w:bidi="ar"/>
        </w:rPr>
        <w:t>履约保证金</w:t>
      </w:r>
      <w:bookmarkEnd w:id="41"/>
    </w:p>
    <w:p w14:paraId="1331EEB6">
      <w:pPr>
        <w:spacing w:line="420" w:lineRule="exact"/>
        <w:ind w:firstLine="420" w:firstLineChars="200"/>
        <w:jc w:val="left"/>
        <w:rPr>
          <w:rFonts w:ascii="宋体" w:hAnsi="Times New Roman" w:eastAsia="宋体" w:cs="Times New Roman"/>
          <w:szCs w:val="21"/>
          <w:highlight w:val="none"/>
        </w:rPr>
      </w:pPr>
      <w:bookmarkStart w:id="42" w:name="_Toc316_WPSOffice_Level3"/>
      <w:bookmarkEnd w:id="42"/>
      <w:bookmarkStart w:id="43" w:name="_Toc23484"/>
      <w:r>
        <w:rPr>
          <w:rFonts w:hint="eastAsia" w:ascii="宋体" w:hAnsi="Times New Roman" w:eastAsia="宋体" w:cs="Times New Roman"/>
          <w:szCs w:val="21"/>
          <w:highlight w:val="none"/>
        </w:rPr>
        <w:t>3</w:t>
      </w:r>
      <w:r>
        <w:rPr>
          <w:rFonts w:hint="eastAsia" w:ascii="宋体" w:hAnsi="Times New Roman" w:eastAsia="宋体" w:cs="Times New Roman"/>
          <w:szCs w:val="21"/>
          <w:highlight w:val="none"/>
          <w:lang w:val="en-US" w:eastAsia="zh-CN"/>
        </w:rPr>
        <w:t>7</w:t>
      </w:r>
      <w:r>
        <w:rPr>
          <w:rFonts w:hint="eastAsia" w:ascii="宋体" w:hAnsi="Times New Roman" w:eastAsia="宋体" w:cs="Times New Roman"/>
          <w:szCs w:val="21"/>
          <w:highlight w:val="none"/>
        </w:rPr>
        <w:t>.1</w:t>
      </w:r>
      <w:bookmarkEnd w:id="43"/>
      <w:r>
        <w:rPr>
          <w:rFonts w:hint="eastAsia" w:ascii="宋体" w:hAnsi="Times New Roman" w:eastAsia="宋体" w:cs="Times New Roman"/>
          <w:szCs w:val="21"/>
          <w:highlight w:val="none"/>
        </w:rPr>
        <w:t>在签订合同前，中标人应按投标人须知前附表规定的担保形式和招标文件第</w:t>
      </w:r>
      <w:r>
        <w:rPr>
          <w:rFonts w:hint="eastAsia" w:ascii="宋体" w:hAnsi="Times New Roman" w:eastAsia="宋体" w:cs="Times New Roman"/>
          <w:szCs w:val="21"/>
          <w:highlight w:val="none"/>
          <w:lang w:val="en-US" w:eastAsia="zh-CN"/>
        </w:rPr>
        <w:t>六</w:t>
      </w:r>
      <w:r>
        <w:rPr>
          <w:rFonts w:hint="eastAsia" w:ascii="宋体" w:hAnsi="Times New Roman" w:eastAsia="宋体" w:cs="Times New Roman"/>
          <w:szCs w:val="21"/>
          <w:highlight w:val="none"/>
        </w:rPr>
        <w:t>章“合同条款及格式”规定的或者事先经过招标人书面认可的履约担保格式向招标人提交履约担保。</w:t>
      </w:r>
    </w:p>
    <w:p w14:paraId="246DABD6">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3</w:t>
      </w:r>
      <w:r>
        <w:rPr>
          <w:rFonts w:hint="eastAsia" w:ascii="宋体" w:hAnsi="Times New Roman" w:eastAsia="宋体" w:cs="Times New Roman"/>
          <w:szCs w:val="21"/>
          <w:highlight w:val="none"/>
          <w:lang w:val="en-US" w:eastAsia="zh-CN"/>
        </w:rPr>
        <w:t>7</w:t>
      </w:r>
      <w:r>
        <w:rPr>
          <w:rFonts w:hint="eastAsia" w:ascii="宋体" w:hAnsi="Times New Roman" w:eastAsia="宋体" w:cs="Times New Roman"/>
          <w:szCs w:val="21"/>
          <w:highlight w:val="none"/>
        </w:rPr>
        <w:t>.2中标人不能按本章第3</w:t>
      </w:r>
      <w:r>
        <w:rPr>
          <w:rFonts w:hint="eastAsia" w:ascii="宋体" w:hAnsi="Times New Roman" w:eastAsia="宋体" w:cs="Times New Roman"/>
          <w:szCs w:val="21"/>
          <w:highlight w:val="none"/>
          <w:lang w:val="en-US" w:eastAsia="zh-CN"/>
        </w:rPr>
        <w:t>7</w:t>
      </w:r>
      <w:r>
        <w:rPr>
          <w:rFonts w:hint="eastAsia" w:ascii="宋体" w:hAnsi="Times New Roman" w:eastAsia="宋体" w:cs="Times New Roman"/>
          <w:szCs w:val="21"/>
          <w:highlight w:val="none"/>
        </w:rPr>
        <w:t>.1项要求提交履约担保的，视为放弃中标，给招标人造成的损失，中标人还应当予以赔偿。</w:t>
      </w:r>
    </w:p>
    <w:p w14:paraId="458C332C">
      <w:pPr>
        <w:keepNext w:val="0"/>
        <w:keepLines w:val="0"/>
        <w:widowControl w:val="0"/>
        <w:suppressLineNumbers w:val="0"/>
        <w:autoSpaceDE w:val="0"/>
        <w:autoSpaceDN/>
        <w:spacing w:before="0" w:beforeAutospacing="0" w:after="0" w:afterAutospacing="0" w:line="400" w:lineRule="exact"/>
        <w:ind w:left="0" w:right="0" w:firstLine="480" w:firstLineChars="200"/>
        <w:jc w:val="center"/>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（七）纪律和监督</w:t>
      </w:r>
    </w:p>
    <w:p w14:paraId="0ABC5FD6">
      <w:pPr>
        <w:widowControl/>
        <w:spacing w:line="440" w:lineRule="exact"/>
        <w:ind w:left="415"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8</w:t>
      </w:r>
      <w:r>
        <w:rPr>
          <w:rFonts w:hint="eastAsia" w:ascii="宋体" w:hAnsi="宋体" w:eastAsia="宋体" w:cs="宋体"/>
          <w:b/>
          <w:color w:val="000000"/>
          <w:kern w:val="0"/>
          <w:szCs w:val="21"/>
          <w:highlight w:val="none"/>
          <w:u w:color="000000"/>
          <w:lang w:bidi="ar"/>
        </w:rPr>
        <w:t xml:space="preserve">.对招标人的纪律要求 </w:t>
      </w:r>
    </w:p>
    <w:p w14:paraId="4A1D05C8">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3</w:t>
      </w:r>
      <w:r>
        <w:rPr>
          <w:rFonts w:hint="eastAsia" w:ascii="宋体" w:hAnsi="Times New Roman" w:eastAsia="宋体" w:cs="Times New Roman"/>
          <w:szCs w:val="21"/>
          <w:highlight w:val="none"/>
          <w:lang w:val="en-US" w:eastAsia="zh-CN"/>
        </w:rPr>
        <w:t>8</w:t>
      </w:r>
      <w:r>
        <w:rPr>
          <w:rFonts w:hint="eastAsia" w:ascii="宋体" w:hAnsi="Times New Roman" w:eastAsia="宋体" w:cs="Times New Roman"/>
          <w:szCs w:val="21"/>
          <w:highlight w:val="none"/>
        </w:rPr>
        <w:t xml:space="preserve">.1招标人不得泄漏招标投标活动中应当保密的情况和资料，不得与投标人串通损害国家利益，社会公共利益或者他人合法权益。 </w:t>
      </w:r>
    </w:p>
    <w:p w14:paraId="5D7CB2AD">
      <w:pPr>
        <w:widowControl/>
        <w:spacing w:line="440" w:lineRule="exact"/>
        <w:ind w:left="415"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val="en-US" w:eastAsia="zh-CN" w:bidi="ar"/>
        </w:rPr>
        <w:t>39</w:t>
      </w:r>
      <w:r>
        <w:rPr>
          <w:rFonts w:hint="eastAsia" w:ascii="宋体" w:hAnsi="宋体" w:eastAsia="宋体" w:cs="宋体"/>
          <w:b/>
          <w:color w:val="000000"/>
          <w:kern w:val="0"/>
          <w:szCs w:val="21"/>
          <w:highlight w:val="none"/>
          <w:u w:color="000000"/>
          <w:lang w:bidi="ar"/>
        </w:rPr>
        <w:t xml:space="preserve">.对投标人的纪律要求 </w:t>
      </w:r>
    </w:p>
    <w:p w14:paraId="3275C018">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lang w:val="en-US" w:eastAsia="zh-CN"/>
        </w:rPr>
        <w:t>39</w:t>
      </w:r>
      <w:r>
        <w:rPr>
          <w:rFonts w:hint="eastAsia" w:ascii="宋体" w:hAnsi="Times New Roman" w:eastAsia="宋体" w:cs="Times New Roman"/>
          <w:szCs w:val="21"/>
          <w:highlight w:val="none"/>
        </w:rPr>
        <w:t>.1投标人不得相互串通投标或者与招标人串通投标，不得向招标人或者评标委员会成员行贿谋取中标，不得以他人名义投标或者以其他方式弄虚作假骗取中标；投标人不得以任何方式干扰、影响评标工作。</w:t>
      </w:r>
    </w:p>
    <w:p w14:paraId="63DDF79D">
      <w:pPr>
        <w:widowControl/>
        <w:spacing w:line="440" w:lineRule="exact"/>
        <w:ind w:left="415"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4</w:t>
      </w:r>
      <w:r>
        <w:rPr>
          <w:rFonts w:hint="eastAsia" w:ascii="宋体" w:hAnsi="宋体" w:eastAsia="宋体" w:cs="宋体"/>
          <w:b/>
          <w:color w:val="000000"/>
          <w:kern w:val="0"/>
          <w:szCs w:val="21"/>
          <w:highlight w:val="none"/>
          <w:u w:color="000000"/>
          <w:lang w:val="en-US" w:eastAsia="zh-CN" w:bidi="ar"/>
        </w:rPr>
        <w:t>0</w:t>
      </w:r>
      <w:r>
        <w:rPr>
          <w:rFonts w:hint="eastAsia" w:ascii="宋体" w:hAnsi="宋体" w:eastAsia="宋体" w:cs="宋体"/>
          <w:b/>
          <w:color w:val="000000"/>
          <w:kern w:val="0"/>
          <w:szCs w:val="21"/>
          <w:highlight w:val="none"/>
          <w:u w:color="000000"/>
          <w:lang w:bidi="ar"/>
        </w:rPr>
        <w:t xml:space="preserve">.对评标委员会成员的纪律要求 </w:t>
      </w:r>
    </w:p>
    <w:p w14:paraId="6A5EF123">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4</w:t>
      </w:r>
      <w:r>
        <w:rPr>
          <w:rFonts w:hint="eastAsia" w:ascii="宋体" w:hAnsi="Times New Roman" w:eastAsia="宋体" w:cs="Times New Roman"/>
          <w:szCs w:val="21"/>
          <w:highlight w:val="none"/>
          <w:lang w:val="en-US" w:eastAsia="zh-CN"/>
        </w:rPr>
        <w:t>0</w:t>
      </w:r>
      <w:r>
        <w:rPr>
          <w:rFonts w:hint="eastAsia" w:ascii="宋体" w:hAnsi="Times New Roman" w:eastAsia="宋体" w:cs="Times New Roman"/>
          <w:szCs w:val="21"/>
          <w:highlight w:val="none"/>
        </w:rPr>
        <w:t>.1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1A08373F">
      <w:pPr>
        <w:widowControl/>
        <w:spacing w:line="440" w:lineRule="exact"/>
        <w:ind w:left="415"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4</w:t>
      </w:r>
      <w:r>
        <w:rPr>
          <w:rFonts w:hint="eastAsia" w:ascii="宋体" w:hAnsi="宋体" w:eastAsia="宋体" w:cs="宋体"/>
          <w:b/>
          <w:color w:val="000000"/>
          <w:kern w:val="0"/>
          <w:szCs w:val="21"/>
          <w:highlight w:val="none"/>
          <w:u w:color="000000"/>
          <w:lang w:val="en-US" w:eastAsia="zh-CN" w:bidi="ar"/>
        </w:rPr>
        <w:t>1</w:t>
      </w:r>
      <w:r>
        <w:rPr>
          <w:rFonts w:hint="eastAsia" w:ascii="宋体" w:hAnsi="宋体" w:eastAsia="宋体" w:cs="宋体"/>
          <w:b/>
          <w:color w:val="000000"/>
          <w:kern w:val="0"/>
          <w:szCs w:val="21"/>
          <w:highlight w:val="none"/>
          <w:u w:color="000000"/>
          <w:lang w:bidi="ar"/>
        </w:rPr>
        <w:t xml:space="preserve">.对与评标活动有关的工作人员的纪律要求 </w:t>
      </w:r>
    </w:p>
    <w:p w14:paraId="2AA5F77C">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4</w:t>
      </w:r>
      <w:r>
        <w:rPr>
          <w:rFonts w:hint="eastAsia" w:ascii="宋体" w:hAnsi="Times New Roman" w:eastAsia="宋体" w:cs="Times New Roman"/>
          <w:szCs w:val="21"/>
          <w:highlight w:val="none"/>
          <w:lang w:val="en-US" w:eastAsia="zh-CN"/>
        </w:rPr>
        <w:t>1</w:t>
      </w:r>
      <w:r>
        <w:rPr>
          <w:rFonts w:hint="eastAsia" w:ascii="宋体" w:hAnsi="Times New Roman" w:eastAsia="宋体" w:cs="Times New Roman"/>
          <w:szCs w:val="21"/>
          <w:highlight w:val="none"/>
        </w:rPr>
        <w:t>.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65CF1532">
      <w:pPr>
        <w:keepNext w:val="0"/>
        <w:keepLines w:val="0"/>
        <w:widowControl w:val="0"/>
        <w:suppressLineNumbers w:val="0"/>
        <w:snapToGrid w:val="0"/>
        <w:spacing w:before="156" w:beforeLines="50" w:beforeAutospacing="0" w:after="156" w:afterLines="50" w:afterAutospacing="0" w:line="400" w:lineRule="exact"/>
        <w:ind w:left="0" w:right="0"/>
        <w:jc w:val="center"/>
        <w:outlineLvl w:val="2"/>
        <w:rPr>
          <w:rFonts w:hint="eastAsia" w:ascii="黑体" w:hAnsi="宋体" w:eastAsia="黑体" w:cs="黑体"/>
          <w:sz w:val="28"/>
          <w:szCs w:val="28"/>
          <w:highlight w:val="none"/>
          <w:lang w:val="en-US"/>
        </w:rPr>
      </w:pPr>
      <w:r>
        <w:rPr>
          <w:rFonts w:hint="eastAsia" w:ascii="宋体" w:hAnsi="宋体" w:eastAsia="宋体" w:cs="宋体"/>
          <w:b/>
          <w:bCs w:val="0"/>
          <w:color w:val="000000"/>
          <w:kern w:val="0"/>
          <w:sz w:val="24"/>
          <w:szCs w:val="24"/>
          <w:highlight w:val="none"/>
          <w:u w:color="000000"/>
          <w:lang w:val="en-US" w:eastAsia="zh-CN" w:bidi="ar"/>
        </w:rPr>
        <w:t>（八）投诉</w:t>
      </w:r>
    </w:p>
    <w:p w14:paraId="597F92C7">
      <w:pPr>
        <w:widowControl/>
        <w:spacing w:line="440" w:lineRule="exact"/>
        <w:ind w:left="415"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4</w:t>
      </w:r>
      <w:r>
        <w:rPr>
          <w:rFonts w:hint="eastAsia" w:ascii="宋体" w:hAnsi="宋体" w:eastAsia="宋体" w:cs="宋体"/>
          <w:b/>
          <w:color w:val="000000"/>
          <w:kern w:val="0"/>
          <w:szCs w:val="21"/>
          <w:highlight w:val="none"/>
          <w:u w:color="000000"/>
          <w:lang w:val="en-US" w:eastAsia="zh-CN" w:bidi="ar"/>
        </w:rPr>
        <w:t>2</w:t>
      </w:r>
      <w:r>
        <w:rPr>
          <w:rFonts w:hint="eastAsia" w:ascii="宋体" w:hAnsi="宋体" w:eastAsia="宋体" w:cs="宋体"/>
          <w:b/>
          <w:color w:val="000000"/>
          <w:kern w:val="0"/>
          <w:szCs w:val="21"/>
          <w:highlight w:val="none"/>
          <w:u w:color="000000"/>
          <w:lang w:bidi="ar"/>
        </w:rPr>
        <w:t>.投诉</w:t>
      </w:r>
    </w:p>
    <w:p w14:paraId="3315D15F">
      <w:pPr>
        <w:spacing w:line="420" w:lineRule="exact"/>
        <w:ind w:firstLine="420" w:firstLineChars="200"/>
        <w:jc w:val="left"/>
        <w:rPr>
          <w:rFonts w:hint="eastAsia" w:ascii="宋体"/>
          <w:b/>
          <w:color w:val="auto"/>
          <w:sz w:val="32"/>
          <w:szCs w:val="32"/>
          <w:highlight w:val="none"/>
        </w:rPr>
      </w:pPr>
      <w:r>
        <w:rPr>
          <w:rFonts w:hint="eastAsia" w:ascii="宋体" w:hAnsi="Times New Roman" w:eastAsia="宋体" w:cs="Times New Roman"/>
          <w:color w:val="auto"/>
          <w:szCs w:val="21"/>
          <w:highlight w:val="none"/>
        </w:rPr>
        <w:t>4</w:t>
      </w:r>
      <w:r>
        <w:rPr>
          <w:rFonts w:hint="eastAsia" w:ascii="宋体" w:hAnsi="Times New Roman" w:eastAsia="宋体" w:cs="Times New Roman"/>
          <w:color w:val="auto"/>
          <w:szCs w:val="21"/>
          <w:highlight w:val="none"/>
          <w:lang w:val="en-US" w:eastAsia="zh-CN"/>
        </w:rPr>
        <w:t>2</w:t>
      </w:r>
      <w:r>
        <w:rPr>
          <w:rFonts w:hint="eastAsia" w:ascii="宋体" w:hAnsi="Times New Roman" w:eastAsia="宋体" w:cs="Times New Roman"/>
          <w:color w:val="auto"/>
          <w:szCs w:val="21"/>
          <w:highlight w:val="none"/>
        </w:rPr>
        <w:t>.1投标人或者其他利害关系人认为招标投标活动违反法律、法规和规章规定的，有权向相关行政监督部门投诉。投诉应当有明确的请求和必要的证明材料。</w:t>
      </w:r>
    </w:p>
    <w:p w14:paraId="48771897">
      <w:pPr>
        <w:rPr>
          <w:rFonts w:hint="eastAsia" w:ascii="宋体"/>
          <w:b/>
          <w:color w:val="auto"/>
          <w:sz w:val="32"/>
          <w:szCs w:val="32"/>
          <w:highlight w:val="none"/>
        </w:rPr>
      </w:pPr>
      <w:r>
        <w:rPr>
          <w:rFonts w:hint="eastAsia" w:ascii="宋体"/>
          <w:b/>
          <w:color w:val="auto"/>
          <w:sz w:val="32"/>
          <w:szCs w:val="32"/>
          <w:highlight w:val="none"/>
        </w:rPr>
        <w:br w:type="page"/>
      </w:r>
    </w:p>
    <w:p w14:paraId="168B1AB6">
      <w:pPr>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jc w:val="center"/>
        <w:textAlignment w:val="auto"/>
        <w:outlineLvl w:val="0"/>
        <w:rPr>
          <w:rFonts w:hint="eastAsia" w:ascii="宋体"/>
          <w:b/>
          <w:color w:val="auto"/>
          <w:sz w:val="32"/>
          <w:szCs w:val="32"/>
          <w:highlight w:val="none"/>
        </w:rPr>
      </w:pPr>
      <w:r>
        <w:rPr>
          <w:rFonts w:hint="eastAsia" w:ascii="宋体"/>
          <w:b/>
          <w:color w:val="auto"/>
          <w:sz w:val="32"/>
          <w:szCs w:val="32"/>
          <w:highlight w:val="none"/>
        </w:rPr>
        <w:t>第</w:t>
      </w:r>
      <w:r>
        <w:rPr>
          <w:rFonts w:hint="eastAsia" w:ascii="宋体"/>
          <w:b/>
          <w:color w:val="auto"/>
          <w:sz w:val="32"/>
          <w:szCs w:val="32"/>
          <w:highlight w:val="none"/>
          <w:lang w:val="en-US" w:eastAsia="zh-CN"/>
        </w:rPr>
        <w:t>三</w:t>
      </w:r>
      <w:r>
        <w:rPr>
          <w:rFonts w:hint="eastAsia" w:ascii="宋体"/>
          <w:b/>
          <w:color w:val="auto"/>
          <w:sz w:val="32"/>
          <w:szCs w:val="32"/>
          <w:highlight w:val="none"/>
        </w:rPr>
        <w:t xml:space="preserve">章 </w:t>
      </w:r>
      <w:r>
        <w:rPr>
          <w:rFonts w:hint="eastAsia" w:ascii="宋体"/>
          <w:b/>
          <w:color w:val="auto"/>
          <w:sz w:val="32"/>
          <w:szCs w:val="32"/>
          <w:highlight w:val="none"/>
          <w:lang w:val="en-US" w:eastAsia="zh-CN"/>
        </w:rPr>
        <w:t>资格审查</w:t>
      </w:r>
      <w:r>
        <w:rPr>
          <w:rFonts w:hint="eastAsia" w:ascii="宋体"/>
          <w:b/>
          <w:color w:val="auto"/>
          <w:sz w:val="32"/>
          <w:szCs w:val="32"/>
          <w:highlight w:val="none"/>
        </w:rPr>
        <w:t>办法</w:t>
      </w:r>
    </w:p>
    <w:p w14:paraId="4FF62F00">
      <w:pPr>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jc w:val="center"/>
        <w:textAlignment w:val="auto"/>
        <w:outlineLvl w:val="1"/>
        <w:rPr>
          <w:rFonts w:hint="eastAsia" w:ascii="宋体" w:hAnsi="Times New Roman" w:eastAsia="宋体" w:cs="Times New Roman"/>
          <w:b/>
          <w:color w:val="000000"/>
          <w:sz w:val="28"/>
          <w:szCs w:val="28"/>
          <w:highlight w:val="none"/>
        </w:rPr>
      </w:pPr>
      <w:r>
        <w:rPr>
          <w:rFonts w:hint="eastAsia" w:ascii="宋体" w:hAnsi="Times New Roman" w:eastAsia="宋体" w:cs="Times New Roman"/>
          <w:b/>
          <w:color w:val="000000"/>
          <w:sz w:val="28"/>
          <w:szCs w:val="28"/>
          <w:highlight w:val="none"/>
          <w:lang w:eastAsia="zh-CN"/>
        </w:rPr>
        <w:t>（</w:t>
      </w:r>
      <w:r>
        <w:rPr>
          <w:rFonts w:hint="eastAsia" w:ascii="宋体" w:hAnsi="Times New Roman" w:eastAsia="宋体" w:cs="Times New Roman"/>
          <w:b/>
          <w:color w:val="000000"/>
          <w:sz w:val="28"/>
          <w:szCs w:val="28"/>
          <w:highlight w:val="none"/>
          <w:lang w:val="en-US" w:eastAsia="zh-CN"/>
        </w:rPr>
        <w:t>一）</w:t>
      </w:r>
      <w:r>
        <w:rPr>
          <w:rFonts w:hint="eastAsia" w:ascii="宋体" w:hAnsi="Times New Roman" w:eastAsia="宋体" w:cs="Times New Roman"/>
          <w:b/>
          <w:color w:val="000000"/>
          <w:sz w:val="28"/>
          <w:szCs w:val="28"/>
          <w:highlight w:val="none"/>
        </w:rPr>
        <w:t>资格审查办法前附表</w:t>
      </w:r>
    </w:p>
    <w:p w14:paraId="1E00ACD9">
      <w:pPr>
        <w:adjustRightInd w:val="0"/>
        <w:snapToGrid w:val="0"/>
        <w:spacing w:line="560" w:lineRule="exact"/>
        <w:jc w:val="left"/>
        <w:rPr>
          <w:rFonts w:hint="eastAsia"/>
          <w:color w:val="auto"/>
          <w:szCs w:val="21"/>
          <w:highlight w:val="none"/>
        </w:rPr>
      </w:pPr>
      <w:r>
        <w:rPr>
          <w:rFonts w:hint="eastAsia"/>
          <w:color w:val="000000"/>
          <w:highlight w:val="none"/>
          <w:lang w:val="en-US" w:eastAsia="zh-CN"/>
        </w:rPr>
        <w:t>1.</w:t>
      </w:r>
      <w:r>
        <w:rPr>
          <w:rFonts w:hint="eastAsia"/>
          <w:color w:val="000000"/>
          <w:highlight w:val="none"/>
        </w:rPr>
        <w:t>资信证明文件评审</w:t>
      </w:r>
      <w:r>
        <w:rPr>
          <w:rFonts w:hint="eastAsia" w:ascii="宋体"/>
          <w:b/>
          <w:color w:val="auto"/>
          <w:szCs w:val="21"/>
          <w:highlight w:val="none"/>
        </w:rPr>
        <w:t>:</w:t>
      </w:r>
    </w:p>
    <w:tbl>
      <w:tblPr>
        <w:tblStyle w:val="23"/>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35"/>
        <w:gridCol w:w="3008"/>
        <w:gridCol w:w="3929"/>
      </w:tblGrid>
      <w:tr w14:paraId="52F4B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5" w:type="dxa"/>
            <w:noWrap w:val="0"/>
            <w:vAlign w:val="center"/>
          </w:tcPr>
          <w:p w14:paraId="0CC19D4A">
            <w:pPr>
              <w:keepNext w:val="0"/>
              <w:keepLines w:val="0"/>
              <w:suppressLineNumbers w:val="0"/>
              <w:spacing w:before="0" w:beforeAutospacing="0" w:after="0" w:afterAutospacing="0" w:line="320" w:lineRule="exact"/>
              <w:ind w:left="0" w:right="0"/>
              <w:jc w:val="center"/>
              <w:rPr>
                <w:rFonts w:hint="eastAsia"/>
                <w:color w:val="000000"/>
                <w:highlight w:val="none"/>
              </w:rPr>
            </w:pPr>
            <w:r>
              <w:rPr>
                <w:rFonts w:hint="eastAsia" w:ascii="黑体" w:eastAsia="黑体" w:cs="黑体"/>
                <w:b/>
                <w:bCs/>
                <w:color w:val="000000"/>
                <w:szCs w:val="21"/>
                <w:highlight w:val="none"/>
              </w:rPr>
              <w:t>序号</w:t>
            </w:r>
          </w:p>
        </w:tc>
        <w:tc>
          <w:tcPr>
            <w:tcW w:w="4243" w:type="dxa"/>
            <w:gridSpan w:val="2"/>
            <w:noWrap w:val="0"/>
            <w:vAlign w:val="center"/>
          </w:tcPr>
          <w:p w14:paraId="142266E1">
            <w:pPr>
              <w:keepNext w:val="0"/>
              <w:keepLines w:val="0"/>
              <w:suppressLineNumbers w:val="0"/>
              <w:spacing w:before="0" w:beforeAutospacing="0" w:after="0" w:afterAutospacing="0" w:line="320" w:lineRule="exact"/>
              <w:ind w:left="0" w:right="0"/>
              <w:jc w:val="center"/>
              <w:rPr>
                <w:rFonts w:hint="eastAsia"/>
                <w:color w:val="000000"/>
                <w:highlight w:val="none"/>
              </w:rPr>
            </w:pPr>
            <w:r>
              <w:rPr>
                <w:rFonts w:hint="eastAsia" w:ascii="宋体" w:hAnsi="宋体"/>
                <w:color w:val="000000"/>
                <w:szCs w:val="21"/>
                <w:highlight w:val="none"/>
              </w:rPr>
              <w:t>评审因素</w:t>
            </w:r>
          </w:p>
        </w:tc>
        <w:tc>
          <w:tcPr>
            <w:tcW w:w="3929" w:type="dxa"/>
            <w:noWrap w:val="0"/>
            <w:vAlign w:val="center"/>
          </w:tcPr>
          <w:p w14:paraId="7C34AD61">
            <w:pPr>
              <w:keepNext w:val="0"/>
              <w:keepLines w:val="0"/>
              <w:suppressLineNumbers w:val="0"/>
              <w:spacing w:before="0" w:beforeAutospacing="0" w:after="0" w:afterAutospacing="0" w:line="320" w:lineRule="exact"/>
              <w:ind w:left="0" w:right="0"/>
              <w:jc w:val="center"/>
              <w:rPr>
                <w:rFonts w:hint="eastAsia"/>
                <w:color w:val="000000"/>
                <w:highlight w:val="none"/>
              </w:rPr>
            </w:pPr>
            <w:r>
              <w:rPr>
                <w:rFonts w:hint="eastAsia" w:ascii="宋体" w:hAnsi="宋体"/>
                <w:color w:val="000000"/>
                <w:szCs w:val="21"/>
                <w:highlight w:val="none"/>
              </w:rPr>
              <w:t>评审标准</w:t>
            </w:r>
          </w:p>
        </w:tc>
      </w:tr>
      <w:tr w14:paraId="070F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5" w:type="dxa"/>
            <w:noWrap w:val="0"/>
            <w:vAlign w:val="center"/>
          </w:tcPr>
          <w:p w14:paraId="70356464">
            <w:pPr>
              <w:keepNext w:val="0"/>
              <w:keepLines w:val="0"/>
              <w:suppressLineNumbers w:val="0"/>
              <w:spacing w:before="0" w:beforeAutospacing="0" w:after="0" w:afterAutospacing="0" w:line="320" w:lineRule="exact"/>
              <w:ind w:left="0" w:right="0"/>
              <w:jc w:val="center"/>
              <w:rPr>
                <w:rFonts w:hint="eastAsia" w:ascii="宋体" w:hAnsi="宋体"/>
                <w:color w:val="000000"/>
                <w:szCs w:val="21"/>
                <w:highlight w:val="none"/>
              </w:rPr>
            </w:pPr>
            <w:r>
              <w:rPr>
                <w:rFonts w:hint="eastAsia" w:ascii="宋体" w:hAnsi="宋体"/>
                <w:color w:val="000000"/>
                <w:szCs w:val="21"/>
                <w:highlight w:val="none"/>
              </w:rPr>
              <w:t>1</w:t>
            </w:r>
          </w:p>
        </w:tc>
        <w:tc>
          <w:tcPr>
            <w:tcW w:w="1235" w:type="dxa"/>
            <w:noWrap w:val="0"/>
            <w:vAlign w:val="center"/>
          </w:tcPr>
          <w:p w14:paraId="23A24DE5">
            <w:pPr>
              <w:keepNext w:val="0"/>
              <w:keepLines w:val="0"/>
              <w:suppressLineNumbers w:val="0"/>
              <w:spacing w:before="0" w:beforeAutospacing="0" w:after="0" w:afterAutospacing="0" w:line="320" w:lineRule="exact"/>
              <w:ind w:left="0" w:right="0"/>
              <w:jc w:val="center"/>
              <w:rPr>
                <w:rFonts w:hint="eastAsia" w:ascii="宋体" w:hAnsi="宋体"/>
                <w:color w:val="000000"/>
                <w:szCs w:val="21"/>
                <w:highlight w:val="none"/>
              </w:rPr>
            </w:pPr>
            <w:r>
              <w:rPr>
                <w:rFonts w:hint="eastAsia" w:ascii="宋体"/>
                <w:color w:val="000000"/>
                <w:szCs w:val="21"/>
                <w:highlight w:val="none"/>
              </w:rPr>
              <w:t>重要要求</w:t>
            </w:r>
          </w:p>
        </w:tc>
        <w:tc>
          <w:tcPr>
            <w:tcW w:w="3008" w:type="dxa"/>
            <w:noWrap w:val="0"/>
            <w:vAlign w:val="center"/>
          </w:tcPr>
          <w:p w14:paraId="7CE7F292">
            <w:pPr>
              <w:keepNext w:val="0"/>
              <w:keepLines w:val="0"/>
              <w:suppressLineNumbers w:val="0"/>
              <w:spacing w:before="0" w:beforeAutospacing="0" w:after="0" w:afterAutospacing="0" w:line="320" w:lineRule="exact"/>
              <w:ind w:left="0" w:right="0"/>
              <w:jc w:val="left"/>
              <w:rPr>
                <w:rFonts w:hint="eastAsia" w:ascii="宋体" w:hAnsi="宋体"/>
                <w:color w:val="000000"/>
                <w:szCs w:val="21"/>
                <w:highlight w:val="none"/>
              </w:rPr>
            </w:pPr>
            <w:r>
              <w:rPr>
                <w:rFonts w:hint="eastAsia"/>
                <w:color w:val="000000"/>
                <w:highlight w:val="none"/>
              </w:rPr>
              <w:t>（</w:t>
            </w:r>
            <w:r>
              <w:rPr>
                <w:rFonts w:hint="eastAsia"/>
                <w:color w:val="000000"/>
                <w:highlight w:val="none"/>
                <w:lang w:val="en-US" w:eastAsia="zh-CN"/>
              </w:rPr>
              <w:t>1</w:t>
            </w:r>
            <w:r>
              <w:rPr>
                <w:rFonts w:hint="eastAsia"/>
                <w:color w:val="000000"/>
                <w:highlight w:val="none"/>
              </w:rPr>
              <w:t>）法定代表人身份证明和本人有效身份证(或法定代表人授权委托书和委托代理人有效身份证)</w:t>
            </w:r>
          </w:p>
        </w:tc>
        <w:tc>
          <w:tcPr>
            <w:tcW w:w="3929" w:type="dxa"/>
            <w:noWrap w:val="0"/>
            <w:vAlign w:val="center"/>
          </w:tcPr>
          <w:p w14:paraId="76734E10">
            <w:pPr>
              <w:keepNext w:val="0"/>
              <w:keepLines w:val="0"/>
              <w:suppressLineNumbers w:val="0"/>
              <w:spacing w:before="0" w:beforeAutospacing="0" w:after="0" w:afterAutospacing="0" w:line="320" w:lineRule="exact"/>
              <w:ind w:left="0" w:right="0"/>
              <w:jc w:val="left"/>
              <w:rPr>
                <w:rFonts w:hint="eastAsia" w:ascii="宋体" w:hAnsi="宋体"/>
                <w:color w:val="000000"/>
                <w:szCs w:val="21"/>
                <w:highlight w:val="none"/>
              </w:rPr>
            </w:pPr>
            <w:r>
              <w:rPr>
                <w:rFonts w:hint="eastAsia"/>
                <w:color w:val="000000"/>
                <w:highlight w:val="none"/>
              </w:rPr>
              <w:t>检验电子标书。</w:t>
            </w:r>
          </w:p>
        </w:tc>
      </w:tr>
      <w:tr w14:paraId="7B0A3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restart"/>
            <w:noWrap w:val="0"/>
            <w:vAlign w:val="center"/>
          </w:tcPr>
          <w:p w14:paraId="29DBC902">
            <w:pPr>
              <w:keepNext w:val="0"/>
              <w:keepLines w:val="0"/>
              <w:suppressLineNumbers w:val="0"/>
              <w:spacing w:before="0" w:beforeAutospacing="0" w:after="0" w:afterAutospacing="0" w:line="320" w:lineRule="exact"/>
              <w:ind w:left="0" w:right="0"/>
              <w:jc w:val="center"/>
              <w:rPr>
                <w:rFonts w:hint="eastAsia" w:ascii="宋体" w:hAnsi="宋体"/>
                <w:color w:val="000000"/>
                <w:szCs w:val="21"/>
                <w:highlight w:val="none"/>
              </w:rPr>
            </w:pPr>
            <w:r>
              <w:rPr>
                <w:rFonts w:hint="eastAsia" w:ascii="宋体" w:hAnsi="宋体"/>
                <w:color w:val="000000"/>
                <w:szCs w:val="21"/>
                <w:highlight w:val="none"/>
              </w:rPr>
              <w:t>2</w:t>
            </w:r>
          </w:p>
        </w:tc>
        <w:tc>
          <w:tcPr>
            <w:tcW w:w="1235" w:type="dxa"/>
            <w:vMerge w:val="restart"/>
            <w:noWrap w:val="0"/>
            <w:vAlign w:val="center"/>
          </w:tcPr>
          <w:p w14:paraId="1673CA47">
            <w:pPr>
              <w:keepNext w:val="0"/>
              <w:keepLines w:val="0"/>
              <w:suppressLineNumbers w:val="0"/>
              <w:spacing w:before="0" w:beforeAutospacing="0" w:after="0" w:afterAutospacing="0" w:line="320" w:lineRule="exact"/>
              <w:ind w:left="0" w:right="0"/>
              <w:rPr>
                <w:rFonts w:hint="eastAsia" w:ascii="宋体" w:hAnsi="宋体"/>
                <w:color w:val="000000"/>
                <w:szCs w:val="21"/>
                <w:highlight w:val="none"/>
              </w:rPr>
            </w:pPr>
            <w:r>
              <w:rPr>
                <w:rFonts w:hint="eastAsia" w:ascii="宋体" w:hAnsi="宋体"/>
                <w:color w:val="000000"/>
                <w:szCs w:val="21"/>
                <w:highlight w:val="none"/>
              </w:rPr>
              <w:t>投标人应符合的基本资格条件</w:t>
            </w:r>
          </w:p>
        </w:tc>
        <w:tc>
          <w:tcPr>
            <w:tcW w:w="3008" w:type="dxa"/>
            <w:noWrap w:val="0"/>
            <w:vAlign w:val="center"/>
          </w:tcPr>
          <w:p w14:paraId="546F0711">
            <w:pPr>
              <w:keepNext w:val="0"/>
              <w:keepLines w:val="0"/>
              <w:suppressLineNumbers w:val="0"/>
              <w:spacing w:before="0" w:beforeAutospacing="0" w:after="0" w:afterAutospacing="0" w:line="320" w:lineRule="exact"/>
              <w:ind w:left="0" w:right="0"/>
              <w:jc w:val="lef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（2）具有独立承担民事责任的能力</w:t>
            </w:r>
          </w:p>
        </w:tc>
        <w:tc>
          <w:tcPr>
            <w:tcW w:w="3929" w:type="dxa"/>
            <w:noWrap w:val="0"/>
            <w:vAlign w:val="center"/>
          </w:tcPr>
          <w:p w14:paraId="7168B65D">
            <w:pPr>
              <w:keepNext w:val="0"/>
              <w:keepLines w:val="0"/>
              <w:suppressLineNumbers w:val="0"/>
              <w:spacing w:before="0" w:beforeAutospacing="0" w:after="0" w:afterAutospacing="0" w:line="320" w:lineRule="exact"/>
              <w:ind w:left="0" w:right="0"/>
              <w:jc w:val="left"/>
              <w:rPr>
                <w:rFonts w:hint="eastAsia" w:ascii="宋体" w:hAnsi="宋体"/>
                <w:color w:val="000000"/>
                <w:szCs w:val="21"/>
                <w:highlight w:val="none"/>
              </w:rPr>
            </w:pPr>
            <w:r>
              <w:rPr>
                <w:rFonts w:hint="eastAsia" w:ascii="宋体"/>
                <w:b/>
                <w:color w:val="000000"/>
                <w:szCs w:val="21"/>
                <w:highlight w:val="none"/>
              </w:rPr>
              <w:t>评审核验电子标书中的下列证书、证明材料：</w:t>
            </w:r>
          </w:p>
          <w:p w14:paraId="27D073C5">
            <w:pPr>
              <w:keepNext w:val="0"/>
              <w:keepLines w:val="0"/>
              <w:suppressLineNumbers w:val="0"/>
              <w:spacing w:before="0" w:beforeAutospacing="0" w:after="0" w:afterAutospacing="0" w:line="320" w:lineRule="exact"/>
              <w:ind w:left="0" w:right="0"/>
              <w:jc w:val="left"/>
              <w:rPr>
                <w:rFonts w:hint="eastAsia" w:ascii="宋体"/>
                <w:color w:val="000000"/>
                <w:szCs w:val="21"/>
                <w:highlight w:val="none"/>
              </w:rPr>
            </w:pPr>
            <w:r>
              <w:rPr>
                <w:rFonts w:hint="eastAsia" w:ascii="宋体"/>
                <w:color w:val="000000"/>
                <w:szCs w:val="21"/>
                <w:highlight w:val="none"/>
              </w:rPr>
              <w:t>投标人有效的营业执照、税务登记证、组织机构码证（或“三证合一证书”）</w:t>
            </w:r>
          </w:p>
        </w:tc>
      </w:tr>
      <w:tr w14:paraId="17520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25" w:type="dxa"/>
            <w:vMerge w:val="continue"/>
            <w:noWrap w:val="0"/>
            <w:vAlign w:val="center"/>
          </w:tcPr>
          <w:p w14:paraId="7D4EA2C3">
            <w:pPr>
              <w:keepNext w:val="0"/>
              <w:keepLines w:val="0"/>
              <w:suppressLineNumbers w:val="0"/>
              <w:spacing w:before="0" w:beforeAutospacing="0" w:after="0" w:afterAutospacing="0" w:line="320" w:lineRule="exact"/>
              <w:ind w:left="0" w:right="0"/>
              <w:jc w:val="center"/>
              <w:rPr>
                <w:rFonts w:hint="eastAsia" w:ascii="宋体" w:hAnsi="宋体"/>
                <w:color w:val="000000"/>
                <w:szCs w:val="21"/>
                <w:highlight w:val="none"/>
              </w:rPr>
            </w:pPr>
          </w:p>
        </w:tc>
        <w:tc>
          <w:tcPr>
            <w:tcW w:w="1235" w:type="dxa"/>
            <w:vMerge w:val="continue"/>
            <w:noWrap w:val="0"/>
            <w:vAlign w:val="center"/>
          </w:tcPr>
          <w:p w14:paraId="222B604D">
            <w:pPr>
              <w:keepNext w:val="0"/>
              <w:keepLines w:val="0"/>
              <w:suppressLineNumbers w:val="0"/>
              <w:spacing w:before="0" w:beforeAutospacing="0" w:after="0" w:afterAutospacing="0" w:line="320" w:lineRule="exact"/>
              <w:ind w:left="0" w:right="0"/>
              <w:rPr>
                <w:rFonts w:hint="eastAsia" w:ascii="宋体" w:hAnsi="宋体"/>
                <w:color w:val="000000"/>
                <w:szCs w:val="21"/>
                <w:highlight w:val="none"/>
              </w:rPr>
            </w:pPr>
          </w:p>
        </w:tc>
        <w:tc>
          <w:tcPr>
            <w:tcW w:w="3008" w:type="dxa"/>
            <w:noWrap w:val="0"/>
            <w:vAlign w:val="center"/>
          </w:tcPr>
          <w:p w14:paraId="58C12D70">
            <w:pPr>
              <w:keepNext w:val="0"/>
              <w:keepLines w:val="0"/>
              <w:suppressLineNumbers w:val="0"/>
              <w:spacing w:before="0" w:beforeAutospacing="0" w:after="0" w:afterAutospacing="0" w:line="320" w:lineRule="exact"/>
              <w:ind w:left="0" w:right="0"/>
              <w:jc w:val="lef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（3）诚信投标承诺书</w:t>
            </w:r>
          </w:p>
        </w:tc>
        <w:tc>
          <w:tcPr>
            <w:tcW w:w="3929" w:type="dxa"/>
            <w:noWrap w:val="0"/>
            <w:vAlign w:val="center"/>
          </w:tcPr>
          <w:p w14:paraId="75423EB2">
            <w:pPr>
              <w:keepNext w:val="0"/>
              <w:keepLines w:val="0"/>
              <w:suppressLineNumbers w:val="0"/>
              <w:spacing w:before="0" w:beforeAutospacing="0" w:after="0" w:afterAutospacing="0" w:line="360" w:lineRule="exact"/>
              <w:ind w:left="0" w:right="0"/>
              <w:jc w:val="left"/>
              <w:rPr>
                <w:rFonts w:hint="eastAsia" w:ascii="宋体"/>
                <w:b/>
                <w:color w:val="000000"/>
                <w:szCs w:val="21"/>
                <w:highlight w:val="none"/>
              </w:rPr>
            </w:pPr>
            <w:r>
              <w:rPr>
                <w:rFonts w:hint="eastAsia"/>
                <w:color w:val="000000"/>
                <w:highlight w:val="none"/>
              </w:rPr>
              <w:t>格式见附件，检验电子标书</w:t>
            </w:r>
          </w:p>
        </w:tc>
      </w:tr>
      <w:tr w14:paraId="710F3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725" w:type="dxa"/>
            <w:vMerge w:val="continue"/>
            <w:noWrap w:val="0"/>
            <w:vAlign w:val="center"/>
          </w:tcPr>
          <w:p w14:paraId="619BDE92">
            <w:pPr>
              <w:keepNext w:val="0"/>
              <w:keepLines w:val="0"/>
              <w:suppressLineNumbers w:val="0"/>
              <w:spacing w:before="0" w:beforeAutospacing="0" w:after="0" w:afterAutospacing="0" w:line="320" w:lineRule="exact"/>
              <w:ind w:left="0" w:right="0"/>
              <w:jc w:val="center"/>
              <w:rPr>
                <w:rFonts w:hint="eastAsia" w:ascii="宋体" w:hAnsi="宋体"/>
                <w:color w:val="000000"/>
                <w:szCs w:val="21"/>
                <w:highlight w:val="none"/>
              </w:rPr>
            </w:pPr>
          </w:p>
        </w:tc>
        <w:tc>
          <w:tcPr>
            <w:tcW w:w="1235" w:type="dxa"/>
            <w:vMerge w:val="continue"/>
            <w:noWrap w:val="0"/>
            <w:vAlign w:val="center"/>
          </w:tcPr>
          <w:p w14:paraId="4BF990DE">
            <w:pPr>
              <w:keepNext w:val="0"/>
              <w:keepLines w:val="0"/>
              <w:suppressLineNumbers w:val="0"/>
              <w:spacing w:before="0" w:beforeAutospacing="0" w:after="0" w:afterAutospacing="0" w:line="320" w:lineRule="exact"/>
              <w:ind w:left="0" w:right="0"/>
              <w:rPr>
                <w:rFonts w:hint="eastAsia" w:ascii="宋体" w:hAnsi="宋体"/>
                <w:color w:val="000000"/>
                <w:szCs w:val="21"/>
                <w:highlight w:val="none"/>
              </w:rPr>
            </w:pPr>
          </w:p>
        </w:tc>
        <w:tc>
          <w:tcPr>
            <w:tcW w:w="3008" w:type="dxa"/>
            <w:noWrap w:val="0"/>
            <w:vAlign w:val="center"/>
          </w:tcPr>
          <w:p w14:paraId="7063ABCB">
            <w:pPr>
              <w:keepNext w:val="0"/>
              <w:keepLines w:val="0"/>
              <w:suppressLineNumbers w:val="0"/>
              <w:spacing w:before="0" w:beforeAutospacing="0" w:after="0" w:afterAutospacing="0" w:line="320" w:lineRule="exact"/>
              <w:ind w:left="0" w:right="0"/>
              <w:jc w:val="left"/>
              <w:rPr>
                <w:rFonts w:hint="default"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（4）服务承诺书</w:t>
            </w:r>
          </w:p>
        </w:tc>
        <w:tc>
          <w:tcPr>
            <w:tcW w:w="3929" w:type="dxa"/>
            <w:noWrap w:val="0"/>
            <w:vAlign w:val="center"/>
          </w:tcPr>
          <w:p w14:paraId="63E978CD">
            <w:pPr>
              <w:keepNext w:val="0"/>
              <w:keepLines w:val="0"/>
              <w:suppressLineNumbers w:val="0"/>
              <w:spacing w:before="0" w:beforeAutospacing="0" w:after="0" w:afterAutospacing="0" w:line="360" w:lineRule="exact"/>
              <w:ind w:left="0" w:right="0"/>
              <w:jc w:val="left"/>
              <w:rPr>
                <w:rFonts w:hint="eastAsia" w:ascii="宋体"/>
                <w:color w:val="000000"/>
                <w:szCs w:val="21"/>
                <w:highlight w:val="none"/>
              </w:rPr>
            </w:pPr>
            <w:r>
              <w:rPr>
                <w:rFonts w:hint="eastAsia"/>
                <w:color w:val="000000"/>
                <w:highlight w:val="none"/>
              </w:rPr>
              <w:t>格式见附件，检验电子标书</w:t>
            </w:r>
          </w:p>
        </w:tc>
      </w:tr>
    </w:tbl>
    <w:p w14:paraId="415B144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color w:val="000000"/>
          <w:highlight w:val="none"/>
        </w:rPr>
      </w:pPr>
      <w:bookmarkStart w:id="44" w:name="_Toc15058909"/>
      <w:bookmarkStart w:id="45" w:name="_Toc506107320"/>
      <w:bookmarkStart w:id="46" w:name="_Toc95223395"/>
      <w:bookmarkStart w:id="47" w:name="_Toc60061492"/>
      <w:r>
        <w:rPr>
          <w:rFonts w:hint="eastAsia" w:ascii="Times New Roman" w:hAnsi="Times New Roman" w:eastAsia="宋体" w:cs="Times New Roman"/>
          <w:color w:val="000000"/>
          <w:highlight w:val="none"/>
        </w:rPr>
        <w:t>重要提示：</w:t>
      </w:r>
    </w:p>
    <w:p w14:paraId="6E3ED63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eastAsia="zh-CN"/>
        </w:rPr>
        <w:t>（</w:t>
      </w:r>
      <w:r>
        <w:rPr>
          <w:rFonts w:hint="eastAsia" w:ascii="Times New Roman" w:hAnsi="Times New Roman" w:eastAsia="宋体" w:cs="Times New Roman"/>
          <w:color w:val="000000"/>
          <w:highlight w:val="none"/>
          <w:lang w:val="en-US" w:eastAsia="zh-CN"/>
        </w:rPr>
        <w:t>1）</w:t>
      </w:r>
      <w:r>
        <w:rPr>
          <w:rFonts w:hint="eastAsia" w:ascii="Times New Roman" w:hAnsi="Times New Roman" w:eastAsia="宋体" w:cs="Times New Roman"/>
          <w:color w:val="000000"/>
          <w:highlight w:val="none"/>
        </w:rPr>
        <w:t>评标专家在检验投标文件过程中，如果由于投标人自身原因导致评标专家无法查看并检验投标文件中相关资料的，视为无效标处理。即使投标人将原件携带至现场的，同样按无效标处理</w:t>
      </w:r>
      <w:r>
        <w:rPr>
          <w:rFonts w:hint="eastAsia" w:ascii="Times New Roman" w:hAnsi="Times New Roman" w:eastAsia="宋体" w:cs="Times New Roman"/>
          <w:color w:val="000000"/>
          <w:highlight w:val="none"/>
          <w:lang w:eastAsia="zh-CN"/>
        </w:rPr>
        <w:t>。</w:t>
      </w:r>
    </w:p>
    <w:p w14:paraId="17802126">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2.审查办法</w:t>
      </w:r>
      <w:bookmarkEnd w:id="44"/>
      <w:bookmarkEnd w:id="45"/>
      <w:bookmarkEnd w:id="46"/>
      <w:bookmarkEnd w:id="47"/>
    </w:p>
    <w:p w14:paraId="77A0F094">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cs="Times New Roman"/>
          <w:color w:val="000000"/>
          <w:highlight w:val="none"/>
        </w:rPr>
      </w:pPr>
      <w:bookmarkStart w:id="48" w:name="_Toc15058910"/>
      <w:bookmarkStart w:id="49" w:name="_Toc324404868"/>
      <w:bookmarkStart w:id="50" w:name="_Toc60061493"/>
      <w:bookmarkStart w:id="51" w:name="_Toc506107321"/>
      <w:r>
        <w:rPr>
          <w:rFonts w:hint="eastAsia" w:ascii="Times New Roman" w:hAnsi="Times New Roman" w:eastAsia="宋体" w:cs="Times New Roman"/>
          <w:color w:val="000000"/>
          <w:highlight w:val="none"/>
        </w:rPr>
        <w:t>由资格审查委员会（评标委员会）按资格审查办法前附表中资格审查必要合格条件评审表要求对投标人审查资料进行核验。</w:t>
      </w:r>
    </w:p>
    <w:p w14:paraId="3AACF254">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cs="Times New Roman"/>
          <w:color w:val="000000"/>
          <w:highlight w:val="none"/>
        </w:rPr>
      </w:pPr>
      <w:bookmarkStart w:id="52" w:name="_Toc95223396"/>
      <w:r>
        <w:rPr>
          <w:rFonts w:hint="eastAsia" w:ascii="Times New Roman" w:hAnsi="Times New Roman" w:eastAsia="宋体" w:cs="Times New Roman"/>
          <w:color w:val="000000"/>
          <w:highlight w:val="none"/>
        </w:rPr>
        <w:t>3.资格审查委员会和审查标准</w:t>
      </w:r>
      <w:bookmarkEnd w:id="48"/>
      <w:bookmarkEnd w:id="49"/>
      <w:bookmarkEnd w:id="50"/>
      <w:bookmarkEnd w:id="51"/>
      <w:bookmarkEnd w:id="52"/>
    </w:p>
    <w:p w14:paraId="7D0D4B12">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3.1资格审查由招标人依法组建的资格审查委员会（或评标委员会）负责。审查标准见资格审查办法前附表。</w:t>
      </w:r>
    </w:p>
    <w:p w14:paraId="0346726D">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 xml:space="preserve">3.2由资格审查委员会（评标委员会）按资格审查办法前附表要求对投标人的审查资料进行核验。投标申请人有下列情形之一的，其资格审查为不合格： </w:t>
      </w:r>
    </w:p>
    <w:p w14:paraId="7E25EDD4">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（1）未</w:t>
      </w:r>
      <w:r>
        <w:rPr>
          <w:rFonts w:hint="eastAsia" w:ascii="Times New Roman" w:hAnsi="Times New Roman" w:eastAsia="宋体" w:cs="Times New Roman"/>
          <w:color w:val="000000"/>
          <w:highlight w:val="none"/>
          <w:lang w:val="en-US" w:eastAsia="zh-CN"/>
        </w:rPr>
        <w:t>发送</w:t>
      </w:r>
      <w:r>
        <w:rPr>
          <w:rFonts w:hint="eastAsia" w:ascii="Times New Roman" w:hAnsi="Times New Roman" w:eastAsia="宋体" w:cs="Times New Roman"/>
          <w:color w:val="000000"/>
          <w:highlight w:val="none"/>
        </w:rPr>
        <w:t>标书或电子标书经审查不合格；</w:t>
      </w:r>
    </w:p>
    <w:p w14:paraId="16E65FD8">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rPr>
        <w:t>（2）电子标书</w:t>
      </w:r>
      <w:r>
        <w:rPr>
          <w:rFonts w:hint="eastAsia" w:ascii="Times New Roman" w:hAnsi="Times New Roman" w:eastAsia="宋体" w:cs="Times New Roman"/>
          <w:color w:val="000000"/>
          <w:highlight w:val="none"/>
          <w:lang w:val="en-US" w:eastAsia="zh-CN"/>
        </w:rPr>
        <w:t>无法打开。</w:t>
      </w:r>
    </w:p>
    <w:p w14:paraId="1FC23E81">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cs="Times New Roman"/>
          <w:color w:val="000000"/>
          <w:highlight w:val="none"/>
        </w:rPr>
      </w:pPr>
      <w:bookmarkStart w:id="53" w:name="_Toc506107322"/>
      <w:bookmarkStart w:id="54" w:name="_Toc95223397"/>
      <w:bookmarkStart w:id="55" w:name="_Toc15058911"/>
      <w:bookmarkStart w:id="56" w:name="_Toc60061494"/>
      <w:bookmarkStart w:id="57" w:name="_Toc324404869"/>
      <w:r>
        <w:rPr>
          <w:rFonts w:hint="eastAsia" w:ascii="Times New Roman" w:hAnsi="Times New Roman" w:eastAsia="宋体" w:cs="Times New Roman"/>
          <w:color w:val="000000"/>
          <w:highlight w:val="none"/>
        </w:rPr>
        <w:t>4.审查结果</w:t>
      </w:r>
      <w:bookmarkEnd w:id="53"/>
      <w:bookmarkEnd w:id="54"/>
      <w:bookmarkEnd w:id="55"/>
      <w:bookmarkEnd w:id="56"/>
      <w:bookmarkEnd w:id="57"/>
    </w:p>
    <w:p w14:paraId="243344E3">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只有通过资格审查的投标人才能进入下一步的评标程序。</w:t>
      </w:r>
    </w:p>
    <w:p w14:paraId="0E854C51">
      <w:pPr>
        <w:rPr>
          <w:rFonts w:hint="eastAsia" w:ascii="宋体" w:hAnsi="宋体" w:eastAsia="宋体" w:cs="宋体"/>
          <w:b/>
          <w:bCs/>
          <w:color w:val="000000"/>
          <w:kern w:val="0"/>
          <w:sz w:val="28"/>
          <w:szCs w:val="28"/>
          <w:highlight w:val="none"/>
          <w:u w:color="000000"/>
          <w:lang w:val="en-US" w:eastAsia="zh-CN" w:bidi="ar"/>
        </w:rPr>
      </w:pPr>
      <w:r>
        <w:rPr>
          <w:rFonts w:hint="eastAsia" w:ascii="宋体" w:hAnsi="宋体" w:eastAsia="宋体" w:cs="宋体"/>
          <w:b/>
          <w:bCs/>
          <w:color w:val="000000"/>
          <w:kern w:val="0"/>
          <w:sz w:val="28"/>
          <w:szCs w:val="28"/>
          <w:highlight w:val="none"/>
          <w:u w:color="000000"/>
          <w:lang w:val="en-US" w:eastAsia="zh-CN" w:bidi="ar"/>
        </w:rPr>
        <w:br w:type="page"/>
      </w:r>
    </w:p>
    <w:p w14:paraId="719145FC">
      <w:pPr>
        <w:adjustRightInd w:val="0"/>
        <w:snapToGrid w:val="0"/>
        <w:spacing w:line="560" w:lineRule="exact"/>
        <w:jc w:val="center"/>
        <w:rPr>
          <w:rFonts w:hint="default" w:ascii="宋体" w:hAnsi="宋体" w:eastAsia="宋体" w:cs="宋体"/>
          <w:b/>
          <w:bCs/>
          <w:sz w:val="28"/>
          <w:szCs w:val="28"/>
          <w:highlight w:val="none"/>
          <w:lang w:val="en-US"/>
        </w:rPr>
      </w:pPr>
      <w:r>
        <w:rPr>
          <w:rFonts w:hint="eastAsia" w:ascii="宋体" w:hAnsi="宋体" w:eastAsia="宋体" w:cs="宋体"/>
          <w:b/>
          <w:bCs/>
          <w:color w:val="000000"/>
          <w:kern w:val="0"/>
          <w:sz w:val="28"/>
          <w:szCs w:val="28"/>
          <w:highlight w:val="none"/>
          <w:u w:color="000000"/>
          <w:lang w:val="en-US" w:eastAsia="zh-CN" w:bidi="ar"/>
        </w:rPr>
        <w:t xml:space="preserve">第四章  </w:t>
      </w:r>
      <w:r>
        <w:rPr>
          <w:rFonts w:hint="eastAsia" w:ascii="宋体" w:hAnsi="宋体" w:eastAsia="宋体" w:cs="宋体"/>
          <w:b/>
          <w:bCs w:val="0"/>
          <w:color w:val="000000"/>
          <w:kern w:val="44"/>
          <w:sz w:val="28"/>
          <w:szCs w:val="28"/>
          <w:highlight w:val="none"/>
          <w:u w:color="000000"/>
          <w:lang w:val="en-US" w:eastAsia="zh-CN" w:bidi="ar"/>
        </w:rPr>
        <w:t>评标办法</w:t>
      </w:r>
    </w:p>
    <w:p w14:paraId="080B5C20">
      <w:pPr>
        <w:pStyle w:val="6"/>
        <w:numPr>
          <w:ilvl w:val="0"/>
          <w:numId w:val="0"/>
        </w:numPr>
        <w:jc w:val="left"/>
        <w:rPr>
          <w:rFonts w:hint="default" w:eastAsia="宋体"/>
          <w:highlight w:val="none"/>
          <w:lang w:val="en-US" w:eastAsia="zh-CN"/>
        </w:rPr>
      </w:pPr>
      <w:bookmarkStart w:id="58" w:name="_Toc23254"/>
      <w:bookmarkEnd w:id="58"/>
      <w:r>
        <w:rPr>
          <w:rFonts w:hint="eastAsia"/>
          <w:highlight w:val="none"/>
          <w:lang w:val="en-US" w:eastAsia="zh-CN"/>
        </w:rPr>
        <w:t>报价评审：</w:t>
      </w:r>
    </w:p>
    <w:tbl>
      <w:tblPr>
        <w:tblStyle w:val="23"/>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4173"/>
      </w:tblGrid>
      <w:tr w14:paraId="0F501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1" w:type="dxa"/>
            <w:noWrap w:val="0"/>
            <w:vAlign w:val="center"/>
          </w:tcPr>
          <w:p w14:paraId="65EBEB62">
            <w:pPr>
              <w:keepNext w:val="0"/>
              <w:keepLines w:val="0"/>
              <w:suppressLineNumbers w:val="0"/>
              <w:spacing w:before="0" w:beforeAutospacing="0" w:after="0" w:afterAutospacing="0" w:line="320" w:lineRule="atLeast"/>
              <w:ind w:left="0" w:right="0"/>
              <w:jc w:val="center"/>
              <w:rPr>
                <w:rFonts w:hint="eastAsia" w:ascii="黑体" w:eastAsia="黑体" w:cs="黑体"/>
                <w:b/>
                <w:bCs/>
                <w:color w:val="000000"/>
                <w:szCs w:val="21"/>
                <w:highlight w:val="none"/>
              </w:rPr>
            </w:pPr>
            <w:bookmarkStart w:id="59" w:name="_Toc58430318"/>
            <w:bookmarkStart w:id="60" w:name="_Toc363135205"/>
            <w:bookmarkStart w:id="61" w:name="_Toc362983802"/>
            <w:bookmarkStart w:id="62" w:name="_Toc449028878"/>
            <w:bookmarkStart w:id="63" w:name="_Toc267320058"/>
            <w:r>
              <w:rPr>
                <w:rFonts w:hint="eastAsia" w:ascii="黑体" w:eastAsia="黑体" w:cs="黑体"/>
                <w:b/>
                <w:bCs/>
                <w:color w:val="000000"/>
                <w:szCs w:val="21"/>
                <w:highlight w:val="none"/>
              </w:rPr>
              <w:t>序号</w:t>
            </w:r>
          </w:p>
        </w:tc>
        <w:tc>
          <w:tcPr>
            <w:tcW w:w="4135" w:type="dxa"/>
            <w:gridSpan w:val="2"/>
            <w:noWrap w:val="0"/>
            <w:vAlign w:val="center"/>
          </w:tcPr>
          <w:p w14:paraId="05C60607">
            <w:pPr>
              <w:keepNext w:val="0"/>
              <w:keepLines w:val="0"/>
              <w:suppressLineNumbers w:val="0"/>
              <w:spacing w:before="0" w:beforeAutospacing="0" w:after="0" w:afterAutospacing="0" w:line="320" w:lineRule="atLeast"/>
              <w:ind w:left="0" w:right="0"/>
              <w:jc w:val="center"/>
              <w:rPr>
                <w:rFonts w:hint="eastAsia" w:ascii="黑体" w:eastAsia="黑体" w:cs="黑体"/>
                <w:b/>
                <w:bCs/>
                <w:color w:val="000000"/>
                <w:szCs w:val="21"/>
                <w:highlight w:val="none"/>
              </w:rPr>
            </w:pPr>
            <w:r>
              <w:rPr>
                <w:rFonts w:hint="eastAsia" w:ascii="黑体" w:eastAsia="黑体" w:cs="黑体"/>
                <w:b/>
                <w:bCs/>
                <w:color w:val="000000"/>
                <w:szCs w:val="21"/>
                <w:highlight w:val="none"/>
              </w:rPr>
              <w:t>审查因素</w:t>
            </w:r>
          </w:p>
        </w:tc>
        <w:tc>
          <w:tcPr>
            <w:tcW w:w="4173" w:type="dxa"/>
            <w:noWrap w:val="0"/>
            <w:vAlign w:val="center"/>
          </w:tcPr>
          <w:p w14:paraId="006823B2">
            <w:pPr>
              <w:keepNext w:val="0"/>
              <w:keepLines w:val="0"/>
              <w:suppressLineNumbers w:val="0"/>
              <w:spacing w:before="0" w:beforeAutospacing="0" w:after="0" w:afterAutospacing="0" w:line="320" w:lineRule="atLeast"/>
              <w:ind w:left="0" w:right="0"/>
              <w:jc w:val="center"/>
              <w:rPr>
                <w:rFonts w:hint="eastAsia" w:ascii="黑体" w:eastAsia="黑体" w:cs="黑体"/>
                <w:b/>
                <w:bCs/>
                <w:color w:val="000000"/>
                <w:szCs w:val="21"/>
                <w:highlight w:val="none"/>
              </w:rPr>
            </w:pPr>
            <w:r>
              <w:rPr>
                <w:rFonts w:hint="eastAsia" w:ascii="黑体" w:eastAsia="黑体" w:cs="黑体"/>
                <w:b/>
                <w:bCs/>
                <w:color w:val="000000"/>
                <w:szCs w:val="21"/>
                <w:highlight w:val="none"/>
              </w:rPr>
              <w:t>审查内容</w:t>
            </w:r>
          </w:p>
        </w:tc>
      </w:tr>
      <w:tr w14:paraId="4D233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731" w:type="dxa"/>
            <w:vMerge w:val="restart"/>
            <w:noWrap w:val="0"/>
            <w:vAlign w:val="center"/>
          </w:tcPr>
          <w:p w14:paraId="08F49C0A">
            <w:pPr>
              <w:keepNext w:val="0"/>
              <w:keepLines w:val="0"/>
              <w:suppressLineNumbers w:val="0"/>
              <w:spacing w:before="0" w:beforeAutospacing="0" w:after="0" w:afterAutospacing="0" w:line="320" w:lineRule="atLeast"/>
              <w:ind w:left="0" w:right="0"/>
              <w:jc w:val="center"/>
              <w:rPr>
                <w:rFonts w:hint="eastAsia" w:ascii="宋体"/>
                <w:color w:val="000000"/>
                <w:szCs w:val="21"/>
                <w:highlight w:val="none"/>
              </w:rPr>
            </w:pPr>
            <w:r>
              <w:rPr>
                <w:rFonts w:hint="eastAsia" w:ascii="宋体"/>
                <w:color w:val="000000"/>
                <w:szCs w:val="21"/>
                <w:highlight w:val="none"/>
              </w:rPr>
              <w:t>1</w:t>
            </w:r>
          </w:p>
        </w:tc>
        <w:tc>
          <w:tcPr>
            <w:tcW w:w="1204" w:type="dxa"/>
            <w:vMerge w:val="restart"/>
            <w:noWrap w:val="0"/>
            <w:vAlign w:val="center"/>
          </w:tcPr>
          <w:p w14:paraId="195C2974">
            <w:pPr>
              <w:keepNext w:val="0"/>
              <w:keepLines w:val="0"/>
              <w:suppressLineNumbers w:val="0"/>
              <w:spacing w:before="0" w:beforeAutospacing="0" w:after="0" w:afterAutospacing="0" w:line="320" w:lineRule="atLeast"/>
              <w:ind w:left="0" w:right="0"/>
              <w:rPr>
                <w:rFonts w:hint="eastAsia" w:ascii="宋体" w:cs="仿宋_GB2312"/>
                <w:color w:val="000000"/>
                <w:szCs w:val="21"/>
                <w:highlight w:val="none"/>
                <w:lang w:val="zh-CN"/>
              </w:rPr>
            </w:pPr>
            <w:r>
              <w:rPr>
                <w:rFonts w:hint="eastAsia" w:ascii="宋体" w:hAnsi="宋体" w:cs="宋体"/>
                <w:color w:val="000000"/>
                <w:szCs w:val="21"/>
                <w:highlight w:val="none"/>
              </w:rPr>
              <w:t>形式评审标准</w:t>
            </w:r>
          </w:p>
        </w:tc>
        <w:tc>
          <w:tcPr>
            <w:tcW w:w="2931" w:type="dxa"/>
            <w:noWrap w:val="0"/>
            <w:vAlign w:val="center"/>
          </w:tcPr>
          <w:p w14:paraId="7E8DDCE2">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000000"/>
                <w:szCs w:val="21"/>
                <w:highlight w:val="none"/>
                <w:lang w:val="zh-CN"/>
              </w:rPr>
            </w:pPr>
            <w:r>
              <w:rPr>
                <w:rFonts w:hint="eastAsia" w:ascii="宋体" w:hAnsi="宋体" w:cs="宋体"/>
                <w:color w:val="000000"/>
                <w:szCs w:val="21"/>
                <w:highlight w:val="none"/>
              </w:rPr>
              <w:t>投标函签字盖章</w:t>
            </w:r>
          </w:p>
        </w:tc>
        <w:tc>
          <w:tcPr>
            <w:tcW w:w="4173" w:type="dxa"/>
            <w:noWrap w:val="0"/>
            <w:vAlign w:val="center"/>
          </w:tcPr>
          <w:p w14:paraId="7E589D88">
            <w:pPr>
              <w:keepNext w:val="0"/>
              <w:keepLines w:val="0"/>
              <w:suppressLineNumbers w:val="0"/>
              <w:adjustRightInd w:val="0"/>
              <w:snapToGrid w:val="0"/>
              <w:spacing w:before="0" w:beforeAutospacing="0" w:after="0" w:afterAutospacing="0" w:line="560" w:lineRule="exact"/>
              <w:ind w:left="0" w:right="0"/>
              <w:jc w:val="left"/>
              <w:rPr>
                <w:rFonts w:hint="eastAsia" w:ascii="宋体" w:cs="仿宋_GB2312"/>
                <w:color w:val="000000"/>
                <w:szCs w:val="21"/>
                <w:highlight w:val="none"/>
                <w:lang w:val="zh-CN"/>
              </w:rPr>
            </w:pPr>
            <w:r>
              <w:rPr>
                <w:rFonts w:hint="eastAsia" w:ascii="宋体" w:hAnsi="宋体" w:cs="宋体"/>
                <w:color w:val="000000"/>
                <w:szCs w:val="21"/>
                <w:highlight w:val="none"/>
              </w:rPr>
              <w:t>有投标人及其法定代表人签章。</w:t>
            </w:r>
          </w:p>
        </w:tc>
      </w:tr>
      <w:tr w14:paraId="12F01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noWrap w:val="0"/>
            <w:vAlign w:val="center"/>
          </w:tcPr>
          <w:p w14:paraId="5C4E6142">
            <w:pPr>
              <w:keepNext w:val="0"/>
              <w:keepLines w:val="0"/>
              <w:suppressLineNumbers w:val="0"/>
              <w:spacing w:before="0" w:beforeAutospacing="0" w:after="0" w:afterAutospacing="0" w:line="320" w:lineRule="atLeast"/>
              <w:ind w:left="0" w:right="0"/>
              <w:rPr>
                <w:rFonts w:hint="default"/>
                <w:color w:val="000000"/>
                <w:highlight w:val="none"/>
              </w:rPr>
            </w:pPr>
          </w:p>
        </w:tc>
        <w:tc>
          <w:tcPr>
            <w:tcW w:w="1204" w:type="dxa"/>
            <w:vMerge w:val="continue"/>
            <w:noWrap w:val="0"/>
            <w:vAlign w:val="center"/>
          </w:tcPr>
          <w:p w14:paraId="32150379">
            <w:pPr>
              <w:keepNext w:val="0"/>
              <w:keepLines w:val="0"/>
              <w:suppressLineNumbers w:val="0"/>
              <w:spacing w:before="0" w:beforeAutospacing="0" w:after="0" w:afterAutospacing="0" w:line="320" w:lineRule="atLeast"/>
              <w:ind w:left="0" w:right="0"/>
              <w:rPr>
                <w:rFonts w:hint="default"/>
                <w:color w:val="000000"/>
                <w:highlight w:val="none"/>
              </w:rPr>
            </w:pPr>
          </w:p>
        </w:tc>
        <w:tc>
          <w:tcPr>
            <w:tcW w:w="2931" w:type="dxa"/>
            <w:noWrap w:val="0"/>
            <w:vAlign w:val="center"/>
          </w:tcPr>
          <w:p w14:paraId="13BE1781">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000000"/>
                <w:szCs w:val="21"/>
                <w:highlight w:val="none"/>
                <w:lang w:val="zh-CN"/>
              </w:rPr>
            </w:pPr>
            <w:r>
              <w:rPr>
                <w:rFonts w:hint="eastAsia" w:ascii="宋体" w:hAnsi="宋体" w:cs="宋体"/>
                <w:color w:val="000000"/>
                <w:szCs w:val="21"/>
                <w:highlight w:val="none"/>
              </w:rPr>
              <w:t>投标文件格式</w:t>
            </w:r>
          </w:p>
        </w:tc>
        <w:tc>
          <w:tcPr>
            <w:tcW w:w="4173" w:type="dxa"/>
            <w:noWrap w:val="0"/>
            <w:vAlign w:val="center"/>
          </w:tcPr>
          <w:p w14:paraId="233B2D47">
            <w:pPr>
              <w:keepNext w:val="0"/>
              <w:keepLines w:val="0"/>
              <w:suppressLineNumbers w:val="0"/>
              <w:adjustRightInd w:val="0"/>
              <w:snapToGrid w:val="0"/>
              <w:spacing w:before="0" w:beforeAutospacing="0" w:after="0" w:afterAutospacing="0" w:line="560" w:lineRule="exact"/>
              <w:ind w:left="0" w:right="0"/>
              <w:jc w:val="left"/>
              <w:rPr>
                <w:rFonts w:hint="eastAsia" w:ascii="宋体" w:cs="宋体"/>
                <w:color w:val="000000"/>
                <w:szCs w:val="21"/>
                <w:highlight w:val="none"/>
              </w:rPr>
            </w:pPr>
            <w:r>
              <w:rPr>
                <w:rFonts w:hint="eastAsia" w:ascii="宋体" w:hAnsi="宋体" w:cs="宋体"/>
                <w:color w:val="000000"/>
                <w:szCs w:val="21"/>
                <w:highlight w:val="none"/>
              </w:rPr>
              <w:t>符合第</w:t>
            </w:r>
            <w:r>
              <w:rPr>
                <w:rFonts w:hint="eastAsia" w:ascii="宋体" w:hAnsi="宋体" w:cs="宋体"/>
                <w:color w:val="000000"/>
                <w:szCs w:val="21"/>
                <w:highlight w:val="none"/>
                <w:lang w:val="en-US" w:eastAsia="zh-CN"/>
              </w:rPr>
              <w:t>七</w:t>
            </w:r>
            <w:r>
              <w:rPr>
                <w:rFonts w:hint="eastAsia" w:ascii="宋体" w:hAnsi="宋体" w:cs="宋体"/>
                <w:color w:val="000000"/>
                <w:szCs w:val="21"/>
                <w:highlight w:val="none"/>
              </w:rPr>
              <w:t>章“投标文件格式”的要求。</w:t>
            </w:r>
          </w:p>
        </w:tc>
      </w:tr>
      <w:tr w14:paraId="2F1CD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noWrap w:val="0"/>
            <w:vAlign w:val="center"/>
          </w:tcPr>
          <w:p w14:paraId="4096C403">
            <w:pPr>
              <w:keepNext w:val="0"/>
              <w:keepLines w:val="0"/>
              <w:suppressLineNumbers w:val="0"/>
              <w:spacing w:before="0" w:beforeAutospacing="0" w:after="0" w:afterAutospacing="0" w:line="320" w:lineRule="atLeast"/>
              <w:ind w:left="0" w:right="0"/>
              <w:rPr>
                <w:rFonts w:hint="default"/>
                <w:color w:val="000000"/>
                <w:highlight w:val="none"/>
              </w:rPr>
            </w:pPr>
          </w:p>
        </w:tc>
        <w:tc>
          <w:tcPr>
            <w:tcW w:w="1204" w:type="dxa"/>
            <w:vMerge w:val="continue"/>
            <w:noWrap w:val="0"/>
            <w:vAlign w:val="center"/>
          </w:tcPr>
          <w:p w14:paraId="7B56C4A4">
            <w:pPr>
              <w:keepNext w:val="0"/>
              <w:keepLines w:val="0"/>
              <w:suppressLineNumbers w:val="0"/>
              <w:spacing w:before="0" w:beforeAutospacing="0" w:after="0" w:afterAutospacing="0" w:line="320" w:lineRule="atLeast"/>
              <w:ind w:left="0" w:right="0"/>
              <w:rPr>
                <w:rFonts w:hint="default"/>
                <w:color w:val="000000"/>
                <w:highlight w:val="none"/>
              </w:rPr>
            </w:pPr>
          </w:p>
        </w:tc>
        <w:tc>
          <w:tcPr>
            <w:tcW w:w="2931" w:type="dxa"/>
            <w:noWrap w:val="0"/>
            <w:vAlign w:val="center"/>
          </w:tcPr>
          <w:p w14:paraId="3B6E3BBA">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000000"/>
                <w:szCs w:val="21"/>
                <w:highlight w:val="none"/>
                <w:lang w:val="zh-CN"/>
              </w:rPr>
            </w:pPr>
            <w:r>
              <w:rPr>
                <w:rFonts w:hint="eastAsia" w:ascii="宋体" w:hAnsi="宋体" w:cs="宋体"/>
                <w:color w:val="000000"/>
                <w:szCs w:val="21"/>
                <w:highlight w:val="none"/>
              </w:rPr>
              <w:t>投标文件签字盖章</w:t>
            </w:r>
          </w:p>
        </w:tc>
        <w:tc>
          <w:tcPr>
            <w:tcW w:w="4173" w:type="dxa"/>
            <w:noWrap w:val="0"/>
            <w:vAlign w:val="center"/>
          </w:tcPr>
          <w:p w14:paraId="2E55EAD9">
            <w:pPr>
              <w:keepNext w:val="0"/>
              <w:keepLines w:val="0"/>
              <w:suppressLineNumbers w:val="0"/>
              <w:adjustRightInd w:val="0"/>
              <w:snapToGrid w:val="0"/>
              <w:spacing w:before="0" w:beforeAutospacing="0" w:after="0" w:afterAutospacing="0" w:line="560" w:lineRule="exact"/>
              <w:ind w:left="0" w:right="0"/>
              <w:jc w:val="left"/>
              <w:rPr>
                <w:rFonts w:hint="eastAsia" w:ascii="宋体" w:cs="宋体"/>
                <w:color w:val="000000"/>
                <w:szCs w:val="21"/>
                <w:highlight w:val="none"/>
              </w:rPr>
            </w:pPr>
            <w:r>
              <w:rPr>
                <w:rFonts w:hint="eastAsia" w:ascii="宋体" w:hAnsi="宋体" w:cs="宋体"/>
                <w:color w:val="000000"/>
                <w:szCs w:val="21"/>
                <w:highlight w:val="none"/>
              </w:rPr>
              <w:t>按投标文件格式要求签章。</w:t>
            </w:r>
          </w:p>
        </w:tc>
      </w:tr>
      <w:tr w14:paraId="2129A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noWrap w:val="0"/>
            <w:vAlign w:val="center"/>
          </w:tcPr>
          <w:p w14:paraId="43B19BAC">
            <w:pPr>
              <w:keepNext w:val="0"/>
              <w:keepLines w:val="0"/>
              <w:suppressLineNumbers w:val="0"/>
              <w:spacing w:before="0" w:beforeAutospacing="0" w:after="0" w:afterAutospacing="0" w:line="320" w:lineRule="atLeast"/>
              <w:ind w:left="0" w:right="0"/>
              <w:rPr>
                <w:rFonts w:hint="default"/>
                <w:color w:val="000000"/>
                <w:highlight w:val="none"/>
              </w:rPr>
            </w:pPr>
          </w:p>
        </w:tc>
        <w:tc>
          <w:tcPr>
            <w:tcW w:w="1204" w:type="dxa"/>
            <w:vMerge w:val="continue"/>
            <w:noWrap w:val="0"/>
            <w:vAlign w:val="center"/>
          </w:tcPr>
          <w:p w14:paraId="2F6C308B">
            <w:pPr>
              <w:keepNext w:val="0"/>
              <w:keepLines w:val="0"/>
              <w:suppressLineNumbers w:val="0"/>
              <w:spacing w:before="0" w:beforeAutospacing="0" w:after="0" w:afterAutospacing="0" w:line="320" w:lineRule="atLeast"/>
              <w:ind w:left="0" w:right="0"/>
              <w:rPr>
                <w:rFonts w:hint="default"/>
                <w:color w:val="000000"/>
                <w:highlight w:val="none"/>
              </w:rPr>
            </w:pPr>
          </w:p>
        </w:tc>
        <w:tc>
          <w:tcPr>
            <w:tcW w:w="2931" w:type="dxa"/>
            <w:noWrap w:val="0"/>
            <w:vAlign w:val="center"/>
          </w:tcPr>
          <w:p w14:paraId="2D61CD2D">
            <w:pPr>
              <w:keepNext w:val="0"/>
              <w:keepLines w:val="0"/>
              <w:suppressLineNumbers w:val="0"/>
              <w:adjustRightInd w:val="0"/>
              <w:snapToGrid w:val="0"/>
              <w:spacing w:before="0" w:beforeAutospacing="0" w:after="0" w:afterAutospacing="0" w:line="560" w:lineRule="exact"/>
              <w:ind w:left="0" w:right="0"/>
              <w:rPr>
                <w:rFonts w:hint="eastAsia" w:ascii="宋体"/>
                <w:color w:val="000000"/>
                <w:szCs w:val="21"/>
                <w:highlight w:val="none"/>
              </w:rPr>
            </w:pPr>
            <w:r>
              <w:rPr>
                <w:rFonts w:hint="eastAsia" w:ascii="宋体" w:hAnsi="宋体" w:cs="宋体"/>
                <w:color w:val="000000"/>
                <w:szCs w:val="21"/>
                <w:highlight w:val="none"/>
              </w:rPr>
              <w:t>报价唯一</w:t>
            </w:r>
          </w:p>
        </w:tc>
        <w:tc>
          <w:tcPr>
            <w:tcW w:w="4173" w:type="dxa"/>
            <w:noWrap w:val="0"/>
            <w:vAlign w:val="center"/>
          </w:tcPr>
          <w:p w14:paraId="389AC5F7">
            <w:pPr>
              <w:keepNext w:val="0"/>
              <w:keepLines w:val="0"/>
              <w:suppressLineNumbers w:val="0"/>
              <w:adjustRightInd w:val="0"/>
              <w:snapToGrid w:val="0"/>
              <w:spacing w:before="0" w:beforeAutospacing="0" w:after="0" w:afterAutospacing="0" w:line="560" w:lineRule="exact"/>
              <w:ind w:left="0" w:right="0"/>
              <w:jc w:val="left"/>
              <w:rPr>
                <w:rFonts w:hint="eastAsia" w:ascii="宋体" w:cs="仿宋_GB2312"/>
                <w:color w:val="000000"/>
                <w:szCs w:val="21"/>
                <w:highlight w:val="none"/>
                <w:lang w:val="zh-CN"/>
              </w:rPr>
            </w:pPr>
            <w:r>
              <w:rPr>
                <w:rFonts w:hint="eastAsia" w:ascii="宋体" w:hAnsi="宋体" w:cs="宋体"/>
                <w:color w:val="000000"/>
                <w:szCs w:val="21"/>
                <w:highlight w:val="none"/>
              </w:rPr>
              <w:t>只能有一个报价。</w:t>
            </w:r>
          </w:p>
        </w:tc>
      </w:tr>
      <w:tr w14:paraId="09B5D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731" w:type="dxa"/>
            <w:vMerge w:val="restart"/>
            <w:noWrap w:val="0"/>
            <w:vAlign w:val="center"/>
          </w:tcPr>
          <w:p w14:paraId="72FD1F77">
            <w:pPr>
              <w:keepNext w:val="0"/>
              <w:keepLines w:val="0"/>
              <w:suppressLineNumbers w:val="0"/>
              <w:spacing w:before="0" w:beforeAutospacing="0" w:after="0" w:afterAutospacing="0" w:line="320" w:lineRule="atLeast"/>
              <w:ind w:left="0" w:right="0"/>
              <w:jc w:val="center"/>
              <w:rPr>
                <w:rFonts w:hint="eastAsia" w:ascii="宋体"/>
                <w:color w:val="000000"/>
                <w:szCs w:val="21"/>
                <w:highlight w:val="none"/>
              </w:rPr>
            </w:pPr>
            <w:r>
              <w:rPr>
                <w:rFonts w:hint="eastAsia" w:ascii="宋体"/>
                <w:color w:val="000000"/>
                <w:szCs w:val="21"/>
                <w:highlight w:val="none"/>
              </w:rPr>
              <w:t>2</w:t>
            </w:r>
          </w:p>
        </w:tc>
        <w:tc>
          <w:tcPr>
            <w:tcW w:w="1204" w:type="dxa"/>
            <w:vMerge w:val="restart"/>
            <w:noWrap w:val="0"/>
            <w:vAlign w:val="center"/>
          </w:tcPr>
          <w:p w14:paraId="79010F83">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000000"/>
                <w:szCs w:val="21"/>
                <w:highlight w:val="none"/>
                <w:lang w:val="zh-CN"/>
              </w:rPr>
            </w:pPr>
            <w:r>
              <w:rPr>
                <w:rFonts w:hint="eastAsia" w:ascii="宋体" w:hAnsi="宋体" w:cs="宋体"/>
                <w:color w:val="000000"/>
                <w:szCs w:val="21"/>
                <w:highlight w:val="none"/>
              </w:rPr>
              <w:t>响应性评审标准</w:t>
            </w:r>
          </w:p>
        </w:tc>
        <w:tc>
          <w:tcPr>
            <w:tcW w:w="2931" w:type="dxa"/>
            <w:noWrap w:val="0"/>
            <w:vAlign w:val="center"/>
          </w:tcPr>
          <w:p w14:paraId="7D7CF90D">
            <w:pPr>
              <w:keepNext w:val="0"/>
              <w:keepLines w:val="0"/>
              <w:suppressLineNumbers w:val="0"/>
              <w:adjustRightInd w:val="0"/>
              <w:snapToGrid w:val="0"/>
              <w:spacing w:before="0" w:beforeAutospacing="0" w:after="0" w:afterAutospacing="0" w:line="560" w:lineRule="exact"/>
              <w:ind w:left="0" w:right="0"/>
              <w:jc w:val="left"/>
              <w:rPr>
                <w:rFonts w:hint="eastAsia" w:ascii="宋体" w:cs="宋体"/>
                <w:color w:val="000000"/>
                <w:szCs w:val="21"/>
                <w:highlight w:val="none"/>
              </w:rPr>
            </w:pPr>
            <w:r>
              <w:rPr>
                <w:rFonts w:hint="eastAsia" w:ascii="宋体" w:hAnsi="宋体" w:cs="宋体"/>
                <w:color w:val="000000"/>
                <w:szCs w:val="21"/>
                <w:highlight w:val="none"/>
                <w:lang w:val="en-US" w:eastAsia="zh-CN"/>
              </w:rPr>
              <w:t>工</w:t>
            </w:r>
            <w:r>
              <w:rPr>
                <w:rFonts w:hint="eastAsia" w:ascii="宋体" w:hAnsi="宋体" w:cs="宋体"/>
                <w:color w:val="000000"/>
                <w:szCs w:val="21"/>
                <w:highlight w:val="none"/>
              </w:rPr>
              <w:t>期</w:t>
            </w:r>
          </w:p>
        </w:tc>
        <w:tc>
          <w:tcPr>
            <w:tcW w:w="4173" w:type="dxa"/>
            <w:noWrap w:val="0"/>
            <w:vAlign w:val="center"/>
          </w:tcPr>
          <w:p w14:paraId="121FBD3C">
            <w:pPr>
              <w:keepNext w:val="0"/>
              <w:keepLines w:val="0"/>
              <w:suppressLineNumbers w:val="0"/>
              <w:adjustRightInd w:val="0"/>
              <w:snapToGrid w:val="0"/>
              <w:spacing w:before="0" w:beforeAutospacing="0" w:after="0" w:afterAutospacing="0" w:line="560" w:lineRule="exact"/>
              <w:ind w:left="0" w:right="0"/>
              <w:rPr>
                <w:rFonts w:hint="eastAsia" w:ascii="宋体" w:cs="宋体"/>
                <w:color w:val="000000"/>
                <w:szCs w:val="21"/>
                <w:highlight w:val="none"/>
              </w:rPr>
            </w:pPr>
            <w:r>
              <w:rPr>
                <w:rFonts w:hint="eastAsia" w:ascii="宋体" w:hAnsi="宋体" w:cs="宋体"/>
                <w:color w:val="000000"/>
                <w:szCs w:val="21"/>
                <w:highlight w:val="none"/>
              </w:rPr>
              <w:t>符合投标须知前附表规定。</w:t>
            </w:r>
          </w:p>
        </w:tc>
      </w:tr>
      <w:tr w14:paraId="4D868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53CDD4A7">
            <w:pPr>
              <w:keepNext w:val="0"/>
              <w:keepLines w:val="0"/>
              <w:suppressLineNumbers w:val="0"/>
              <w:spacing w:before="0" w:beforeAutospacing="0" w:after="0" w:afterAutospacing="0" w:line="320" w:lineRule="atLeast"/>
              <w:ind w:left="0" w:right="0"/>
              <w:rPr>
                <w:rFonts w:hint="default"/>
                <w:color w:val="000000"/>
                <w:highlight w:val="none"/>
              </w:rPr>
            </w:pPr>
          </w:p>
        </w:tc>
        <w:tc>
          <w:tcPr>
            <w:tcW w:w="1204" w:type="dxa"/>
            <w:vMerge w:val="continue"/>
            <w:noWrap w:val="0"/>
            <w:vAlign w:val="center"/>
          </w:tcPr>
          <w:p w14:paraId="186F5F60">
            <w:pPr>
              <w:keepNext w:val="0"/>
              <w:keepLines w:val="0"/>
              <w:suppressLineNumbers w:val="0"/>
              <w:spacing w:before="0" w:beforeAutospacing="0" w:after="0" w:afterAutospacing="0" w:line="320" w:lineRule="atLeast"/>
              <w:ind w:left="0" w:right="0"/>
              <w:rPr>
                <w:rFonts w:hint="default"/>
                <w:color w:val="000000"/>
                <w:highlight w:val="none"/>
              </w:rPr>
            </w:pPr>
          </w:p>
        </w:tc>
        <w:tc>
          <w:tcPr>
            <w:tcW w:w="2931" w:type="dxa"/>
            <w:noWrap w:val="0"/>
            <w:vAlign w:val="center"/>
          </w:tcPr>
          <w:p w14:paraId="7E846037">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000000"/>
                <w:szCs w:val="21"/>
                <w:highlight w:val="none"/>
                <w:lang w:val="zh-CN"/>
              </w:rPr>
            </w:pPr>
            <w:r>
              <w:rPr>
                <w:rFonts w:hint="eastAsia" w:ascii="宋体" w:hAnsi="宋体" w:cs="宋体"/>
                <w:color w:val="000000"/>
                <w:szCs w:val="21"/>
                <w:highlight w:val="none"/>
              </w:rPr>
              <w:t>投标有效期</w:t>
            </w:r>
          </w:p>
        </w:tc>
        <w:tc>
          <w:tcPr>
            <w:tcW w:w="4173" w:type="dxa"/>
            <w:noWrap w:val="0"/>
            <w:vAlign w:val="center"/>
          </w:tcPr>
          <w:p w14:paraId="2377BB2F">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000000"/>
                <w:szCs w:val="21"/>
                <w:highlight w:val="none"/>
                <w:lang w:val="zh-CN"/>
              </w:rPr>
            </w:pPr>
            <w:r>
              <w:rPr>
                <w:rFonts w:hint="eastAsia" w:ascii="宋体" w:hAnsi="宋体" w:cs="宋体"/>
                <w:color w:val="000000"/>
                <w:szCs w:val="21"/>
                <w:highlight w:val="none"/>
              </w:rPr>
              <w:t>符合投标须知前附表规定。</w:t>
            </w:r>
          </w:p>
        </w:tc>
      </w:tr>
      <w:tr w14:paraId="7C689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38B16003">
            <w:pPr>
              <w:keepNext w:val="0"/>
              <w:keepLines w:val="0"/>
              <w:suppressLineNumbers w:val="0"/>
              <w:spacing w:before="0" w:beforeAutospacing="0" w:after="0" w:afterAutospacing="0" w:line="320" w:lineRule="atLeast"/>
              <w:ind w:left="0" w:right="0"/>
              <w:rPr>
                <w:rFonts w:hint="default"/>
                <w:color w:val="000000"/>
                <w:highlight w:val="none"/>
              </w:rPr>
            </w:pPr>
          </w:p>
        </w:tc>
        <w:tc>
          <w:tcPr>
            <w:tcW w:w="1204" w:type="dxa"/>
            <w:vMerge w:val="continue"/>
            <w:noWrap w:val="0"/>
            <w:vAlign w:val="center"/>
          </w:tcPr>
          <w:p w14:paraId="40519968">
            <w:pPr>
              <w:keepNext w:val="0"/>
              <w:keepLines w:val="0"/>
              <w:suppressLineNumbers w:val="0"/>
              <w:spacing w:before="0" w:beforeAutospacing="0" w:after="0" w:afterAutospacing="0" w:line="320" w:lineRule="atLeast"/>
              <w:ind w:left="0" w:right="0"/>
              <w:rPr>
                <w:rFonts w:hint="default"/>
                <w:color w:val="000000"/>
                <w:highlight w:val="none"/>
              </w:rPr>
            </w:pPr>
          </w:p>
        </w:tc>
        <w:tc>
          <w:tcPr>
            <w:tcW w:w="2931" w:type="dxa"/>
            <w:noWrap w:val="0"/>
            <w:vAlign w:val="center"/>
          </w:tcPr>
          <w:p w14:paraId="24465EF8">
            <w:pPr>
              <w:keepNext w:val="0"/>
              <w:keepLines w:val="0"/>
              <w:suppressLineNumbers w:val="0"/>
              <w:adjustRightInd w:val="0"/>
              <w:snapToGrid w:val="0"/>
              <w:spacing w:before="0" w:beforeAutospacing="0" w:after="0" w:afterAutospacing="0" w:line="560" w:lineRule="exact"/>
              <w:ind w:left="0" w:right="0"/>
              <w:rPr>
                <w:rFonts w:hint="eastAsia" w:ascii="宋体" w:hAnsi="宋体" w:cs="宋体"/>
                <w:color w:val="000000"/>
                <w:szCs w:val="21"/>
                <w:highlight w:val="none"/>
              </w:rPr>
            </w:pPr>
            <w:r>
              <w:rPr>
                <w:rFonts w:hint="eastAsia" w:ascii="宋体" w:hAnsi="宋体" w:cs="宋体"/>
                <w:color w:val="000000"/>
                <w:szCs w:val="21"/>
                <w:highlight w:val="none"/>
              </w:rPr>
              <w:t>投标</w:t>
            </w:r>
            <w:r>
              <w:rPr>
                <w:rFonts w:hint="eastAsia" w:ascii="宋体" w:hAnsi="宋体" w:cs="宋体"/>
                <w:color w:val="000000"/>
                <w:szCs w:val="21"/>
                <w:highlight w:val="none"/>
                <w:lang w:val="en-US" w:eastAsia="zh-CN"/>
              </w:rPr>
              <w:t>报</w:t>
            </w:r>
            <w:r>
              <w:rPr>
                <w:rFonts w:hint="eastAsia" w:ascii="宋体" w:hAnsi="宋体" w:cs="宋体"/>
                <w:color w:val="000000"/>
                <w:szCs w:val="21"/>
                <w:highlight w:val="none"/>
              </w:rPr>
              <w:t>价评审</w:t>
            </w:r>
          </w:p>
        </w:tc>
        <w:tc>
          <w:tcPr>
            <w:tcW w:w="4173" w:type="dxa"/>
            <w:noWrap w:val="0"/>
            <w:vAlign w:val="center"/>
          </w:tcPr>
          <w:p w14:paraId="72B7C3D4">
            <w:pPr>
              <w:keepNext w:val="0"/>
              <w:keepLines w:val="0"/>
              <w:suppressLineNumbers w:val="0"/>
              <w:adjustRightInd w:val="0"/>
              <w:snapToGrid w:val="0"/>
              <w:spacing w:before="0" w:beforeAutospacing="0" w:after="0" w:afterAutospacing="0" w:line="560" w:lineRule="exact"/>
              <w:ind w:left="0" w:right="0"/>
              <w:rPr>
                <w:rFonts w:hint="eastAsia" w:ascii="宋体" w:hAnsi="宋体" w:eastAsia="宋体" w:cs="宋体"/>
                <w:color w:val="000000"/>
                <w:szCs w:val="21"/>
                <w:highlight w:val="none"/>
                <w:lang w:eastAsia="zh-CN"/>
              </w:rPr>
            </w:pPr>
            <w:r>
              <w:rPr>
                <w:rFonts w:hint="eastAsia" w:ascii="宋体" w:hAnsi="宋体" w:cs="宋体"/>
                <w:color w:val="000000"/>
                <w:spacing w:val="-6"/>
                <w:szCs w:val="21"/>
                <w:highlight w:val="none"/>
              </w:rPr>
              <w:t>不得高于最高投标限价</w:t>
            </w:r>
            <w:r>
              <w:rPr>
                <w:rFonts w:hint="eastAsia" w:ascii="宋体" w:hAnsi="宋体" w:cs="宋体"/>
                <w:color w:val="000000"/>
                <w:spacing w:val="-6"/>
                <w:szCs w:val="21"/>
                <w:highlight w:val="none"/>
                <w:lang w:eastAsia="zh-CN"/>
              </w:rPr>
              <w:t>。</w:t>
            </w:r>
          </w:p>
        </w:tc>
      </w:tr>
      <w:tr w14:paraId="170B1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vMerge w:val="restart"/>
            <w:noWrap w:val="0"/>
            <w:vAlign w:val="center"/>
          </w:tcPr>
          <w:p w14:paraId="5AED6217">
            <w:pPr>
              <w:keepNext w:val="0"/>
              <w:keepLines w:val="0"/>
              <w:suppressLineNumbers w:val="0"/>
              <w:spacing w:before="0" w:beforeAutospacing="0" w:after="0" w:afterAutospacing="0" w:line="320" w:lineRule="atLeast"/>
              <w:ind w:left="0" w:right="0"/>
              <w:jc w:val="center"/>
              <w:rPr>
                <w:rFonts w:hint="eastAsia" w:ascii="宋体"/>
                <w:color w:val="000000"/>
                <w:szCs w:val="21"/>
                <w:highlight w:val="none"/>
              </w:rPr>
            </w:pPr>
            <w:r>
              <w:rPr>
                <w:rFonts w:hint="eastAsia" w:ascii="宋体"/>
                <w:color w:val="000000"/>
                <w:szCs w:val="21"/>
                <w:highlight w:val="none"/>
              </w:rPr>
              <w:t>3</w:t>
            </w:r>
          </w:p>
        </w:tc>
        <w:tc>
          <w:tcPr>
            <w:tcW w:w="1204" w:type="dxa"/>
            <w:vMerge w:val="restart"/>
            <w:noWrap w:val="0"/>
            <w:vAlign w:val="center"/>
          </w:tcPr>
          <w:p w14:paraId="7CB4DFA2">
            <w:pPr>
              <w:keepNext w:val="0"/>
              <w:keepLines w:val="0"/>
              <w:suppressLineNumbers w:val="0"/>
              <w:adjustRightInd w:val="0"/>
              <w:snapToGrid w:val="0"/>
              <w:spacing w:before="0" w:beforeAutospacing="0" w:after="0" w:afterAutospacing="0" w:line="560" w:lineRule="exact"/>
              <w:ind w:left="0" w:right="0"/>
              <w:jc w:val="center"/>
              <w:rPr>
                <w:rFonts w:hint="eastAsia" w:ascii="宋体" w:hAnsi="宋体" w:cs="宋体"/>
                <w:color w:val="000000"/>
                <w:szCs w:val="21"/>
                <w:highlight w:val="none"/>
              </w:rPr>
            </w:pPr>
            <w:r>
              <w:rPr>
                <w:rFonts w:hint="eastAsia" w:ascii="宋体" w:hAnsi="宋体" w:cs="宋体"/>
                <w:color w:val="000000"/>
                <w:szCs w:val="21"/>
                <w:highlight w:val="none"/>
              </w:rPr>
              <w:t>详细评审标准</w:t>
            </w:r>
          </w:p>
          <w:p w14:paraId="3D4314DF">
            <w:pPr>
              <w:keepNext w:val="0"/>
              <w:keepLines w:val="0"/>
              <w:suppressLineNumbers w:val="0"/>
              <w:spacing w:before="0" w:beforeAutospacing="0" w:after="0" w:afterAutospacing="0" w:line="320" w:lineRule="atLeast"/>
              <w:ind w:left="0" w:right="0"/>
              <w:jc w:val="center"/>
              <w:rPr>
                <w:rFonts w:hint="eastAsia" w:ascii="宋体" w:cs="仿宋_GB2312"/>
                <w:color w:val="000000"/>
                <w:szCs w:val="21"/>
                <w:highlight w:val="none"/>
                <w:lang w:val="zh-CN"/>
              </w:rPr>
            </w:pPr>
          </w:p>
        </w:tc>
        <w:tc>
          <w:tcPr>
            <w:tcW w:w="2931" w:type="dxa"/>
            <w:noWrap w:val="0"/>
            <w:vAlign w:val="center"/>
          </w:tcPr>
          <w:p w14:paraId="2FDB4EA5">
            <w:pPr>
              <w:keepNext w:val="0"/>
              <w:keepLines w:val="0"/>
              <w:suppressLineNumbers w:val="0"/>
              <w:spacing w:before="0" w:beforeAutospacing="0" w:after="0" w:afterAutospacing="0" w:line="320" w:lineRule="atLeast"/>
              <w:ind w:left="0" w:right="0"/>
              <w:rPr>
                <w:rFonts w:hint="eastAsia" w:ascii="宋体" w:cs="仿宋_GB2312"/>
                <w:color w:val="000000"/>
                <w:szCs w:val="21"/>
                <w:highlight w:val="none"/>
                <w:lang w:val="zh-CN"/>
              </w:rPr>
            </w:pPr>
            <w:r>
              <w:rPr>
                <w:rFonts w:hint="eastAsia" w:ascii="宋体" w:cs="仿宋_GB2312"/>
                <w:color w:val="000000"/>
                <w:szCs w:val="21"/>
                <w:highlight w:val="none"/>
                <w:lang w:val="zh-CN"/>
              </w:rPr>
              <w:t>用户需求书响应程度</w:t>
            </w:r>
          </w:p>
        </w:tc>
        <w:tc>
          <w:tcPr>
            <w:tcW w:w="4173" w:type="dxa"/>
            <w:noWrap w:val="0"/>
            <w:vAlign w:val="center"/>
          </w:tcPr>
          <w:p w14:paraId="321D182A">
            <w:pPr>
              <w:keepNext w:val="0"/>
              <w:keepLines w:val="0"/>
              <w:suppressLineNumbers w:val="0"/>
              <w:spacing w:before="0" w:beforeAutospacing="0" w:after="0" w:afterAutospacing="0" w:line="320" w:lineRule="atLeast"/>
              <w:ind w:left="0" w:right="0"/>
              <w:rPr>
                <w:rFonts w:hint="eastAsia" w:ascii="宋体" w:eastAsia="宋体" w:cs="仿宋_GB2312"/>
                <w:color w:val="000000"/>
                <w:szCs w:val="21"/>
                <w:highlight w:val="none"/>
                <w:lang w:val="zh-CN" w:eastAsia="zh-CN"/>
              </w:rPr>
            </w:pPr>
            <w:r>
              <w:rPr>
                <w:rFonts w:hint="eastAsia" w:ascii="宋体" w:cs="仿宋_GB2312"/>
                <w:color w:val="000000"/>
                <w:szCs w:val="21"/>
                <w:highlight w:val="none"/>
                <w:lang w:val="zh-CN"/>
              </w:rPr>
              <w:t>完全响应或优于招标文件要求。</w:t>
            </w:r>
          </w:p>
        </w:tc>
      </w:tr>
      <w:tr w14:paraId="56C96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vMerge w:val="continue"/>
            <w:noWrap w:val="0"/>
            <w:vAlign w:val="center"/>
          </w:tcPr>
          <w:p w14:paraId="6727D85F">
            <w:pPr>
              <w:keepNext w:val="0"/>
              <w:keepLines w:val="0"/>
              <w:suppressLineNumbers w:val="0"/>
              <w:spacing w:before="0" w:beforeAutospacing="0" w:after="0" w:afterAutospacing="0" w:line="320" w:lineRule="atLeast"/>
              <w:ind w:left="0" w:right="0"/>
              <w:jc w:val="center"/>
              <w:rPr>
                <w:rFonts w:hint="eastAsia" w:ascii="宋体"/>
                <w:color w:val="000000"/>
                <w:szCs w:val="21"/>
                <w:highlight w:val="none"/>
              </w:rPr>
            </w:pPr>
          </w:p>
        </w:tc>
        <w:tc>
          <w:tcPr>
            <w:tcW w:w="1204" w:type="dxa"/>
            <w:vMerge w:val="continue"/>
            <w:noWrap w:val="0"/>
            <w:vAlign w:val="center"/>
          </w:tcPr>
          <w:p w14:paraId="53C5EBBF">
            <w:pPr>
              <w:keepNext w:val="0"/>
              <w:keepLines w:val="0"/>
              <w:suppressLineNumbers w:val="0"/>
              <w:spacing w:before="0" w:beforeAutospacing="0" w:after="0" w:afterAutospacing="0" w:line="320" w:lineRule="atLeast"/>
              <w:ind w:left="0" w:right="0"/>
              <w:jc w:val="center"/>
              <w:rPr>
                <w:rFonts w:hint="eastAsia" w:ascii="宋体" w:cs="仿宋_GB2312"/>
                <w:color w:val="000000"/>
                <w:szCs w:val="21"/>
                <w:highlight w:val="none"/>
                <w:lang w:val="zh-CN"/>
              </w:rPr>
            </w:pPr>
          </w:p>
        </w:tc>
        <w:tc>
          <w:tcPr>
            <w:tcW w:w="2931" w:type="dxa"/>
            <w:noWrap w:val="0"/>
            <w:vAlign w:val="center"/>
          </w:tcPr>
          <w:p w14:paraId="5150A99D">
            <w:pPr>
              <w:keepNext w:val="0"/>
              <w:keepLines w:val="0"/>
              <w:suppressLineNumbers w:val="0"/>
              <w:spacing w:before="0" w:beforeAutospacing="0" w:after="0" w:afterAutospacing="0" w:line="320" w:lineRule="atLeast"/>
              <w:ind w:left="0" w:right="0"/>
              <w:rPr>
                <w:rFonts w:hint="eastAsia" w:ascii="宋体" w:hAnsi="宋体" w:cs="宋体"/>
                <w:color w:val="000000"/>
                <w:szCs w:val="21"/>
                <w:highlight w:val="none"/>
              </w:rPr>
            </w:pPr>
            <w:r>
              <w:rPr>
                <w:rFonts w:hint="eastAsia" w:ascii="宋体" w:cs="仿宋_GB2312"/>
                <w:color w:val="000000"/>
                <w:szCs w:val="21"/>
                <w:highlight w:val="none"/>
                <w:lang w:val="zh-CN"/>
              </w:rPr>
              <w:t>商务条款响应程度（包括供货期、售后服务、技术培训等）</w:t>
            </w:r>
          </w:p>
        </w:tc>
        <w:tc>
          <w:tcPr>
            <w:tcW w:w="4173" w:type="dxa"/>
            <w:noWrap w:val="0"/>
            <w:vAlign w:val="center"/>
          </w:tcPr>
          <w:p w14:paraId="44800BB4">
            <w:pPr>
              <w:keepNext w:val="0"/>
              <w:keepLines w:val="0"/>
              <w:suppressLineNumbers w:val="0"/>
              <w:spacing w:before="0" w:beforeAutospacing="0" w:after="0" w:afterAutospacing="0" w:line="320" w:lineRule="atLeast"/>
              <w:ind w:left="0" w:right="0"/>
              <w:rPr>
                <w:rFonts w:hint="eastAsia" w:ascii="宋体" w:hAnsi="宋体" w:cs="宋体"/>
                <w:color w:val="000000"/>
                <w:szCs w:val="21"/>
                <w:highlight w:val="none"/>
              </w:rPr>
            </w:pPr>
            <w:r>
              <w:rPr>
                <w:rFonts w:hint="eastAsia" w:ascii="宋体" w:cs="仿宋_GB2312"/>
                <w:color w:val="000000"/>
                <w:szCs w:val="21"/>
                <w:highlight w:val="none"/>
                <w:lang w:val="zh-CN"/>
              </w:rPr>
              <w:t>完全响应或优于招标文件要求。</w:t>
            </w:r>
          </w:p>
        </w:tc>
      </w:tr>
      <w:bookmarkEnd w:id="59"/>
      <w:bookmarkEnd w:id="60"/>
      <w:bookmarkEnd w:id="61"/>
      <w:bookmarkEnd w:id="62"/>
      <w:bookmarkEnd w:id="63"/>
    </w:tbl>
    <w:p w14:paraId="2CFD1B8F">
      <w:pPr>
        <w:spacing w:line="440" w:lineRule="exact"/>
        <w:ind w:firstLine="315" w:firstLineChars="150"/>
        <w:jc w:val="left"/>
        <w:rPr>
          <w:rFonts w:hint="default" w:ascii="宋体"/>
          <w:b/>
          <w:color w:val="000000"/>
          <w:szCs w:val="21"/>
          <w:highlight w:val="none"/>
          <w:lang w:val="en-US" w:eastAsia="zh-CN"/>
        </w:rPr>
      </w:pPr>
      <w:r>
        <w:rPr>
          <w:rFonts w:hint="eastAsia" w:ascii="宋体"/>
          <w:b/>
          <w:color w:val="000000"/>
          <w:szCs w:val="21"/>
          <w:highlight w:val="none"/>
          <w:lang w:val="en-US" w:eastAsia="zh-CN"/>
        </w:rPr>
        <w:t>1. 评标方法</w:t>
      </w:r>
    </w:p>
    <w:p w14:paraId="0CC6B0B7">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rPr>
        <w:t>1.1本次评标采用最低评标价法，评标委员会对满足招标文件实质性要求的投标文件，最终按投标报价最低原则，推荐有效投标报价最低的为第一中标候选人，次低的为第二中标候选人，以此类推，推荐中标候选人应当不超过3名，并标明排序，但投标报价低于其成本的除外。投标报价最低的有效投标人有两名或两名以上相同时，由评标委员会主任委员或招标人抽签确定第一中标候选人。</w:t>
      </w:r>
    </w:p>
    <w:p w14:paraId="48B37EC7">
      <w:pPr>
        <w:spacing w:line="440" w:lineRule="exact"/>
        <w:ind w:firstLine="315" w:firstLineChars="150"/>
        <w:jc w:val="left"/>
        <w:rPr>
          <w:rFonts w:hint="eastAsia" w:ascii="宋体"/>
          <w:b/>
          <w:color w:val="000000"/>
          <w:szCs w:val="21"/>
          <w:highlight w:val="none"/>
          <w:lang w:val="en-US" w:eastAsia="zh-CN"/>
        </w:rPr>
      </w:pPr>
      <w:r>
        <w:rPr>
          <w:rFonts w:hint="eastAsia" w:ascii="宋体"/>
          <w:b/>
          <w:color w:val="000000"/>
          <w:szCs w:val="21"/>
          <w:highlight w:val="none"/>
          <w:lang w:val="en-US" w:eastAsia="zh-CN"/>
        </w:rPr>
        <w:t>2．评标委员会的职责</w:t>
      </w:r>
    </w:p>
    <w:p w14:paraId="613A3F37">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lang w:val="en-US" w:eastAsia="zh-CN"/>
        </w:rPr>
        <w:t>2.1</w:t>
      </w:r>
      <w:r>
        <w:rPr>
          <w:rFonts w:hint="eastAsia" w:ascii="宋体" w:hAnsi="宋体" w:eastAsia="宋体" w:cs="宋体"/>
          <w:color w:val="000000"/>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2B2DA7D2">
      <w:pPr>
        <w:spacing w:line="440" w:lineRule="exact"/>
        <w:ind w:firstLine="315" w:firstLineChars="150"/>
        <w:jc w:val="left"/>
        <w:rPr>
          <w:rFonts w:hint="eastAsia" w:ascii="Times New Roman" w:hAnsi="Times New Roman" w:eastAsia="宋体" w:cs="Times New Roman"/>
          <w:color w:val="000000"/>
          <w:highlight w:val="none"/>
        </w:rPr>
      </w:pPr>
      <w:r>
        <w:rPr>
          <w:rFonts w:hint="eastAsia" w:ascii="宋体" w:hAnsi="宋体" w:eastAsia="宋体" w:cs="宋体"/>
          <w:color w:val="000000"/>
          <w:highlight w:val="none"/>
          <w:lang w:val="en-US" w:eastAsia="zh-CN"/>
        </w:rPr>
        <w:t>2.2</w:t>
      </w:r>
      <w:r>
        <w:rPr>
          <w:rFonts w:hint="eastAsia" w:ascii="宋体" w:hAnsi="宋体" w:eastAsia="宋体" w:cs="宋体"/>
          <w:color w:val="000000"/>
          <w:highlight w:val="none"/>
        </w:rPr>
        <w:t>评标委员会应加</w:t>
      </w:r>
      <w:r>
        <w:rPr>
          <w:rFonts w:hint="eastAsia" w:ascii="Times New Roman" w:hAnsi="Times New Roman" w:eastAsia="宋体" w:cs="Times New Roman"/>
          <w:color w:val="000000"/>
          <w:highlight w:val="none"/>
        </w:rPr>
        <w:t>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534DE6AC">
      <w:pPr>
        <w:numPr>
          <w:ilvl w:val="0"/>
          <w:numId w:val="3"/>
        </w:numPr>
        <w:spacing w:line="440" w:lineRule="exact"/>
        <w:ind w:firstLine="315" w:firstLineChars="150"/>
        <w:jc w:val="left"/>
        <w:rPr>
          <w:rFonts w:hint="eastAsia" w:ascii="宋体" w:hAnsi="Times New Roman" w:eastAsia="宋体" w:cs="Times New Roman"/>
          <w:b/>
          <w:color w:val="000000"/>
          <w:szCs w:val="21"/>
          <w:highlight w:val="none"/>
          <w:lang w:val="en-US" w:eastAsia="zh-CN"/>
        </w:rPr>
      </w:pPr>
      <w:r>
        <w:rPr>
          <w:rFonts w:hint="eastAsia" w:ascii="宋体" w:hAnsi="Times New Roman" w:eastAsia="宋体" w:cs="Times New Roman"/>
          <w:b/>
          <w:color w:val="000000"/>
          <w:szCs w:val="21"/>
          <w:highlight w:val="none"/>
          <w:lang w:val="en-US" w:eastAsia="zh-CN"/>
        </w:rPr>
        <w:t>评标程序</w:t>
      </w:r>
    </w:p>
    <w:p w14:paraId="05F15CD4">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rPr>
        <w:t>评标先做准备工作，再进行</w:t>
      </w:r>
      <w:r>
        <w:rPr>
          <w:rFonts w:hint="eastAsia" w:ascii="宋体" w:hAnsi="宋体" w:eastAsia="宋体" w:cs="宋体"/>
          <w:color w:val="000000"/>
          <w:highlight w:val="none"/>
          <w:lang w:val="en-US" w:eastAsia="zh-CN"/>
        </w:rPr>
        <w:t>资格审查</w:t>
      </w:r>
      <w:r>
        <w:rPr>
          <w:rFonts w:hint="eastAsia" w:ascii="宋体" w:hAnsi="宋体" w:eastAsia="宋体" w:cs="宋体"/>
          <w:color w:val="000000"/>
          <w:highlight w:val="none"/>
        </w:rPr>
        <w:t>，然后进行</w:t>
      </w:r>
      <w:r>
        <w:rPr>
          <w:rFonts w:hint="eastAsia" w:ascii="宋体" w:hAnsi="宋体" w:eastAsia="宋体" w:cs="宋体"/>
          <w:color w:val="000000"/>
          <w:highlight w:val="none"/>
          <w:lang w:val="en-US" w:eastAsia="zh-CN"/>
        </w:rPr>
        <w:t>投标文件</w:t>
      </w:r>
      <w:r>
        <w:rPr>
          <w:rFonts w:hint="eastAsia" w:ascii="宋体" w:hAnsi="宋体" w:eastAsia="宋体" w:cs="宋体"/>
          <w:color w:val="000000"/>
          <w:highlight w:val="none"/>
        </w:rPr>
        <w:t>评审。</w:t>
      </w:r>
    </w:p>
    <w:p w14:paraId="47B24EE5">
      <w:pPr>
        <w:spacing w:line="440" w:lineRule="exact"/>
        <w:ind w:firstLine="315" w:firstLineChars="150"/>
        <w:jc w:val="left"/>
        <w:rPr>
          <w:rFonts w:hint="eastAsia" w:ascii="宋体" w:hAnsi="宋体" w:eastAsia="宋体" w:cs="宋体"/>
          <w:color w:val="000000"/>
          <w:highlight w:val="none"/>
        </w:rPr>
      </w:pPr>
      <w:bookmarkStart w:id="64" w:name="_Toc95223402"/>
      <w:r>
        <w:rPr>
          <w:rFonts w:hint="eastAsia" w:ascii="宋体" w:hAnsi="宋体" w:eastAsia="宋体" w:cs="宋体"/>
          <w:color w:val="000000"/>
          <w:highlight w:val="none"/>
        </w:rPr>
        <w:t>3</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lang w:val="en-US" w:eastAsia="zh-CN"/>
        </w:rPr>
        <w:t>1</w:t>
      </w:r>
      <w:r>
        <w:rPr>
          <w:rFonts w:hint="eastAsia" w:ascii="宋体" w:hAnsi="宋体" w:eastAsia="宋体" w:cs="宋体"/>
          <w:color w:val="000000"/>
          <w:highlight w:val="none"/>
        </w:rPr>
        <w:t>评标准备工作</w:t>
      </w:r>
      <w:bookmarkEnd w:id="64"/>
    </w:p>
    <w:p w14:paraId="63D5A203">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rPr>
        <w:t>评标委员会熟悉评标工作情况：</w:t>
      </w:r>
    </w:p>
    <w:p w14:paraId="2A365351">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rPr>
        <w:t>（1）阅读由招标人或者其委</w:t>
      </w:r>
      <w:bookmarkStart w:id="65" w:name="_Toc60061499"/>
      <w:bookmarkStart w:id="66" w:name="_Toc15058916"/>
      <w:r>
        <w:rPr>
          <w:rFonts w:hint="eastAsia" w:ascii="宋体" w:hAnsi="宋体" w:eastAsia="宋体" w:cs="宋体"/>
          <w:color w:val="000000"/>
          <w:highlight w:val="none"/>
        </w:rPr>
        <w:t>托的代理机构编</w:t>
      </w:r>
      <w:bookmarkEnd w:id="65"/>
      <w:bookmarkEnd w:id="66"/>
      <w:r>
        <w:rPr>
          <w:rFonts w:hint="eastAsia" w:ascii="宋体" w:hAnsi="宋体" w:eastAsia="宋体" w:cs="宋体"/>
          <w:color w:val="000000"/>
          <w:highlight w:val="none"/>
        </w:rPr>
        <w:t>制的招标项目情况材料。</w:t>
      </w:r>
    </w:p>
    <w:p w14:paraId="569B5136">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rPr>
        <w:t>（2）阅读、研究招标文件和相关评标资料，获取评标所需要的重要信息和数据，至少应了解和熟悉以下内容：招标项目的范围和性质，招标文件规定的主要技术要求、标准和条款。</w:t>
      </w:r>
    </w:p>
    <w:p w14:paraId="3171DABC">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rPr>
        <w:t>（3）熟悉招标文件规定的评标标准和评标方法及在评标过程中需要考虑的相关因素。</w:t>
      </w:r>
    </w:p>
    <w:p w14:paraId="644F3A04">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rPr>
        <w:t>（4）核对评标工作用表。</w:t>
      </w:r>
    </w:p>
    <w:p w14:paraId="2CEA3350">
      <w:pPr>
        <w:spacing w:line="440" w:lineRule="exact"/>
        <w:ind w:firstLine="315" w:firstLineChars="150"/>
        <w:jc w:val="left"/>
        <w:rPr>
          <w:rFonts w:hint="eastAsia" w:ascii="宋体" w:hAnsi="宋体" w:eastAsia="宋体" w:cs="宋体"/>
          <w:color w:val="000000"/>
          <w:highlight w:val="none"/>
        </w:rPr>
      </w:pPr>
      <w:bookmarkStart w:id="67" w:name="_Toc60061500"/>
      <w:bookmarkStart w:id="68" w:name="_Toc15058917"/>
      <w:r>
        <w:rPr>
          <w:rFonts w:hint="eastAsia" w:ascii="宋体" w:hAnsi="宋体" w:eastAsia="宋体" w:cs="宋体"/>
          <w:color w:val="000000"/>
          <w:highlight w:val="none"/>
        </w:rPr>
        <w:t>3.</w:t>
      </w:r>
      <w:r>
        <w:rPr>
          <w:rFonts w:hint="eastAsia" w:ascii="宋体" w:hAnsi="宋体" w:eastAsia="宋体" w:cs="宋体"/>
          <w:color w:val="000000"/>
          <w:highlight w:val="none"/>
          <w:lang w:val="en-US" w:eastAsia="zh-CN"/>
        </w:rPr>
        <w:t>2</w:t>
      </w:r>
      <w:r>
        <w:rPr>
          <w:rFonts w:hint="eastAsia" w:ascii="宋体" w:hAnsi="宋体" w:eastAsia="宋体" w:cs="宋体"/>
          <w:color w:val="000000"/>
          <w:highlight w:val="none"/>
        </w:rPr>
        <w:t>推荐中标候</w:t>
      </w:r>
      <w:bookmarkEnd w:id="67"/>
      <w:bookmarkEnd w:id="68"/>
      <w:r>
        <w:rPr>
          <w:rFonts w:hint="eastAsia" w:ascii="宋体" w:hAnsi="宋体" w:eastAsia="宋体" w:cs="宋体"/>
          <w:color w:val="000000"/>
          <w:highlight w:val="none"/>
        </w:rPr>
        <w:t>选人</w:t>
      </w:r>
    </w:p>
    <w:p w14:paraId="6C398DFA">
      <w:pPr>
        <w:spacing w:line="440" w:lineRule="exact"/>
        <w:ind w:firstLine="315" w:firstLineChars="150"/>
        <w:jc w:val="left"/>
        <w:rPr>
          <w:rFonts w:hint="eastAsia" w:ascii="宋体" w:hAnsi="宋体" w:cs="宋体"/>
          <w:color w:val="000000"/>
          <w:szCs w:val="21"/>
          <w:highlight w:val="none"/>
        </w:rPr>
      </w:pPr>
      <w:r>
        <w:rPr>
          <w:rFonts w:hint="eastAsia" w:ascii="宋体" w:hAnsi="宋体" w:cs="宋体"/>
          <w:color w:val="000000"/>
          <w:szCs w:val="21"/>
          <w:highlight w:val="none"/>
          <w:lang w:val="en-US" w:eastAsia="zh-CN"/>
        </w:rPr>
        <w:t>资格审查</w:t>
      </w:r>
      <w:r>
        <w:rPr>
          <w:rFonts w:hint="eastAsia" w:ascii="宋体" w:hAnsi="宋体" w:cs="宋体"/>
          <w:color w:val="000000"/>
          <w:szCs w:val="21"/>
          <w:highlight w:val="none"/>
        </w:rPr>
        <w:t>、</w:t>
      </w:r>
      <w:bookmarkStart w:id="69" w:name="_Toc15058918"/>
      <w:bookmarkStart w:id="70" w:name="_Toc60061501"/>
      <w:r>
        <w:rPr>
          <w:rFonts w:hint="eastAsia" w:ascii="宋体" w:hAnsi="宋体" w:cs="宋体"/>
          <w:color w:val="000000"/>
          <w:szCs w:val="21"/>
          <w:highlight w:val="none"/>
          <w:lang w:val="en-US" w:eastAsia="zh-CN"/>
        </w:rPr>
        <w:t>投标文件</w:t>
      </w:r>
      <w:r>
        <w:rPr>
          <w:rFonts w:hint="eastAsia" w:ascii="宋体" w:hAnsi="宋体" w:cs="宋体"/>
          <w:color w:val="000000"/>
          <w:szCs w:val="21"/>
          <w:highlight w:val="none"/>
        </w:rPr>
        <w:t>评审</w:t>
      </w:r>
      <w:bookmarkEnd w:id="69"/>
      <w:bookmarkEnd w:id="70"/>
      <w:r>
        <w:rPr>
          <w:rFonts w:hint="eastAsia" w:ascii="宋体" w:hAnsi="宋体" w:cs="宋体"/>
          <w:color w:val="000000"/>
          <w:szCs w:val="21"/>
          <w:highlight w:val="none"/>
        </w:rPr>
        <w:t>后，推荐中标候选人，并标明排序。</w:t>
      </w:r>
    </w:p>
    <w:p w14:paraId="7143A2D1">
      <w:pPr>
        <w:numPr>
          <w:ilvl w:val="0"/>
          <w:numId w:val="3"/>
        </w:numPr>
        <w:spacing w:line="440" w:lineRule="exact"/>
        <w:ind w:firstLine="315" w:firstLineChars="150"/>
        <w:jc w:val="left"/>
        <w:rPr>
          <w:rFonts w:hint="eastAsia" w:ascii="宋体" w:hAnsi="Times New Roman" w:eastAsia="宋体" w:cs="Times New Roman"/>
          <w:b/>
          <w:color w:val="000000"/>
          <w:szCs w:val="21"/>
          <w:highlight w:val="none"/>
          <w:lang w:val="en-US" w:eastAsia="zh-CN"/>
        </w:rPr>
      </w:pPr>
      <w:bookmarkStart w:id="71" w:name="_Toc95223405"/>
      <w:r>
        <w:rPr>
          <w:rFonts w:hint="eastAsia" w:ascii="宋体" w:hAnsi="Times New Roman" w:eastAsia="宋体" w:cs="Times New Roman"/>
          <w:b/>
          <w:color w:val="000000"/>
          <w:szCs w:val="21"/>
          <w:highlight w:val="none"/>
          <w:lang w:val="en-US" w:eastAsia="zh-CN"/>
        </w:rPr>
        <w:t>评审内容</w:t>
      </w:r>
      <w:bookmarkEnd w:id="71"/>
    </w:p>
    <w:p w14:paraId="260B4007">
      <w:pPr>
        <w:spacing w:line="440" w:lineRule="exact"/>
        <w:ind w:firstLine="315" w:firstLineChars="150"/>
        <w:jc w:val="left"/>
        <w:rPr>
          <w:rFonts w:hint="eastAsia" w:ascii="宋体" w:hAnsi="宋体" w:eastAsia="宋体" w:cs="宋体"/>
          <w:color w:val="000000"/>
          <w:szCs w:val="21"/>
          <w:highlight w:val="none"/>
        </w:rPr>
      </w:pPr>
      <w:bookmarkStart w:id="72" w:name="_Toc95223407"/>
      <w:r>
        <w:rPr>
          <w:rFonts w:hint="eastAsia" w:ascii="宋体" w:hAnsi="宋体" w:eastAsia="宋体" w:cs="宋体"/>
          <w:color w:val="000000"/>
          <w:szCs w:val="21"/>
          <w:highlight w:val="none"/>
        </w:rPr>
        <w:t>4.</w:t>
      </w:r>
      <w:r>
        <w:rPr>
          <w:rFonts w:hint="eastAsia" w:ascii="宋体" w:hAnsi="宋体" w:eastAsia="宋体" w:cs="宋体"/>
          <w:color w:val="000000"/>
          <w:szCs w:val="21"/>
          <w:highlight w:val="none"/>
          <w:lang w:val="en-US" w:eastAsia="zh-CN"/>
        </w:rPr>
        <w:t>1投标文件</w:t>
      </w:r>
      <w:r>
        <w:rPr>
          <w:rFonts w:hint="eastAsia" w:ascii="宋体" w:hAnsi="宋体" w:eastAsia="宋体" w:cs="宋体"/>
          <w:color w:val="000000"/>
          <w:szCs w:val="21"/>
          <w:highlight w:val="none"/>
        </w:rPr>
        <w:t>评审</w:t>
      </w:r>
      <w:bookmarkEnd w:id="72"/>
    </w:p>
    <w:p w14:paraId="5FF7779C">
      <w:pPr>
        <w:spacing w:line="440" w:lineRule="exact"/>
        <w:ind w:firstLine="315" w:firstLineChars="15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只有通过</w:t>
      </w:r>
      <w:r>
        <w:rPr>
          <w:rFonts w:hint="eastAsia" w:ascii="宋体" w:hAnsi="宋体" w:eastAsia="宋体" w:cs="宋体"/>
          <w:color w:val="000000"/>
          <w:szCs w:val="21"/>
          <w:highlight w:val="none"/>
          <w:lang w:val="en-US" w:eastAsia="zh-CN"/>
        </w:rPr>
        <w:t>资格审查</w:t>
      </w:r>
      <w:r>
        <w:rPr>
          <w:rFonts w:hint="eastAsia" w:ascii="宋体" w:hAnsi="宋体" w:eastAsia="宋体" w:cs="宋体"/>
          <w:color w:val="000000"/>
          <w:szCs w:val="21"/>
          <w:highlight w:val="none"/>
        </w:rPr>
        <w:t>的投标才能够进入本阶段评审。</w:t>
      </w:r>
    </w:p>
    <w:p w14:paraId="6957BFB6">
      <w:pPr>
        <w:spacing w:line="440" w:lineRule="exact"/>
        <w:ind w:firstLine="315" w:firstLineChars="15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w:t>
      </w:r>
      <w:r>
        <w:rPr>
          <w:rFonts w:hint="eastAsia" w:ascii="宋体" w:hAnsi="宋体" w:eastAsia="宋体" w:cs="宋体"/>
          <w:color w:val="000000"/>
          <w:szCs w:val="21"/>
          <w:highlight w:val="none"/>
          <w:lang w:val="en-US" w:eastAsia="zh-CN"/>
        </w:rPr>
        <w:t>1</w:t>
      </w:r>
      <w:r>
        <w:rPr>
          <w:rFonts w:hint="eastAsia" w:ascii="宋体" w:hAnsi="宋体" w:eastAsia="宋体" w:cs="宋体"/>
          <w:color w:val="000000"/>
          <w:szCs w:val="21"/>
          <w:highlight w:val="none"/>
        </w:rPr>
        <w:t>.1</w:t>
      </w:r>
      <w:bookmarkStart w:id="73" w:name="_Toc15058921"/>
      <w:bookmarkStart w:id="74" w:name="_Toc60061504"/>
      <w:r>
        <w:rPr>
          <w:rFonts w:hint="eastAsia" w:ascii="宋体" w:hAnsi="宋体" w:eastAsia="宋体" w:cs="宋体"/>
          <w:color w:val="000000"/>
          <w:szCs w:val="21"/>
          <w:highlight w:val="none"/>
        </w:rPr>
        <w:t>形式性评审标准：</w:t>
      </w:r>
      <w:bookmarkEnd w:id="73"/>
      <w:bookmarkEnd w:id="74"/>
      <w:r>
        <w:rPr>
          <w:rFonts w:hint="eastAsia" w:ascii="宋体" w:hAnsi="宋体" w:eastAsia="宋体" w:cs="宋体"/>
          <w:color w:val="000000"/>
          <w:szCs w:val="21"/>
          <w:highlight w:val="none"/>
        </w:rPr>
        <w:t>见</w:t>
      </w:r>
      <w:r>
        <w:rPr>
          <w:rFonts w:hint="eastAsia" w:ascii="宋体" w:hAnsi="宋体" w:eastAsia="宋体" w:cs="宋体"/>
          <w:color w:val="000000"/>
          <w:szCs w:val="21"/>
          <w:highlight w:val="none"/>
          <w:lang w:val="en-US" w:eastAsia="zh-CN"/>
        </w:rPr>
        <w:t>报价</w:t>
      </w:r>
      <w:r>
        <w:rPr>
          <w:rFonts w:hint="eastAsia" w:ascii="宋体" w:hAnsi="宋体" w:eastAsia="宋体" w:cs="宋体"/>
          <w:color w:val="000000"/>
          <w:szCs w:val="21"/>
          <w:highlight w:val="none"/>
        </w:rPr>
        <w:t>评审表。</w:t>
      </w:r>
    </w:p>
    <w:p w14:paraId="1B1DC8DE">
      <w:pPr>
        <w:spacing w:line="440" w:lineRule="exact"/>
        <w:ind w:firstLine="315" w:firstLineChars="15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w:t>
      </w:r>
      <w:r>
        <w:rPr>
          <w:rFonts w:hint="eastAsia" w:ascii="宋体" w:hAnsi="宋体" w:eastAsia="宋体" w:cs="宋体"/>
          <w:color w:val="000000"/>
          <w:szCs w:val="21"/>
          <w:highlight w:val="none"/>
          <w:lang w:val="en-US" w:eastAsia="zh-CN"/>
        </w:rPr>
        <w:t>1</w:t>
      </w:r>
      <w:r>
        <w:rPr>
          <w:rFonts w:hint="eastAsia" w:ascii="宋体" w:hAnsi="宋体" w:eastAsia="宋体" w:cs="宋体"/>
          <w:color w:val="000000"/>
          <w:szCs w:val="21"/>
          <w:highlight w:val="none"/>
        </w:rPr>
        <w:t>.2响应性评审标准：见</w:t>
      </w:r>
      <w:r>
        <w:rPr>
          <w:rFonts w:hint="eastAsia" w:ascii="宋体" w:hAnsi="宋体" w:eastAsia="宋体" w:cs="宋体"/>
          <w:color w:val="000000"/>
          <w:szCs w:val="21"/>
          <w:highlight w:val="none"/>
          <w:lang w:val="en-US" w:eastAsia="zh-CN"/>
        </w:rPr>
        <w:t>报价</w:t>
      </w:r>
      <w:r>
        <w:rPr>
          <w:rFonts w:hint="eastAsia" w:ascii="宋体" w:hAnsi="宋体" w:eastAsia="宋体" w:cs="宋体"/>
          <w:color w:val="000000"/>
          <w:szCs w:val="21"/>
          <w:highlight w:val="none"/>
        </w:rPr>
        <w:t>评审表。</w:t>
      </w:r>
    </w:p>
    <w:p w14:paraId="34389D73">
      <w:pPr>
        <w:spacing w:line="440" w:lineRule="exact"/>
        <w:ind w:firstLine="315" w:firstLineChars="15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评标委员会依据上述标准对投标文件进行初步评审。有一项不符合评审标准的，作无效投标处理。</w:t>
      </w:r>
    </w:p>
    <w:p w14:paraId="1F6C7561">
      <w:pPr>
        <w:spacing w:line="440" w:lineRule="exact"/>
        <w:ind w:firstLine="315" w:firstLineChars="15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w:t>
      </w:r>
      <w:r>
        <w:rPr>
          <w:rFonts w:hint="eastAsia" w:ascii="宋体" w:hAnsi="宋体" w:eastAsia="宋体" w:cs="宋体"/>
          <w:color w:val="000000"/>
          <w:szCs w:val="21"/>
          <w:highlight w:val="none"/>
          <w:lang w:val="en-US" w:eastAsia="zh-CN"/>
        </w:rPr>
        <w:t>1</w:t>
      </w:r>
      <w:r>
        <w:rPr>
          <w:rFonts w:hint="eastAsia" w:ascii="宋体" w:hAnsi="宋体" w:eastAsia="宋体" w:cs="宋体"/>
          <w:color w:val="000000"/>
          <w:szCs w:val="21"/>
          <w:highlight w:val="none"/>
        </w:rPr>
        <w:t>.3详细评审标准：见</w:t>
      </w:r>
      <w:r>
        <w:rPr>
          <w:rFonts w:hint="eastAsia" w:ascii="宋体" w:hAnsi="宋体" w:eastAsia="宋体" w:cs="宋体"/>
          <w:color w:val="000000"/>
          <w:szCs w:val="21"/>
          <w:highlight w:val="none"/>
          <w:lang w:val="en-US" w:eastAsia="zh-CN"/>
        </w:rPr>
        <w:t>报价</w:t>
      </w:r>
      <w:r>
        <w:rPr>
          <w:rFonts w:hint="eastAsia" w:ascii="宋体" w:hAnsi="宋体" w:eastAsia="宋体" w:cs="宋体"/>
          <w:color w:val="000000"/>
          <w:szCs w:val="21"/>
          <w:highlight w:val="none"/>
        </w:rPr>
        <w:t>评审表。</w:t>
      </w:r>
    </w:p>
    <w:p w14:paraId="3E7F582F">
      <w:pPr>
        <w:numPr>
          <w:ilvl w:val="0"/>
          <w:numId w:val="3"/>
        </w:numPr>
        <w:spacing w:line="440" w:lineRule="exact"/>
        <w:ind w:firstLine="315" w:firstLineChars="150"/>
        <w:jc w:val="left"/>
        <w:rPr>
          <w:rFonts w:hint="eastAsia" w:ascii="宋体" w:hAnsi="Times New Roman" w:eastAsia="宋体" w:cs="Times New Roman"/>
          <w:b/>
          <w:color w:val="000000"/>
          <w:szCs w:val="21"/>
          <w:highlight w:val="none"/>
          <w:lang w:val="en-US" w:eastAsia="zh-CN"/>
        </w:rPr>
      </w:pPr>
      <w:bookmarkStart w:id="75" w:name="_Hlk61815781"/>
      <w:r>
        <w:rPr>
          <w:rFonts w:hint="eastAsia" w:ascii="宋体" w:hAnsi="Times New Roman" w:eastAsia="宋体" w:cs="Times New Roman"/>
          <w:b/>
          <w:color w:val="000000"/>
          <w:szCs w:val="21"/>
          <w:highlight w:val="none"/>
          <w:lang w:val="en-US" w:eastAsia="zh-CN"/>
        </w:rPr>
        <w:t>无效投标条款</w:t>
      </w:r>
    </w:p>
    <w:p w14:paraId="6F5F5736">
      <w:pPr>
        <w:spacing w:line="440" w:lineRule="exact"/>
        <w:ind w:firstLine="315" w:firstLineChars="150"/>
        <w:jc w:val="left"/>
        <w:rPr>
          <w:rFonts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.1投标人存在下列情形的招标人将拒收投标文件：</w:t>
      </w:r>
    </w:p>
    <w:p w14:paraId="465E634E">
      <w:pPr>
        <w:spacing w:line="440" w:lineRule="exact"/>
        <w:ind w:firstLine="315" w:firstLineChars="150"/>
        <w:jc w:val="left"/>
        <w:rPr>
          <w:rFonts w:ascii="宋体" w:hAnsi="宋体" w:cs="宋体"/>
          <w:color w:val="auto"/>
          <w:highlight w:val="none"/>
        </w:rPr>
      </w:pPr>
      <w:r>
        <w:rPr>
          <w:rFonts w:hint="eastAsia" w:ascii="宋体" w:hAnsi="宋体" w:cs="宋体"/>
          <w:color w:val="auto"/>
          <w:highlight w:val="none"/>
        </w:rPr>
        <w:t>（1）未在投标截止时间前通过电子邮箱递交有效电子投标文件的，投标将被拒绝。</w:t>
      </w:r>
    </w:p>
    <w:p w14:paraId="1B53F403">
      <w:pPr>
        <w:spacing w:line="440" w:lineRule="exact"/>
        <w:ind w:firstLine="315" w:firstLineChars="150"/>
        <w:jc w:val="left"/>
        <w:rPr>
          <w:rFonts w:ascii="宋体" w:hAnsi="宋体" w:cs="宋体"/>
          <w:color w:val="auto"/>
          <w:highlight w:val="none"/>
        </w:rPr>
      </w:pPr>
      <w:r>
        <w:rPr>
          <w:rFonts w:hint="eastAsia" w:ascii="宋体" w:hAnsi="宋体" w:cs="宋体"/>
          <w:color w:val="auto"/>
          <w:highlight w:val="none"/>
        </w:rPr>
        <w:t>（2）在提交投标文件截止时间后送达的投标文件将被拒绝，投标文件送达时间以滁州市城投工程咨询管理有限公司邮箱显示的邮件送达时间为准。</w:t>
      </w:r>
    </w:p>
    <w:p w14:paraId="61E1FF6B">
      <w:pPr>
        <w:spacing w:line="440" w:lineRule="exact"/>
        <w:ind w:firstLine="315" w:firstLineChars="150"/>
        <w:jc w:val="left"/>
        <w:rPr>
          <w:rFonts w:ascii="宋体" w:hAnsi="宋体" w:cs="宋体"/>
          <w:color w:val="auto"/>
          <w:highlight w:val="none"/>
        </w:rPr>
      </w:pPr>
      <w:r>
        <w:rPr>
          <w:rFonts w:hint="eastAsia" w:ascii="宋体" w:hAnsi="宋体" w:cs="宋体"/>
          <w:color w:val="auto"/>
          <w:highlight w:val="none"/>
        </w:rPr>
        <w:t>（3）未在规定时间内发送密码或发送的密码无法正确打开投标文件的，投标文件将被拒绝。</w:t>
      </w:r>
    </w:p>
    <w:p w14:paraId="2DBC48EF">
      <w:pPr>
        <w:spacing w:line="440" w:lineRule="exact"/>
        <w:ind w:firstLine="315" w:firstLineChars="150"/>
        <w:jc w:val="left"/>
        <w:rPr>
          <w:rFonts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.2其他无效投标情况：</w:t>
      </w:r>
    </w:p>
    <w:p w14:paraId="59985E4B">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494D9E80">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（2）调整或修正投标文件的投标报价，调整或修正的价格经投标人书面确认后具有约束力。投标人不接受修正价格的，其投标将被拒绝。</w:t>
      </w:r>
    </w:p>
    <w:p w14:paraId="47D611AE">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3</w:t>
      </w:r>
      <w:r>
        <w:rPr>
          <w:rFonts w:hint="eastAsia" w:ascii="宋体" w:hAnsi="宋体" w:eastAsia="宋体" w:cs="宋体"/>
          <w:color w:val="000000"/>
          <w:szCs w:val="21"/>
          <w:highlight w:val="none"/>
        </w:rPr>
        <w:t>）投标人有串通投标、视为串通投标、弄虚作假、行贿等违法行为。</w:t>
      </w:r>
    </w:p>
    <w:p w14:paraId="37FD0512">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4</w:t>
      </w:r>
      <w:r>
        <w:rPr>
          <w:rFonts w:hint="eastAsia" w:ascii="宋体" w:hAnsi="宋体" w:eastAsia="宋体" w:cs="宋体"/>
          <w:color w:val="000000"/>
          <w:szCs w:val="21"/>
          <w:highlight w:val="none"/>
        </w:rPr>
        <w:t>）投标文件没有对招标文件的实质性要求和条件作出响应。</w:t>
      </w:r>
    </w:p>
    <w:p w14:paraId="7766F061">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rPr>
        <w:t>）未按规定的格式填写导致实质性内容不全以及实质上不响应，或者关键字迹模糊、无法辨认。</w:t>
      </w:r>
    </w:p>
    <w:p w14:paraId="3C45BF47">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6</w:t>
      </w:r>
      <w:r>
        <w:rPr>
          <w:rFonts w:hint="eastAsia" w:ascii="宋体" w:hAnsi="宋体" w:eastAsia="宋体" w:cs="宋体"/>
          <w:color w:val="000000"/>
          <w:szCs w:val="21"/>
          <w:highlight w:val="none"/>
        </w:rPr>
        <w:t>）同一投标人提交两个以上不同的投标文件或者投标报价，但招标文件规定提交备选投标的除外。</w:t>
      </w:r>
    </w:p>
    <w:p w14:paraId="4F5F1545">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7</w:t>
      </w:r>
      <w:r>
        <w:rPr>
          <w:rFonts w:hint="eastAsia" w:ascii="宋体" w:hAnsi="宋体" w:eastAsia="宋体" w:cs="宋体"/>
          <w:color w:val="000000"/>
          <w:szCs w:val="21"/>
          <w:highlight w:val="none"/>
        </w:rPr>
        <w:t>）投标文件中存在招标人不能接受的其他实质性条件。</w:t>
      </w:r>
    </w:p>
    <w:p w14:paraId="6E9B9B84">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8</w:t>
      </w:r>
      <w:r>
        <w:rPr>
          <w:rFonts w:hint="eastAsia" w:ascii="宋体" w:hAnsi="宋体" w:eastAsia="宋体" w:cs="宋体"/>
          <w:color w:val="000000"/>
          <w:szCs w:val="21"/>
          <w:highlight w:val="none"/>
        </w:rPr>
        <w:t>）投标文件中填报的拟任项目经理（建造师）与资格审查通过的项目经理（建造师）前后不一致的。</w:t>
      </w:r>
    </w:p>
    <w:p w14:paraId="7FCDD915">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9</w:t>
      </w:r>
      <w:r>
        <w:rPr>
          <w:rFonts w:hint="eastAsia" w:ascii="宋体" w:hAnsi="宋体" w:eastAsia="宋体" w:cs="宋体"/>
          <w:color w:val="000000"/>
          <w:szCs w:val="21"/>
          <w:highlight w:val="none"/>
        </w:rPr>
        <w:t>）投标人拒不按照要求对投标文件进行澄清、说明、补正的，或评标委员会根据招标文件的规定对招标文件的计算错误进行修正后，投标人不接受修正的投标报价的。</w:t>
      </w:r>
    </w:p>
    <w:p w14:paraId="03BB2CCC">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w:t>
      </w:r>
      <w:r>
        <w:rPr>
          <w:rFonts w:hint="eastAsia" w:ascii="宋体" w:hAnsi="宋体" w:eastAsia="宋体" w:cs="宋体"/>
          <w:color w:val="000000"/>
          <w:szCs w:val="21"/>
          <w:highlight w:val="none"/>
          <w:lang w:val="en-US" w:eastAsia="zh-CN"/>
        </w:rPr>
        <w:t>0</w:t>
      </w:r>
      <w:r>
        <w:rPr>
          <w:rFonts w:hint="eastAsia" w:ascii="宋体" w:hAnsi="宋体" w:eastAsia="宋体" w:cs="宋体"/>
          <w:color w:val="000000"/>
          <w:szCs w:val="21"/>
          <w:highlight w:val="none"/>
        </w:rPr>
        <w:t>）投标人单方面出现其他投标人材料。</w:t>
      </w:r>
    </w:p>
    <w:p w14:paraId="145E5A9C">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11</w:t>
      </w:r>
      <w:r>
        <w:rPr>
          <w:rFonts w:hint="eastAsia" w:ascii="宋体" w:hAnsi="宋体" w:eastAsia="宋体" w:cs="宋体"/>
          <w:color w:val="000000"/>
          <w:szCs w:val="21"/>
          <w:highlight w:val="none"/>
        </w:rPr>
        <w:t>）法律、法规规定的其他情形。</w:t>
      </w:r>
    </w:p>
    <w:bookmarkEnd w:id="75"/>
    <w:p w14:paraId="784675F0">
      <w:pPr>
        <w:spacing w:line="440" w:lineRule="exact"/>
        <w:ind w:firstLine="420" w:firstLineChars="200"/>
        <w:jc w:val="left"/>
        <w:rPr>
          <w:rFonts w:hint="eastAsia" w:ascii="宋体" w:hAnsi="Times New Roman" w:eastAsia="宋体" w:cs="Times New Roman"/>
          <w:b/>
          <w:color w:val="000000"/>
          <w:szCs w:val="21"/>
          <w:highlight w:val="none"/>
          <w:lang w:val="en-US" w:eastAsia="zh-CN"/>
        </w:rPr>
      </w:pPr>
      <w:bookmarkStart w:id="76" w:name="_Toc95223439"/>
      <w:r>
        <w:rPr>
          <w:rFonts w:hint="eastAsia" w:ascii="宋体" w:hAnsi="Times New Roman" w:eastAsia="宋体" w:cs="Times New Roman"/>
          <w:b/>
          <w:color w:val="000000"/>
          <w:szCs w:val="21"/>
          <w:highlight w:val="none"/>
          <w:lang w:val="en-US" w:eastAsia="zh-CN"/>
        </w:rPr>
        <w:t>6.投标文件的澄清和补正</w:t>
      </w:r>
      <w:bookmarkEnd w:id="76"/>
    </w:p>
    <w:p w14:paraId="23C52B2D">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6.1在评标过程中，评标委员会可以书面形式要求投标人对所提交的投标文件中含义不明确、对同类问题表述不一致或者有明显文字和计算错误”，其他评标办法请一并修改的内容进行书面澄清或说明，或者对细微偏差进行补正。评标委员会不接受投标人主动提出的澄清、说明或补正。</w:t>
      </w:r>
    </w:p>
    <w:p w14:paraId="4AE3712F">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6.2澄清、说明和补正不得改变投标文件的实质性内容（算术性错误修正的除外）。投标人的书面澄清、说明和补正属于投标文件的组成部分。</w:t>
      </w:r>
    </w:p>
    <w:p w14:paraId="1BC46CFD">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6.3评标委员会对投标人提交的澄清、说明和补正有疑问的，可以要求投标人进一步澄清、说明或补正、直至满足评标委员会的要求。</w:t>
      </w:r>
    </w:p>
    <w:p w14:paraId="414C098E">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按照投标文件规定进行澄清、补正后的投标报价经投标人的法定代表人或其委托代理人确认后即为该投标人的最终投标报价。投标人一旦中标，此报价即为中标价。</w:t>
      </w:r>
    </w:p>
    <w:p w14:paraId="6D37FB7A">
      <w:pPr>
        <w:spacing w:line="400" w:lineRule="exact"/>
        <w:ind w:firstLine="525" w:firstLineChars="250"/>
        <w:rPr>
          <w:rFonts w:hint="eastAsia" w:ascii="宋体"/>
          <w:color w:val="000000"/>
          <w:szCs w:val="21"/>
          <w:highlight w:val="none"/>
        </w:rPr>
      </w:pPr>
      <w:r>
        <w:rPr>
          <w:rFonts w:hint="eastAsia" w:ascii="宋体"/>
          <w:color w:val="000000"/>
          <w:szCs w:val="21"/>
          <w:highlight w:val="none"/>
          <w:lang w:val="en-US" w:eastAsia="zh-CN"/>
        </w:rPr>
        <w:t>6.4</w:t>
      </w:r>
      <w:r>
        <w:rPr>
          <w:rFonts w:hint="eastAsia" w:ascii="宋体"/>
          <w:color w:val="000000"/>
          <w:szCs w:val="21"/>
          <w:highlight w:val="none"/>
        </w:rPr>
        <w:t>评委会修正错误的原则：</w:t>
      </w:r>
    </w:p>
    <w:p w14:paraId="684FD526">
      <w:pPr>
        <w:spacing w:line="400" w:lineRule="exact"/>
        <w:ind w:firstLine="525" w:firstLineChars="250"/>
        <w:rPr>
          <w:rFonts w:hint="eastAsia" w:ascii="宋体"/>
          <w:color w:val="000000"/>
          <w:szCs w:val="21"/>
          <w:highlight w:val="none"/>
        </w:rPr>
      </w:pPr>
      <w:r>
        <w:rPr>
          <w:rFonts w:hint="eastAsia" w:ascii="宋体"/>
          <w:color w:val="000000"/>
          <w:szCs w:val="21"/>
          <w:highlight w:val="none"/>
          <w:lang w:val="en-US" w:eastAsia="zh-CN"/>
        </w:rPr>
        <w:t>6</w:t>
      </w:r>
      <w:r>
        <w:rPr>
          <w:rFonts w:hint="eastAsia" w:ascii="宋体"/>
          <w:color w:val="000000"/>
          <w:szCs w:val="21"/>
          <w:highlight w:val="none"/>
        </w:rPr>
        <w:t>.</w:t>
      </w:r>
      <w:r>
        <w:rPr>
          <w:rFonts w:hint="eastAsia" w:ascii="宋体"/>
          <w:color w:val="000000"/>
          <w:szCs w:val="21"/>
          <w:highlight w:val="none"/>
          <w:lang w:val="en-US" w:eastAsia="zh-CN"/>
        </w:rPr>
        <w:t>4</w:t>
      </w:r>
      <w:r>
        <w:rPr>
          <w:rFonts w:hint="eastAsia" w:ascii="宋体"/>
          <w:color w:val="000000"/>
          <w:szCs w:val="21"/>
          <w:highlight w:val="none"/>
        </w:rPr>
        <w:t>.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7536F1BC">
      <w:pPr>
        <w:spacing w:line="400" w:lineRule="exact"/>
        <w:ind w:firstLine="525" w:firstLineChars="250"/>
        <w:rPr>
          <w:rFonts w:hint="eastAsia" w:ascii="宋体"/>
          <w:color w:val="000000"/>
          <w:szCs w:val="21"/>
          <w:highlight w:val="none"/>
        </w:rPr>
      </w:pPr>
      <w:r>
        <w:rPr>
          <w:rFonts w:hint="eastAsia" w:ascii="宋体"/>
          <w:color w:val="000000"/>
          <w:szCs w:val="21"/>
          <w:highlight w:val="none"/>
          <w:lang w:val="en-US" w:eastAsia="zh-CN"/>
        </w:rPr>
        <w:t>6</w:t>
      </w:r>
      <w:r>
        <w:rPr>
          <w:rFonts w:hint="eastAsia" w:ascii="宋体"/>
          <w:color w:val="000000"/>
          <w:szCs w:val="21"/>
          <w:highlight w:val="none"/>
        </w:rPr>
        <w:t>.</w:t>
      </w:r>
      <w:r>
        <w:rPr>
          <w:rFonts w:hint="eastAsia" w:ascii="宋体"/>
          <w:color w:val="000000"/>
          <w:szCs w:val="21"/>
          <w:highlight w:val="none"/>
          <w:lang w:val="en-US" w:eastAsia="zh-CN"/>
        </w:rPr>
        <w:t>4</w:t>
      </w:r>
      <w:r>
        <w:rPr>
          <w:rFonts w:hint="eastAsia" w:ascii="宋体"/>
          <w:color w:val="000000"/>
          <w:szCs w:val="21"/>
          <w:highlight w:val="none"/>
        </w:rPr>
        <w:t>.2如果单价与数量的乘积和总价不一致，以单价为准，修正总价及开标一览表；当单价小数点有明显的错位时，评委会将以总价为准，并修正其单价。</w:t>
      </w:r>
    </w:p>
    <w:p w14:paraId="2C7E9869">
      <w:pPr>
        <w:spacing w:line="400" w:lineRule="exact"/>
        <w:ind w:firstLine="403" w:firstLineChars="192"/>
        <w:rPr>
          <w:rFonts w:hint="eastAsia"/>
          <w:highlight w:val="none"/>
        </w:rPr>
      </w:pPr>
      <w:r>
        <w:rPr>
          <w:rFonts w:hint="eastAsia" w:ascii="宋体"/>
          <w:color w:val="000000"/>
          <w:szCs w:val="21"/>
          <w:highlight w:val="none"/>
        </w:rPr>
        <w:t xml:space="preserve"> </w:t>
      </w:r>
      <w:r>
        <w:rPr>
          <w:rFonts w:hint="eastAsia" w:ascii="宋体"/>
          <w:color w:val="000000"/>
          <w:szCs w:val="21"/>
          <w:highlight w:val="none"/>
          <w:lang w:val="en-US" w:eastAsia="zh-CN"/>
        </w:rPr>
        <w:t>6</w:t>
      </w:r>
      <w:r>
        <w:rPr>
          <w:rFonts w:hint="eastAsia" w:ascii="宋体"/>
          <w:color w:val="000000"/>
          <w:szCs w:val="21"/>
          <w:highlight w:val="none"/>
        </w:rPr>
        <w:t>.</w:t>
      </w:r>
      <w:r>
        <w:rPr>
          <w:rFonts w:hint="eastAsia" w:ascii="宋体"/>
          <w:color w:val="000000"/>
          <w:szCs w:val="21"/>
          <w:highlight w:val="none"/>
          <w:lang w:val="en-US" w:eastAsia="zh-CN"/>
        </w:rPr>
        <w:t>5</w:t>
      </w:r>
      <w:r>
        <w:rPr>
          <w:rFonts w:hint="eastAsia" w:ascii="宋体"/>
          <w:color w:val="000000"/>
          <w:szCs w:val="21"/>
          <w:highlight w:val="none"/>
        </w:rPr>
        <w:t>评委会将按上述修正错误的方法调整投标文件中的投标报价，调整后的价格应对投标人具有约束力。无论投标人是接受或是拒绝调整后的价格，都应当由</w:t>
      </w:r>
      <w:r>
        <w:rPr>
          <w:rFonts w:hint="eastAsia" w:ascii="宋体"/>
          <w:color w:val="000000"/>
          <w:szCs w:val="21"/>
          <w:highlight w:val="none"/>
          <w:lang w:eastAsia="zh-CN"/>
        </w:rPr>
        <w:t>投标人在系统中</w:t>
      </w:r>
      <w:r>
        <w:rPr>
          <w:rFonts w:hint="eastAsia" w:ascii="宋体"/>
          <w:color w:val="000000"/>
          <w:szCs w:val="21"/>
          <w:highlight w:val="none"/>
        </w:rPr>
        <w:t>确认。</w:t>
      </w:r>
      <w:r>
        <w:rPr>
          <w:rFonts w:hint="eastAsia" w:ascii="宋体"/>
          <w:b/>
          <w:bCs/>
          <w:color w:val="000000"/>
          <w:szCs w:val="21"/>
          <w:highlight w:val="none"/>
        </w:rPr>
        <w:t>投标人拒绝对投标文件出现的错漏按上述原则进行修正、澄清、说明，评标委员会应当否决其投标。</w:t>
      </w:r>
    </w:p>
    <w:p w14:paraId="5EAE64D1">
      <w:pPr>
        <w:spacing w:line="440" w:lineRule="exact"/>
        <w:ind w:firstLine="525" w:firstLineChars="250"/>
        <w:jc w:val="left"/>
        <w:rPr>
          <w:rFonts w:hint="eastAsia" w:ascii="宋体" w:hAnsi="Times New Roman" w:eastAsia="宋体" w:cs="Times New Roman"/>
          <w:b/>
          <w:color w:val="000000"/>
          <w:szCs w:val="21"/>
          <w:highlight w:val="none"/>
          <w:lang w:val="en-US" w:eastAsia="zh-CN"/>
        </w:rPr>
      </w:pPr>
      <w:bookmarkStart w:id="77" w:name="_Toc95223441"/>
      <w:r>
        <w:rPr>
          <w:rFonts w:hint="eastAsia" w:ascii="宋体" w:hAnsi="Times New Roman" w:eastAsia="宋体" w:cs="Times New Roman"/>
          <w:b/>
          <w:color w:val="000000"/>
          <w:szCs w:val="21"/>
          <w:highlight w:val="none"/>
          <w:lang w:val="en-US" w:eastAsia="zh-CN"/>
        </w:rPr>
        <w:t>7.评审结果</w:t>
      </w:r>
      <w:bookmarkEnd w:id="77"/>
    </w:p>
    <w:p w14:paraId="0B7F154E">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7</w:t>
      </w:r>
      <w:r>
        <w:rPr>
          <w:rFonts w:hint="eastAsia" w:ascii="宋体" w:hAnsi="宋体" w:eastAsia="宋体" w:cs="宋体"/>
          <w:color w:val="000000"/>
          <w:szCs w:val="21"/>
          <w:highlight w:val="none"/>
        </w:rPr>
        <w:t>.1除第二章“投标人须知”及其前附表授权直接确定中标人外，评标委员会按照</w:t>
      </w:r>
      <w:r>
        <w:rPr>
          <w:rFonts w:hint="eastAsia" w:ascii="宋体" w:hAnsi="宋体" w:eastAsia="宋体" w:cs="宋体"/>
          <w:color w:val="000000"/>
          <w:highlight w:val="none"/>
        </w:rPr>
        <w:t>投标报价最低</w:t>
      </w:r>
      <w:r>
        <w:rPr>
          <w:rFonts w:hint="eastAsia" w:ascii="宋体" w:hAnsi="宋体" w:eastAsia="宋体" w:cs="宋体"/>
          <w:color w:val="000000"/>
          <w:szCs w:val="21"/>
          <w:highlight w:val="none"/>
        </w:rPr>
        <w:t>顺序推荐中标候选人。</w:t>
      </w:r>
    </w:p>
    <w:p w14:paraId="1C3FFD80">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7</w:t>
      </w:r>
      <w:r>
        <w:rPr>
          <w:rFonts w:hint="eastAsia" w:ascii="宋体" w:hAnsi="宋体" w:eastAsia="宋体" w:cs="宋体"/>
          <w:color w:val="000000"/>
          <w:szCs w:val="21"/>
          <w:highlight w:val="none"/>
        </w:rPr>
        <w:t>.2评标委员会完成评标后，应当向招标人提交书面评标报告。评标报告应当如实记载以下内容：</w:t>
      </w:r>
    </w:p>
    <w:p w14:paraId="606CA10F">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（1）基本情况和数据表。</w:t>
      </w:r>
    </w:p>
    <w:p w14:paraId="36C8C68B">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（2）评标委员会成员名单。</w:t>
      </w:r>
    </w:p>
    <w:p w14:paraId="2FD1F473">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（3）开标记录。</w:t>
      </w:r>
    </w:p>
    <w:p w14:paraId="6913844C">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（4）符合要求的投标人一览表。</w:t>
      </w:r>
    </w:p>
    <w:p w14:paraId="47B581FB">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（5）否决投标情况说明。</w:t>
      </w:r>
    </w:p>
    <w:p w14:paraId="01E1D0F9">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（6）评标标准、评标方法或者评标因素。</w:t>
      </w:r>
    </w:p>
    <w:p w14:paraId="3893DAE6">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（7）评标情况一览表。</w:t>
      </w:r>
    </w:p>
    <w:p w14:paraId="44C3C3DF">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（8）经评审的投标人排序。</w:t>
      </w:r>
    </w:p>
    <w:p w14:paraId="6484A294">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（9）推荐的中标候选人名单与签订合同前要处理的事宜。</w:t>
      </w:r>
    </w:p>
    <w:p w14:paraId="270F9759">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（10）澄清、说明、补正事项纪要。</w:t>
      </w:r>
    </w:p>
    <w:p w14:paraId="5EA3F9C4">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7</w:t>
      </w:r>
      <w:r>
        <w:rPr>
          <w:rFonts w:hint="eastAsia" w:ascii="宋体" w:hAnsi="宋体" w:eastAsia="宋体" w:cs="宋体"/>
          <w:color w:val="000000"/>
          <w:szCs w:val="21"/>
          <w:highlight w:val="none"/>
        </w:rPr>
        <w:t>.3依法必须进行招标的项目，招标人应当确定</w:t>
      </w:r>
      <w:r>
        <w:rPr>
          <w:rFonts w:hint="eastAsia" w:ascii="宋体" w:hAnsi="宋体" w:eastAsia="宋体" w:cs="宋体"/>
          <w:color w:val="000000"/>
          <w:szCs w:val="21"/>
          <w:highlight w:val="none"/>
          <w:lang w:val="en-US" w:eastAsia="zh-CN"/>
        </w:rPr>
        <w:t>经评审</w:t>
      </w:r>
      <w:r>
        <w:rPr>
          <w:rFonts w:hint="eastAsia" w:ascii="宋体" w:hAnsi="宋体" w:eastAsia="宋体" w:cs="宋体"/>
          <w:color w:val="000000"/>
          <w:highlight w:val="none"/>
        </w:rPr>
        <w:t>投标报价最低</w:t>
      </w:r>
      <w:r>
        <w:rPr>
          <w:rFonts w:hint="eastAsia" w:ascii="宋体" w:hAnsi="宋体" w:eastAsia="宋体" w:cs="宋体"/>
          <w:color w:val="000000"/>
          <w:szCs w:val="21"/>
          <w:highlight w:val="none"/>
        </w:rPr>
        <w:t>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345F29E6">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462B35C2">
      <w:pPr>
        <w:spacing w:line="440" w:lineRule="exact"/>
        <w:ind w:firstLine="420" w:firstLineChars="200"/>
        <w:jc w:val="left"/>
        <w:rPr>
          <w:rFonts w:hint="eastAsia" w:ascii="宋体" w:hAnsi="Times New Roman" w:eastAsia="宋体" w:cs="Times New Roman"/>
          <w:b/>
          <w:color w:val="000000"/>
          <w:szCs w:val="21"/>
          <w:highlight w:val="none"/>
          <w:lang w:val="en-US" w:eastAsia="zh-CN"/>
        </w:rPr>
      </w:pPr>
      <w:bookmarkStart w:id="78" w:name="_Toc95223442"/>
      <w:r>
        <w:rPr>
          <w:rFonts w:hint="eastAsia" w:ascii="宋体" w:hAnsi="Times New Roman" w:eastAsia="宋体" w:cs="Times New Roman"/>
          <w:b/>
          <w:color w:val="000000"/>
          <w:szCs w:val="21"/>
          <w:highlight w:val="none"/>
          <w:lang w:val="en-US" w:eastAsia="zh-CN"/>
        </w:rPr>
        <w:t>8.其他</w:t>
      </w:r>
      <w:bookmarkEnd w:id="78"/>
    </w:p>
    <w:p w14:paraId="015E2DA6">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8.1</w:t>
      </w:r>
      <w:r>
        <w:rPr>
          <w:rFonts w:hint="eastAsia" w:ascii="宋体" w:hAnsi="宋体" w:eastAsia="宋体" w:cs="宋体"/>
          <w:color w:val="000000"/>
          <w:szCs w:val="21"/>
          <w:highlight w:val="none"/>
        </w:rPr>
        <w:t>投标人提供的与投标文件有关的各类证书、证明、文件、资料等的真实性、合法性由投标人负全责。</w:t>
      </w:r>
    </w:p>
    <w:p w14:paraId="6F860D82">
      <w:pPr>
        <w:keepNext w:val="0"/>
        <w:keepLines w:val="0"/>
        <w:pageBreakBefore w:val="0"/>
        <w:widowControl w:val="0"/>
        <w:numPr>
          <w:ilvl w:val="0"/>
          <w:numId w:val="4"/>
        </w:numPr>
        <w:kinsoku/>
        <w:wordWrap/>
        <w:overflowPunct/>
        <w:topLinePunct w:val="0"/>
        <w:autoSpaceDE/>
        <w:autoSpaceDN/>
        <w:bidi w:val="0"/>
        <w:adjustRightInd/>
        <w:snapToGrid w:val="0"/>
        <w:spacing w:before="156" w:beforeLines="50" w:after="156" w:afterLines="50" w:line="520" w:lineRule="exact"/>
        <w:jc w:val="center"/>
        <w:textAlignment w:val="auto"/>
        <w:outlineLvl w:val="0"/>
        <w:rPr>
          <w:rFonts w:hint="eastAsia" w:ascii="宋体" w:cs="宋体"/>
          <w:b/>
          <w:bCs/>
          <w:color w:val="auto"/>
          <w:sz w:val="28"/>
          <w:szCs w:val="28"/>
          <w:highlight w:val="none"/>
          <w:lang w:eastAsia="zh-CN"/>
        </w:rPr>
      </w:pPr>
      <w:r>
        <w:rPr>
          <w:rFonts w:hint="eastAsia" w:ascii="宋体" w:hAnsi="宋体" w:eastAsia="宋体" w:cs="Times New Roman"/>
          <w:b/>
          <w:bCs/>
          <w:color w:val="000000"/>
          <w:kern w:val="0"/>
          <w:sz w:val="28"/>
          <w:szCs w:val="28"/>
          <w:highlight w:val="none"/>
          <w:lang w:val="en-US" w:eastAsia="zh-CN" w:bidi="ar"/>
        </w:rPr>
        <w:br w:type="page"/>
      </w:r>
      <w:r>
        <w:rPr>
          <w:rFonts w:hint="eastAsia" w:ascii="宋体" w:cs="宋体"/>
          <w:b/>
          <w:bCs/>
          <w:color w:val="auto"/>
          <w:sz w:val="28"/>
          <w:szCs w:val="28"/>
          <w:highlight w:val="none"/>
        </w:rPr>
        <w:t xml:space="preserve"> </w:t>
      </w:r>
      <w:r>
        <w:rPr>
          <w:rFonts w:hint="eastAsia" w:ascii="宋体" w:cs="宋体"/>
          <w:b/>
          <w:bCs/>
          <w:color w:val="auto"/>
          <w:sz w:val="28"/>
          <w:szCs w:val="28"/>
          <w:highlight w:val="none"/>
          <w:lang w:eastAsia="zh-CN"/>
        </w:rPr>
        <w:t>用户需求书</w:t>
      </w:r>
    </w:p>
    <w:p w14:paraId="6F5B65F7">
      <w:pPr>
        <w:pStyle w:val="39"/>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420" w:firstLineChars="200"/>
        <w:textAlignment w:val="auto"/>
        <w:rPr>
          <w:rFonts w:hint="default"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一、工程</w:t>
      </w:r>
      <w:r>
        <w:rPr>
          <w:rFonts w:hint="eastAsia" w:ascii="宋体" w:hAnsi="宋体" w:eastAsia="宋体" w:cs="宋体"/>
          <w:b/>
          <w:sz w:val="21"/>
          <w:szCs w:val="21"/>
          <w:highlight w:val="none"/>
        </w:rPr>
        <w:t>概况</w:t>
      </w:r>
    </w:p>
    <w:p w14:paraId="04132CFB">
      <w:pPr>
        <w:keepNext w:val="0"/>
        <w:keepLines w:val="0"/>
        <w:pageBreakBefore w:val="0"/>
        <w:widowControl w:val="0"/>
        <w:kinsoku/>
        <w:wordWrap/>
        <w:overflowPunct/>
        <w:topLinePunct w:val="0"/>
        <w:autoSpaceDE/>
        <w:autoSpaceDN/>
        <w:bidi w:val="0"/>
        <w:adjustRightInd/>
        <w:snapToGrid w:val="0"/>
        <w:spacing w:line="520" w:lineRule="exact"/>
        <w:ind w:firstLine="420"/>
        <w:textAlignment w:val="auto"/>
        <w:rPr>
          <w:rFonts w:hint="eastAsia" w:ascii="宋体" w:hAnsi="宋体" w:eastAsia="宋体" w:cs="宋体"/>
          <w:color w:val="000000"/>
          <w:szCs w:val="21"/>
          <w:highlight w:val="none"/>
          <w:lang w:val="en-US" w:eastAsia="zh-CN"/>
        </w:rPr>
      </w:pPr>
      <w:r>
        <w:rPr>
          <w:rFonts w:hint="eastAsia" w:ascii="宋体" w:hAnsi="宋体" w:eastAsia="宋体" w:cs="宋体"/>
          <w:kern w:val="0"/>
          <w:szCs w:val="21"/>
          <w:highlight w:val="none"/>
          <w:lang w:val="en-US" w:eastAsia="zh-CN"/>
        </w:rPr>
        <w:t>滁宁城际铁路（滁州段）控制中心、相官车辆段存在大量未做保温</w:t>
      </w:r>
      <w:r>
        <w:rPr>
          <w:rFonts w:hint="eastAsia" w:ascii="宋体" w:hAnsi="宋体" w:cs="宋体"/>
          <w:kern w:val="0"/>
          <w:szCs w:val="21"/>
          <w:highlight w:val="none"/>
          <w:lang w:val="en-US" w:eastAsia="zh-CN"/>
        </w:rPr>
        <w:t>措施</w:t>
      </w:r>
      <w:r>
        <w:rPr>
          <w:rFonts w:hint="eastAsia" w:ascii="宋体" w:hAnsi="宋体" w:eastAsia="宋体" w:cs="宋体"/>
          <w:kern w:val="0"/>
          <w:szCs w:val="21"/>
          <w:highlight w:val="none"/>
          <w:lang w:val="en-US" w:eastAsia="zh-CN"/>
        </w:rPr>
        <w:t>的生活、消防管道。为降低冬季爆管</w:t>
      </w:r>
      <w:r>
        <w:rPr>
          <w:rFonts w:hint="eastAsia" w:ascii="宋体" w:hAnsi="宋体" w:cs="宋体"/>
          <w:kern w:val="0"/>
          <w:szCs w:val="21"/>
          <w:highlight w:val="none"/>
          <w:lang w:val="en-US" w:eastAsia="zh-CN"/>
        </w:rPr>
        <w:t>风险</w:t>
      </w:r>
      <w:r>
        <w:rPr>
          <w:rFonts w:hint="eastAsia" w:ascii="宋体" w:hAnsi="宋体" w:eastAsia="宋体" w:cs="宋体"/>
          <w:kern w:val="0"/>
          <w:szCs w:val="21"/>
          <w:highlight w:val="none"/>
          <w:lang w:val="en-US" w:eastAsia="zh-CN"/>
        </w:rPr>
        <w:t>，减少水资源浪费，</w:t>
      </w:r>
      <w:r>
        <w:rPr>
          <w:rFonts w:hint="eastAsia" w:ascii="宋体" w:hAnsi="宋体" w:cs="宋体"/>
          <w:kern w:val="0"/>
          <w:szCs w:val="21"/>
          <w:highlight w:val="none"/>
          <w:lang w:val="en-US" w:eastAsia="zh-CN"/>
        </w:rPr>
        <w:t>维护正常的生产生活秩序，</w:t>
      </w:r>
      <w:r>
        <w:rPr>
          <w:rFonts w:hint="eastAsia" w:ascii="宋体" w:hAnsi="宋体" w:eastAsia="宋体" w:cs="宋体"/>
          <w:kern w:val="0"/>
          <w:szCs w:val="21"/>
          <w:highlight w:val="none"/>
          <w:lang w:val="en-US" w:eastAsia="zh-CN"/>
        </w:rPr>
        <w:t>特提出本次保温</w:t>
      </w:r>
      <w:r>
        <w:rPr>
          <w:rFonts w:hint="eastAsia" w:ascii="宋体" w:hAnsi="宋体" w:cs="宋体"/>
          <w:kern w:val="0"/>
          <w:szCs w:val="21"/>
          <w:highlight w:val="none"/>
          <w:lang w:val="en-US" w:eastAsia="zh-CN"/>
        </w:rPr>
        <w:t>加</w:t>
      </w:r>
      <w:r>
        <w:rPr>
          <w:rFonts w:hint="eastAsia" w:ascii="宋体" w:hAnsi="宋体" w:eastAsia="宋体" w:cs="宋体"/>
          <w:kern w:val="0"/>
          <w:szCs w:val="21"/>
          <w:highlight w:val="none"/>
          <w:lang w:val="en-US" w:eastAsia="zh-CN"/>
        </w:rPr>
        <w:t>装项目。</w:t>
      </w:r>
      <w:r>
        <w:rPr>
          <w:rFonts w:hint="eastAsia" w:ascii="宋体" w:hAnsi="宋体" w:eastAsia="宋体" w:cs="宋体"/>
          <w:color w:val="000000"/>
          <w:szCs w:val="21"/>
          <w:highlight w:val="none"/>
          <w:lang w:val="en-US" w:eastAsia="zh-CN"/>
        </w:rPr>
        <w:t xml:space="preserve">   </w:t>
      </w:r>
    </w:p>
    <w:p w14:paraId="1346CF3F">
      <w:pPr>
        <w:pStyle w:val="39"/>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420" w:firstLineChars="200"/>
        <w:textAlignment w:val="auto"/>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二、服务内容</w:t>
      </w:r>
    </w:p>
    <w:p w14:paraId="05E43561">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2.1生活、消防管道保温整改的工作范围为：</w:t>
      </w:r>
    </w:p>
    <w:p w14:paraId="041F2068">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滁宁城际铁路（滁州段）控制中心、相官车辆段。</w:t>
      </w:r>
    </w:p>
    <w:p w14:paraId="6D083AA4">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2.2生活、消防管道保温整改的工作内容如下：</w:t>
      </w:r>
    </w:p>
    <w:p w14:paraId="5C393909">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对滁宁城际铁路（滁州段）控制中心、相官车辆段未做保温的生活、消防管道进行保温加装。</w:t>
      </w:r>
    </w:p>
    <w:p w14:paraId="1664611D">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2.3生活、消防管道保温的效果：</w:t>
      </w:r>
    </w:p>
    <w:p w14:paraId="03277C10">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避免管道</w:t>
      </w:r>
      <w:r>
        <w:rPr>
          <w:rFonts w:hint="eastAsia" w:ascii="宋体" w:hAnsi="宋体" w:cs="宋体"/>
          <w:kern w:val="0"/>
          <w:szCs w:val="21"/>
          <w:highlight w:val="none"/>
          <w:lang w:val="en-US" w:eastAsia="zh-CN"/>
        </w:rPr>
        <w:t>内</w:t>
      </w:r>
      <w:r>
        <w:rPr>
          <w:rFonts w:hint="eastAsia" w:ascii="宋体" w:hAnsi="宋体" w:eastAsia="宋体" w:cs="宋体"/>
          <w:kern w:val="0"/>
          <w:szCs w:val="21"/>
          <w:highlight w:val="none"/>
          <w:lang w:val="en-US" w:eastAsia="zh-CN"/>
        </w:rPr>
        <w:t>输送</w:t>
      </w:r>
      <w:r>
        <w:rPr>
          <w:rFonts w:hint="eastAsia" w:ascii="宋体" w:hAnsi="宋体" w:cs="宋体"/>
          <w:kern w:val="0"/>
          <w:szCs w:val="21"/>
          <w:highlight w:val="none"/>
          <w:lang w:val="en-US" w:eastAsia="zh-CN"/>
        </w:rPr>
        <w:t>的</w:t>
      </w:r>
      <w:r>
        <w:rPr>
          <w:rFonts w:hint="eastAsia" w:ascii="宋体" w:hAnsi="宋体" w:eastAsia="宋体" w:cs="宋体"/>
          <w:kern w:val="0"/>
          <w:szCs w:val="21"/>
          <w:highlight w:val="none"/>
          <w:lang w:val="en-US" w:eastAsia="zh-CN"/>
        </w:rPr>
        <w:t>介质发生冻结，确保流体稳定</w:t>
      </w:r>
      <w:r>
        <w:rPr>
          <w:rFonts w:hint="eastAsia" w:ascii="宋体" w:hAnsi="宋体" w:cs="宋体"/>
          <w:kern w:val="0"/>
          <w:szCs w:val="21"/>
          <w:highlight w:val="none"/>
          <w:lang w:val="en-US" w:eastAsia="zh-CN"/>
        </w:rPr>
        <w:t>输送</w:t>
      </w:r>
      <w:r>
        <w:rPr>
          <w:rFonts w:hint="eastAsia" w:ascii="宋体" w:hAnsi="宋体" w:eastAsia="宋体" w:cs="宋体"/>
          <w:kern w:val="0"/>
          <w:szCs w:val="21"/>
          <w:highlight w:val="none"/>
          <w:lang w:val="en-US" w:eastAsia="zh-CN"/>
        </w:rPr>
        <w:t>，减少爆管发生频次，</w:t>
      </w:r>
      <w:r>
        <w:rPr>
          <w:rFonts w:hint="eastAsia" w:ascii="宋体" w:hAnsi="宋体" w:cs="宋体"/>
          <w:kern w:val="0"/>
          <w:szCs w:val="21"/>
          <w:highlight w:val="none"/>
          <w:lang w:val="en-US" w:eastAsia="zh-CN"/>
        </w:rPr>
        <w:t>避免</w:t>
      </w:r>
      <w:r>
        <w:rPr>
          <w:rFonts w:hint="eastAsia" w:ascii="宋体" w:hAnsi="宋体" w:eastAsia="宋体" w:cs="宋体"/>
          <w:kern w:val="0"/>
          <w:szCs w:val="21"/>
          <w:highlight w:val="none"/>
          <w:lang w:val="en-US" w:eastAsia="zh-CN"/>
        </w:rPr>
        <w:t>水资源浪费。</w:t>
      </w:r>
    </w:p>
    <w:p w14:paraId="62E8C803">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2.4合同期限</w:t>
      </w:r>
    </w:p>
    <w:p w14:paraId="0C11D2B5">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本项目合同期限为2026年度。</w:t>
      </w:r>
      <w:r>
        <w:rPr>
          <w:rFonts w:hint="eastAsia" w:ascii="宋体" w:hAnsi="宋体" w:eastAsia="宋体" w:cs="宋体"/>
          <w:szCs w:val="21"/>
          <w:highlight w:val="none"/>
          <w:lang w:val="en-US" w:eastAsia="zh-CN"/>
        </w:rPr>
        <w:t>自签订合同之日起210个日历天内完成并通过验收</w:t>
      </w:r>
      <w:r>
        <w:rPr>
          <w:rFonts w:hint="eastAsia" w:ascii="宋体" w:hAnsi="宋体" w:eastAsia="宋体" w:cs="宋体"/>
          <w:kern w:val="0"/>
          <w:szCs w:val="21"/>
          <w:highlight w:val="none"/>
          <w:lang w:val="en-US" w:eastAsia="zh-CN"/>
        </w:rPr>
        <w:t>。</w:t>
      </w:r>
    </w:p>
    <w:p w14:paraId="00C75F5B">
      <w:pPr>
        <w:pStyle w:val="39"/>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420" w:firstLineChars="200"/>
        <w:textAlignment w:val="auto"/>
        <w:rPr>
          <w:sz w:val="21"/>
          <w:szCs w:val="21"/>
          <w:highlight w:val="none"/>
        </w:rPr>
      </w:pPr>
      <w:r>
        <w:rPr>
          <w:rFonts w:hint="eastAsia" w:ascii="宋体" w:hAnsi="宋体" w:eastAsia="宋体" w:cs="宋体"/>
          <w:b/>
          <w:sz w:val="21"/>
          <w:szCs w:val="21"/>
          <w:highlight w:val="none"/>
          <w:lang w:val="en-US" w:eastAsia="zh-CN"/>
        </w:rPr>
        <w:t>三、</w:t>
      </w:r>
      <w:r>
        <w:rPr>
          <w:rFonts w:hint="eastAsia" w:ascii="宋体" w:hAnsi="宋体" w:eastAsia="宋体" w:cs="宋体"/>
          <w:b/>
          <w:bCs/>
          <w:kern w:val="0"/>
          <w:sz w:val="21"/>
          <w:szCs w:val="21"/>
          <w:highlight w:val="none"/>
          <w:lang w:val="en-US" w:eastAsia="zh-CN"/>
        </w:rPr>
        <w:t>标准技术规范</w:t>
      </w:r>
      <w:r>
        <w:rPr>
          <w:rFonts w:hint="eastAsia" w:ascii="宋体" w:hAnsi="宋体" w:eastAsia="宋体" w:cs="宋体"/>
          <w:b/>
          <w:sz w:val="21"/>
          <w:szCs w:val="21"/>
          <w:highlight w:val="none"/>
          <w:lang w:val="en-US" w:eastAsia="zh-CN"/>
        </w:rPr>
        <w:t xml:space="preserve"> </w:t>
      </w:r>
    </w:p>
    <w:p w14:paraId="34D79C1D">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3.1技术标准</w:t>
      </w:r>
    </w:p>
    <w:p w14:paraId="77A5903E">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本项工程的设计、制造、安装、测试以及使用的材料，均将遵守如下标准：</w:t>
      </w:r>
    </w:p>
    <w:p w14:paraId="2F7A913C">
      <w:pPr>
        <w:keepNext w:val="0"/>
        <w:keepLines w:val="0"/>
        <w:pageBreakBefore w:val="0"/>
        <w:widowControl w:val="0"/>
        <w:kinsoku/>
        <w:wordWrap/>
        <w:overflowPunct/>
        <w:topLinePunct w:val="0"/>
        <w:autoSpaceDE/>
        <w:autoSpaceDN/>
        <w:bidi w:val="0"/>
        <w:adjustRightInd/>
        <w:snapToGrid w:val="0"/>
        <w:spacing w:line="520" w:lineRule="exact"/>
        <w:ind w:firstLine="420"/>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●《地铁设计规范》（GB50157-2013）</w:t>
      </w:r>
    </w:p>
    <w:p w14:paraId="0E81BB06">
      <w:pPr>
        <w:keepNext w:val="0"/>
        <w:keepLines w:val="0"/>
        <w:pageBreakBefore w:val="0"/>
        <w:widowControl w:val="0"/>
        <w:kinsoku/>
        <w:wordWrap/>
        <w:overflowPunct/>
        <w:topLinePunct w:val="0"/>
        <w:autoSpaceDE/>
        <w:autoSpaceDN/>
        <w:bidi w:val="0"/>
        <w:adjustRightInd/>
        <w:snapToGrid w:val="0"/>
        <w:spacing w:line="520" w:lineRule="exact"/>
        <w:ind w:firstLine="420"/>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●《城市轨道交通工程项目建设标准》（建标104－2008）</w:t>
      </w:r>
    </w:p>
    <w:p w14:paraId="3B268CBC">
      <w:pPr>
        <w:keepNext w:val="0"/>
        <w:keepLines w:val="0"/>
        <w:pageBreakBefore w:val="0"/>
        <w:widowControl w:val="0"/>
        <w:kinsoku/>
        <w:wordWrap/>
        <w:overflowPunct/>
        <w:topLinePunct w:val="0"/>
        <w:autoSpaceDE/>
        <w:autoSpaceDN/>
        <w:bidi w:val="0"/>
        <w:adjustRightInd/>
        <w:snapToGrid w:val="0"/>
        <w:spacing w:line="520" w:lineRule="exact"/>
        <w:ind w:firstLine="420"/>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●《城市轨道交通技术规范》 (GB50490-2009)</w:t>
      </w:r>
    </w:p>
    <w:p w14:paraId="40DE09FC">
      <w:pPr>
        <w:keepNext w:val="0"/>
        <w:keepLines w:val="0"/>
        <w:pageBreakBefore w:val="0"/>
        <w:widowControl w:val="0"/>
        <w:kinsoku/>
        <w:wordWrap/>
        <w:overflowPunct/>
        <w:topLinePunct w:val="0"/>
        <w:autoSpaceDE/>
        <w:autoSpaceDN/>
        <w:bidi w:val="0"/>
        <w:adjustRightInd/>
        <w:snapToGrid w:val="0"/>
        <w:spacing w:line="520" w:lineRule="exact"/>
        <w:ind w:firstLine="420"/>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●《建筑给水排水设计标准》（GB50015-2019）</w:t>
      </w:r>
    </w:p>
    <w:p w14:paraId="764C98FC">
      <w:pPr>
        <w:keepNext w:val="0"/>
        <w:keepLines w:val="0"/>
        <w:pageBreakBefore w:val="0"/>
        <w:widowControl w:val="0"/>
        <w:kinsoku/>
        <w:wordWrap/>
        <w:overflowPunct/>
        <w:topLinePunct w:val="0"/>
        <w:autoSpaceDE/>
        <w:autoSpaceDN/>
        <w:bidi w:val="0"/>
        <w:adjustRightInd/>
        <w:snapToGrid w:val="0"/>
        <w:spacing w:line="520" w:lineRule="exact"/>
        <w:ind w:firstLine="420"/>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●《建筑设计防火规范》(GB50016-2018)</w:t>
      </w:r>
    </w:p>
    <w:p w14:paraId="01C73E2D">
      <w:pPr>
        <w:keepNext w:val="0"/>
        <w:keepLines w:val="0"/>
        <w:pageBreakBefore w:val="0"/>
        <w:widowControl w:val="0"/>
        <w:kinsoku/>
        <w:wordWrap/>
        <w:overflowPunct/>
        <w:topLinePunct w:val="0"/>
        <w:autoSpaceDE/>
        <w:autoSpaceDN/>
        <w:bidi w:val="0"/>
        <w:adjustRightInd/>
        <w:snapToGrid w:val="0"/>
        <w:spacing w:line="520" w:lineRule="exact"/>
        <w:ind w:firstLine="420"/>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●《地下铁道工程施工及验收规范》（GB 50299-1999）(2003年版)</w:t>
      </w:r>
    </w:p>
    <w:p w14:paraId="7861801B">
      <w:pPr>
        <w:keepNext w:val="0"/>
        <w:keepLines w:val="0"/>
        <w:pageBreakBefore w:val="0"/>
        <w:widowControl w:val="0"/>
        <w:kinsoku/>
        <w:wordWrap/>
        <w:overflowPunct/>
        <w:topLinePunct w:val="0"/>
        <w:autoSpaceDE/>
        <w:autoSpaceDN/>
        <w:bidi w:val="0"/>
        <w:adjustRightInd/>
        <w:snapToGrid w:val="0"/>
        <w:spacing w:line="520" w:lineRule="exact"/>
        <w:ind w:firstLine="420"/>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●《现场设备、工业管道焊接工程施工及验收规范》（GB50236-2011）</w:t>
      </w:r>
    </w:p>
    <w:p w14:paraId="7EA40DE9">
      <w:pPr>
        <w:keepNext w:val="0"/>
        <w:keepLines w:val="0"/>
        <w:pageBreakBefore w:val="0"/>
        <w:widowControl w:val="0"/>
        <w:kinsoku/>
        <w:wordWrap/>
        <w:overflowPunct/>
        <w:topLinePunct w:val="0"/>
        <w:autoSpaceDE/>
        <w:autoSpaceDN/>
        <w:bidi w:val="0"/>
        <w:adjustRightInd/>
        <w:snapToGrid w:val="0"/>
        <w:spacing w:line="520" w:lineRule="exact"/>
        <w:ind w:firstLine="420"/>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●《给水排水管道工程施工及验收规范》（GB50268-2008）</w:t>
      </w:r>
    </w:p>
    <w:p w14:paraId="5DAFF7A6">
      <w:pPr>
        <w:keepNext w:val="0"/>
        <w:keepLines w:val="0"/>
        <w:pageBreakBefore w:val="0"/>
        <w:widowControl w:val="0"/>
        <w:kinsoku/>
        <w:wordWrap/>
        <w:overflowPunct/>
        <w:topLinePunct w:val="0"/>
        <w:autoSpaceDE/>
        <w:autoSpaceDN/>
        <w:bidi w:val="0"/>
        <w:adjustRightInd/>
        <w:snapToGrid w:val="0"/>
        <w:spacing w:line="520" w:lineRule="exact"/>
        <w:ind w:firstLine="420"/>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●《施工高处作业技术安全规范》（JGJ 80-2016）</w:t>
      </w:r>
    </w:p>
    <w:p w14:paraId="727DA228">
      <w:pPr>
        <w:keepNext w:val="0"/>
        <w:keepLines w:val="0"/>
        <w:pageBreakBefore w:val="0"/>
        <w:widowControl w:val="0"/>
        <w:kinsoku/>
        <w:wordWrap/>
        <w:overflowPunct/>
        <w:topLinePunct w:val="0"/>
        <w:autoSpaceDE/>
        <w:autoSpaceDN/>
        <w:bidi w:val="0"/>
        <w:adjustRightInd/>
        <w:snapToGrid w:val="0"/>
        <w:spacing w:line="520" w:lineRule="exact"/>
        <w:ind w:firstLine="420"/>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●《建设工程施工现场消防安全技术规范》（GB 50720-2011）</w:t>
      </w:r>
    </w:p>
    <w:p w14:paraId="3403D871">
      <w:pPr>
        <w:keepNext w:val="0"/>
        <w:keepLines w:val="0"/>
        <w:pageBreakBefore w:val="0"/>
        <w:widowControl w:val="0"/>
        <w:kinsoku/>
        <w:wordWrap/>
        <w:overflowPunct/>
        <w:topLinePunct w:val="0"/>
        <w:autoSpaceDE/>
        <w:autoSpaceDN/>
        <w:bidi w:val="0"/>
        <w:adjustRightInd/>
        <w:snapToGrid w:val="0"/>
        <w:spacing w:line="520" w:lineRule="exact"/>
        <w:ind w:firstLine="420"/>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●《设备及管道绝热设计导则》（GB/T8175-2008）</w:t>
      </w:r>
    </w:p>
    <w:p w14:paraId="595500BE">
      <w:pPr>
        <w:keepNext w:val="0"/>
        <w:keepLines w:val="0"/>
        <w:pageBreakBefore w:val="0"/>
        <w:widowControl w:val="0"/>
        <w:kinsoku/>
        <w:wordWrap/>
        <w:overflowPunct/>
        <w:topLinePunct w:val="0"/>
        <w:autoSpaceDE/>
        <w:autoSpaceDN/>
        <w:bidi w:val="0"/>
        <w:adjustRightInd/>
        <w:snapToGrid w:val="0"/>
        <w:spacing w:line="520" w:lineRule="exact"/>
        <w:ind w:firstLine="420"/>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●《工业设备及管道绝热工程设计规范》（GB50274-2013）</w:t>
      </w:r>
    </w:p>
    <w:p w14:paraId="55AE7B7E">
      <w:pPr>
        <w:keepNext w:val="0"/>
        <w:keepLines w:val="0"/>
        <w:pageBreakBefore w:val="0"/>
        <w:widowControl w:val="0"/>
        <w:kinsoku/>
        <w:wordWrap/>
        <w:overflowPunct/>
        <w:topLinePunct w:val="0"/>
        <w:autoSpaceDE/>
        <w:autoSpaceDN/>
        <w:bidi w:val="0"/>
        <w:adjustRightInd/>
        <w:snapToGrid w:val="0"/>
        <w:spacing w:line="520" w:lineRule="exact"/>
        <w:ind w:firstLine="420"/>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●《工业设备及管道绝热工程施工质量验收标准》（GB/T50185-2019）</w:t>
      </w:r>
    </w:p>
    <w:p w14:paraId="3E8E839E">
      <w:pPr>
        <w:keepNext w:val="0"/>
        <w:keepLines w:val="0"/>
        <w:pageBreakBefore w:val="0"/>
        <w:widowControl w:val="0"/>
        <w:kinsoku/>
        <w:wordWrap/>
        <w:overflowPunct/>
        <w:topLinePunct w:val="0"/>
        <w:autoSpaceDE/>
        <w:autoSpaceDN/>
        <w:bidi w:val="0"/>
        <w:adjustRightInd/>
        <w:snapToGrid w:val="0"/>
        <w:spacing w:line="520" w:lineRule="exact"/>
        <w:ind w:firstLine="420"/>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●《建筑给水排水及采暖工程施工质量验收规范》GB50242-2002</w:t>
      </w:r>
    </w:p>
    <w:p w14:paraId="3793CB23">
      <w:pPr>
        <w:keepNext w:val="0"/>
        <w:keepLines w:val="0"/>
        <w:pageBreakBefore w:val="0"/>
        <w:widowControl w:val="0"/>
        <w:kinsoku/>
        <w:wordWrap/>
        <w:overflowPunct/>
        <w:topLinePunct w:val="0"/>
        <w:autoSpaceDE/>
        <w:autoSpaceDN/>
        <w:bidi w:val="0"/>
        <w:adjustRightInd/>
        <w:snapToGrid w:val="0"/>
        <w:spacing w:line="520" w:lineRule="exact"/>
        <w:ind w:firstLine="420"/>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公认的中华人民共和国行业标准（同项规定的，按标准内最高要求执行或按双方商定的标准执行）上述技术标准和规范如有不涉及之处或未能达到国际和国家最新标准时，中标人应使系统符合最新版本的国际和国家标准、规范，并提供所采用的国际和国家标准、规范以及所采用版本的有关技术资料。</w:t>
      </w:r>
    </w:p>
    <w:p w14:paraId="2A766486">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3.2 技术要求</w:t>
      </w:r>
    </w:p>
    <w:p w14:paraId="25E88832">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 xml:space="preserve">3.2.1一期相官车辆段 </w:t>
      </w:r>
    </w:p>
    <w:p w14:paraId="77AEB594">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3.2.1.1检修库各大库(不含辅跨用房)、工程车库(不含辅跨用房)、物资总库的高架仓库及大件库区(不含辅跨用房)、汽车库停车区内明装生活、消防管道。消防管道采用50mm自粘橡塑保温棉、生活管道采用30mm自粘橡塑保温棉，保温层外包0.4mm铝板保护层，保护层采用螺丝及卡箍固定。</w:t>
      </w:r>
    </w:p>
    <w:p w14:paraId="3829D07A">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3.2.1.2支吊架与管道连接处、管道阀门处；建筑内部室外直接相通区域架空区域的给水、消防管道。消防管道采用50mm自粘橡塑保温棉、生活管道采用30mm自粘橡塑保温棉，保温层外包0.4mm铝板保护层，保护层采用螺丝及卡箍固定。</w:t>
      </w:r>
    </w:p>
    <w:p w14:paraId="3CB4D174">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3.2.1.3管道保温层的厚度和平整度允许偏差应满足《建筑给水排水及采暖工程施工质量验收规范》GB50242-2002。</w:t>
      </w:r>
    </w:p>
    <w:p w14:paraId="21510607">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 xml:space="preserve">3.2.2一期控制中心 </w:t>
      </w:r>
    </w:p>
    <w:p w14:paraId="62AB47E6">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3.2.2.1室外明装的生活、消防管道，消防管道采用50mm自粘橡塑保温棉、生活管道采用30mm自粘橡塑保温棉，保温层外包0.4mm铝板保护层，保护层采用螺丝及卡箍固定。</w:t>
      </w:r>
    </w:p>
    <w:p w14:paraId="0532607A">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3.2.2.2地下一层停车场坡道范围内的生活、消防管道(其中汽车坡道地面出入口15米内消防管道保温采用50mm自粘橡塑保温棉、生活管道采用30mm自粘橡塑保温棉，保温层外包0.4mm铝板保护层，保护层采用螺丝及卡箍固定。</w:t>
      </w:r>
    </w:p>
    <w:p w14:paraId="0F201CE1">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地下一层停车场自平坡点向内延伸30米范围内给水、消防管道，消防管道保温采用50mm自粘橡塑保温棉、生活管道采用30mm自粘橡塑保温棉，保温层外包0.4mm铝板保护层，保护层采用螺丝及卡箍固定。下地下一层车库后管道保温范围示意如下图所示。</w:t>
      </w:r>
    </w:p>
    <w:p w14:paraId="3CDAFF39">
      <w:pPr>
        <w:jc w:val="center"/>
        <w:rPr>
          <w:rFonts w:hint="eastAsia" w:ascii="方正仿宋_GB18030" w:hAnsi="方正仿宋_GB18030" w:eastAsia="方正仿宋_GB18030" w:cs="方正仿宋_GB18030"/>
          <w:sz w:val="24"/>
          <w:szCs w:val="24"/>
          <w:highlight w:val="none"/>
          <w:lang w:val="en-US" w:eastAsia="zh-CN"/>
        </w:rPr>
      </w:pPr>
      <w:r>
        <w:rPr>
          <w:rFonts w:hint="eastAsia" w:ascii="方正仿宋_GB18030" w:hAnsi="方正仿宋_GB18030" w:eastAsia="方正仿宋_GB18030" w:cs="方正仿宋_GB18030"/>
          <w:sz w:val="24"/>
          <w:szCs w:val="24"/>
          <w:highlight w:val="none"/>
          <w:lang w:val="en-US" w:eastAsia="zh-CN"/>
        </w:rPr>
        <w:drawing>
          <wp:inline distT="0" distB="0" distL="114300" distR="114300">
            <wp:extent cx="5052060" cy="2454275"/>
            <wp:effectExtent l="0" t="0" r="15240" b="3175"/>
            <wp:docPr id="14" name="图片 1" descr="3743f4f844c8ca0f8f94262ba6c1dd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descr="3743f4f844c8ca0f8f94262ba6c1ddc2"/>
                    <pic:cNvPicPr>
                      <a:picLocks noChangeAspect="1"/>
                    </pic:cNvPicPr>
                  </pic:nvPicPr>
                  <pic:blipFill>
                    <a:blip r:embed="rId6"/>
                    <a:stretch>
                      <a:fillRect/>
                    </a:stretch>
                  </pic:blipFill>
                  <pic:spPr>
                    <a:xfrm>
                      <a:off x="0" y="0"/>
                      <a:ext cx="5052060" cy="2454275"/>
                    </a:xfrm>
                    <a:prstGeom prst="rect">
                      <a:avLst/>
                    </a:prstGeom>
                    <a:noFill/>
                    <a:ln>
                      <a:noFill/>
                    </a:ln>
                  </pic:spPr>
                </pic:pic>
              </a:graphicData>
            </a:graphic>
          </wp:inline>
        </w:drawing>
      </w:r>
    </w:p>
    <w:p w14:paraId="406D49D0">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3.2.2.4塔楼屋顶层位于顶层房屋楼板投影下但与室外空气直接相通区域的消防管道采用50mm厚橡塑保温棉保温，外包0.4mm铝板保护层，保护层采用螺丝及卡箍固定。</w:t>
      </w:r>
    </w:p>
    <w:p w14:paraId="453B385F">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3.2.2.5管道保温层的厚度和平整度允许偏差应满足《建筑给水排水及采暖工程施工质量验收规范》GB50242-2002。</w:t>
      </w:r>
    </w:p>
    <w:p w14:paraId="4CD8E7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宋体" w:hAnsi="宋体" w:eastAsia="宋体" w:cs="宋体"/>
          <w:b/>
          <w:bCs/>
          <w:kern w:val="0"/>
          <w:sz w:val="21"/>
          <w:szCs w:val="21"/>
          <w:highlight w:val="none"/>
          <w:lang w:val="en-US" w:eastAsia="zh-CN"/>
        </w:rPr>
      </w:pPr>
      <w:r>
        <w:rPr>
          <w:rFonts w:hint="eastAsia" w:ascii="宋体" w:hAnsi="宋体" w:eastAsia="宋体" w:cs="宋体"/>
          <w:b/>
          <w:bCs/>
          <w:kern w:val="0"/>
          <w:sz w:val="21"/>
          <w:szCs w:val="21"/>
          <w:highlight w:val="none"/>
          <w:lang w:val="en-US" w:eastAsia="zh-CN"/>
        </w:rPr>
        <w:t>四、服务要求与条件</w:t>
      </w:r>
    </w:p>
    <w:p w14:paraId="029D5F68">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4.1 项目人员要求</w:t>
      </w:r>
    </w:p>
    <w:p w14:paraId="5E80AB35">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项目负责人1名：大专以上学历，机电相关专业。</w:t>
      </w:r>
    </w:p>
    <w:p w14:paraId="262696BF">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技术负责人1名：大专以上学历，机电相关专业。</w:t>
      </w:r>
    </w:p>
    <w:p w14:paraId="370D4CBE">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highlight w:val="none"/>
        </w:rPr>
      </w:pPr>
      <w:r>
        <w:rPr>
          <w:rFonts w:hint="eastAsia" w:ascii="宋体" w:hAnsi="宋体" w:eastAsia="宋体" w:cs="宋体"/>
          <w:kern w:val="0"/>
          <w:sz w:val="21"/>
          <w:szCs w:val="21"/>
          <w:highlight w:val="none"/>
          <w:lang w:val="en-US" w:eastAsia="zh-CN"/>
        </w:rPr>
        <w:t>安全负责人1名：大专以上学历，持有安全员C证。</w:t>
      </w:r>
    </w:p>
    <w:p w14:paraId="0C590E72">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default" w:eastAsia="宋体"/>
          <w:highlight w:val="none"/>
          <w:lang w:val="en-US" w:eastAsia="zh-CN"/>
        </w:rPr>
      </w:pPr>
      <w:r>
        <w:rPr>
          <w:rFonts w:hint="eastAsia"/>
          <w:highlight w:val="none"/>
          <w:lang w:val="en-US" w:eastAsia="zh-CN"/>
        </w:rPr>
        <w:t>上述人员可兼任。</w:t>
      </w:r>
    </w:p>
    <w:p w14:paraId="2ABD0624">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一般作业人员不低于3人：具备机电工程项目施工工作经验。</w:t>
      </w:r>
    </w:p>
    <w:p w14:paraId="3F6D90B6">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特种作业人员不低于3人：从事焊切割、登高作业人员须持有相应的特殊工种证。</w:t>
      </w:r>
    </w:p>
    <w:p w14:paraId="25569F32">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注：合同签订后项目实施前提交所有人员资料报招标人核查，中标人须按照上述要求配置人员，否则招标人报监督管理部门依法处理。</w:t>
      </w:r>
    </w:p>
    <w:p w14:paraId="2E58B16D">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4.2中标人施工过程所发生的一切交通（含地铁卡）、通信费用由中标人承担，项目所需的工器具、办公用品、管理用具、劳保用品、安全防护用具、工作服（工作服的式样、标识需征得招标人同意）等均由中标人自行解决。</w:t>
      </w:r>
    </w:p>
    <w:p w14:paraId="51A14A29">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4.3 实施人员要求具备一定的消防设备施工作业经验，作业前要了解工程项目的内容和性质、服务对象及安装位置，实施人员要熟悉技术、质量要求，强化技术管理及安全保护措施。</w:t>
      </w:r>
    </w:p>
    <w:p w14:paraId="218ACED5">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4.4必须无条件遵守运营公司所有的制度及相关管理规定。所有作业时间、作业人员资质要求、作业人员进场安全培训要求均按招标人有关规定。</w:t>
      </w:r>
    </w:p>
    <w:p w14:paraId="080BB4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宋体" w:hAnsi="宋体" w:eastAsia="宋体" w:cs="宋体"/>
          <w:b/>
          <w:bCs/>
          <w:kern w:val="0"/>
          <w:sz w:val="21"/>
          <w:szCs w:val="21"/>
          <w:highlight w:val="none"/>
          <w:lang w:val="en-US" w:eastAsia="zh-CN"/>
        </w:rPr>
      </w:pPr>
      <w:r>
        <w:rPr>
          <w:rFonts w:hint="eastAsia" w:ascii="宋体" w:hAnsi="宋体" w:eastAsia="宋体" w:cs="宋体"/>
          <w:b/>
          <w:bCs/>
          <w:kern w:val="0"/>
          <w:sz w:val="21"/>
          <w:szCs w:val="21"/>
          <w:highlight w:val="none"/>
          <w:lang w:val="en-US" w:eastAsia="zh-CN"/>
        </w:rPr>
        <w:t>五、工作内容</w:t>
      </w:r>
    </w:p>
    <w:p w14:paraId="36ADDB4A">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5.1 工作量清单</w:t>
      </w:r>
    </w:p>
    <w:p w14:paraId="4A35BB93">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设备清单包含但不限于此表所列内容，具体工程量以现场实际为准。</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1533"/>
        <w:gridCol w:w="1117"/>
        <w:gridCol w:w="1300"/>
        <w:gridCol w:w="1116"/>
        <w:gridCol w:w="750"/>
        <w:gridCol w:w="2033"/>
      </w:tblGrid>
      <w:tr w14:paraId="38AC6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noWrap w:val="0"/>
            <w:vAlign w:val="center"/>
          </w:tcPr>
          <w:p w14:paraId="63C6FEAE">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b/>
                <w:kern w:val="0"/>
                <w:sz w:val="21"/>
                <w:szCs w:val="21"/>
                <w:highlight w:val="none"/>
                <w:lang w:eastAsia="zh-CN"/>
              </w:rPr>
              <w:t>序号</w:t>
            </w:r>
          </w:p>
        </w:tc>
        <w:tc>
          <w:tcPr>
            <w:tcW w:w="1533" w:type="dxa"/>
            <w:noWrap w:val="0"/>
            <w:vAlign w:val="center"/>
          </w:tcPr>
          <w:p w14:paraId="708EEFEF">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b/>
                <w:kern w:val="0"/>
                <w:sz w:val="21"/>
                <w:szCs w:val="21"/>
                <w:highlight w:val="none"/>
                <w:lang w:val="en-US" w:eastAsia="zh-CN"/>
              </w:rPr>
              <w:t>位置</w:t>
            </w:r>
          </w:p>
        </w:tc>
        <w:tc>
          <w:tcPr>
            <w:tcW w:w="1117" w:type="dxa"/>
            <w:noWrap w:val="0"/>
            <w:vAlign w:val="center"/>
          </w:tcPr>
          <w:p w14:paraId="14C1058C">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b/>
                <w:kern w:val="0"/>
                <w:sz w:val="21"/>
                <w:szCs w:val="21"/>
                <w:highlight w:val="none"/>
                <w:lang w:val="en-US" w:eastAsia="zh-CN"/>
              </w:rPr>
              <w:t>设备名称</w:t>
            </w:r>
          </w:p>
        </w:tc>
        <w:tc>
          <w:tcPr>
            <w:tcW w:w="1300" w:type="dxa"/>
            <w:noWrap w:val="0"/>
            <w:vAlign w:val="center"/>
          </w:tcPr>
          <w:p w14:paraId="46C988D8">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b/>
                <w:kern w:val="0"/>
                <w:sz w:val="21"/>
                <w:szCs w:val="21"/>
                <w:highlight w:val="none"/>
                <w:lang w:val="en-US" w:eastAsia="zh-CN"/>
              </w:rPr>
              <w:t>规格型号</w:t>
            </w:r>
          </w:p>
        </w:tc>
        <w:tc>
          <w:tcPr>
            <w:tcW w:w="1116" w:type="dxa"/>
            <w:noWrap w:val="0"/>
            <w:vAlign w:val="center"/>
          </w:tcPr>
          <w:p w14:paraId="44200626">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b/>
                <w:kern w:val="0"/>
                <w:sz w:val="21"/>
                <w:szCs w:val="21"/>
                <w:highlight w:val="none"/>
                <w:lang w:val="en-US" w:eastAsia="zh-CN"/>
              </w:rPr>
              <w:t>计量单位</w:t>
            </w:r>
          </w:p>
        </w:tc>
        <w:tc>
          <w:tcPr>
            <w:tcW w:w="750" w:type="dxa"/>
            <w:noWrap w:val="0"/>
            <w:vAlign w:val="center"/>
          </w:tcPr>
          <w:p w14:paraId="1EA68899">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b/>
                <w:kern w:val="0"/>
                <w:sz w:val="21"/>
                <w:szCs w:val="21"/>
                <w:highlight w:val="none"/>
                <w:lang w:val="en-US" w:eastAsia="zh-CN"/>
              </w:rPr>
            </w:pPr>
            <w:r>
              <w:rPr>
                <w:rFonts w:hint="eastAsia" w:ascii="宋体" w:hAnsi="宋体" w:eastAsia="宋体" w:cs="宋体"/>
                <w:b/>
                <w:kern w:val="0"/>
                <w:sz w:val="21"/>
                <w:szCs w:val="21"/>
                <w:highlight w:val="none"/>
                <w:lang w:val="en-US" w:eastAsia="zh-CN"/>
              </w:rPr>
              <w:t>数量</w:t>
            </w:r>
          </w:p>
        </w:tc>
        <w:tc>
          <w:tcPr>
            <w:tcW w:w="2033" w:type="dxa"/>
            <w:noWrap w:val="0"/>
            <w:vAlign w:val="center"/>
          </w:tcPr>
          <w:p w14:paraId="04BCEFE7">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b/>
                <w:kern w:val="0"/>
                <w:sz w:val="21"/>
                <w:szCs w:val="21"/>
                <w:highlight w:val="none"/>
                <w:lang w:val="en-US" w:eastAsia="zh-CN"/>
              </w:rPr>
            </w:pPr>
            <w:r>
              <w:rPr>
                <w:rFonts w:hint="eastAsia" w:ascii="宋体" w:hAnsi="宋体" w:eastAsia="宋体" w:cs="宋体"/>
                <w:b/>
                <w:kern w:val="0"/>
                <w:sz w:val="21"/>
                <w:szCs w:val="21"/>
                <w:highlight w:val="none"/>
                <w:lang w:val="en-US" w:eastAsia="zh-CN"/>
              </w:rPr>
              <w:t>备注</w:t>
            </w:r>
          </w:p>
        </w:tc>
      </w:tr>
      <w:tr w14:paraId="6A665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70" w:type="dxa"/>
            <w:vMerge w:val="restart"/>
            <w:noWrap w:val="0"/>
            <w:vAlign w:val="center"/>
          </w:tcPr>
          <w:p w14:paraId="50A459E8">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w:t>
            </w:r>
          </w:p>
        </w:tc>
        <w:tc>
          <w:tcPr>
            <w:tcW w:w="1533" w:type="dxa"/>
            <w:vMerge w:val="restart"/>
            <w:noWrap w:val="0"/>
            <w:vAlign w:val="center"/>
          </w:tcPr>
          <w:p w14:paraId="75D3E58A">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相官车辆段工程车库</w:t>
            </w:r>
          </w:p>
          <w:p w14:paraId="29560E0F">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117" w:type="dxa"/>
            <w:vMerge w:val="restart"/>
            <w:noWrap w:val="0"/>
            <w:vAlign w:val="center"/>
          </w:tcPr>
          <w:p w14:paraId="6FC4132D">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消防管</w:t>
            </w:r>
          </w:p>
        </w:tc>
        <w:tc>
          <w:tcPr>
            <w:tcW w:w="1300" w:type="dxa"/>
            <w:noWrap w:val="0"/>
            <w:vAlign w:val="center"/>
          </w:tcPr>
          <w:p w14:paraId="58ECDB6E">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DN150</w:t>
            </w:r>
          </w:p>
        </w:tc>
        <w:tc>
          <w:tcPr>
            <w:tcW w:w="1116" w:type="dxa"/>
            <w:noWrap w:val="0"/>
            <w:vAlign w:val="center"/>
          </w:tcPr>
          <w:p w14:paraId="1D971B5E">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米</w:t>
            </w:r>
          </w:p>
        </w:tc>
        <w:tc>
          <w:tcPr>
            <w:tcW w:w="750" w:type="dxa"/>
            <w:noWrap w:val="0"/>
            <w:vAlign w:val="center"/>
          </w:tcPr>
          <w:p w14:paraId="68DE5957">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180</w:t>
            </w:r>
          </w:p>
        </w:tc>
        <w:tc>
          <w:tcPr>
            <w:tcW w:w="2033" w:type="dxa"/>
            <w:vMerge w:val="restart"/>
            <w:noWrap w:val="0"/>
            <w:vAlign w:val="center"/>
          </w:tcPr>
          <w:p w14:paraId="4EEA9B8C">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需登高作业，登高约10米</w:t>
            </w:r>
          </w:p>
        </w:tc>
      </w:tr>
      <w:tr w14:paraId="15C8B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70" w:type="dxa"/>
            <w:vMerge w:val="continue"/>
            <w:noWrap w:val="0"/>
            <w:vAlign w:val="center"/>
          </w:tcPr>
          <w:p w14:paraId="27ADE5A6">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533" w:type="dxa"/>
            <w:vMerge w:val="continue"/>
            <w:noWrap w:val="0"/>
            <w:vAlign w:val="center"/>
          </w:tcPr>
          <w:p w14:paraId="4B0B57CF">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117" w:type="dxa"/>
            <w:vMerge w:val="continue"/>
            <w:noWrap w:val="0"/>
            <w:vAlign w:val="center"/>
          </w:tcPr>
          <w:p w14:paraId="31B1E558">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300" w:type="dxa"/>
            <w:noWrap w:val="0"/>
            <w:vAlign w:val="center"/>
          </w:tcPr>
          <w:p w14:paraId="0DF2F8DC">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DN65</w:t>
            </w:r>
          </w:p>
        </w:tc>
        <w:tc>
          <w:tcPr>
            <w:tcW w:w="1116" w:type="dxa"/>
            <w:noWrap w:val="0"/>
            <w:vAlign w:val="center"/>
          </w:tcPr>
          <w:p w14:paraId="3D7F4290">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米</w:t>
            </w:r>
          </w:p>
        </w:tc>
        <w:tc>
          <w:tcPr>
            <w:tcW w:w="750" w:type="dxa"/>
            <w:noWrap w:val="0"/>
            <w:vAlign w:val="center"/>
          </w:tcPr>
          <w:p w14:paraId="71015B36">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40</w:t>
            </w:r>
          </w:p>
        </w:tc>
        <w:tc>
          <w:tcPr>
            <w:tcW w:w="2033" w:type="dxa"/>
            <w:vMerge w:val="continue"/>
            <w:noWrap w:val="0"/>
            <w:vAlign w:val="center"/>
          </w:tcPr>
          <w:p w14:paraId="45F1270B">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r>
      <w:tr w14:paraId="3F0C0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70" w:type="dxa"/>
            <w:vMerge w:val="continue"/>
            <w:noWrap w:val="0"/>
            <w:vAlign w:val="center"/>
          </w:tcPr>
          <w:p w14:paraId="2C59870B">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533" w:type="dxa"/>
            <w:vMerge w:val="continue"/>
            <w:noWrap w:val="0"/>
            <w:vAlign w:val="center"/>
          </w:tcPr>
          <w:p w14:paraId="646BC8F6">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117" w:type="dxa"/>
            <w:vMerge w:val="restart"/>
            <w:noWrap w:val="0"/>
            <w:vAlign w:val="center"/>
          </w:tcPr>
          <w:p w14:paraId="4FBAD7F2">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弯头</w:t>
            </w:r>
          </w:p>
        </w:tc>
        <w:tc>
          <w:tcPr>
            <w:tcW w:w="1300" w:type="dxa"/>
            <w:noWrap w:val="0"/>
            <w:vAlign w:val="center"/>
          </w:tcPr>
          <w:p w14:paraId="377CAAD1">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DN150</w:t>
            </w:r>
          </w:p>
        </w:tc>
        <w:tc>
          <w:tcPr>
            <w:tcW w:w="1116" w:type="dxa"/>
            <w:noWrap w:val="0"/>
            <w:vAlign w:val="center"/>
          </w:tcPr>
          <w:p w14:paraId="6E5FF5F3">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个</w:t>
            </w:r>
          </w:p>
        </w:tc>
        <w:tc>
          <w:tcPr>
            <w:tcW w:w="750" w:type="dxa"/>
            <w:noWrap w:val="0"/>
            <w:vAlign w:val="center"/>
          </w:tcPr>
          <w:p w14:paraId="76BBD08A">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12</w:t>
            </w:r>
          </w:p>
        </w:tc>
        <w:tc>
          <w:tcPr>
            <w:tcW w:w="2033" w:type="dxa"/>
            <w:vMerge w:val="continue"/>
            <w:noWrap w:val="0"/>
            <w:vAlign w:val="top"/>
          </w:tcPr>
          <w:p w14:paraId="0741D2C5">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r>
      <w:tr w14:paraId="0D97F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670" w:type="dxa"/>
            <w:vMerge w:val="continue"/>
            <w:noWrap w:val="0"/>
            <w:vAlign w:val="center"/>
          </w:tcPr>
          <w:p w14:paraId="0E0E4C9A">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533" w:type="dxa"/>
            <w:vMerge w:val="continue"/>
            <w:noWrap w:val="0"/>
            <w:vAlign w:val="center"/>
          </w:tcPr>
          <w:p w14:paraId="3A446FE9">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117" w:type="dxa"/>
            <w:vMerge w:val="continue"/>
            <w:noWrap w:val="0"/>
            <w:vAlign w:val="center"/>
          </w:tcPr>
          <w:p w14:paraId="2B4D45A3">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300" w:type="dxa"/>
            <w:noWrap w:val="0"/>
            <w:vAlign w:val="center"/>
          </w:tcPr>
          <w:p w14:paraId="366B61EA">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DN65</w:t>
            </w:r>
          </w:p>
        </w:tc>
        <w:tc>
          <w:tcPr>
            <w:tcW w:w="1116" w:type="dxa"/>
            <w:noWrap w:val="0"/>
            <w:vAlign w:val="center"/>
          </w:tcPr>
          <w:p w14:paraId="0769349D">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个</w:t>
            </w:r>
          </w:p>
        </w:tc>
        <w:tc>
          <w:tcPr>
            <w:tcW w:w="750" w:type="dxa"/>
            <w:noWrap w:val="0"/>
            <w:vAlign w:val="center"/>
          </w:tcPr>
          <w:p w14:paraId="5CC7014D">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12</w:t>
            </w:r>
          </w:p>
        </w:tc>
        <w:tc>
          <w:tcPr>
            <w:tcW w:w="2033" w:type="dxa"/>
            <w:vMerge w:val="continue"/>
            <w:noWrap w:val="0"/>
            <w:vAlign w:val="top"/>
          </w:tcPr>
          <w:p w14:paraId="51DD80D5">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r>
      <w:tr w14:paraId="51243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70" w:type="dxa"/>
            <w:vMerge w:val="continue"/>
            <w:noWrap w:val="0"/>
            <w:vAlign w:val="center"/>
          </w:tcPr>
          <w:p w14:paraId="5059ED05">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533" w:type="dxa"/>
            <w:vMerge w:val="continue"/>
            <w:noWrap w:val="0"/>
            <w:vAlign w:val="center"/>
          </w:tcPr>
          <w:p w14:paraId="0FBFF136">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117" w:type="dxa"/>
            <w:noWrap w:val="0"/>
            <w:vAlign w:val="center"/>
          </w:tcPr>
          <w:p w14:paraId="3CC6C0B4">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三通</w:t>
            </w:r>
          </w:p>
        </w:tc>
        <w:tc>
          <w:tcPr>
            <w:tcW w:w="1300" w:type="dxa"/>
            <w:noWrap w:val="0"/>
            <w:vAlign w:val="center"/>
          </w:tcPr>
          <w:p w14:paraId="1ABA229F">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DN150</w:t>
            </w:r>
          </w:p>
        </w:tc>
        <w:tc>
          <w:tcPr>
            <w:tcW w:w="1116" w:type="dxa"/>
            <w:noWrap w:val="0"/>
            <w:vAlign w:val="center"/>
          </w:tcPr>
          <w:p w14:paraId="02B77CCE">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个</w:t>
            </w:r>
          </w:p>
        </w:tc>
        <w:tc>
          <w:tcPr>
            <w:tcW w:w="750" w:type="dxa"/>
            <w:noWrap w:val="0"/>
            <w:vAlign w:val="center"/>
          </w:tcPr>
          <w:p w14:paraId="106E51F3">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w:t>
            </w:r>
          </w:p>
        </w:tc>
        <w:tc>
          <w:tcPr>
            <w:tcW w:w="2033" w:type="dxa"/>
            <w:vMerge w:val="continue"/>
            <w:noWrap w:val="0"/>
            <w:vAlign w:val="top"/>
          </w:tcPr>
          <w:p w14:paraId="5F6F84FE">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r>
      <w:tr w14:paraId="4E06A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0" w:type="dxa"/>
            <w:vMerge w:val="restart"/>
            <w:noWrap w:val="0"/>
            <w:vAlign w:val="center"/>
          </w:tcPr>
          <w:p w14:paraId="48D47E04">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w:t>
            </w:r>
          </w:p>
        </w:tc>
        <w:tc>
          <w:tcPr>
            <w:tcW w:w="1533" w:type="dxa"/>
            <w:vMerge w:val="restart"/>
            <w:noWrap w:val="0"/>
            <w:vAlign w:val="center"/>
          </w:tcPr>
          <w:p w14:paraId="08F9E92C">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相官车辆段检修库</w:t>
            </w:r>
          </w:p>
          <w:p w14:paraId="38EC95B7">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117" w:type="dxa"/>
            <w:vMerge w:val="restart"/>
            <w:noWrap w:val="0"/>
            <w:vAlign w:val="center"/>
          </w:tcPr>
          <w:p w14:paraId="6998AF16">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消防管</w:t>
            </w:r>
          </w:p>
        </w:tc>
        <w:tc>
          <w:tcPr>
            <w:tcW w:w="1300" w:type="dxa"/>
            <w:noWrap w:val="0"/>
            <w:vAlign w:val="center"/>
          </w:tcPr>
          <w:p w14:paraId="7A43EE92">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DN100</w:t>
            </w:r>
          </w:p>
        </w:tc>
        <w:tc>
          <w:tcPr>
            <w:tcW w:w="1116" w:type="dxa"/>
            <w:noWrap w:val="0"/>
            <w:vAlign w:val="center"/>
          </w:tcPr>
          <w:p w14:paraId="63E97B43">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米</w:t>
            </w:r>
          </w:p>
        </w:tc>
        <w:tc>
          <w:tcPr>
            <w:tcW w:w="750" w:type="dxa"/>
            <w:noWrap w:val="0"/>
            <w:vAlign w:val="center"/>
          </w:tcPr>
          <w:p w14:paraId="7EC1D6D4">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380</w:t>
            </w:r>
          </w:p>
        </w:tc>
        <w:tc>
          <w:tcPr>
            <w:tcW w:w="2033" w:type="dxa"/>
            <w:vMerge w:val="restart"/>
            <w:noWrap w:val="0"/>
            <w:vAlign w:val="center"/>
          </w:tcPr>
          <w:p w14:paraId="7829B97B">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需登高作业，登高约13米，需断电作业，断电时间每日10</w:t>
            </w:r>
            <w:r>
              <w:rPr>
                <w:rFonts w:hint="eastAsia" w:ascii="宋体" w:hAnsi="宋体" w:cs="宋体"/>
                <w:kern w:val="0"/>
                <w:sz w:val="21"/>
                <w:szCs w:val="21"/>
                <w:highlight w:val="none"/>
                <w:lang w:val="en-US" w:eastAsia="zh-CN"/>
              </w:rPr>
              <w:t>：00-14：00</w:t>
            </w:r>
            <w:r>
              <w:rPr>
                <w:rFonts w:hint="eastAsia" w:ascii="宋体" w:hAnsi="宋体" w:eastAsia="宋体" w:cs="宋体"/>
                <w:kern w:val="0"/>
                <w:sz w:val="21"/>
                <w:szCs w:val="21"/>
                <w:highlight w:val="none"/>
                <w:lang w:val="en-US" w:eastAsia="zh-CN"/>
              </w:rPr>
              <w:t>，断电工作日</w:t>
            </w:r>
            <w:r>
              <w:rPr>
                <w:rFonts w:hint="eastAsia" w:ascii="宋体" w:hAnsi="宋体" w:cs="宋体"/>
                <w:kern w:val="0"/>
                <w:sz w:val="21"/>
                <w:szCs w:val="21"/>
                <w:highlight w:val="none"/>
                <w:lang w:val="en-US" w:eastAsia="zh-CN"/>
              </w:rPr>
              <w:t>以</w:t>
            </w:r>
            <w:r>
              <w:rPr>
                <w:rFonts w:hint="eastAsia" w:ascii="宋体" w:hAnsi="宋体" w:eastAsia="宋体" w:cs="宋体"/>
                <w:kern w:val="0"/>
                <w:sz w:val="21"/>
                <w:szCs w:val="21"/>
                <w:highlight w:val="none"/>
                <w:lang w:val="en-US" w:eastAsia="zh-CN"/>
              </w:rPr>
              <w:t>滁宁城铁日常断电检修工作日为主</w:t>
            </w:r>
          </w:p>
        </w:tc>
      </w:tr>
      <w:tr w14:paraId="0AB56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0" w:type="dxa"/>
            <w:vMerge w:val="continue"/>
            <w:noWrap w:val="0"/>
            <w:vAlign w:val="center"/>
          </w:tcPr>
          <w:p w14:paraId="3ABF8BED">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533" w:type="dxa"/>
            <w:vMerge w:val="continue"/>
            <w:noWrap w:val="0"/>
            <w:vAlign w:val="center"/>
          </w:tcPr>
          <w:p w14:paraId="5B44B304">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117" w:type="dxa"/>
            <w:vMerge w:val="continue"/>
            <w:noWrap w:val="0"/>
            <w:vAlign w:val="center"/>
          </w:tcPr>
          <w:p w14:paraId="05AC581E">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300" w:type="dxa"/>
            <w:noWrap w:val="0"/>
            <w:vAlign w:val="center"/>
          </w:tcPr>
          <w:p w14:paraId="71D771D4">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DN65</w:t>
            </w:r>
          </w:p>
        </w:tc>
        <w:tc>
          <w:tcPr>
            <w:tcW w:w="1116" w:type="dxa"/>
            <w:noWrap w:val="0"/>
            <w:vAlign w:val="center"/>
          </w:tcPr>
          <w:p w14:paraId="203DF8E6">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米</w:t>
            </w:r>
          </w:p>
        </w:tc>
        <w:tc>
          <w:tcPr>
            <w:tcW w:w="750" w:type="dxa"/>
            <w:noWrap w:val="0"/>
            <w:vAlign w:val="center"/>
          </w:tcPr>
          <w:p w14:paraId="33497565">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100</w:t>
            </w:r>
          </w:p>
        </w:tc>
        <w:tc>
          <w:tcPr>
            <w:tcW w:w="2033" w:type="dxa"/>
            <w:vMerge w:val="continue"/>
            <w:noWrap w:val="0"/>
            <w:vAlign w:val="center"/>
          </w:tcPr>
          <w:p w14:paraId="33AADBF7">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r>
      <w:tr w14:paraId="4ED32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70" w:type="dxa"/>
            <w:vMerge w:val="continue"/>
            <w:noWrap w:val="0"/>
            <w:vAlign w:val="center"/>
          </w:tcPr>
          <w:p w14:paraId="187B7FF7">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533" w:type="dxa"/>
            <w:vMerge w:val="continue"/>
            <w:noWrap w:val="0"/>
            <w:vAlign w:val="center"/>
          </w:tcPr>
          <w:p w14:paraId="0639D613">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117" w:type="dxa"/>
            <w:noWrap w:val="0"/>
            <w:vAlign w:val="center"/>
          </w:tcPr>
          <w:p w14:paraId="3F7E9933">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生活管</w:t>
            </w:r>
          </w:p>
        </w:tc>
        <w:tc>
          <w:tcPr>
            <w:tcW w:w="1300" w:type="dxa"/>
            <w:noWrap w:val="0"/>
            <w:vAlign w:val="center"/>
          </w:tcPr>
          <w:p w14:paraId="0B1E8BFA">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DN50</w:t>
            </w:r>
          </w:p>
        </w:tc>
        <w:tc>
          <w:tcPr>
            <w:tcW w:w="1116" w:type="dxa"/>
            <w:noWrap w:val="0"/>
            <w:vAlign w:val="center"/>
          </w:tcPr>
          <w:p w14:paraId="4680A697">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米</w:t>
            </w:r>
          </w:p>
        </w:tc>
        <w:tc>
          <w:tcPr>
            <w:tcW w:w="750" w:type="dxa"/>
            <w:noWrap w:val="0"/>
            <w:vAlign w:val="center"/>
          </w:tcPr>
          <w:p w14:paraId="281DAD07">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700</w:t>
            </w:r>
          </w:p>
        </w:tc>
        <w:tc>
          <w:tcPr>
            <w:tcW w:w="2033" w:type="dxa"/>
            <w:vMerge w:val="continue"/>
            <w:noWrap w:val="0"/>
            <w:vAlign w:val="center"/>
          </w:tcPr>
          <w:p w14:paraId="480DFC64">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r>
      <w:tr w14:paraId="76B72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670" w:type="dxa"/>
            <w:vMerge w:val="continue"/>
            <w:noWrap w:val="0"/>
            <w:vAlign w:val="center"/>
          </w:tcPr>
          <w:p w14:paraId="67F9EFFD">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533" w:type="dxa"/>
            <w:vMerge w:val="continue"/>
            <w:noWrap w:val="0"/>
            <w:vAlign w:val="center"/>
          </w:tcPr>
          <w:p w14:paraId="6B6041B6">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117" w:type="dxa"/>
            <w:vMerge w:val="restart"/>
            <w:noWrap w:val="0"/>
            <w:vAlign w:val="center"/>
          </w:tcPr>
          <w:p w14:paraId="58B91E47">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弯头</w:t>
            </w:r>
          </w:p>
        </w:tc>
        <w:tc>
          <w:tcPr>
            <w:tcW w:w="1300" w:type="dxa"/>
            <w:noWrap w:val="0"/>
            <w:vAlign w:val="center"/>
          </w:tcPr>
          <w:p w14:paraId="47E4F3BB">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DN100</w:t>
            </w:r>
          </w:p>
        </w:tc>
        <w:tc>
          <w:tcPr>
            <w:tcW w:w="1116" w:type="dxa"/>
            <w:noWrap w:val="0"/>
            <w:vAlign w:val="center"/>
          </w:tcPr>
          <w:p w14:paraId="5E32C327">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个</w:t>
            </w:r>
          </w:p>
        </w:tc>
        <w:tc>
          <w:tcPr>
            <w:tcW w:w="750" w:type="dxa"/>
            <w:noWrap w:val="0"/>
            <w:vAlign w:val="center"/>
          </w:tcPr>
          <w:p w14:paraId="46F588CC">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10</w:t>
            </w:r>
          </w:p>
        </w:tc>
        <w:tc>
          <w:tcPr>
            <w:tcW w:w="2033" w:type="dxa"/>
            <w:vMerge w:val="continue"/>
            <w:noWrap w:val="0"/>
            <w:vAlign w:val="center"/>
          </w:tcPr>
          <w:p w14:paraId="313738B1">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r>
      <w:tr w14:paraId="23B05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70" w:type="dxa"/>
            <w:vMerge w:val="continue"/>
            <w:noWrap w:val="0"/>
            <w:vAlign w:val="center"/>
          </w:tcPr>
          <w:p w14:paraId="579838A3">
            <w:pPr>
              <w:keepNext w:val="0"/>
              <w:keepLines w:val="0"/>
              <w:numPr>
                <w:ilvl w:val="0"/>
                <w:numId w:val="0"/>
              </w:numPr>
              <w:suppressLineNumbers w:val="0"/>
              <w:spacing w:before="0" w:beforeAutospacing="0" w:after="0" w:afterAutospacing="0" w:line="360" w:lineRule="auto"/>
              <w:ind w:left="0" w:right="0"/>
              <w:jc w:val="center"/>
              <w:rPr>
                <w:rFonts w:hint="eastAsia" w:ascii="宋体" w:hAnsi="宋体" w:eastAsia="宋体" w:cs="宋体"/>
                <w:sz w:val="21"/>
                <w:szCs w:val="21"/>
                <w:highlight w:val="none"/>
                <w:vertAlign w:val="baseline"/>
                <w:lang w:val="en-US" w:eastAsia="zh-CN"/>
              </w:rPr>
            </w:pPr>
          </w:p>
        </w:tc>
        <w:tc>
          <w:tcPr>
            <w:tcW w:w="1533" w:type="dxa"/>
            <w:vMerge w:val="continue"/>
            <w:noWrap w:val="0"/>
            <w:vAlign w:val="center"/>
          </w:tcPr>
          <w:p w14:paraId="6117A8B4">
            <w:pPr>
              <w:keepNext w:val="0"/>
              <w:keepLines w:val="0"/>
              <w:numPr>
                <w:ilvl w:val="0"/>
                <w:numId w:val="0"/>
              </w:numPr>
              <w:suppressLineNumbers w:val="0"/>
              <w:spacing w:before="0" w:beforeAutospacing="0" w:after="0" w:afterAutospacing="0" w:line="360" w:lineRule="auto"/>
              <w:ind w:left="0" w:right="0"/>
              <w:jc w:val="center"/>
              <w:rPr>
                <w:rFonts w:hint="eastAsia" w:ascii="宋体" w:hAnsi="宋体" w:eastAsia="宋体" w:cs="宋体"/>
                <w:sz w:val="21"/>
                <w:szCs w:val="21"/>
                <w:highlight w:val="none"/>
                <w:vertAlign w:val="baseline"/>
                <w:lang w:val="en-US" w:eastAsia="zh-CN"/>
              </w:rPr>
            </w:pPr>
          </w:p>
        </w:tc>
        <w:tc>
          <w:tcPr>
            <w:tcW w:w="1117" w:type="dxa"/>
            <w:vMerge w:val="continue"/>
            <w:noWrap w:val="0"/>
            <w:vAlign w:val="center"/>
          </w:tcPr>
          <w:p w14:paraId="5BDA694F">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300" w:type="dxa"/>
            <w:noWrap w:val="0"/>
            <w:vAlign w:val="center"/>
          </w:tcPr>
          <w:p w14:paraId="1A7285B9">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DN65</w:t>
            </w:r>
          </w:p>
        </w:tc>
        <w:tc>
          <w:tcPr>
            <w:tcW w:w="1116" w:type="dxa"/>
            <w:noWrap w:val="0"/>
            <w:vAlign w:val="center"/>
          </w:tcPr>
          <w:p w14:paraId="44558702">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个</w:t>
            </w:r>
          </w:p>
        </w:tc>
        <w:tc>
          <w:tcPr>
            <w:tcW w:w="750" w:type="dxa"/>
            <w:noWrap w:val="0"/>
            <w:vAlign w:val="center"/>
          </w:tcPr>
          <w:p w14:paraId="34DA6E92">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40</w:t>
            </w:r>
          </w:p>
        </w:tc>
        <w:tc>
          <w:tcPr>
            <w:tcW w:w="2033" w:type="dxa"/>
            <w:vMerge w:val="continue"/>
            <w:noWrap w:val="0"/>
            <w:vAlign w:val="center"/>
          </w:tcPr>
          <w:p w14:paraId="33760477">
            <w:pPr>
              <w:keepNext w:val="0"/>
              <w:keepLines w:val="0"/>
              <w:numPr>
                <w:ilvl w:val="0"/>
                <w:numId w:val="0"/>
              </w:numPr>
              <w:suppressLineNumbers w:val="0"/>
              <w:spacing w:before="0" w:beforeAutospacing="0" w:after="0" w:afterAutospacing="0" w:line="360" w:lineRule="auto"/>
              <w:ind w:left="0" w:right="0"/>
              <w:jc w:val="center"/>
              <w:rPr>
                <w:rFonts w:hint="eastAsia" w:ascii="宋体" w:hAnsi="宋体" w:eastAsia="宋体" w:cs="宋体"/>
                <w:sz w:val="21"/>
                <w:szCs w:val="21"/>
                <w:highlight w:val="none"/>
                <w:vertAlign w:val="baseline"/>
                <w:lang w:val="en-US" w:eastAsia="zh-CN"/>
              </w:rPr>
            </w:pPr>
          </w:p>
        </w:tc>
      </w:tr>
      <w:tr w14:paraId="77E8C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670" w:type="dxa"/>
            <w:vMerge w:val="continue"/>
            <w:noWrap w:val="0"/>
            <w:vAlign w:val="center"/>
          </w:tcPr>
          <w:p w14:paraId="7C50C959">
            <w:pPr>
              <w:keepNext w:val="0"/>
              <w:keepLines w:val="0"/>
              <w:numPr>
                <w:ilvl w:val="0"/>
                <w:numId w:val="0"/>
              </w:numPr>
              <w:suppressLineNumbers w:val="0"/>
              <w:spacing w:before="0" w:beforeAutospacing="0" w:after="0" w:afterAutospacing="0" w:line="360" w:lineRule="auto"/>
              <w:ind w:left="0" w:right="0"/>
              <w:jc w:val="center"/>
              <w:rPr>
                <w:rFonts w:hint="eastAsia" w:ascii="宋体" w:hAnsi="宋体" w:eastAsia="宋体" w:cs="宋体"/>
                <w:sz w:val="21"/>
                <w:szCs w:val="21"/>
                <w:highlight w:val="none"/>
                <w:vertAlign w:val="baseline"/>
                <w:lang w:val="en-US" w:eastAsia="zh-CN"/>
              </w:rPr>
            </w:pPr>
          </w:p>
        </w:tc>
        <w:tc>
          <w:tcPr>
            <w:tcW w:w="1533" w:type="dxa"/>
            <w:vMerge w:val="continue"/>
            <w:noWrap w:val="0"/>
            <w:vAlign w:val="center"/>
          </w:tcPr>
          <w:p w14:paraId="251AC41B">
            <w:pPr>
              <w:keepNext w:val="0"/>
              <w:keepLines w:val="0"/>
              <w:numPr>
                <w:ilvl w:val="0"/>
                <w:numId w:val="0"/>
              </w:numPr>
              <w:suppressLineNumbers w:val="0"/>
              <w:spacing w:before="0" w:beforeAutospacing="0" w:after="0" w:afterAutospacing="0" w:line="360" w:lineRule="auto"/>
              <w:ind w:left="0" w:right="0"/>
              <w:jc w:val="center"/>
              <w:rPr>
                <w:rFonts w:hint="eastAsia" w:ascii="宋体" w:hAnsi="宋体" w:eastAsia="宋体" w:cs="宋体"/>
                <w:sz w:val="21"/>
                <w:szCs w:val="21"/>
                <w:highlight w:val="none"/>
                <w:vertAlign w:val="baseline"/>
                <w:lang w:val="en-US" w:eastAsia="zh-CN"/>
              </w:rPr>
            </w:pPr>
          </w:p>
        </w:tc>
        <w:tc>
          <w:tcPr>
            <w:tcW w:w="1117" w:type="dxa"/>
            <w:vMerge w:val="continue"/>
            <w:noWrap w:val="0"/>
            <w:vAlign w:val="center"/>
          </w:tcPr>
          <w:p w14:paraId="335F2150">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300" w:type="dxa"/>
            <w:noWrap w:val="0"/>
            <w:vAlign w:val="center"/>
          </w:tcPr>
          <w:p w14:paraId="34AAF4BA">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DN50</w:t>
            </w:r>
          </w:p>
        </w:tc>
        <w:tc>
          <w:tcPr>
            <w:tcW w:w="1116" w:type="dxa"/>
            <w:noWrap w:val="0"/>
            <w:vAlign w:val="center"/>
          </w:tcPr>
          <w:p w14:paraId="2494A5A4">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个</w:t>
            </w:r>
          </w:p>
        </w:tc>
        <w:tc>
          <w:tcPr>
            <w:tcW w:w="750" w:type="dxa"/>
            <w:noWrap w:val="0"/>
            <w:vAlign w:val="center"/>
          </w:tcPr>
          <w:p w14:paraId="07A5E92A">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15</w:t>
            </w:r>
          </w:p>
        </w:tc>
        <w:tc>
          <w:tcPr>
            <w:tcW w:w="2033" w:type="dxa"/>
            <w:vMerge w:val="continue"/>
            <w:noWrap w:val="0"/>
            <w:vAlign w:val="center"/>
          </w:tcPr>
          <w:p w14:paraId="68BA8407">
            <w:pPr>
              <w:keepNext w:val="0"/>
              <w:keepLines w:val="0"/>
              <w:numPr>
                <w:ilvl w:val="0"/>
                <w:numId w:val="0"/>
              </w:numPr>
              <w:suppressLineNumbers w:val="0"/>
              <w:spacing w:before="0" w:beforeAutospacing="0" w:after="0" w:afterAutospacing="0" w:line="360" w:lineRule="auto"/>
              <w:ind w:left="0" w:right="0"/>
              <w:jc w:val="center"/>
              <w:rPr>
                <w:rFonts w:hint="eastAsia" w:ascii="宋体" w:hAnsi="宋体" w:eastAsia="宋体" w:cs="宋体"/>
                <w:sz w:val="21"/>
                <w:szCs w:val="21"/>
                <w:highlight w:val="none"/>
                <w:vertAlign w:val="baseline"/>
                <w:lang w:val="en-US" w:eastAsia="zh-CN"/>
              </w:rPr>
            </w:pPr>
          </w:p>
        </w:tc>
      </w:tr>
      <w:tr w14:paraId="063DD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70" w:type="dxa"/>
            <w:vMerge w:val="continue"/>
            <w:noWrap w:val="0"/>
            <w:vAlign w:val="center"/>
          </w:tcPr>
          <w:p w14:paraId="38D5F16C">
            <w:pPr>
              <w:keepNext w:val="0"/>
              <w:keepLines w:val="0"/>
              <w:numPr>
                <w:ilvl w:val="0"/>
                <w:numId w:val="0"/>
              </w:numPr>
              <w:suppressLineNumbers w:val="0"/>
              <w:spacing w:before="0" w:beforeAutospacing="0" w:after="0" w:afterAutospacing="0" w:line="360" w:lineRule="auto"/>
              <w:ind w:left="0" w:right="0"/>
              <w:jc w:val="center"/>
              <w:rPr>
                <w:rFonts w:hint="eastAsia" w:ascii="宋体" w:hAnsi="宋体" w:eastAsia="宋体" w:cs="宋体"/>
                <w:sz w:val="21"/>
                <w:szCs w:val="21"/>
                <w:highlight w:val="none"/>
                <w:vertAlign w:val="baseline"/>
                <w:lang w:val="en-US" w:eastAsia="zh-CN"/>
              </w:rPr>
            </w:pPr>
          </w:p>
        </w:tc>
        <w:tc>
          <w:tcPr>
            <w:tcW w:w="1533" w:type="dxa"/>
            <w:vMerge w:val="continue"/>
            <w:noWrap w:val="0"/>
            <w:vAlign w:val="center"/>
          </w:tcPr>
          <w:p w14:paraId="170F3E0B">
            <w:pPr>
              <w:keepNext w:val="0"/>
              <w:keepLines w:val="0"/>
              <w:numPr>
                <w:ilvl w:val="0"/>
                <w:numId w:val="0"/>
              </w:numPr>
              <w:suppressLineNumbers w:val="0"/>
              <w:spacing w:before="0" w:beforeAutospacing="0" w:after="0" w:afterAutospacing="0" w:line="360" w:lineRule="auto"/>
              <w:ind w:left="0" w:right="0"/>
              <w:jc w:val="center"/>
              <w:rPr>
                <w:rFonts w:hint="eastAsia" w:ascii="宋体" w:hAnsi="宋体" w:eastAsia="宋体" w:cs="宋体"/>
                <w:sz w:val="21"/>
                <w:szCs w:val="21"/>
                <w:highlight w:val="none"/>
                <w:vertAlign w:val="baseline"/>
                <w:lang w:val="en-US" w:eastAsia="zh-CN"/>
              </w:rPr>
            </w:pPr>
          </w:p>
        </w:tc>
        <w:tc>
          <w:tcPr>
            <w:tcW w:w="1117" w:type="dxa"/>
            <w:vMerge w:val="restart"/>
            <w:noWrap w:val="0"/>
            <w:vAlign w:val="center"/>
          </w:tcPr>
          <w:p w14:paraId="29E9EC1A">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三通</w:t>
            </w:r>
          </w:p>
        </w:tc>
        <w:tc>
          <w:tcPr>
            <w:tcW w:w="1300" w:type="dxa"/>
            <w:noWrap w:val="0"/>
            <w:vAlign w:val="center"/>
          </w:tcPr>
          <w:p w14:paraId="4145A39D">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DN100</w:t>
            </w:r>
          </w:p>
        </w:tc>
        <w:tc>
          <w:tcPr>
            <w:tcW w:w="1116" w:type="dxa"/>
            <w:noWrap w:val="0"/>
            <w:vAlign w:val="center"/>
          </w:tcPr>
          <w:p w14:paraId="0BF1BC34">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个</w:t>
            </w:r>
          </w:p>
        </w:tc>
        <w:tc>
          <w:tcPr>
            <w:tcW w:w="750" w:type="dxa"/>
            <w:noWrap w:val="0"/>
            <w:vAlign w:val="center"/>
          </w:tcPr>
          <w:p w14:paraId="6BE8FD56">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8</w:t>
            </w:r>
          </w:p>
        </w:tc>
        <w:tc>
          <w:tcPr>
            <w:tcW w:w="2033" w:type="dxa"/>
            <w:vMerge w:val="continue"/>
            <w:noWrap w:val="0"/>
            <w:vAlign w:val="center"/>
          </w:tcPr>
          <w:p w14:paraId="561AE538">
            <w:pPr>
              <w:keepNext w:val="0"/>
              <w:keepLines w:val="0"/>
              <w:numPr>
                <w:ilvl w:val="0"/>
                <w:numId w:val="0"/>
              </w:numPr>
              <w:suppressLineNumbers w:val="0"/>
              <w:spacing w:before="0" w:beforeAutospacing="0" w:after="0" w:afterAutospacing="0" w:line="360" w:lineRule="auto"/>
              <w:ind w:left="0" w:right="0"/>
              <w:jc w:val="center"/>
              <w:rPr>
                <w:rFonts w:hint="eastAsia" w:ascii="宋体" w:hAnsi="宋体" w:eastAsia="宋体" w:cs="宋体"/>
                <w:sz w:val="21"/>
                <w:szCs w:val="21"/>
                <w:highlight w:val="none"/>
                <w:vertAlign w:val="baseline"/>
                <w:lang w:val="en-US" w:eastAsia="zh-CN"/>
              </w:rPr>
            </w:pPr>
          </w:p>
        </w:tc>
      </w:tr>
      <w:tr w14:paraId="44638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noWrap w:val="0"/>
            <w:vAlign w:val="center"/>
          </w:tcPr>
          <w:p w14:paraId="22F39F55">
            <w:pPr>
              <w:keepNext w:val="0"/>
              <w:keepLines w:val="0"/>
              <w:numPr>
                <w:ilvl w:val="0"/>
                <w:numId w:val="0"/>
              </w:numPr>
              <w:suppressLineNumbers w:val="0"/>
              <w:spacing w:before="0" w:beforeAutospacing="0" w:after="0" w:afterAutospacing="0" w:line="360" w:lineRule="auto"/>
              <w:ind w:left="0" w:right="0"/>
              <w:jc w:val="center"/>
              <w:rPr>
                <w:rFonts w:hint="eastAsia" w:ascii="宋体" w:hAnsi="宋体" w:eastAsia="宋体" w:cs="宋体"/>
                <w:sz w:val="21"/>
                <w:szCs w:val="21"/>
                <w:highlight w:val="none"/>
                <w:vertAlign w:val="baseline"/>
                <w:lang w:val="en-US" w:eastAsia="zh-CN"/>
              </w:rPr>
            </w:pPr>
          </w:p>
        </w:tc>
        <w:tc>
          <w:tcPr>
            <w:tcW w:w="1533" w:type="dxa"/>
            <w:vMerge w:val="continue"/>
            <w:noWrap w:val="0"/>
            <w:vAlign w:val="center"/>
          </w:tcPr>
          <w:p w14:paraId="73004F1D">
            <w:pPr>
              <w:keepNext w:val="0"/>
              <w:keepLines w:val="0"/>
              <w:numPr>
                <w:ilvl w:val="0"/>
                <w:numId w:val="0"/>
              </w:numPr>
              <w:suppressLineNumbers w:val="0"/>
              <w:spacing w:before="0" w:beforeAutospacing="0" w:after="0" w:afterAutospacing="0" w:line="360" w:lineRule="auto"/>
              <w:ind w:left="0" w:right="0"/>
              <w:jc w:val="center"/>
              <w:rPr>
                <w:rFonts w:hint="eastAsia" w:ascii="宋体" w:hAnsi="宋体" w:eastAsia="宋体" w:cs="宋体"/>
                <w:sz w:val="21"/>
                <w:szCs w:val="21"/>
                <w:highlight w:val="none"/>
                <w:vertAlign w:val="baseline"/>
                <w:lang w:val="en-US" w:eastAsia="zh-CN"/>
              </w:rPr>
            </w:pPr>
          </w:p>
        </w:tc>
        <w:tc>
          <w:tcPr>
            <w:tcW w:w="1117" w:type="dxa"/>
            <w:vMerge w:val="continue"/>
            <w:noWrap w:val="0"/>
            <w:vAlign w:val="center"/>
          </w:tcPr>
          <w:p w14:paraId="353D8012">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300" w:type="dxa"/>
            <w:noWrap w:val="0"/>
            <w:vAlign w:val="center"/>
          </w:tcPr>
          <w:p w14:paraId="20B3C8A4">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DN50</w:t>
            </w:r>
          </w:p>
        </w:tc>
        <w:tc>
          <w:tcPr>
            <w:tcW w:w="1116" w:type="dxa"/>
            <w:noWrap w:val="0"/>
            <w:vAlign w:val="center"/>
          </w:tcPr>
          <w:p w14:paraId="4E881D1C">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个</w:t>
            </w:r>
          </w:p>
        </w:tc>
        <w:tc>
          <w:tcPr>
            <w:tcW w:w="750" w:type="dxa"/>
            <w:noWrap w:val="0"/>
            <w:vAlign w:val="center"/>
          </w:tcPr>
          <w:p w14:paraId="7D4B52A1">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10</w:t>
            </w:r>
          </w:p>
        </w:tc>
        <w:tc>
          <w:tcPr>
            <w:tcW w:w="2033" w:type="dxa"/>
            <w:vMerge w:val="continue"/>
            <w:noWrap w:val="0"/>
            <w:vAlign w:val="center"/>
          </w:tcPr>
          <w:p w14:paraId="209767A2">
            <w:pPr>
              <w:keepNext w:val="0"/>
              <w:keepLines w:val="0"/>
              <w:numPr>
                <w:ilvl w:val="0"/>
                <w:numId w:val="0"/>
              </w:numPr>
              <w:suppressLineNumbers w:val="0"/>
              <w:spacing w:before="0" w:beforeAutospacing="0" w:after="0" w:afterAutospacing="0" w:line="360" w:lineRule="auto"/>
              <w:ind w:left="0" w:right="0"/>
              <w:jc w:val="center"/>
              <w:rPr>
                <w:rFonts w:hint="eastAsia" w:ascii="宋体" w:hAnsi="宋体" w:eastAsia="宋体" w:cs="宋体"/>
                <w:sz w:val="21"/>
                <w:szCs w:val="21"/>
                <w:highlight w:val="none"/>
                <w:vertAlign w:val="baseline"/>
                <w:lang w:val="en-US" w:eastAsia="zh-CN"/>
              </w:rPr>
            </w:pPr>
          </w:p>
        </w:tc>
      </w:tr>
      <w:tr w14:paraId="30FB9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restart"/>
            <w:noWrap w:val="0"/>
            <w:vAlign w:val="center"/>
          </w:tcPr>
          <w:p w14:paraId="26DC48BC">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w:t>
            </w:r>
          </w:p>
        </w:tc>
        <w:tc>
          <w:tcPr>
            <w:tcW w:w="1533" w:type="dxa"/>
            <w:vMerge w:val="restart"/>
            <w:noWrap w:val="0"/>
            <w:vAlign w:val="center"/>
          </w:tcPr>
          <w:p w14:paraId="3676C42B">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相官车辆段物资总库</w:t>
            </w:r>
          </w:p>
        </w:tc>
        <w:tc>
          <w:tcPr>
            <w:tcW w:w="1117" w:type="dxa"/>
            <w:vMerge w:val="restart"/>
            <w:noWrap w:val="0"/>
            <w:vAlign w:val="center"/>
          </w:tcPr>
          <w:p w14:paraId="30215672">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消防管</w:t>
            </w:r>
          </w:p>
        </w:tc>
        <w:tc>
          <w:tcPr>
            <w:tcW w:w="1300" w:type="dxa"/>
            <w:noWrap w:val="0"/>
            <w:vAlign w:val="center"/>
          </w:tcPr>
          <w:p w14:paraId="351BEC8B">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DN250</w:t>
            </w:r>
          </w:p>
        </w:tc>
        <w:tc>
          <w:tcPr>
            <w:tcW w:w="1116" w:type="dxa"/>
            <w:noWrap w:val="0"/>
            <w:vAlign w:val="center"/>
          </w:tcPr>
          <w:p w14:paraId="751A6875">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米</w:t>
            </w:r>
          </w:p>
        </w:tc>
        <w:tc>
          <w:tcPr>
            <w:tcW w:w="750" w:type="dxa"/>
            <w:noWrap w:val="0"/>
            <w:vAlign w:val="center"/>
          </w:tcPr>
          <w:p w14:paraId="4D9A7439">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300</w:t>
            </w:r>
          </w:p>
        </w:tc>
        <w:tc>
          <w:tcPr>
            <w:tcW w:w="2033" w:type="dxa"/>
            <w:vMerge w:val="restart"/>
            <w:noWrap w:val="0"/>
            <w:vAlign w:val="center"/>
          </w:tcPr>
          <w:p w14:paraId="4080D6E7">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需登高作业，登高约13米</w:t>
            </w:r>
          </w:p>
        </w:tc>
      </w:tr>
      <w:tr w14:paraId="52E79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noWrap w:val="0"/>
            <w:vAlign w:val="top"/>
          </w:tcPr>
          <w:p w14:paraId="3DC45508">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sz w:val="21"/>
                <w:szCs w:val="21"/>
                <w:highlight w:val="none"/>
                <w:vertAlign w:val="baseline"/>
                <w:lang w:val="en-US" w:eastAsia="zh-CN"/>
              </w:rPr>
            </w:pPr>
          </w:p>
        </w:tc>
        <w:tc>
          <w:tcPr>
            <w:tcW w:w="1533" w:type="dxa"/>
            <w:vMerge w:val="continue"/>
            <w:noWrap w:val="0"/>
            <w:vAlign w:val="top"/>
          </w:tcPr>
          <w:p w14:paraId="1205AF8B">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sz w:val="21"/>
                <w:szCs w:val="21"/>
                <w:highlight w:val="none"/>
                <w:vertAlign w:val="baseline"/>
                <w:lang w:val="en-US" w:eastAsia="zh-CN"/>
              </w:rPr>
            </w:pPr>
          </w:p>
        </w:tc>
        <w:tc>
          <w:tcPr>
            <w:tcW w:w="1117" w:type="dxa"/>
            <w:vMerge w:val="continue"/>
            <w:noWrap w:val="0"/>
            <w:vAlign w:val="center"/>
          </w:tcPr>
          <w:p w14:paraId="43A2BD85">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300" w:type="dxa"/>
            <w:noWrap w:val="0"/>
            <w:vAlign w:val="center"/>
          </w:tcPr>
          <w:p w14:paraId="324B7ABB">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DN200</w:t>
            </w:r>
          </w:p>
        </w:tc>
        <w:tc>
          <w:tcPr>
            <w:tcW w:w="1116" w:type="dxa"/>
            <w:noWrap w:val="0"/>
            <w:vAlign w:val="center"/>
          </w:tcPr>
          <w:p w14:paraId="04E242B0">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米</w:t>
            </w:r>
          </w:p>
        </w:tc>
        <w:tc>
          <w:tcPr>
            <w:tcW w:w="750" w:type="dxa"/>
            <w:noWrap w:val="0"/>
            <w:vAlign w:val="center"/>
          </w:tcPr>
          <w:p w14:paraId="576ED44C">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300</w:t>
            </w:r>
          </w:p>
        </w:tc>
        <w:tc>
          <w:tcPr>
            <w:tcW w:w="2033" w:type="dxa"/>
            <w:vMerge w:val="continue"/>
            <w:noWrap w:val="0"/>
            <w:vAlign w:val="top"/>
          </w:tcPr>
          <w:p w14:paraId="6F727BE4">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sz w:val="21"/>
                <w:szCs w:val="21"/>
                <w:highlight w:val="none"/>
                <w:vertAlign w:val="baseline"/>
                <w:lang w:val="en-US" w:eastAsia="zh-CN"/>
              </w:rPr>
            </w:pPr>
          </w:p>
        </w:tc>
      </w:tr>
      <w:tr w14:paraId="0F1ED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noWrap w:val="0"/>
            <w:vAlign w:val="top"/>
          </w:tcPr>
          <w:p w14:paraId="6ACC615D">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sz w:val="21"/>
                <w:szCs w:val="21"/>
                <w:highlight w:val="none"/>
                <w:vertAlign w:val="baseline"/>
                <w:lang w:val="en-US" w:eastAsia="zh-CN"/>
              </w:rPr>
            </w:pPr>
          </w:p>
        </w:tc>
        <w:tc>
          <w:tcPr>
            <w:tcW w:w="1533" w:type="dxa"/>
            <w:vMerge w:val="continue"/>
            <w:noWrap w:val="0"/>
            <w:vAlign w:val="top"/>
          </w:tcPr>
          <w:p w14:paraId="76ED674A">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sz w:val="21"/>
                <w:szCs w:val="21"/>
                <w:highlight w:val="none"/>
                <w:vertAlign w:val="baseline"/>
                <w:lang w:val="en-US" w:eastAsia="zh-CN"/>
              </w:rPr>
            </w:pPr>
          </w:p>
        </w:tc>
        <w:tc>
          <w:tcPr>
            <w:tcW w:w="1117" w:type="dxa"/>
            <w:vMerge w:val="restart"/>
            <w:noWrap w:val="0"/>
            <w:vAlign w:val="center"/>
          </w:tcPr>
          <w:p w14:paraId="4BB2D5F5">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喷淋管</w:t>
            </w:r>
          </w:p>
        </w:tc>
        <w:tc>
          <w:tcPr>
            <w:tcW w:w="1300" w:type="dxa"/>
            <w:noWrap w:val="0"/>
            <w:vAlign w:val="center"/>
          </w:tcPr>
          <w:p w14:paraId="2E173ED1">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DN100</w:t>
            </w:r>
          </w:p>
        </w:tc>
        <w:tc>
          <w:tcPr>
            <w:tcW w:w="1116" w:type="dxa"/>
            <w:noWrap w:val="0"/>
            <w:vAlign w:val="center"/>
          </w:tcPr>
          <w:p w14:paraId="3312BF0A">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米</w:t>
            </w:r>
          </w:p>
        </w:tc>
        <w:tc>
          <w:tcPr>
            <w:tcW w:w="750" w:type="dxa"/>
            <w:noWrap w:val="0"/>
            <w:vAlign w:val="center"/>
          </w:tcPr>
          <w:p w14:paraId="530CCDA7">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900</w:t>
            </w:r>
          </w:p>
        </w:tc>
        <w:tc>
          <w:tcPr>
            <w:tcW w:w="2033" w:type="dxa"/>
            <w:vMerge w:val="continue"/>
            <w:noWrap w:val="0"/>
            <w:vAlign w:val="top"/>
          </w:tcPr>
          <w:p w14:paraId="4C0E268A">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sz w:val="21"/>
                <w:szCs w:val="21"/>
                <w:highlight w:val="none"/>
                <w:vertAlign w:val="baseline"/>
                <w:lang w:val="en-US" w:eastAsia="zh-CN"/>
              </w:rPr>
            </w:pPr>
          </w:p>
        </w:tc>
      </w:tr>
      <w:tr w14:paraId="6CCD6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noWrap w:val="0"/>
            <w:vAlign w:val="top"/>
          </w:tcPr>
          <w:p w14:paraId="4F995352">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sz w:val="21"/>
                <w:szCs w:val="21"/>
                <w:highlight w:val="none"/>
                <w:vertAlign w:val="baseline"/>
                <w:lang w:val="en-US" w:eastAsia="zh-CN"/>
              </w:rPr>
            </w:pPr>
          </w:p>
        </w:tc>
        <w:tc>
          <w:tcPr>
            <w:tcW w:w="1533" w:type="dxa"/>
            <w:vMerge w:val="continue"/>
            <w:noWrap w:val="0"/>
            <w:vAlign w:val="top"/>
          </w:tcPr>
          <w:p w14:paraId="571EADF1">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sz w:val="21"/>
                <w:szCs w:val="21"/>
                <w:highlight w:val="none"/>
                <w:vertAlign w:val="baseline"/>
                <w:lang w:val="en-US" w:eastAsia="zh-CN"/>
              </w:rPr>
            </w:pPr>
          </w:p>
        </w:tc>
        <w:tc>
          <w:tcPr>
            <w:tcW w:w="1117" w:type="dxa"/>
            <w:vMerge w:val="continue"/>
            <w:noWrap w:val="0"/>
            <w:vAlign w:val="center"/>
          </w:tcPr>
          <w:p w14:paraId="4A295B33">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300" w:type="dxa"/>
            <w:noWrap w:val="0"/>
            <w:vAlign w:val="center"/>
          </w:tcPr>
          <w:p w14:paraId="113B15D6">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DN80</w:t>
            </w:r>
          </w:p>
        </w:tc>
        <w:tc>
          <w:tcPr>
            <w:tcW w:w="1116" w:type="dxa"/>
            <w:noWrap w:val="0"/>
            <w:vAlign w:val="center"/>
          </w:tcPr>
          <w:p w14:paraId="48290F20">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米</w:t>
            </w:r>
          </w:p>
        </w:tc>
        <w:tc>
          <w:tcPr>
            <w:tcW w:w="750" w:type="dxa"/>
            <w:noWrap w:val="0"/>
            <w:vAlign w:val="center"/>
          </w:tcPr>
          <w:p w14:paraId="2A7D6A4F">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250</w:t>
            </w:r>
          </w:p>
        </w:tc>
        <w:tc>
          <w:tcPr>
            <w:tcW w:w="2033" w:type="dxa"/>
            <w:vMerge w:val="continue"/>
            <w:noWrap w:val="0"/>
            <w:vAlign w:val="top"/>
          </w:tcPr>
          <w:p w14:paraId="6FFBAC47">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sz w:val="21"/>
                <w:szCs w:val="21"/>
                <w:highlight w:val="none"/>
                <w:vertAlign w:val="baseline"/>
                <w:lang w:val="en-US" w:eastAsia="zh-CN"/>
              </w:rPr>
            </w:pPr>
          </w:p>
        </w:tc>
      </w:tr>
      <w:tr w14:paraId="17E3A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noWrap w:val="0"/>
            <w:vAlign w:val="top"/>
          </w:tcPr>
          <w:p w14:paraId="39CB1E06">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sz w:val="21"/>
                <w:szCs w:val="21"/>
                <w:highlight w:val="none"/>
                <w:vertAlign w:val="baseline"/>
                <w:lang w:val="en-US" w:eastAsia="zh-CN"/>
              </w:rPr>
            </w:pPr>
          </w:p>
        </w:tc>
        <w:tc>
          <w:tcPr>
            <w:tcW w:w="1533" w:type="dxa"/>
            <w:vMerge w:val="continue"/>
            <w:noWrap w:val="0"/>
            <w:vAlign w:val="center"/>
          </w:tcPr>
          <w:p w14:paraId="4A69A4C4">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117" w:type="dxa"/>
            <w:noWrap w:val="0"/>
            <w:vAlign w:val="center"/>
          </w:tcPr>
          <w:p w14:paraId="25FEF000">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生活管</w:t>
            </w:r>
          </w:p>
        </w:tc>
        <w:tc>
          <w:tcPr>
            <w:tcW w:w="1300" w:type="dxa"/>
            <w:noWrap w:val="0"/>
            <w:vAlign w:val="center"/>
          </w:tcPr>
          <w:p w14:paraId="35C0D718">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DN65</w:t>
            </w:r>
          </w:p>
        </w:tc>
        <w:tc>
          <w:tcPr>
            <w:tcW w:w="1116" w:type="dxa"/>
            <w:noWrap w:val="0"/>
            <w:vAlign w:val="center"/>
          </w:tcPr>
          <w:p w14:paraId="4F699FD6">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米</w:t>
            </w:r>
          </w:p>
        </w:tc>
        <w:tc>
          <w:tcPr>
            <w:tcW w:w="750" w:type="dxa"/>
            <w:noWrap w:val="0"/>
            <w:vAlign w:val="center"/>
          </w:tcPr>
          <w:p w14:paraId="0BEFE0EF">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60</w:t>
            </w:r>
          </w:p>
        </w:tc>
        <w:tc>
          <w:tcPr>
            <w:tcW w:w="2033" w:type="dxa"/>
            <w:vMerge w:val="continue"/>
            <w:noWrap w:val="0"/>
            <w:vAlign w:val="top"/>
          </w:tcPr>
          <w:p w14:paraId="3CAF4957">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sz w:val="21"/>
                <w:szCs w:val="21"/>
                <w:highlight w:val="none"/>
                <w:vertAlign w:val="baseline"/>
                <w:lang w:val="en-US" w:eastAsia="zh-CN"/>
              </w:rPr>
            </w:pPr>
          </w:p>
        </w:tc>
      </w:tr>
      <w:tr w14:paraId="411A3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noWrap w:val="0"/>
            <w:vAlign w:val="top"/>
          </w:tcPr>
          <w:p w14:paraId="27B87E6F">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sz w:val="21"/>
                <w:szCs w:val="21"/>
                <w:highlight w:val="none"/>
                <w:vertAlign w:val="baseline"/>
                <w:lang w:val="en-US" w:eastAsia="zh-CN"/>
              </w:rPr>
            </w:pPr>
          </w:p>
        </w:tc>
        <w:tc>
          <w:tcPr>
            <w:tcW w:w="1533" w:type="dxa"/>
            <w:vMerge w:val="continue"/>
            <w:noWrap w:val="0"/>
            <w:vAlign w:val="center"/>
          </w:tcPr>
          <w:p w14:paraId="64613337">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117" w:type="dxa"/>
            <w:vMerge w:val="restart"/>
            <w:noWrap w:val="0"/>
            <w:vAlign w:val="center"/>
          </w:tcPr>
          <w:p w14:paraId="640E15EE">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弯头</w:t>
            </w:r>
          </w:p>
        </w:tc>
        <w:tc>
          <w:tcPr>
            <w:tcW w:w="1300" w:type="dxa"/>
            <w:noWrap w:val="0"/>
            <w:vAlign w:val="center"/>
          </w:tcPr>
          <w:p w14:paraId="6A6909C7">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DN250</w:t>
            </w:r>
          </w:p>
        </w:tc>
        <w:tc>
          <w:tcPr>
            <w:tcW w:w="1116" w:type="dxa"/>
            <w:noWrap w:val="0"/>
            <w:vAlign w:val="center"/>
          </w:tcPr>
          <w:p w14:paraId="0729105E">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个</w:t>
            </w:r>
          </w:p>
        </w:tc>
        <w:tc>
          <w:tcPr>
            <w:tcW w:w="750" w:type="dxa"/>
            <w:noWrap w:val="0"/>
            <w:vAlign w:val="center"/>
          </w:tcPr>
          <w:p w14:paraId="51FC3271">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10</w:t>
            </w:r>
          </w:p>
        </w:tc>
        <w:tc>
          <w:tcPr>
            <w:tcW w:w="2033" w:type="dxa"/>
            <w:vMerge w:val="continue"/>
            <w:noWrap w:val="0"/>
            <w:vAlign w:val="top"/>
          </w:tcPr>
          <w:p w14:paraId="128F0B41">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sz w:val="21"/>
                <w:szCs w:val="21"/>
                <w:highlight w:val="none"/>
                <w:vertAlign w:val="baseline"/>
                <w:lang w:val="en-US" w:eastAsia="zh-CN"/>
              </w:rPr>
            </w:pPr>
          </w:p>
        </w:tc>
      </w:tr>
      <w:tr w14:paraId="5650F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noWrap w:val="0"/>
            <w:vAlign w:val="top"/>
          </w:tcPr>
          <w:p w14:paraId="505D6340">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sz w:val="21"/>
                <w:szCs w:val="21"/>
                <w:highlight w:val="none"/>
                <w:vertAlign w:val="baseline"/>
                <w:lang w:val="en-US" w:eastAsia="zh-CN"/>
              </w:rPr>
            </w:pPr>
          </w:p>
        </w:tc>
        <w:tc>
          <w:tcPr>
            <w:tcW w:w="1533" w:type="dxa"/>
            <w:vMerge w:val="continue"/>
            <w:noWrap w:val="0"/>
            <w:vAlign w:val="center"/>
          </w:tcPr>
          <w:p w14:paraId="162ABFB8">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117" w:type="dxa"/>
            <w:vMerge w:val="continue"/>
            <w:noWrap w:val="0"/>
            <w:vAlign w:val="center"/>
          </w:tcPr>
          <w:p w14:paraId="4AB1CFA0">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300" w:type="dxa"/>
            <w:noWrap w:val="0"/>
            <w:vAlign w:val="center"/>
          </w:tcPr>
          <w:p w14:paraId="3EF41F5F">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DN200</w:t>
            </w:r>
          </w:p>
        </w:tc>
        <w:tc>
          <w:tcPr>
            <w:tcW w:w="1116" w:type="dxa"/>
            <w:noWrap w:val="0"/>
            <w:vAlign w:val="center"/>
          </w:tcPr>
          <w:p w14:paraId="35E21BC4">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个</w:t>
            </w:r>
          </w:p>
        </w:tc>
        <w:tc>
          <w:tcPr>
            <w:tcW w:w="750" w:type="dxa"/>
            <w:noWrap w:val="0"/>
            <w:vAlign w:val="center"/>
          </w:tcPr>
          <w:p w14:paraId="43A7A289">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10</w:t>
            </w:r>
          </w:p>
        </w:tc>
        <w:tc>
          <w:tcPr>
            <w:tcW w:w="2033" w:type="dxa"/>
            <w:vMerge w:val="continue"/>
            <w:noWrap w:val="0"/>
            <w:vAlign w:val="top"/>
          </w:tcPr>
          <w:p w14:paraId="69A9EEE3">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sz w:val="21"/>
                <w:szCs w:val="21"/>
                <w:highlight w:val="none"/>
                <w:vertAlign w:val="baseline"/>
                <w:lang w:val="en-US" w:eastAsia="zh-CN"/>
              </w:rPr>
            </w:pPr>
          </w:p>
        </w:tc>
      </w:tr>
      <w:tr w14:paraId="1CE03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noWrap w:val="0"/>
            <w:vAlign w:val="top"/>
          </w:tcPr>
          <w:p w14:paraId="0D081785">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sz w:val="21"/>
                <w:szCs w:val="21"/>
                <w:highlight w:val="none"/>
                <w:vertAlign w:val="baseline"/>
                <w:lang w:val="en-US" w:eastAsia="zh-CN"/>
              </w:rPr>
            </w:pPr>
          </w:p>
        </w:tc>
        <w:tc>
          <w:tcPr>
            <w:tcW w:w="1533" w:type="dxa"/>
            <w:vMerge w:val="continue"/>
            <w:noWrap w:val="0"/>
            <w:vAlign w:val="center"/>
          </w:tcPr>
          <w:p w14:paraId="3082BEB8">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117" w:type="dxa"/>
            <w:vMerge w:val="continue"/>
            <w:noWrap w:val="0"/>
            <w:vAlign w:val="center"/>
          </w:tcPr>
          <w:p w14:paraId="497E9DCE">
            <w:pPr>
              <w:keepNext w:val="0"/>
              <w:keepLines w:val="0"/>
              <w:suppressLineNumbers w:val="0"/>
              <w:tabs>
                <w:tab w:val="left" w:pos="420"/>
              </w:tabs>
              <w:adjustRightInd w:val="0"/>
              <w:snapToGrid w:val="0"/>
              <w:spacing w:before="0" w:beforeAutospacing="0" w:after="0" w:afterAutospacing="0" w:line="240" w:lineRule="auto"/>
              <w:ind w:left="0" w:right="0"/>
              <w:jc w:val="both"/>
              <w:rPr>
                <w:rFonts w:hint="eastAsia" w:ascii="宋体" w:hAnsi="宋体" w:eastAsia="宋体" w:cs="宋体"/>
                <w:kern w:val="0"/>
                <w:sz w:val="21"/>
                <w:szCs w:val="21"/>
                <w:highlight w:val="none"/>
                <w:lang w:val="en-US" w:eastAsia="zh-CN"/>
              </w:rPr>
            </w:pPr>
          </w:p>
        </w:tc>
        <w:tc>
          <w:tcPr>
            <w:tcW w:w="1300" w:type="dxa"/>
            <w:noWrap w:val="0"/>
            <w:vAlign w:val="center"/>
          </w:tcPr>
          <w:p w14:paraId="5CB97423">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DN65</w:t>
            </w:r>
          </w:p>
        </w:tc>
        <w:tc>
          <w:tcPr>
            <w:tcW w:w="1116" w:type="dxa"/>
            <w:noWrap w:val="0"/>
            <w:vAlign w:val="center"/>
          </w:tcPr>
          <w:p w14:paraId="68C962A2">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个</w:t>
            </w:r>
          </w:p>
        </w:tc>
        <w:tc>
          <w:tcPr>
            <w:tcW w:w="750" w:type="dxa"/>
            <w:noWrap w:val="0"/>
            <w:vAlign w:val="center"/>
          </w:tcPr>
          <w:p w14:paraId="758796E7">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30</w:t>
            </w:r>
          </w:p>
        </w:tc>
        <w:tc>
          <w:tcPr>
            <w:tcW w:w="2033" w:type="dxa"/>
            <w:vMerge w:val="continue"/>
            <w:noWrap w:val="0"/>
            <w:vAlign w:val="top"/>
          </w:tcPr>
          <w:p w14:paraId="25419984">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sz w:val="21"/>
                <w:szCs w:val="21"/>
                <w:highlight w:val="none"/>
                <w:vertAlign w:val="baseline"/>
                <w:lang w:val="en-US" w:eastAsia="zh-CN"/>
              </w:rPr>
            </w:pPr>
          </w:p>
        </w:tc>
      </w:tr>
      <w:tr w14:paraId="626CD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noWrap w:val="0"/>
            <w:vAlign w:val="top"/>
          </w:tcPr>
          <w:p w14:paraId="082DA1FF">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sz w:val="21"/>
                <w:szCs w:val="21"/>
                <w:highlight w:val="none"/>
                <w:vertAlign w:val="baseline"/>
                <w:lang w:val="en-US" w:eastAsia="zh-CN"/>
              </w:rPr>
            </w:pPr>
          </w:p>
        </w:tc>
        <w:tc>
          <w:tcPr>
            <w:tcW w:w="1533" w:type="dxa"/>
            <w:vMerge w:val="continue"/>
            <w:noWrap w:val="0"/>
            <w:vAlign w:val="center"/>
          </w:tcPr>
          <w:p w14:paraId="546FB346">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117" w:type="dxa"/>
            <w:vMerge w:val="restart"/>
            <w:noWrap w:val="0"/>
            <w:vAlign w:val="center"/>
          </w:tcPr>
          <w:p w14:paraId="4998C150">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三通</w:t>
            </w:r>
          </w:p>
        </w:tc>
        <w:tc>
          <w:tcPr>
            <w:tcW w:w="1300" w:type="dxa"/>
            <w:noWrap w:val="0"/>
            <w:vAlign w:val="center"/>
          </w:tcPr>
          <w:p w14:paraId="005A0242">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DN250</w:t>
            </w:r>
          </w:p>
        </w:tc>
        <w:tc>
          <w:tcPr>
            <w:tcW w:w="1116" w:type="dxa"/>
            <w:noWrap w:val="0"/>
            <w:vAlign w:val="center"/>
          </w:tcPr>
          <w:p w14:paraId="4000E9FA">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个</w:t>
            </w:r>
          </w:p>
        </w:tc>
        <w:tc>
          <w:tcPr>
            <w:tcW w:w="750" w:type="dxa"/>
            <w:noWrap w:val="0"/>
            <w:vAlign w:val="center"/>
          </w:tcPr>
          <w:p w14:paraId="25321E2E">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6</w:t>
            </w:r>
          </w:p>
        </w:tc>
        <w:tc>
          <w:tcPr>
            <w:tcW w:w="2033" w:type="dxa"/>
            <w:vMerge w:val="continue"/>
            <w:noWrap w:val="0"/>
            <w:vAlign w:val="top"/>
          </w:tcPr>
          <w:p w14:paraId="0F76A580">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sz w:val="21"/>
                <w:szCs w:val="21"/>
                <w:highlight w:val="none"/>
                <w:vertAlign w:val="baseline"/>
                <w:lang w:val="en-US" w:eastAsia="zh-CN"/>
              </w:rPr>
            </w:pPr>
          </w:p>
        </w:tc>
      </w:tr>
      <w:tr w14:paraId="12492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noWrap w:val="0"/>
            <w:vAlign w:val="top"/>
          </w:tcPr>
          <w:p w14:paraId="276C831D">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sz w:val="21"/>
                <w:szCs w:val="21"/>
                <w:highlight w:val="none"/>
                <w:vertAlign w:val="baseline"/>
                <w:lang w:val="en-US" w:eastAsia="zh-CN"/>
              </w:rPr>
            </w:pPr>
          </w:p>
        </w:tc>
        <w:tc>
          <w:tcPr>
            <w:tcW w:w="1533" w:type="dxa"/>
            <w:vMerge w:val="continue"/>
            <w:noWrap w:val="0"/>
            <w:vAlign w:val="center"/>
          </w:tcPr>
          <w:p w14:paraId="463ECB2A">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117" w:type="dxa"/>
            <w:vMerge w:val="continue"/>
            <w:noWrap w:val="0"/>
            <w:vAlign w:val="center"/>
          </w:tcPr>
          <w:p w14:paraId="6AA5894F">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300" w:type="dxa"/>
            <w:noWrap w:val="0"/>
            <w:vAlign w:val="center"/>
          </w:tcPr>
          <w:p w14:paraId="33F42732">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DN200</w:t>
            </w:r>
          </w:p>
        </w:tc>
        <w:tc>
          <w:tcPr>
            <w:tcW w:w="1116" w:type="dxa"/>
            <w:noWrap w:val="0"/>
            <w:vAlign w:val="center"/>
          </w:tcPr>
          <w:p w14:paraId="2C5F33DF">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个</w:t>
            </w:r>
          </w:p>
        </w:tc>
        <w:tc>
          <w:tcPr>
            <w:tcW w:w="750" w:type="dxa"/>
            <w:noWrap w:val="0"/>
            <w:vAlign w:val="center"/>
          </w:tcPr>
          <w:p w14:paraId="7A681874">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6</w:t>
            </w:r>
          </w:p>
        </w:tc>
        <w:tc>
          <w:tcPr>
            <w:tcW w:w="2033" w:type="dxa"/>
            <w:vMerge w:val="continue"/>
            <w:noWrap w:val="0"/>
            <w:vAlign w:val="top"/>
          </w:tcPr>
          <w:p w14:paraId="29EB0E51">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sz w:val="21"/>
                <w:szCs w:val="21"/>
                <w:highlight w:val="none"/>
                <w:vertAlign w:val="baseline"/>
                <w:lang w:val="en-US" w:eastAsia="zh-CN"/>
              </w:rPr>
            </w:pPr>
          </w:p>
        </w:tc>
      </w:tr>
      <w:tr w14:paraId="48D5F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restart"/>
            <w:noWrap w:val="0"/>
            <w:vAlign w:val="center"/>
          </w:tcPr>
          <w:p w14:paraId="3D727FEC">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w:t>
            </w:r>
          </w:p>
        </w:tc>
        <w:tc>
          <w:tcPr>
            <w:tcW w:w="1533" w:type="dxa"/>
            <w:vMerge w:val="restart"/>
            <w:noWrap w:val="0"/>
            <w:vAlign w:val="center"/>
          </w:tcPr>
          <w:p w14:paraId="6319009C">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相官车辆段汽车库</w:t>
            </w:r>
          </w:p>
        </w:tc>
        <w:tc>
          <w:tcPr>
            <w:tcW w:w="1117" w:type="dxa"/>
            <w:noWrap w:val="0"/>
            <w:vAlign w:val="center"/>
          </w:tcPr>
          <w:p w14:paraId="02059878">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消防管</w:t>
            </w:r>
          </w:p>
        </w:tc>
        <w:tc>
          <w:tcPr>
            <w:tcW w:w="1300" w:type="dxa"/>
            <w:noWrap w:val="0"/>
            <w:vAlign w:val="center"/>
          </w:tcPr>
          <w:p w14:paraId="1B3B79FD">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DN100</w:t>
            </w:r>
          </w:p>
        </w:tc>
        <w:tc>
          <w:tcPr>
            <w:tcW w:w="1116" w:type="dxa"/>
            <w:noWrap w:val="0"/>
            <w:vAlign w:val="center"/>
          </w:tcPr>
          <w:p w14:paraId="20BB8F5F">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米</w:t>
            </w:r>
          </w:p>
        </w:tc>
        <w:tc>
          <w:tcPr>
            <w:tcW w:w="750" w:type="dxa"/>
            <w:noWrap w:val="0"/>
            <w:vAlign w:val="center"/>
          </w:tcPr>
          <w:p w14:paraId="4C3A127B">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50</w:t>
            </w:r>
          </w:p>
        </w:tc>
        <w:tc>
          <w:tcPr>
            <w:tcW w:w="2033" w:type="dxa"/>
            <w:vMerge w:val="restart"/>
            <w:noWrap w:val="0"/>
            <w:vAlign w:val="center"/>
          </w:tcPr>
          <w:p w14:paraId="46063ECF">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需登高作业，登高约6米</w:t>
            </w:r>
          </w:p>
        </w:tc>
      </w:tr>
      <w:tr w14:paraId="4DBC9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noWrap w:val="0"/>
            <w:vAlign w:val="center"/>
          </w:tcPr>
          <w:p w14:paraId="14E8E482">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533" w:type="dxa"/>
            <w:vMerge w:val="continue"/>
            <w:noWrap w:val="0"/>
            <w:vAlign w:val="center"/>
          </w:tcPr>
          <w:p w14:paraId="24E723F3">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117" w:type="dxa"/>
            <w:noWrap w:val="0"/>
            <w:vAlign w:val="center"/>
          </w:tcPr>
          <w:p w14:paraId="17B9F9A2">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弯头</w:t>
            </w:r>
          </w:p>
        </w:tc>
        <w:tc>
          <w:tcPr>
            <w:tcW w:w="1300" w:type="dxa"/>
            <w:noWrap w:val="0"/>
            <w:vAlign w:val="center"/>
          </w:tcPr>
          <w:p w14:paraId="30B0F5FD">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DN100</w:t>
            </w:r>
          </w:p>
        </w:tc>
        <w:tc>
          <w:tcPr>
            <w:tcW w:w="1116" w:type="dxa"/>
            <w:noWrap w:val="0"/>
            <w:vAlign w:val="center"/>
          </w:tcPr>
          <w:p w14:paraId="4E5732DA">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个</w:t>
            </w:r>
          </w:p>
        </w:tc>
        <w:tc>
          <w:tcPr>
            <w:tcW w:w="750" w:type="dxa"/>
            <w:noWrap w:val="0"/>
            <w:vAlign w:val="center"/>
          </w:tcPr>
          <w:p w14:paraId="6828F036">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6</w:t>
            </w:r>
          </w:p>
        </w:tc>
        <w:tc>
          <w:tcPr>
            <w:tcW w:w="2033" w:type="dxa"/>
            <w:vMerge w:val="continue"/>
            <w:noWrap w:val="0"/>
            <w:vAlign w:val="center"/>
          </w:tcPr>
          <w:p w14:paraId="3F40D38E">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r>
      <w:tr w14:paraId="6702F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noWrap w:val="0"/>
            <w:vAlign w:val="center"/>
          </w:tcPr>
          <w:p w14:paraId="573C419B">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533" w:type="dxa"/>
            <w:vMerge w:val="continue"/>
            <w:noWrap w:val="0"/>
            <w:vAlign w:val="center"/>
          </w:tcPr>
          <w:p w14:paraId="40609557">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117" w:type="dxa"/>
            <w:noWrap w:val="0"/>
            <w:vAlign w:val="center"/>
          </w:tcPr>
          <w:p w14:paraId="21DD7929">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三通</w:t>
            </w:r>
          </w:p>
        </w:tc>
        <w:tc>
          <w:tcPr>
            <w:tcW w:w="1300" w:type="dxa"/>
            <w:noWrap w:val="0"/>
            <w:vAlign w:val="center"/>
          </w:tcPr>
          <w:p w14:paraId="61CBEEDB">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DN100</w:t>
            </w:r>
          </w:p>
        </w:tc>
        <w:tc>
          <w:tcPr>
            <w:tcW w:w="1116" w:type="dxa"/>
            <w:noWrap w:val="0"/>
            <w:vAlign w:val="center"/>
          </w:tcPr>
          <w:p w14:paraId="6B1AF1D7">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个</w:t>
            </w:r>
          </w:p>
        </w:tc>
        <w:tc>
          <w:tcPr>
            <w:tcW w:w="750" w:type="dxa"/>
            <w:noWrap w:val="0"/>
            <w:vAlign w:val="center"/>
          </w:tcPr>
          <w:p w14:paraId="52AA9E12">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w:t>
            </w:r>
          </w:p>
        </w:tc>
        <w:tc>
          <w:tcPr>
            <w:tcW w:w="2033" w:type="dxa"/>
            <w:vMerge w:val="continue"/>
            <w:noWrap w:val="0"/>
            <w:vAlign w:val="center"/>
          </w:tcPr>
          <w:p w14:paraId="20BFE1C5">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r>
      <w:tr w14:paraId="0D712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restart"/>
            <w:noWrap w:val="0"/>
            <w:vAlign w:val="center"/>
          </w:tcPr>
          <w:p w14:paraId="38B7263E">
            <w:pPr>
              <w:keepNext w:val="0"/>
              <w:keepLines w:val="0"/>
              <w:numPr>
                <w:ilvl w:val="0"/>
                <w:numId w:val="0"/>
              </w:numPr>
              <w:suppressLineNumbers w:val="0"/>
              <w:spacing w:before="0" w:beforeAutospacing="0" w:after="0" w:afterAutospacing="0" w:line="360" w:lineRule="auto"/>
              <w:ind w:left="0"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5</w:t>
            </w:r>
          </w:p>
        </w:tc>
        <w:tc>
          <w:tcPr>
            <w:tcW w:w="1533" w:type="dxa"/>
            <w:vMerge w:val="restart"/>
            <w:noWrap w:val="0"/>
            <w:vAlign w:val="center"/>
          </w:tcPr>
          <w:p w14:paraId="728B59AE">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控制中心停车场入口</w:t>
            </w:r>
          </w:p>
        </w:tc>
        <w:tc>
          <w:tcPr>
            <w:tcW w:w="1117" w:type="dxa"/>
            <w:vMerge w:val="restart"/>
            <w:noWrap w:val="0"/>
            <w:vAlign w:val="center"/>
          </w:tcPr>
          <w:p w14:paraId="183A2607">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消防管</w:t>
            </w:r>
          </w:p>
        </w:tc>
        <w:tc>
          <w:tcPr>
            <w:tcW w:w="1300" w:type="dxa"/>
            <w:noWrap w:val="0"/>
            <w:vAlign w:val="center"/>
          </w:tcPr>
          <w:p w14:paraId="1C4AFC49">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DN150</w:t>
            </w:r>
          </w:p>
        </w:tc>
        <w:tc>
          <w:tcPr>
            <w:tcW w:w="1116" w:type="dxa"/>
            <w:noWrap w:val="0"/>
            <w:vAlign w:val="center"/>
          </w:tcPr>
          <w:p w14:paraId="23C8B16F">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米</w:t>
            </w:r>
          </w:p>
        </w:tc>
        <w:tc>
          <w:tcPr>
            <w:tcW w:w="750" w:type="dxa"/>
            <w:noWrap w:val="0"/>
            <w:vAlign w:val="center"/>
          </w:tcPr>
          <w:p w14:paraId="541CA874">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80</w:t>
            </w:r>
          </w:p>
        </w:tc>
        <w:tc>
          <w:tcPr>
            <w:tcW w:w="2033" w:type="dxa"/>
            <w:vMerge w:val="restart"/>
            <w:noWrap w:val="0"/>
            <w:vAlign w:val="center"/>
          </w:tcPr>
          <w:p w14:paraId="3580A884">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需登高作业，登高约</w:t>
            </w:r>
            <w:r>
              <w:rPr>
                <w:rFonts w:hint="eastAsia" w:ascii="宋体" w:hAnsi="宋体" w:cs="宋体"/>
                <w:kern w:val="0"/>
                <w:sz w:val="21"/>
                <w:szCs w:val="21"/>
                <w:highlight w:val="none"/>
                <w:lang w:val="en-US" w:eastAsia="zh-CN"/>
              </w:rPr>
              <w:t>3.5</w:t>
            </w:r>
            <w:r>
              <w:rPr>
                <w:rFonts w:hint="eastAsia" w:ascii="宋体" w:hAnsi="宋体" w:eastAsia="宋体" w:cs="宋体"/>
                <w:kern w:val="0"/>
                <w:sz w:val="21"/>
                <w:szCs w:val="21"/>
                <w:highlight w:val="none"/>
                <w:lang w:val="en-US" w:eastAsia="zh-CN"/>
              </w:rPr>
              <w:t>米</w:t>
            </w:r>
          </w:p>
        </w:tc>
      </w:tr>
      <w:tr w14:paraId="220C5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noWrap w:val="0"/>
            <w:vAlign w:val="center"/>
          </w:tcPr>
          <w:p w14:paraId="2180F707">
            <w:pPr>
              <w:keepNext w:val="0"/>
              <w:keepLines w:val="0"/>
              <w:numPr>
                <w:ilvl w:val="0"/>
                <w:numId w:val="0"/>
              </w:numPr>
              <w:suppressLineNumbers w:val="0"/>
              <w:spacing w:before="0" w:beforeAutospacing="0" w:after="0" w:afterAutospacing="0" w:line="360" w:lineRule="auto"/>
              <w:ind w:left="0" w:right="0"/>
              <w:jc w:val="center"/>
              <w:rPr>
                <w:rFonts w:hint="eastAsia" w:ascii="宋体" w:hAnsi="宋体" w:eastAsia="宋体" w:cs="宋体"/>
                <w:sz w:val="21"/>
                <w:szCs w:val="21"/>
                <w:highlight w:val="none"/>
                <w:vertAlign w:val="baseline"/>
                <w:lang w:val="en-US" w:eastAsia="zh-CN"/>
              </w:rPr>
            </w:pPr>
          </w:p>
        </w:tc>
        <w:tc>
          <w:tcPr>
            <w:tcW w:w="1533" w:type="dxa"/>
            <w:vMerge w:val="continue"/>
            <w:noWrap w:val="0"/>
            <w:vAlign w:val="center"/>
          </w:tcPr>
          <w:p w14:paraId="43737233">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117" w:type="dxa"/>
            <w:vMerge w:val="continue"/>
            <w:noWrap w:val="0"/>
            <w:vAlign w:val="center"/>
          </w:tcPr>
          <w:p w14:paraId="74A331D5">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300" w:type="dxa"/>
            <w:noWrap w:val="0"/>
            <w:vAlign w:val="center"/>
          </w:tcPr>
          <w:p w14:paraId="081071D8">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DN100</w:t>
            </w:r>
          </w:p>
        </w:tc>
        <w:tc>
          <w:tcPr>
            <w:tcW w:w="1116" w:type="dxa"/>
            <w:noWrap w:val="0"/>
            <w:vAlign w:val="center"/>
          </w:tcPr>
          <w:p w14:paraId="563D9D1B">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米</w:t>
            </w:r>
          </w:p>
        </w:tc>
        <w:tc>
          <w:tcPr>
            <w:tcW w:w="750" w:type="dxa"/>
            <w:noWrap w:val="0"/>
            <w:vAlign w:val="center"/>
          </w:tcPr>
          <w:p w14:paraId="1C92DAE3">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30</w:t>
            </w:r>
          </w:p>
        </w:tc>
        <w:tc>
          <w:tcPr>
            <w:tcW w:w="2033" w:type="dxa"/>
            <w:vMerge w:val="continue"/>
            <w:noWrap w:val="0"/>
            <w:vAlign w:val="center"/>
          </w:tcPr>
          <w:p w14:paraId="281D7366">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r>
      <w:tr w14:paraId="1DF82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noWrap w:val="0"/>
            <w:vAlign w:val="center"/>
          </w:tcPr>
          <w:p w14:paraId="03FF79A4">
            <w:pPr>
              <w:keepNext w:val="0"/>
              <w:keepLines w:val="0"/>
              <w:numPr>
                <w:ilvl w:val="0"/>
                <w:numId w:val="0"/>
              </w:numPr>
              <w:suppressLineNumbers w:val="0"/>
              <w:spacing w:before="0" w:beforeAutospacing="0" w:after="0" w:afterAutospacing="0" w:line="360" w:lineRule="auto"/>
              <w:ind w:left="0" w:right="0"/>
              <w:jc w:val="center"/>
              <w:rPr>
                <w:rFonts w:hint="eastAsia" w:ascii="宋体" w:hAnsi="宋体" w:eastAsia="宋体" w:cs="宋体"/>
                <w:sz w:val="21"/>
                <w:szCs w:val="21"/>
                <w:highlight w:val="none"/>
                <w:vertAlign w:val="baseline"/>
                <w:lang w:val="en-US" w:eastAsia="zh-CN"/>
              </w:rPr>
            </w:pPr>
          </w:p>
        </w:tc>
        <w:tc>
          <w:tcPr>
            <w:tcW w:w="1533" w:type="dxa"/>
            <w:vMerge w:val="continue"/>
            <w:noWrap w:val="0"/>
            <w:vAlign w:val="center"/>
          </w:tcPr>
          <w:p w14:paraId="782DB586">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117" w:type="dxa"/>
            <w:vMerge w:val="continue"/>
            <w:noWrap w:val="0"/>
            <w:vAlign w:val="center"/>
          </w:tcPr>
          <w:p w14:paraId="283A95AC">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300" w:type="dxa"/>
            <w:noWrap w:val="0"/>
            <w:vAlign w:val="center"/>
          </w:tcPr>
          <w:p w14:paraId="18F442B2">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DN65</w:t>
            </w:r>
          </w:p>
        </w:tc>
        <w:tc>
          <w:tcPr>
            <w:tcW w:w="1116" w:type="dxa"/>
            <w:noWrap w:val="0"/>
            <w:vAlign w:val="center"/>
          </w:tcPr>
          <w:p w14:paraId="167BA0EF">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米</w:t>
            </w:r>
          </w:p>
        </w:tc>
        <w:tc>
          <w:tcPr>
            <w:tcW w:w="750" w:type="dxa"/>
            <w:noWrap w:val="0"/>
            <w:vAlign w:val="center"/>
          </w:tcPr>
          <w:p w14:paraId="377C4B07">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20</w:t>
            </w:r>
          </w:p>
        </w:tc>
        <w:tc>
          <w:tcPr>
            <w:tcW w:w="2033" w:type="dxa"/>
            <w:vMerge w:val="continue"/>
            <w:noWrap w:val="0"/>
            <w:vAlign w:val="center"/>
          </w:tcPr>
          <w:p w14:paraId="33BE308D">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r>
      <w:tr w14:paraId="35B63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noWrap w:val="0"/>
            <w:vAlign w:val="center"/>
          </w:tcPr>
          <w:p w14:paraId="67582B7C">
            <w:pPr>
              <w:keepNext w:val="0"/>
              <w:keepLines w:val="0"/>
              <w:numPr>
                <w:ilvl w:val="0"/>
                <w:numId w:val="0"/>
              </w:numPr>
              <w:suppressLineNumbers w:val="0"/>
              <w:spacing w:before="0" w:beforeAutospacing="0" w:after="0" w:afterAutospacing="0" w:line="360" w:lineRule="auto"/>
              <w:ind w:left="0" w:right="0"/>
              <w:jc w:val="center"/>
              <w:rPr>
                <w:rFonts w:hint="eastAsia" w:ascii="宋体" w:hAnsi="宋体" w:eastAsia="宋体" w:cs="宋体"/>
                <w:sz w:val="21"/>
                <w:szCs w:val="21"/>
                <w:highlight w:val="none"/>
                <w:vertAlign w:val="baseline"/>
                <w:lang w:val="en-US" w:eastAsia="zh-CN"/>
              </w:rPr>
            </w:pPr>
          </w:p>
        </w:tc>
        <w:tc>
          <w:tcPr>
            <w:tcW w:w="1533" w:type="dxa"/>
            <w:vMerge w:val="continue"/>
            <w:noWrap w:val="0"/>
            <w:vAlign w:val="center"/>
          </w:tcPr>
          <w:p w14:paraId="56A848A6">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117" w:type="dxa"/>
            <w:vMerge w:val="restart"/>
            <w:noWrap w:val="0"/>
            <w:vAlign w:val="center"/>
          </w:tcPr>
          <w:p w14:paraId="69F7CBDB">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喷淋管</w:t>
            </w:r>
          </w:p>
        </w:tc>
        <w:tc>
          <w:tcPr>
            <w:tcW w:w="1300" w:type="dxa"/>
            <w:noWrap w:val="0"/>
            <w:vAlign w:val="center"/>
          </w:tcPr>
          <w:p w14:paraId="4E53F51C">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DN32</w:t>
            </w:r>
          </w:p>
        </w:tc>
        <w:tc>
          <w:tcPr>
            <w:tcW w:w="1116" w:type="dxa"/>
            <w:noWrap w:val="0"/>
            <w:vAlign w:val="center"/>
          </w:tcPr>
          <w:p w14:paraId="1A815205">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米</w:t>
            </w:r>
          </w:p>
        </w:tc>
        <w:tc>
          <w:tcPr>
            <w:tcW w:w="750" w:type="dxa"/>
            <w:noWrap w:val="0"/>
            <w:vAlign w:val="center"/>
          </w:tcPr>
          <w:p w14:paraId="6F1BD108">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50</w:t>
            </w:r>
          </w:p>
        </w:tc>
        <w:tc>
          <w:tcPr>
            <w:tcW w:w="2033" w:type="dxa"/>
            <w:vMerge w:val="continue"/>
            <w:noWrap w:val="0"/>
            <w:vAlign w:val="center"/>
          </w:tcPr>
          <w:p w14:paraId="2B8C3BCC">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r>
      <w:tr w14:paraId="62C96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noWrap w:val="0"/>
            <w:vAlign w:val="center"/>
          </w:tcPr>
          <w:p w14:paraId="3538C533">
            <w:pPr>
              <w:keepNext w:val="0"/>
              <w:keepLines w:val="0"/>
              <w:numPr>
                <w:ilvl w:val="0"/>
                <w:numId w:val="0"/>
              </w:numPr>
              <w:suppressLineNumbers w:val="0"/>
              <w:spacing w:before="0" w:beforeAutospacing="0" w:after="0" w:afterAutospacing="0" w:line="360" w:lineRule="auto"/>
              <w:ind w:left="0" w:right="0"/>
              <w:jc w:val="center"/>
              <w:rPr>
                <w:rFonts w:hint="eastAsia" w:ascii="宋体" w:hAnsi="宋体" w:eastAsia="宋体" w:cs="宋体"/>
                <w:sz w:val="21"/>
                <w:szCs w:val="21"/>
                <w:highlight w:val="none"/>
                <w:vertAlign w:val="baseline"/>
                <w:lang w:val="en-US" w:eastAsia="zh-CN"/>
              </w:rPr>
            </w:pPr>
          </w:p>
        </w:tc>
        <w:tc>
          <w:tcPr>
            <w:tcW w:w="1533" w:type="dxa"/>
            <w:vMerge w:val="continue"/>
            <w:noWrap w:val="0"/>
            <w:vAlign w:val="center"/>
          </w:tcPr>
          <w:p w14:paraId="23592637">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117" w:type="dxa"/>
            <w:vMerge w:val="continue"/>
            <w:noWrap w:val="0"/>
            <w:vAlign w:val="center"/>
          </w:tcPr>
          <w:p w14:paraId="2A886AEB">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300" w:type="dxa"/>
            <w:noWrap w:val="0"/>
            <w:vAlign w:val="center"/>
          </w:tcPr>
          <w:p w14:paraId="315F0AD5">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DN25</w:t>
            </w:r>
          </w:p>
        </w:tc>
        <w:tc>
          <w:tcPr>
            <w:tcW w:w="1116" w:type="dxa"/>
            <w:noWrap w:val="0"/>
            <w:vAlign w:val="center"/>
          </w:tcPr>
          <w:p w14:paraId="40254231">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米</w:t>
            </w:r>
          </w:p>
        </w:tc>
        <w:tc>
          <w:tcPr>
            <w:tcW w:w="750" w:type="dxa"/>
            <w:noWrap w:val="0"/>
            <w:vAlign w:val="center"/>
          </w:tcPr>
          <w:p w14:paraId="1D2D9EF9">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50</w:t>
            </w:r>
          </w:p>
        </w:tc>
        <w:tc>
          <w:tcPr>
            <w:tcW w:w="2033" w:type="dxa"/>
            <w:vMerge w:val="continue"/>
            <w:noWrap w:val="0"/>
            <w:vAlign w:val="center"/>
          </w:tcPr>
          <w:p w14:paraId="7FEBAD59">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r>
      <w:tr w14:paraId="09768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noWrap w:val="0"/>
            <w:vAlign w:val="center"/>
          </w:tcPr>
          <w:p w14:paraId="24E6B5A6">
            <w:pPr>
              <w:keepNext w:val="0"/>
              <w:keepLines w:val="0"/>
              <w:numPr>
                <w:ilvl w:val="0"/>
                <w:numId w:val="0"/>
              </w:numPr>
              <w:suppressLineNumbers w:val="0"/>
              <w:spacing w:before="0" w:beforeAutospacing="0" w:after="0" w:afterAutospacing="0" w:line="360" w:lineRule="auto"/>
              <w:ind w:left="0" w:right="0"/>
              <w:jc w:val="center"/>
              <w:rPr>
                <w:rFonts w:hint="eastAsia" w:ascii="宋体" w:hAnsi="宋体" w:eastAsia="宋体" w:cs="宋体"/>
                <w:sz w:val="21"/>
                <w:szCs w:val="21"/>
                <w:highlight w:val="none"/>
                <w:vertAlign w:val="baseline"/>
                <w:lang w:val="en-US" w:eastAsia="zh-CN"/>
              </w:rPr>
            </w:pPr>
          </w:p>
        </w:tc>
        <w:tc>
          <w:tcPr>
            <w:tcW w:w="1533" w:type="dxa"/>
            <w:vMerge w:val="continue"/>
            <w:noWrap w:val="0"/>
            <w:vAlign w:val="center"/>
          </w:tcPr>
          <w:p w14:paraId="6EFCC0D0">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117" w:type="dxa"/>
            <w:vMerge w:val="restart"/>
            <w:noWrap w:val="0"/>
            <w:vAlign w:val="center"/>
          </w:tcPr>
          <w:p w14:paraId="1AD6E49E">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弯头</w:t>
            </w:r>
          </w:p>
        </w:tc>
        <w:tc>
          <w:tcPr>
            <w:tcW w:w="1300" w:type="dxa"/>
            <w:noWrap w:val="0"/>
            <w:vAlign w:val="center"/>
          </w:tcPr>
          <w:p w14:paraId="576E13AB">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DN150</w:t>
            </w:r>
          </w:p>
        </w:tc>
        <w:tc>
          <w:tcPr>
            <w:tcW w:w="1116" w:type="dxa"/>
            <w:noWrap w:val="0"/>
            <w:vAlign w:val="center"/>
          </w:tcPr>
          <w:p w14:paraId="71BF617A">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个</w:t>
            </w:r>
          </w:p>
        </w:tc>
        <w:tc>
          <w:tcPr>
            <w:tcW w:w="750" w:type="dxa"/>
            <w:noWrap w:val="0"/>
            <w:vAlign w:val="center"/>
          </w:tcPr>
          <w:p w14:paraId="36C8C98D">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35</w:t>
            </w:r>
          </w:p>
        </w:tc>
        <w:tc>
          <w:tcPr>
            <w:tcW w:w="2033" w:type="dxa"/>
            <w:vMerge w:val="continue"/>
            <w:noWrap w:val="0"/>
            <w:vAlign w:val="center"/>
          </w:tcPr>
          <w:p w14:paraId="264D3DAB">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r>
      <w:tr w14:paraId="14392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noWrap w:val="0"/>
            <w:vAlign w:val="center"/>
          </w:tcPr>
          <w:p w14:paraId="35E599D5">
            <w:pPr>
              <w:keepNext w:val="0"/>
              <w:keepLines w:val="0"/>
              <w:numPr>
                <w:ilvl w:val="0"/>
                <w:numId w:val="0"/>
              </w:numPr>
              <w:suppressLineNumbers w:val="0"/>
              <w:spacing w:before="0" w:beforeAutospacing="0" w:after="0" w:afterAutospacing="0" w:line="360" w:lineRule="auto"/>
              <w:ind w:left="0" w:right="0"/>
              <w:jc w:val="center"/>
              <w:rPr>
                <w:rFonts w:hint="eastAsia" w:ascii="宋体" w:hAnsi="宋体" w:eastAsia="宋体" w:cs="宋体"/>
                <w:sz w:val="21"/>
                <w:szCs w:val="21"/>
                <w:highlight w:val="none"/>
                <w:vertAlign w:val="baseline"/>
                <w:lang w:val="en-US" w:eastAsia="zh-CN"/>
              </w:rPr>
            </w:pPr>
          </w:p>
        </w:tc>
        <w:tc>
          <w:tcPr>
            <w:tcW w:w="1533" w:type="dxa"/>
            <w:vMerge w:val="continue"/>
            <w:noWrap w:val="0"/>
            <w:vAlign w:val="center"/>
          </w:tcPr>
          <w:p w14:paraId="4B621F82">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117" w:type="dxa"/>
            <w:vMerge w:val="continue"/>
            <w:noWrap w:val="0"/>
            <w:vAlign w:val="center"/>
          </w:tcPr>
          <w:p w14:paraId="5329E962">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300" w:type="dxa"/>
            <w:noWrap w:val="0"/>
            <w:vAlign w:val="center"/>
          </w:tcPr>
          <w:p w14:paraId="0D36A32F">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DN100</w:t>
            </w:r>
          </w:p>
        </w:tc>
        <w:tc>
          <w:tcPr>
            <w:tcW w:w="1116" w:type="dxa"/>
            <w:noWrap w:val="0"/>
            <w:vAlign w:val="center"/>
          </w:tcPr>
          <w:p w14:paraId="2C096545">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个</w:t>
            </w:r>
          </w:p>
        </w:tc>
        <w:tc>
          <w:tcPr>
            <w:tcW w:w="750" w:type="dxa"/>
            <w:noWrap w:val="0"/>
            <w:vAlign w:val="center"/>
          </w:tcPr>
          <w:p w14:paraId="2D61F937">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w:t>
            </w:r>
          </w:p>
        </w:tc>
        <w:tc>
          <w:tcPr>
            <w:tcW w:w="2033" w:type="dxa"/>
            <w:vMerge w:val="continue"/>
            <w:noWrap w:val="0"/>
            <w:vAlign w:val="center"/>
          </w:tcPr>
          <w:p w14:paraId="0D8A4127">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r>
      <w:tr w14:paraId="78074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noWrap w:val="0"/>
            <w:vAlign w:val="center"/>
          </w:tcPr>
          <w:p w14:paraId="3BDF00E8">
            <w:pPr>
              <w:keepNext w:val="0"/>
              <w:keepLines w:val="0"/>
              <w:numPr>
                <w:ilvl w:val="0"/>
                <w:numId w:val="0"/>
              </w:numPr>
              <w:suppressLineNumbers w:val="0"/>
              <w:spacing w:before="0" w:beforeAutospacing="0" w:after="0" w:afterAutospacing="0" w:line="360" w:lineRule="auto"/>
              <w:ind w:left="0" w:right="0"/>
              <w:jc w:val="center"/>
              <w:rPr>
                <w:rFonts w:hint="eastAsia" w:ascii="宋体" w:hAnsi="宋体" w:eastAsia="宋体" w:cs="宋体"/>
                <w:sz w:val="21"/>
                <w:szCs w:val="21"/>
                <w:highlight w:val="none"/>
                <w:vertAlign w:val="baseline"/>
                <w:lang w:val="en-US" w:eastAsia="zh-CN"/>
              </w:rPr>
            </w:pPr>
          </w:p>
        </w:tc>
        <w:tc>
          <w:tcPr>
            <w:tcW w:w="1533" w:type="dxa"/>
            <w:vMerge w:val="continue"/>
            <w:noWrap w:val="0"/>
            <w:vAlign w:val="center"/>
          </w:tcPr>
          <w:p w14:paraId="6B0F6775">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117" w:type="dxa"/>
            <w:vMerge w:val="continue"/>
            <w:noWrap w:val="0"/>
            <w:vAlign w:val="center"/>
          </w:tcPr>
          <w:p w14:paraId="31B860E9">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300" w:type="dxa"/>
            <w:noWrap w:val="0"/>
            <w:vAlign w:val="center"/>
          </w:tcPr>
          <w:p w14:paraId="4F525A53">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DN25</w:t>
            </w:r>
          </w:p>
        </w:tc>
        <w:tc>
          <w:tcPr>
            <w:tcW w:w="1116" w:type="dxa"/>
            <w:noWrap w:val="0"/>
            <w:vAlign w:val="center"/>
          </w:tcPr>
          <w:p w14:paraId="06984020">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个</w:t>
            </w:r>
          </w:p>
        </w:tc>
        <w:tc>
          <w:tcPr>
            <w:tcW w:w="750" w:type="dxa"/>
            <w:noWrap w:val="0"/>
            <w:vAlign w:val="center"/>
          </w:tcPr>
          <w:p w14:paraId="3691B25A">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12</w:t>
            </w:r>
          </w:p>
        </w:tc>
        <w:tc>
          <w:tcPr>
            <w:tcW w:w="2033" w:type="dxa"/>
            <w:vMerge w:val="continue"/>
            <w:noWrap w:val="0"/>
            <w:vAlign w:val="center"/>
          </w:tcPr>
          <w:p w14:paraId="266963C3">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r>
      <w:tr w14:paraId="577FC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noWrap w:val="0"/>
            <w:vAlign w:val="center"/>
          </w:tcPr>
          <w:p w14:paraId="61D3E72A">
            <w:pPr>
              <w:keepNext w:val="0"/>
              <w:keepLines w:val="0"/>
              <w:numPr>
                <w:ilvl w:val="0"/>
                <w:numId w:val="0"/>
              </w:numPr>
              <w:suppressLineNumbers w:val="0"/>
              <w:spacing w:before="0" w:beforeAutospacing="0" w:after="0" w:afterAutospacing="0" w:line="360" w:lineRule="auto"/>
              <w:ind w:left="0" w:right="0"/>
              <w:jc w:val="center"/>
              <w:rPr>
                <w:rFonts w:hint="eastAsia" w:ascii="宋体" w:hAnsi="宋体" w:eastAsia="宋体" w:cs="宋体"/>
                <w:sz w:val="21"/>
                <w:szCs w:val="21"/>
                <w:highlight w:val="none"/>
                <w:vertAlign w:val="baseline"/>
                <w:lang w:val="en-US" w:eastAsia="zh-CN"/>
              </w:rPr>
            </w:pPr>
          </w:p>
        </w:tc>
        <w:tc>
          <w:tcPr>
            <w:tcW w:w="1533" w:type="dxa"/>
            <w:vMerge w:val="continue"/>
            <w:noWrap w:val="0"/>
            <w:vAlign w:val="center"/>
          </w:tcPr>
          <w:p w14:paraId="7BD7BCA0">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117" w:type="dxa"/>
            <w:vMerge w:val="restart"/>
            <w:noWrap w:val="0"/>
            <w:vAlign w:val="center"/>
          </w:tcPr>
          <w:p w14:paraId="6F6D6935">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三通</w:t>
            </w:r>
          </w:p>
        </w:tc>
        <w:tc>
          <w:tcPr>
            <w:tcW w:w="1300" w:type="dxa"/>
            <w:noWrap w:val="0"/>
            <w:vAlign w:val="center"/>
          </w:tcPr>
          <w:p w14:paraId="7FDE4FDE">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DN150</w:t>
            </w:r>
          </w:p>
        </w:tc>
        <w:tc>
          <w:tcPr>
            <w:tcW w:w="1116" w:type="dxa"/>
            <w:noWrap w:val="0"/>
            <w:vAlign w:val="center"/>
          </w:tcPr>
          <w:p w14:paraId="3B2E952E">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个</w:t>
            </w:r>
          </w:p>
        </w:tc>
        <w:tc>
          <w:tcPr>
            <w:tcW w:w="750" w:type="dxa"/>
            <w:noWrap w:val="0"/>
            <w:vAlign w:val="center"/>
          </w:tcPr>
          <w:p w14:paraId="3AA6CE9D">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w:t>
            </w:r>
          </w:p>
        </w:tc>
        <w:tc>
          <w:tcPr>
            <w:tcW w:w="2033" w:type="dxa"/>
            <w:vMerge w:val="continue"/>
            <w:noWrap w:val="0"/>
            <w:vAlign w:val="center"/>
          </w:tcPr>
          <w:p w14:paraId="1E8725D7">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r>
      <w:tr w14:paraId="606B9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noWrap w:val="0"/>
            <w:vAlign w:val="center"/>
          </w:tcPr>
          <w:p w14:paraId="11283ABC">
            <w:pPr>
              <w:keepNext w:val="0"/>
              <w:keepLines w:val="0"/>
              <w:numPr>
                <w:ilvl w:val="0"/>
                <w:numId w:val="0"/>
              </w:numPr>
              <w:suppressLineNumbers w:val="0"/>
              <w:spacing w:before="0" w:beforeAutospacing="0" w:after="0" w:afterAutospacing="0" w:line="360" w:lineRule="auto"/>
              <w:ind w:left="0" w:right="0"/>
              <w:jc w:val="center"/>
              <w:rPr>
                <w:rFonts w:hint="eastAsia" w:ascii="宋体" w:hAnsi="宋体" w:eastAsia="宋体" w:cs="宋体"/>
                <w:sz w:val="21"/>
                <w:szCs w:val="21"/>
                <w:highlight w:val="none"/>
                <w:vertAlign w:val="baseline"/>
                <w:lang w:val="en-US" w:eastAsia="zh-CN"/>
              </w:rPr>
            </w:pPr>
          </w:p>
        </w:tc>
        <w:tc>
          <w:tcPr>
            <w:tcW w:w="1533" w:type="dxa"/>
            <w:vMerge w:val="continue"/>
            <w:noWrap w:val="0"/>
            <w:vAlign w:val="center"/>
          </w:tcPr>
          <w:p w14:paraId="41E52BC8">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117" w:type="dxa"/>
            <w:vMerge w:val="continue"/>
            <w:noWrap w:val="0"/>
            <w:vAlign w:val="center"/>
          </w:tcPr>
          <w:p w14:paraId="6731F644">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300" w:type="dxa"/>
            <w:noWrap w:val="0"/>
            <w:vAlign w:val="center"/>
          </w:tcPr>
          <w:p w14:paraId="25C327FA">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DN100</w:t>
            </w:r>
          </w:p>
        </w:tc>
        <w:tc>
          <w:tcPr>
            <w:tcW w:w="1116" w:type="dxa"/>
            <w:noWrap w:val="0"/>
            <w:vAlign w:val="center"/>
          </w:tcPr>
          <w:p w14:paraId="20A2335B">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个</w:t>
            </w:r>
          </w:p>
        </w:tc>
        <w:tc>
          <w:tcPr>
            <w:tcW w:w="750" w:type="dxa"/>
            <w:noWrap w:val="0"/>
            <w:vAlign w:val="center"/>
          </w:tcPr>
          <w:p w14:paraId="5431355F">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w:t>
            </w:r>
          </w:p>
        </w:tc>
        <w:tc>
          <w:tcPr>
            <w:tcW w:w="2033" w:type="dxa"/>
            <w:vMerge w:val="continue"/>
            <w:noWrap w:val="0"/>
            <w:vAlign w:val="center"/>
          </w:tcPr>
          <w:p w14:paraId="34EA75F8">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r>
      <w:tr w14:paraId="35602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noWrap w:val="0"/>
            <w:vAlign w:val="center"/>
          </w:tcPr>
          <w:p w14:paraId="4DDCE6C8">
            <w:pPr>
              <w:keepNext w:val="0"/>
              <w:keepLines w:val="0"/>
              <w:numPr>
                <w:ilvl w:val="0"/>
                <w:numId w:val="0"/>
              </w:numPr>
              <w:suppressLineNumbers w:val="0"/>
              <w:spacing w:before="0" w:beforeAutospacing="0" w:after="0" w:afterAutospacing="0" w:line="360" w:lineRule="auto"/>
              <w:ind w:left="0" w:right="0"/>
              <w:jc w:val="center"/>
              <w:rPr>
                <w:rFonts w:hint="eastAsia" w:ascii="宋体" w:hAnsi="宋体" w:eastAsia="宋体" w:cs="宋体"/>
                <w:sz w:val="21"/>
                <w:szCs w:val="21"/>
                <w:highlight w:val="none"/>
                <w:vertAlign w:val="baseline"/>
                <w:lang w:val="en-US" w:eastAsia="zh-CN"/>
              </w:rPr>
            </w:pPr>
          </w:p>
        </w:tc>
        <w:tc>
          <w:tcPr>
            <w:tcW w:w="1533" w:type="dxa"/>
            <w:vMerge w:val="continue"/>
            <w:noWrap w:val="0"/>
            <w:vAlign w:val="center"/>
          </w:tcPr>
          <w:p w14:paraId="6485EE7E">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117" w:type="dxa"/>
            <w:vMerge w:val="continue"/>
            <w:noWrap w:val="0"/>
            <w:vAlign w:val="center"/>
          </w:tcPr>
          <w:p w14:paraId="7E5B735D">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300" w:type="dxa"/>
            <w:noWrap w:val="0"/>
            <w:vAlign w:val="center"/>
          </w:tcPr>
          <w:p w14:paraId="3BE80B93">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DN32</w:t>
            </w:r>
          </w:p>
        </w:tc>
        <w:tc>
          <w:tcPr>
            <w:tcW w:w="1116" w:type="dxa"/>
            <w:noWrap w:val="0"/>
            <w:vAlign w:val="center"/>
          </w:tcPr>
          <w:p w14:paraId="130C28CD">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个</w:t>
            </w:r>
          </w:p>
        </w:tc>
        <w:tc>
          <w:tcPr>
            <w:tcW w:w="750" w:type="dxa"/>
            <w:noWrap w:val="0"/>
            <w:vAlign w:val="center"/>
          </w:tcPr>
          <w:p w14:paraId="585A316A">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15</w:t>
            </w:r>
          </w:p>
        </w:tc>
        <w:tc>
          <w:tcPr>
            <w:tcW w:w="2033" w:type="dxa"/>
            <w:vMerge w:val="continue"/>
            <w:noWrap w:val="0"/>
            <w:vAlign w:val="center"/>
          </w:tcPr>
          <w:p w14:paraId="621D9AD3">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r>
      <w:tr w14:paraId="6C70C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restart"/>
            <w:noWrap w:val="0"/>
            <w:vAlign w:val="center"/>
          </w:tcPr>
          <w:p w14:paraId="5A7BBF8D">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6</w:t>
            </w:r>
          </w:p>
        </w:tc>
        <w:tc>
          <w:tcPr>
            <w:tcW w:w="1533" w:type="dxa"/>
            <w:vMerge w:val="restart"/>
            <w:noWrap w:val="0"/>
            <w:vAlign w:val="center"/>
          </w:tcPr>
          <w:p w14:paraId="45ED71C3">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控制中心停车场入口延申30米</w:t>
            </w:r>
          </w:p>
        </w:tc>
        <w:tc>
          <w:tcPr>
            <w:tcW w:w="1117" w:type="dxa"/>
            <w:vMerge w:val="restart"/>
            <w:noWrap w:val="0"/>
            <w:vAlign w:val="center"/>
          </w:tcPr>
          <w:p w14:paraId="286F68A4">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消防管</w:t>
            </w:r>
          </w:p>
        </w:tc>
        <w:tc>
          <w:tcPr>
            <w:tcW w:w="1300" w:type="dxa"/>
            <w:noWrap w:val="0"/>
            <w:vAlign w:val="center"/>
          </w:tcPr>
          <w:p w14:paraId="1C01FD8F">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DN150</w:t>
            </w:r>
          </w:p>
        </w:tc>
        <w:tc>
          <w:tcPr>
            <w:tcW w:w="1116" w:type="dxa"/>
            <w:noWrap w:val="0"/>
            <w:vAlign w:val="center"/>
          </w:tcPr>
          <w:p w14:paraId="5439FDC1">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米</w:t>
            </w:r>
          </w:p>
        </w:tc>
        <w:tc>
          <w:tcPr>
            <w:tcW w:w="750" w:type="dxa"/>
            <w:noWrap w:val="0"/>
            <w:vAlign w:val="center"/>
          </w:tcPr>
          <w:p w14:paraId="0A0DF7F2">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150</w:t>
            </w:r>
          </w:p>
        </w:tc>
        <w:tc>
          <w:tcPr>
            <w:tcW w:w="2033" w:type="dxa"/>
            <w:vMerge w:val="restart"/>
            <w:noWrap w:val="0"/>
            <w:vAlign w:val="center"/>
          </w:tcPr>
          <w:p w14:paraId="3291125C">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需登高作业，登高约</w:t>
            </w:r>
            <w:r>
              <w:rPr>
                <w:rFonts w:hint="eastAsia" w:ascii="宋体" w:hAnsi="宋体" w:cs="宋体"/>
                <w:kern w:val="0"/>
                <w:sz w:val="21"/>
                <w:szCs w:val="21"/>
                <w:highlight w:val="none"/>
                <w:lang w:val="en-US" w:eastAsia="zh-CN"/>
              </w:rPr>
              <w:t>3.5</w:t>
            </w:r>
            <w:r>
              <w:rPr>
                <w:rFonts w:hint="eastAsia" w:ascii="宋体" w:hAnsi="宋体" w:eastAsia="宋体" w:cs="宋体"/>
                <w:kern w:val="0"/>
                <w:sz w:val="21"/>
                <w:szCs w:val="21"/>
                <w:highlight w:val="none"/>
                <w:lang w:val="en-US" w:eastAsia="zh-CN"/>
              </w:rPr>
              <w:t>米</w:t>
            </w:r>
          </w:p>
        </w:tc>
      </w:tr>
      <w:tr w14:paraId="15EDA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noWrap w:val="0"/>
            <w:vAlign w:val="center"/>
          </w:tcPr>
          <w:p w14:paraId="0258E2EC">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533" w:type="dxa"/>
            <w:vMerge w:val="continue"/>
            <w:noWrap w:val="0"/>
            <w:vAlign w:val="center"/>
          </w:tcPr>
          <w:p w14:paraId="34E3E1D1">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117" w:type="dxa"/>
            <w:vMerge w:val="continue"/>
            <w:noWrap w:val="0"/>
            <w:vAlign w:val="center"/>
          </w:tcPr>
          <w:p w14:paraId="7AA82221">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300" w:type="dxa"/>
            <w:noWrap w:val="0"/>
            <w:vAlign w:val="center"/>
          </w:tcPr>
          <w:p w14:paraId="34A40CBF">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DN100</w:t>
            </w:r>
          </w:p>
        </w:tc>
        <w:tc>
          <w:tcPr>
            <w:tcW w:w="1116" w:type="dxa"/>
            <w:noWrap w:val="0"/>
            <w:vAlign w:val="center"/>
          </w:tcPr>
          <w:p w14:paraId="3B93E815">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米</w:t>
            </w:r>
          </w:p>
        </w:tc>
        <w:tc>
          <w:tcPr>
            <w:tcW w:w="750" w:type="dxa"/>
            <w:noWrap w:val="0"/>
            <w:vAlign w:val="center"/>
          </w:tcPr>
          <w:p w14:paraId="6561534B">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w:t>
            </w:r>
          </w:p>
        </w:tc>
        <w:tc>
          <w:tcPr>
            <w:tcW w:w="2033" w:type="dxa"/>
            <w:vMerge w:val="continue"/>
            <w:noWrap w:val="0"/>
            <w:vAlign w:val="top"/>
          </w:tcPr>
          <w:p w14:paraId="4346DBA9">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r>
      <w:tr w14:paraId="15C52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noWrap w:val="0"/>
            <w:vAlign w:val="center"/>
          </w:tcPr>
          <w:p w14:paraId="065EC116">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533" w:type="dxa"/>
            <w:vMerge w:val="continue"/>
            <w:noWrap w:val="0"/>
            <w:vAlign w:val="center"/>
          </w:tcPr>
          <w:p w14:paraId="0BCA3D75">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117" w:type="dxa"/>
            <w:vMerge w:val="continue"/>
            <w:noWrap w:val="0"/>
            <w:vAlign w:val="center"/>
          </w:tcPr>
          <w:p w14:paraId="79D16640">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300" w:type="dxa"/>
            <w:noWrap w:val="0"/>
            <w:vAlign w:val="center"/>
          </w:tcPr>
          <w:p w14:paraId="73A93A34">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DN65</w:t>
            </w:r>
          </w:p>
        </w:tc>
        <w:tc>
          <w:tcPr>
            <w:tcW w:w="1116" w:type="dxa"/>
            <w:noWrap w:val="0"/>
            <w:vAlign w:val="center"/>
          </w:tcPr>
          <w:p w14:paraId="4D0D2443">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米</w:t>
            </w:r>
          </w:p>
        </w:tc>
        <w:tc>
          <w:tcPr>
            <w:tcW w:w="750" w:type="dxa"/>
            <w:noWrap w:val="0"/>
            <w:vAlign w:val="center"/>
          </w:tcPr>
          <w:p w14:paraId="5A8D0851">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50</w:t>
            </w:r>
          </w:p>
        </w:tc>
        <w:tc>
          <w:tcPr>
            <w:tcW w:w="2033" w:type="dxa"/>
            <w:vMerge w:val="continue"/>
            <w:noWrap w:val="0"/>
            <w:vAlign w:val="top"/>
          </w:tcPr>
          <w:p w14:paraId="23A61ACE">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r>
      <w:tr w14:paraId="2C42D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noWrap w:val="0"/>
            <w:vAlign w:val="center"/>
          </w:tcPr>
          <w:p w14:paraId="3B69E427">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533" w:type="dxa"/>
            <w:vMerge w:val="continue"/>
            <w:noWrap w:val="0"/>
            <w:vAlign w:val="center"/>
          </w:tcPr>
          <w:p w14:paraId="4FB8C232">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117" w:type="dxa"/>
            <w:vMerge w:val="restart"/>
            <w:noWrap w:val="0"/>
            <w:vAlign w:val="center"/>
          </w:tcPr>
          <w:p w14:paraId="306FB2C4">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喷淋管</w:t>
            </w:r>
          </w:p>
        </w:tc>
        <w:tc>
          <w:tcPr>
            <w:tcW w:w="1300" w:type="dxa"/>
            <w:noWrap w:val="0"/>
            <w:vAlign w:val="center"/>
          </w:tcPr>
          <w:p w14:paraId="16A58D64">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DN32</w:t>
            </w:r>
          </w:p>
        </w:tc>
        <w:tc>
          <w:tcPr>
            <w:tcW w:w="1116" w:type="dxa"/>
            <w:noWrap w:val="0"/>
            <w:vAlign w:val="center"/>
          </w:tcPr>
          <w:p w14:paraId="03427530">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米</w:t>
            </w:r>
          </w:p>
        </w:tc>
        <w:tc>
          <w:tcPr>
            <w:tcW w:w="750" w:type="dxa"/>
            <w:noWrap w:val="0"/>
            <w:vAlign w:val="center"/>
          </w:tcPr>
          <w:p w14:paraId="20DEEC6B">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90</w:t>
            </w:r>
          </w:p>
        </w:tc>
        <w:tc>
          <w:tcPr>
            <w:tcW w:w="2033" w:type="dxa"/>
            <w:vMerge w:val="continue"/>
            <w:noWrap w:val="0"/>
            <w:vAlign w:val="top"/>
          </w:tcPr>
          <w:p w14:paraId="340A074A">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r>
      <w:tr w14:paraId="50B16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noWrap w:val="0"/>
            <w:vAlign w:val="center"/>
          </w:tcPr>
          <w:p w14:paraId="59605974">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533" w:type="dxa"/>
            <w:vMerge w:val="continue"/>
            <w:noWrap w:val="0"/>
            <w:vAlign w:val="center"/>
          </w:tcPr>
          <w:p w14:paraId="4EA97355">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117" w:type="dxa"/>
            <w:vMerge w:val="continue"/>
            <w:noWrap w:val="0"/>
            <w:vAlign w:val="center"/>
          </w:tcPr>
          <w:p w14:paraId="25CD826D">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300" w:type="dxa"/>
            <w:noWrap w:val="0"/>
            <w:vAlign w:val="center"/>
          </w:tcPr>
          <w:p w14:paraId="05D3BB65">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DN25</w:t>
            </w:r>
          </w:p>
        </w:tc>
        <w:tc>
          <w:tcPr>
            <w:tcW w:w="1116" w:type="dxa"/>
            <w:noWrap w:val="0"/>
            <w:vAlign w:val="center"/>
          </w:tcPr>
          <w:p w14:paraId="29C27DAB">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米</w:t>
            </w:r>
          </w:p>
        </w:tc>
        <w:tc>
          <w:tcPr>
            <w:tcW w:w="750" w:type="dxa"/>
            <w:noWrap w:val="0"/>
            <w:vAlign w:val="center"/>
          </w:tcPr>
          <w:p w14:paraId="62BC9EF1">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300</w:t>
            </w:r>
          </w:p>
        </w:tc>
        <w:tc>
          <w:tcPr>
            <w:tcW w:w="2033" w:type="dxa"/>
            <w:vMerge w:val="continue"/>
            <w:noWrap w:val="0"/>
            <w:vAlign w:val="top"/>
          </w:tcPr>
          <w:p w14:paraId="670B42CB">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r>
      <w:tr w14:paraId="518C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noWrap w:val="0"/>
            <w:vAlign w:val="center"/>
          </w:tcPr>
          <w:p w14:paraId="72AA01EF">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533" w:type="dxa"/>
            <w:vMerge w:val="continue"/>
            <w:noWrap w:val="0"/>
            <w:vAlign w:val="center"/>
          </w:tcPr>
          <w:p w14:paraId="68DAC599">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117" w:type="dxa"/>
            <w:vMerge w:val="restart"/>
            <w:noWrap w:val="0"/>
            <w:vAlign w:val="center"/>
          </w:tcPr>
          <w:p w14:paraId="32C17C06">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生活管</w:t>
            </w:r>
          </w:p>
        </w:tc>
        <w:tc>
          <w:tcPr>
            <w:tcW w:w="1300" w:type="dxa"/>
            <w:noWrap w:val="0"/>
            <w:vAlign w:val="center"/>
          </w:tcPr>
          <w:p w14:paraId="20EA69C1">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DN150</w:t>
            </w:r>
          </w:p>
        </w:tc>
        <w:tc>
          <w:tcPr>
            <w:tcW w:w="1116" w:type="dxa"/>
            <w:noWrap w:val="0"/>
            <w:vAlign w:val="center"/>
          </w:tcPr>
          <w:p w14:paraId="0564C9FC">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米</w:t>
            </w:r>
          </w:p>
        </w:tc>
        <w:tc>
          <w:tcPr>
            <w:tcW w:w="750" w:type="dxa"/>
            <w:noWrap w:val="0"/>
            <w:vAlign w:val="center"/>
          </w:tcPr>
          <w:p w14:paraId="4EC41369">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10</w:t>
            </w:r>
          </w:p>
        </w:tc>
        <w:tc>
          <w:tcPr>
            <w:tcW w:w="2033" w:type="dxa"/>
            <w:vMerge w:val="continue"/>
            <w:noWrap w:val="0"/>
            <w:vAlign w:val="top"/>
          </w:tcPr>
          <w:p w14:paraId="10B91406">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r>
      <w:tr w14:paraId="1BB40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noWrap w:val="0"/>
            <w:vAlign w:val="center"/>
          </w:tcPr>
          <w:p w14:paraId="799B8613">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533" w:type="dxa"/>
            <w:vMerge w:val="continue"/>
            <w:noWrap w:val="0"/>
            <w:vAlign w:val="center"/>
          </w:tcPr>
          <w:p w14:paraId="76B1591D">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117" w:type="dxa"/>
            <w:vMerge w:val="continue"/>
            <w:noWrap w:val="0"/>
            <w:vAlign w:val="center"/>
          </w:tcPr>
          <w:p w14:paraId="0F91346F">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300" w:type="dxa"/>
            <w:noWrap w:val="0"/>
            <w:vAlign w:val="center"/>
          </w:tcPr>
          <w:p w14:paraId="4F1ECE0B">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DN100</w:t>
            </w:r>
          </w:p>
        </w:tc>
        <w:tc>
          <w:tcPr>
            <w:tcW w:w="1116" w:type="dxa"/>
            <w:noWrap w:val="0"/>
            <w:vAlign w:val="center"/>
          </w:tcPr>
          <w:p w14:paraId="515FD41F">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米</w:t>
            </w:r>
          </w:p>
        </w:tc>
        <w:tc>
          <w:tcPr>
            <w:tcW w:w="750" w:type="dxa"/>
            <w:noWrap w:val="0"/>
            <w:vAlign w:val="center"/>
          </w:tcPr>
          <w:p w14:paraId="29CE6FAF">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w:t>
            </w:r>
          </w:p>
        </w:tc>
        <w:tc>
          <w:tcPr>
            <w:tcW w:w="2033" w:type="dxa"/>
            <w:vMerge w:val="continue"/>
            <w:noWrap w:val="0"/>
            <w:vAlign w:val="top"/>
          </w:tcPr>
          <w:p w14:paraId="13025665">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r>
      <w:tr w14:paraId="5FDEF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noWrap w:val="0"/>
            <w:vAlign w:val="center"/>
          </w:tcPr>
          <w:p w14:paraId="492B084D">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533" w:type="dxa"/>
            <w:vMerge w:val="continue"/>
            <w:noWrap w:val="0"/>
            <w:vAlign w:val="center"/>
          </w:tcPr>
          <w:p w14:paraId="60F4A3A7">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117" w:type="dxa"/>
            <w:vMerge w:val="continue"/>
            <w:noWrap w:val="0"/>
            <w:vAlign w:val="center"/>
          </w:tcPr>
          <w:p w14:paraId="6A22C925">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300" w:type="dxa"/>
            <w:noWrap w:val="0"/>
            <w:vAlign w:val="center"/>
          </w:tcPr>
          <w:p w14:paraId="0B158FCE">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DN80</w:t>
            </w:r>
          </w:p>
        </w:tc>
        <w:tc>
          <w:tcPr>
            <w:tcW w:w="1116" w:type="dxa"/>
            <w:noWrap w:val="0"/>
            <w:vAlign w:val="center"/>
          </w:tcPr>
          <w:p w14:paraId="32A77E33">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米</w:t>
            </w:r>
          </w:p>
        </w:tc>
        <w:tc>
          <w:tcPr>
            <w:tcW w:w="750" w:type="dxa"/>
            <w:noWrap w:val="0"/>
            <w:vAlign w:val="center"/>
          </w:tcPr>
          <w:p w14:paraId="44CB80FA">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80</w:t>
            </w:r>
          </w:p>
        </w:tc>
        <w:tc>
          <w:tcPr>
            <w:tcW w:w="2033" w:type="dxa"/>
            <w:vMerge w:val="continue"/>
            <w:noWrap w:val="0"/>
            <w:vAlign w:val="top"/>
          </w:tcPr>
          <w:p w14:paraId="01FAD51D">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r>
      <w:tr w14:paraId="27AD6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noWrap w:val="0"/>
            <w:vAlign w:val="center"/>
          </w:tcPr>
          <w:p w14:paraId="6FBE05FA">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533" w:type="dxa"/>
            <w:vMerge w:val="continue"/>
            <w:noWrap w:val="0"/>
            <w:vAlign w:val="center"/>
          </w:tcPr>
          <w:p w14:paraId="30A037F7">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117" w:type="dxa"/>
            <w:vMerge w:val="restart"/>
            <w:noWrap w:val="0"/>
            <w:vAlign w:val="center"/>
          </w:tcPr>
          <w:p w14:paraId="1D0C83B3">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弯头</w:t>
            </w:r>
          </w:p>
        </w:tc>
        <w:tc>
          <w:tcPr>
            <w:tcW w:w="1300" w:type="dxa"/>
            <w:noWrap w:val="0"/>
            <w:vAlign w:val="center"/>
          </w:tcPr>
          <w:p w14:paraId="396797EB">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DN150</w:t>
            </w:r>
          </w:p>
        </w:tc>
        <w:tc>
          <w:tcPr>
            <w:tcW w:w="1116" w:type="dxa"/>
            <w:noWrap w:val="0"/>
            <w:vAlign w:val="center"/>
          </w:tcPr>
          <w:p w14:paraId="67C28AB1">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个</w:t>
            </w:r>
          </w:p>
        </w:tc>
        <w:tc>
          <w:tcPr>
            <w:tcW w:w="750" w:type="dxa"/>
            <w:noWrap w:val="0"/>
            <w:vAlign w:val="center"/>
          </w:tcPr>
          <w:p w14:paraId="30CA2B1C">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35</w:t>
            </w:r>
          </w:p>
        </w:tc>
        <w:tc>
          <w:tcPr>
            <w:tcW w:w="2033" w:type="dxa"/>
            <w:vMerge w:val="continue"/>
            <w:noWrap w:val="0"/>
            <w:vAlign w:val="center"/>
          </w:tcPr>
          <w:p w14:paraId="466B7B2C">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r>
      <w:tr w14:paraId="06B44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noWrap w:val="0"/>
            <w:vAlign w:val="center"/>
          </w:tcPr>
          <w:p w14:paraId="397C45B1">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533" w:type="dxa"/>
            <w:vMerge w:val="continue"/>
            <w:noWrap w:val="0"/>
            <w:vAlign w:val="center"/>
          </w:tcPr>
          <w:p w14:paraId="03867EF1">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117" w:type="dxa"/>
            <w:vMerge w:val="continue"/>
            <w:noWrap w:val="0"/>
            <w:vAlign w:val="center"/>
          </w:tcPr>
          <w:p w14:paraId="321A54DF">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300" w:type="dxa"/>
            <w:noWrap w:val="0"/>
            <w:vAlign w:val="center"/>
          </w:tcPr>
          <w:p w14:paraId="460ECCF7">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DN100</w:t>
            </w:r>
          </w:p>
        </w:tc>
        <w:tc>
          <w:tcPr>
            <w:tcW w:w="1116" w:type="dxa"/>
            <w:noWrap w:val="0"/>
            <w:vAlign w:val="center"/>
          </w:tcPr>
          <w:p w14:paraId="44A3FF4F">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个</w:t>
            </w:r>
          </w:p>
        </w:tc>
        <w:tc>
          <w:tcPr>
            <w:tcW w:w="750" w:type="dxa"/>
            <w:noWrap w:val="0"/>
            <w:vAlign w:val="center"/>
          </w:tcPr>
          <w:p w14:paraId="4C9F3E23">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6</w:t>
            </w:r>
          </w:p>
        </w:tc>
        <w:tc>
          <w:tcPr>
            <w:tcW w:w="2033" w:type="dxa"/>
            <w:vMerge w:val="continue"/>
            <w:noWrap w:val="0"/>
            <w:vAlign w:val="center"/>
          </w:tcPr>
          <w:p w14:paraId="5CF8A764">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r>
      <w:tr w14:paraId="03160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noWrap w:val="0"/>
            <w:vAlign w:val="center"/>
          </w:tcPr>
          <w:p w14:paraId="24D9A258">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533" w:type="dxa"/>
            <w:vMerge w:val="continue"/>
            <w:noWrap w:val="0"/>
            <w:vAlign w:val="center"/>
          </w:tcPr>
          <w:p w14:paraId="2EA472EF">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117" w:type="dxa"/>
            <w:vMerge w:val="continue"/>
            <w:noWrap w:val="0"/>
            <w:vAlign w:val="center"/>
          </w:tcPr>
          <w:p w14:paraId="23897AD9">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300" w:type="dxa"/>
            <w:noWrap w:val="0"/>
            <w:vAlign w:val="center"/>
          </w:tcPr>
          <w:p w14:paraId="72741B1F">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DN80</w:t>
            </w:r>
          </w:p>
        </w:tc>
        <w:tc>
          <w:tcPr>
            <w:tcW w:w="1116" w:type="dxa"/>
            <w:noWrap w:val="0"/>
            <w:vAlign w:val="center"/>
          </w:tcPr>
          <w:p w14:paraId="3C3140FC">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个</w:t>
            </w:r>
          </w:p>
        </w:tc>
        <w:tc>
          <w:tcPr>
            <w:tcW w:w="750" w:type="dxa"/>
            <w:noWrap w:val="0"/>
            <w:vAlign w:val="center"/>
          </w:tcPr>
          <w:p w14:paraId="09FD2748">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12</w:t>
            </w:r>
          </w:p>
        </w:tc>
        <w:tc>
          <w:tcPr>
            <w:tcW w:w="2033" w:type="dxa"/>
            <w:vMerge w:val="continue"/>
            <w:noWrap w:val="0"/>
            <w:vAlign w:val="center"/>
          </w:tcPr>
          <w:p w14:paraId="29A5FC6D">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r>
      <w:tr w14:paraId="7E9F8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noWrap w:val="0"/>
            <w:vAlign w:val="center"/>
          </w:tcPr>
          <w:p w14:paraId="34C0523A">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533" w:type="dxa"/>
            <w:vMerge w:val="continue"/>
            <w:noWrap w:val="0"/>
            <w:vAlign w:val="center"/>
          </w:tcPr>
          <w:p w14:paraId="3360C7CF">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117" w:type="dxa"/>
            <w:vMerge w:val="continue"/>
            <w:noWrap w:val="0"/>
            <w:vAlign w:val="center"/>
          </w:tcPr>
          <w:p w14:paraId="0292F0F3">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300" w:type="dxa"/>
            <w:noWrap w:val="0"/>
            <w:vAlign w:val="center"/>
          </w:tcPr>
          <w:p w14:paraId="255861A8">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DN65</w:t>
            </w:r>
          </w:p>
        </w:tc>
        <w:tc>
          <w:tcPr>
            <w:tcW w:w="1116" w:type="dxa"/>
            <w:noWrap w:val="0"/>
            <w:vAlign w:val="center"/>
          </w:tcPr>
          <w:p w14:paraId="411AC284">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个</w:t>
            </w:r>
          </w:p>
        </w:tc>
        <w:tc>
          <w:tcPr>
            <w:tcW w:w="750" w:type="dxa"/>
            <w:noWrap w:val="0"/>
            <w:vAlign w:val="center"/>
          </w:tcPr>
          <w:p w14:paraId="7D8C2168">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15</w:t>
            </w:r>
          </w:p>
        </w:tc>
        <w:tc>
          <w:tcPr>
            <w:tcW w:w="2033" w:type="dxa"/>
            <w:vMerge w:val="continue"/>
            <w:noWrap w:val="0"/>
            <w:vAlign w:val="center"/>
          </w:tcPr>
          <w:p w14:paraId="60702F9E">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r>
      <w:tr w14:paraId="5F2CF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noWrap w:val="0"/>
            <w:vAlign w:val="center"/>
          </w:tcPr>
          <w:p w14:paraId="211AA0A8">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533" w:type="dxa"/>
            <w:vMerge w:val="continue"/>
            <w:noWrap w:val="0"/>
            <w:vAlign w:val="center"/>
          </w:tcPr>
          <w:p w14:paraId="04070E8F">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117" w:type="dxa"/>
            <w:vMerge w:val="continue"/>
            <w:noWrap w:val="0"/>
            <w:vAlign w:val="center"/>
          </w:tcPr>
          <w:p w14:paraId="28537E41">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300" w:type="dxa"/>
            <w:noWrap w:val="0"/>
            <w:vAlign w:val="center"/>
          </w:tcPr>
          <w:p w14:paraId="00FEC596">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DN32</w:t>
            </w:r>
          </w:p>
        </w:tc>
        <w:tc>
          <w:tcPr>
            <w:tcW w:w="1116" w:type="dxa"/>
            <w:noWrap w:val="0"/>
            <w:vAlign w:val="center"/>
          </w:tcPr>
          <w:p w14:paraId="266DC70D">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个</w:t>
            </w:r>
          </w:p>
        </w:tc>
        <w:tc>
          <w:tcPr>
            <w:tcW w:w="750" w:type="dxa"/>
            <w:noWrap w:val="0"/>
            <w:vAlign w:val="center"/>
          </w:tcPr>
          <w:p w14:paraId="5850133F">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45</w:t>
            </w:r>
          </w:p>
        </w:tc>
        <w:tc>
          <w:tcPr>
            <w:tcW w:w="2033" w:type="dxa"/>
            <w:vMerge w:val="continue"/>
            <w:noWrap w:val="0"/>
            <w:vAlign w:val="center"/>
          </w:tcPr>
          <w:p w14:paraId="15073140">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r>
      <w:tr w14:paraId="74144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noWrap w:val="0"/>
            <w:vAlign w:val="center"/>
          </w:tcPr>
          <w:p w14:paraId="490B6E3D">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533" w:type="dxa"/>
            <w:vMerge w:val="continue"/>
            <w:noWrap w:val="0"/>
            <w:vAlign w:val="center"/>
          </w:tcPr>
          <w:p w14:paraId="0AE01B66">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117" w:type="dxa"/>
            <w:vMerge w:val="continue"/>
            <w:noWrap w:val="0"/>
            <w:vAlign w:val="center"/>
          </w:tcPr>
          <w:p w14:paraId="5CA5C2CE">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300" w:type="dxa"/>
            <w:noWrap w:val="0"/>
            <w:vAlign w:val="center"/>
          </w:tcPr>
          <w:p w14:paraId="26D052B9">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DN25</w:t>
            </w:r>
          </w:p>
        </w:tc>
        <w:tc>
          <w:tcPr>
            <w:tcW w:w="1116" w:type="dxa"/>
            <w:noWrap w:val="0"/>
            <w:vAlign w:val="center"/>
          </w:tcPr>
          <w:p w14:paraId="6C886B74">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个</w:t>
            </w:r>
          </w:p>
        </w:tc>
        <w:tc>
          <w:tcPr>
            <w:tcW w:w="750" w:type="dxa"/>
            <w:noWrap w:val="0"/>
            <w:vAlign w:val="center"/>
          </w:tcPr>
          <w:p w14:paraId="5E7EA930">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30</w:t>
            </w:r>
          </w:p>
        </w:tc>
        <w:tc>
          <w:tcPr>
            <w:tcW w:w="2033" w:type="dxa"/>
            <w:vMerge w:val="continue"/>
            <w:noWrap w:val="0"/>
            <w:vAlign w:val="center"/>
          </w:tcPr>
          <w:p w14:paraId="18914E33">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r>
      <w:tr w14:paraId="6861C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noWrap w:val="0"/>
            <w:vAlign w:val="center"/>
          </w:tcPr>
          <w:p w14:paraId="328789C5">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533" w:type="dxa"/>
            <w:vMerge w:val="continue"/>
            <w:noWrap w:val="0"/>
            <w:vAlign w:val="center"/>
          </w:tcPr>
          <w:p w14:paraId="2FE71907">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117" w:type="dxa"/>
            <w:vMerge w:val="restart"/>
            <w:noWrap w:val="0"/>
            <w:vAlign w:val="center"/>
          </w:tcPr>
          <w:p w14:paraId="328AF4DA">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三通</w:t>
            </w:r>
          </w:p>
        </w:tc>
        <w:tc>
          <w:tcPr>
            <w:tcW w:w="1300" w:type="dxa"/>
            <w:noWrap w:val="0"/>
            <w:vAlign w:val="center"/>
          </w:tcPr>
          <w:p w14:paraId="27F2076B">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DN150</w:t>
            </w:r>
          </w:p>
        </w:tc>
        <w:tc>
          <w:tcPr>
            <w:tcW w:w="1116" w:type="dxa"/>
            <w:noWrap w:val="0"/>
            <w:vAlign w:val="center"/>
          </w:tcPr>
          <w:p w14:paraId="48C7FF74">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个</w:t>
            </w:r>
          </w:p>
        </w:tc>
        <w:tc>
          <w:tcPr>
            <w:tcW w:w="750" w:type="dxa"/>
            <w:noWrap w:val="0"/>
            <w:vAlign w:val="center"/>
          </w:tcPr>
          <w:p w14:paraId="5D7D0BCF">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w:t>
            </w:r>
          </w:p>
        </w:tc>
        <w:tc>
          <w:tcPr>
            <w:tcW w:w="2033" w:type="dxa"/>
            <w:vMerge w:val="continue"/>
            <w:noWrap w:val="0"/>
            <w:vAlign w:val="center"/>
          </w:tcPr>
          <w:p w14:paraId="4883C122">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r>
      <w:tr w14:paraId="08150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noWrap w:val="0"/>
            <w:vAlign w:val="center"/>
          </w:tcPr>
          <w:p w14:paraId="64C6799C">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533" w:type="dxa"/>
            <w:vMerge w:val="continue"/>
            <w:noWrap w:val="0"/>
            <w:vAlign w:val="center"/>
          </w:tcPr>
          <w:p w14:paraId="029E73C0">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117" w:type="dxa"/>
            <w:vMerge w:val="continue"/>
            <w:noWrap w:val="0"/>
            <w:vAlign w:val="center"/>
          </w:tcPr>
          <w:p w14:paraId="0AB12732">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300" w:type="dxa"/>
            <w:noWrap w:val="0"/>
            <w:vAlign w:val="center"/>
          </w:tcPr>
          <w:p w14:paraId="23BD4C25">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DN65</w:t>
            </w:r>
          </w:p>
        </w:tc>
        <w:tc>
          <w:tcPr>
            <w:tcW w:w="1116" w:type="dxa"/>
            <w:noWrap w:val="0"/>
            <w:vAlign w:val="center"/>
          </w:tcPr>
          <w:p w14:paraId="3C39B633">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个</w:t>
            </w:r>
          </w:p>
        </w:tc>
        <w:tc>
          <w:tcPr>
            <w:tcW w:w="750" w:type="dxa"/>
            <w:noWrap w:val="0"/>
            <w:vAlign w:val="center"/>
          </w:tcPr>
          <w:p w14:paraId="018A2FE2">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w:t>
            </w:r>
          </w:p>
        </w:tc>
        <w:tc>
          <w:tcPr>
            <w:tcW w:w="2033" w:type="dxa"/>
            <w:vMerge w:val="continue"/>
            <w:noWrap w:val="0"/>
            <w:vAlign w:val="center"/>
          </w:tcPr>
          <w:p w14:paraId="569AEB82">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r>
      <w:tr w14:paraId="5196F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noWrap w:val="0"/>
            <w:vAlign w:val="center"/>
          </w:tcPr>
          <w:p w14:paraId="54941586">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533" w:type="dxa"/>
            <w:vMerge w:val="continue"/>
            <w:noWrap w:val="0"/>
            <w:vAlign w:val="center"/>
          </w:tcPr>
          <w:p w14:paraId="008A448C">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117" w:type="dxa"/>
            <w:vMerge w:val="continue"/>
            <w:noWrap w:val="0"/>
            <w:vAlign w:val="center"/>
          </w:tcPr>
          <w:p w14:paraId="365D709D">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300" w:type="dxa"/>
            <w:noWrap w:val="0"/>
            <w:vAlign w:val="center"/>
          </w:tcPr>
          <w:p w14:paraId="108DA83D">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DN32</w:t>
            </w:r>
          </w:p>
        </w:tc>
        <w:tc>
          <w:tcPr>
            <w:tcW w:w="1116" w:type="dxa"/>
            <w:noWrap w:val="0"/>
            <w:vAlign w:val="center"/>
          </w:tcPr>
          <w:p w14:paraId="32075DC6">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个</w:t>
            </w:r>
          </w:p>
        </w:tc>
        <w:tc>
          <w:tcPr>
            <w:tcW w:w="750" w:type="dxa"/>
            <w:noWrap w:val="0"/>
            <w:vAlign w:val="center"/>
          </w:tcPr>
          <w:p w14:paraId="6A230086">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80</w:t>
            </w:r>
          </w:p>
        </w:tc>
        <w:tc>
          <w:tcPr>
            <w:tcW w:w="2033" w:type="dxa"/>
            <w:vMerge w:val="continue"/>
            <w:noWrap w:val="0"/>
            <w:vAlign w:val="center"/>
          </w:tcPr>
          <w:p w14:paraId="161CA539">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r>
      <w:tr w14:paraId="311D1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70" w:type="dxa"/>
            <w:vMerge w:val="restart"/>
            <w:noWrap w:val="0"/>
            <w:vAlign w:val="center"/>
          </w:tcPr>
          <w:p w14:paraId="2D36032E">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7</w:t>
            </w:r>
          </w:p>
        </w:tc>
        <w:tc>
          <w:tcPr>
            <w:tcW w:w="1533" w:type="dxa"/>
            <w:vMerge w:val="restart"/>
            <w:noWrap w:val="0"/>
            <w:vAlign w:val="center"/>
          </w:tcPr>
          <w:p w14:paraId="79BAC3B9">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控制中心停车场出口</w:t>
            </w:r>
          </w:p>
        </w:tc>
        <w:tc>
          <w:tcPr>
            <w:tcW w:w="1117" w:type="dxa"/>
            <w:noWrap w:val="0"/>
            <w:vAlign w:val="center"/>
          </w:tcPr>
          <w:p w14:paraId="697323B5">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消防管</w:t>
            </w:r>
          </w:p>
        </w:tc>
        <w:tc>
          <w:tcPr>
            <w:tcW w:w="1300" w:type="dxa"/>
            <w:noWrap w:val="0"/>
            <w:vAlign w:val="center"/>
          </w:tcPr>
          <w:p w14:paraId="713F8EE8">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DN65</w:t>
            </w:r>
          </w:p>
        </w:tc>
        <w:tc>
          <w:tcPr>
            <w:tcW w:w="1116" w:type="dxa"/>
            <w:noWrap w:val="0"/>
            <w:vAlign w:val="center"/>
          </w:tcPr>
          <w:p w14:paraId="121CF814">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米</w:t>
            </w:r>
          </w:p>
        </w:tc>
        <w:tc>
          <w:tcPr>
            <w:tcW w:w="750" w:type="dxa"/>
            <w:noWrap w:val="0"/>
            <w:vAlign w:val="center"/>
          </w:tcPr>
          <w:p w14:paraId="01F894A6">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10</w:t>
            </w:r>
          </w:p>
        </w:tc>
        <w:tc>
          <w:tcPr>
            <w:tcW w:w="2033" w:type="dxa"/>
            <w:vMerge w:val="restart"/>
            <w:noWrap w:val="0"/>
            <w:vAlign w:val="center"/>
          </w:tcPr>
          <w:p w14:paraId="57D62183">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需登高作业，登高约</w:t>
            </w:r>
            <w:r>
              <w:rPr>
                <w:rFonts w:hint="eastAsia" w:ascii="宋体" w:hAnsi="宋体" w:cs="宋体"/>
                <w:kern w:val="0"/>
                <w:sz w:val="21"/>
                <w:szCs w:val="21"/>
                <w:highlight w:val="none"/>
                <w:lang w:val="en-US" w:eastAsia="zh-CN"/>
              </w:rPr>
              <w:t>3.5</w:t>
            </w:r>
            <w:r>
              <w:rPr>
                <w:rFonts w:hint="eastAsia" w:ascii="宋体" w:hAnsi="宋体" w:eastAsia="宋体" w:cs="宋体"/>
                <w:kern w:val="0"/>
                <w:sz w:val="21"/>
                <w:szCs w:val="21"/>
                <w:highlight w:val="none"/>
                <w:lang w:val="en-US" w:eastAsia="zh-CN"/>
              </w:rPr>
              <w:t>米</w:t>
            </w:r>
          </w:p>
        </w:tc>
      </w:tr>
      <w:tr w14:paraId="5BE47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670" w:type="dxa"/>
            <w:vMerge w:val="continue"/>
            <w:noWrap w:val="0"/>
            <w:vAlign w:val="center"/>
          </w:tcPr>
          <w:p w14:paraId="28B63957">
            <w:pPr>
              <w:keepNext w:val="0"/>
              <w:keepLines w:val="0"/>
              <w:numPr>
                <w:ilvl w:val="0"/>
                <w:numId w:val="0"/>
              </w:numPr>
              <w:suppressLineNumbers w:val="0"/>
              <w:spacing w:before="0" w:beforeAutospacing="0" w:after="0" w:afterAutospacing="0" w:line="360" w:lineRule="auto"/>
              <w:ind w:left="0" w:right="0"/>
              <w:jc w:val="center"/>
              <w:rPr>
                <w:rFonts w:hint="eastAsia" w:ascii="宋体" w:hAnsi="宋体" w:eastAsia="宋体" w:cs="宋体"/>
                <w:sz w:val="21"/>
                <w:szCs w:val="21"/>
                <w:highlight w:val="none"/>
                <w:vertAlign w:val="baseline"/>
                <w:lang w:val="en-US" w:eastAsia="zh-CN"/>
              </w:rPr>
            </w:pPr>
          </w:p>
        </w:tc>
        <w:tc>
          <w:tcPr>
            <w:tcW w:w="1533" w:type="dxa"/>
            <w:vMerge w:val="continue"/>
            <w:noWrap w:val="0"/>
            <w:vAlign w:val="center"/>
          </w:tcPr>
          <w:p w14:paraId="5E6D8A40">
            <w:pPr>
              <w:keepNext w:val="0"/>
              <w:keepLines w:val="0"/>
              <w:numPr>
                <w:ilvl w:val="0"/>
                <w:numId w:val="0"/>
              </w:numPr>
              <w:suppressLineNumbers w:val="0"/>
              <w:spacing w:before="0" w:beforeAutospacing="0" w:after="0" w:afterAutospacing="0" w:line="360" w:lineRule="auto"/>
              <w:ind w:left="0" w:right="0"/>
              <w:jc w:val="center"/>
              <w:rPr>
                <w:rFonts w:hint="eastAsia" w:ascii="宋体" w:hAnsi="宋体" w:eastAsia="宋体" w:cs="宋体"/>
                <w:sz w:val="21"/>
                <w:szCs w:val="21"/>
                <w:highlight w:val="none"/>
                <w:vertAlign w:val="baseline"/>
                <w:lang w:val="en-US" w:eastAsia="zh-CN"/>
              </w:rPr>
            </w:pPr>
          </w:p>
        </w:tc>
        <w:tc>
          <w:tcPr>
            <w:tcW w:w="1117" w:type="dxa"/>
            <w:noWrap w:val="0"/>
            <w:vAlign w:val="center"/>
          </w:tcPr>
          <w:p w14:paraId="7E935105">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弯头</w:t>
            </w:r>
          </w:p>
        </w:tc>
        <w:tc>
          <w:tcPr>
            <w:tcW w:w="1300" w:type="dxa"/>
            <w:noWrap w:val="0"/>
            <w:vAlign w:val="center"/>
          </w:tcPr>
          <w:p w14:paraId="7C371AD3">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DN65</w:t>
            </w:r>
          </w:p>
        </w:tc>
        <w:tc>
          <w:tcPr>
            <w:tcW w:w="1116" w:type="dxa"/>
            <w:noWrap w:val="0"/>
            <w:vAlign w:val="center"/>
          </w:tcPr>
          <w:p w14:paraId="4BE27874">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个</w:t>
            </w:r>
          </w:p>
        </w:tc>
        <w:tc>
          <w:tcPr>
            <w:tcW w:w="750" w:type="dxa"/>
            <w:noWrap w:val="0"/>
            <w:vAlign w:val="center"/>
          </w:tcPr>
          <w:p w14:paraId="04978E1A">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w:t>
            </w:r>
          </w:p>
        </w:tc>
        <w:tc>
          <w:tcPr>
            <w:tcW w:w="2033" w:type="dxa"/>
            <w:vMerge w:val="continue"/>
            <w:noWrap w:val="0"/>
            <w:vAlign w:val="center"/>
          </w:tcPr>
          <w:p w14:paraId="30A2E29A">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r>
      <w:tr w14:paraId="2D0BB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restart"/>
            <w:noWrap w:val="0"/>
            <w:vAlign w:val="center"/>
          </w:tcPr>
          <w:p w14:paraId="7A0E2ED7">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8</w:t>
            </w:r>
          </w:p>
        </w:tc>
        <w:tc>
          <w:tcPr>
            <w:tcW w:w="1533" w:type="dxa"/>
            <w:vMerge w:val="restart"/>
            <w:noWrap w:val="0"/>
            <w:vAlign w:val="center"/>
          </w:tcPr>
          <w:p w14:paraId="5F8A0FFF">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控制中心停车场出口延申30米</w:t>
            </w:r>
          </w:p>
        </w:tc>
        <w:tc>
          <w:tcPr>
            <w:tcW w:w="1117" w:type="dxa"/>
            <w:vMerge w:val="restart"/>
            <w:noWrap w:val="0"/>
            <w:vAlign w:val="center"/>
          </w:tcPr>
          <w:p w14:paraId="62969963">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消防管</w:t>
            </w:r>
          </w:p>
        </w:tc>
        <w:tc>
          <w:tcPr>
            <w:tcW w:w="1300" w:type="dxa"/>
            <w:noWrap w:val="0"/>
            <w:vAlign w:val="center"/>
          </w:tcPr>
          <w:p w14:paraId="3F662CD4">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DN150</w:t>
            </w:r>
          </w:p>
        </w:tc>
        <w:tc>
          <w:tcPr>
            <w:tcW w:w="1116" w:type="dxa"/>
            <w:noWrap w:val="0"/>
            <w:vAlign w:val="center"/>
          </w:tcPr>
          <w:p w14:paraId="37F06014">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米</w:t>
            </w:r>
          </w:p>
        </w:tc>
        <w:tc>
          <w:tcPr>
            <w:tcW w:w="750" w:type="dxa"/>
            <w:noWrap w:val="0"/>
            <w:vAlign w:val="center"/>
          </w:tcPr>
          <w:p w14:paraId="1A08D9A9">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150</w:t>
            </w:r>
          </w:p>
        </w:tc>
        <w:tc>
          <w:tcPr>
            <w:tcW w:w="2033" w:type="dxa"/>
            <w:vMerge w:val="restart"/>
            <w:noWrap w:val="0"/>
            <w:vAlign w:val="center"/>
          </w:tcPr>
          <w:p w14:paraId="1590E7B9">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需登高作业，登高约</w:t>
            </w:r>
            <w:r>
              <w:rPr>
                <w:rFonts w:hint="eastAsia" w:ascii="宋体" w:hAnsi="宋体" w:cs="宋体"/>
                <w:kern w:val="0"/>
                <w:sz w:val="21"/>
                <w:szCs w:val="21"/>
                <w:highlight w:val="none"/>
                <w:lang w:val="en-US" w:eastAsia="zh-CN"/>
              </w:rPr>
              <w:t>3.5</w:t>
            </w:r>
            <w:r>
              <w:rPr>
                <w:rFonts w:hint="eastAsia" w:ascii="宋体" w:hAnsi="宋体" w:eastAsia="宋体" w:cs="宋体"/>
                <w:kern w:val="0"/>
                <w:sz w:val="21"/>
                <w:szCs w:val="21"/>
                <w:highlight w:val="none"/>
                <w:lang w:val="en-US" w:eastAsia="zh-CN"/>
              </w:rPr>
              <w:t>米</w:t>
            </w:r>
          </w:p>
        </w:tc>
      </w:tr>
      <w:tr w14:paraId="0ECFB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70" w:type="dxa"/>
            <w:vMerge w:val="continue"/>
            <w:noWrap w:val="0"/>
            <w:vAlign w:val="top"/>
          </w:tcPr>
          <w:p w14:paraId="0EC31B01">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sz w:val="21"/>
                <w:szCs w:val="21"/>
                <w:highlight w:val="none"/>
                <w:vertAlign w:val="baseline"/>
                <w:lang w:val="en-US" w:eastAsia="zh-CN"/>
              </w:rPr>
            </w:pPr>
          </w:p>
        </w:tc>
        <w:tc>
          <w:tcPr>
            <w:tcW w:w="1533" w:type="dxa"/>
            <w:vMerge w:val="continue"/>
            <w:noWrap w:val="0"/>
            <w:vAlign w:val="top"/>
          </w:tcPr>
          <w:p w14:paraId="5BD48C8F">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sz w:val="21"/>
                <w:szCs w:val="21"/>
                <w:highlight w:val="none"/>
                <w:vertAlign w:val="baseline"/>
                <w:lang w:val="en-US" w:eastAsia="zh-CN"/>
              </w:rPr>
            </w:pPr>
          </w:p>
        </w:tc>
        <w:tc>
          <w:tcPr>
            <w:tcW w:w="1117" w:type="dxa"/>
            <w:vMerge w:val="continue"/>
            <w:noWrap w:val="0"/>
            <w:vAlign w:val="center"/>
          </w:tcPr>
          <w:p w14:paraId="271E1A14">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300" w:type="dxa"/>
            <w:noWrap w:val="0"/>
            <w:vAlign w:val="center"/>
          </w:tcPr>
          <w:p w14:paraId="6DBE3758">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DN100</w:t>
            </w:r>
          </w:p>
        </w:tc>
        <w:tc>
          <w:tcPr>
            <w:tcW w:w="1116" w:type="dxa"/>
            <w:noWrap w:val="0"/>
            <w:vAlign w:val="center"/>
          </w:tcPr>
          <w:p w14:paraId="1710813F">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米</w:t>
            </w:r>
          </w:p>
        </w:tc>
        <w:tc>
          <w:tcPr>
            <w:tcW w:w="750" w:type="dxa"/>
            <w:noWrap w:val="0"/>
            <w:vAlign w:val="center"/>
          </w:tcPr>
          <w:p w14:paraId="416509C7">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15</w:t>
            </w:r>
          </w:p>
        </w:tc>
        <w:tc>
          <w:tcPr>
            <w:tcW w:w="2033" w:type="dxa"/>
            <w:vMerge w:val="continue"/>
            <w:noWrap w:val="0"/>
            <w:vAlign w:val="center"/>
          </w:tcPr>
          <w:p w14:paraId="0FC5D15A">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r>
      <w:tr w14:paraId="63E9E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noWrap w:val="0"/>
            <w:vAlign w:val="top"/>
          </w:tcPr>
          <w:p w14:paraId="6B1884A4">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sz w:val="21"/>
                <w:szCs w:val="21"/>
                <w:highlight w:val="none"/>
                <w:vertAlign w:val="baseline"/>
                <w:lang w:val="en-US" w:eastAsia="zh-CN"/>
              </w:rPr>
            </w:pPr>
          </w:p>
        </w:tc>
        <w:tc>
          <w:tcPr>
            <w:tcW w:w="1533" w:type="dxa"/>
            <w:vMerge w:val="continue"/>
            <w:noWrap w:val="0"/>
            <w:vAlign w:val="top"/>
          </w:tcPr>
          <w:p w14:paraId="120287EC">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sz w:val="21"/>
                <w:szCs w:val="21"/>
                <w:highlight w:val="none"/>
                <w:vertAlign w:val="baseline"/>
                <w:lang w:val="en-US" w:eastAsia="zh-CN"/>
              </w:rPr>
            </w:pPr>
          </w:p>
        </w:tc>
        <w:tc>
          <w:tcPr>
            <w:tcW w:w="1117" w:type="dxa"/>
            <w:vMerge w:val="continue"/>
            <w:noWrap w:val="0"/>
            <w:vAlign w:val="center"/>
          </w:tcPr>
          <w:p w14:paraId="5265B84C">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300" w:type="dxa"/>
            <w:noWrap w:val="0"/>
            <w:vAlign w:val="center"/>
          </w:tcPr>
          <w:p w14:paraId="620C2E99">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DN65</w:t>
            </w:r>
          </w:p>
        </w:tc>
        <w:tc>
          <w:tcPr>
            <w:tcW w:w="1116" w:type="dxa"/>
            <w:noWrap w:val="0"/>
            <w:vAlign w:val="center"/>
          </w:tcPr>
          <w:p w14:paraId="7CD1F172">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米</w:t>
            </w:r>
          </w:p>
        </w:tc>
        <w:tc>
          <w:tcPr>
            <w:tcW w:w="750" w:type="dxa"/>
            <w:noWrap w:val="0"/>
            <w:vAlign w:val="center"/>
          </w:tcPr>
          <w:p w14:paraId="0B605E03">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35</w:t>
            </w:r>
          </w:p>
        </w:tc>
        <w:tc>
          <w:tcPr>
            <w:tcW w:w="2033" w:type="dxa"/>
            <w:vMerge w:val="continue"/>
            <w:noWrap w:val="0"/>
            <w:vAlign w:val="center"/>
          </w:tcPr>
          <w:p w14:paraId="257D73B3">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r>
      <w:tr w14:paraId="7994B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noWrap w:val="0"/>
            <w:vAlign w:val="top"/>
          </w:tcPr>
          <w:p w14:paraId="13275610">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sz w:val="21"/>
                <w:szCs w:val="21"/>
                <w:highlight w:val="none"/>
                <w:vertAlign w:val="baseline"/>
                <w:lang w:val="en-US" w:eastAsia="zh-CN"/>
              </w:rPr>
            </w:pPr>
          </w:p>
        </w:tc>
        <w:tc>
          <w:tcPr>
            <w:tcW w:w="1533" w:type="dxa"/>
            <w:vMerge w:val="continue"/>
            <w:noWrap w:val="0"/>
            <w:vAlign w:val="top"/>
          </w:tcPr>
          <w:p w14:paraId="2854F10B">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sz w:val="21"/>
                <w:szCs w:val="21"/>
                <w:highlight w:val="none"/>
                <w:vertAlign w:val="baseline"/>
                <w:lang w:val="en-US" w:eastAsia="zh-CN"/>
              </w:rPr>
            </w:pPr>
          </w:p>
        </w:tc>
        <w:tc>
          <w:tcPr>
            <w:tcW w:w="1117" w:type="dxa"/>
            <w:vMerge w:val="restart"/>
            <w:noWrap w:val="0"/>
            <w:vAlign w:val="center"/>
          </w:tcPr>
          <w:p w14:paraId="6DD55AE0">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喷淋管</w:t>
            </w:r>
          </w:p>
        </w:tc>
        <w:tc>
          <w:tcPr>
            <w:tcW w:w="1300" w:type="dxa"/>
            <w:noWrap w:val="0"/>
            <w:vAlign w:val="center"/>
          </w:tcPr>
          <w:p w14:paraId="5A2CBA62">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DN32</w:t>
            </w:r>
          </w:p>
        </w:tc>
        <w:tc>
          <w:tcPr>
            <w:tcW w:w="1116" w:type="dxa"/>
            <w:noWrap w:val="0"/>
            <w:vAlign w:val="center"/>
          </w:tcPr>
          <w:p w14:paraId="5A7EAB84">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米</w:t>
            </w:r>
          </w:p>
        </w:tc>
        <w:tc>
          <w:tcPr>
            <w:tcW w:w="750" w:type="dxa"/>
            <w:noWrap w:val="0"/>
            <w:vAlign w:val="center"/>
          </w:tcPr>
          <w:p w14:paraId="1AD49175">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150</w:t>
            </w:r>
          </w:p>
        </w:tc>
        <w:tc>
          <w:tcPr>
            <w:tcW w:w="2033" w:type="dxa"/>
            <w:vMerge w:val="continue"/>
            <w:noWrap w:val="0"/>
            <w:vAlign w:val="center"/>
          </w:tcPr>
          <w:p w14:paraId="66B42D8A">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r>
      <w:tr w14:paraId="4864D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noWrap w:val="0"/>
            <w:vAlign w:val="top"/>
          </w:tcPr>
          <w:p w14:paraId="053B6976">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sz w:val="21"/>
                <w:szCs w:val="21"/>
                <w:highlight w:val="none"/>
                <w:vertAlign w:val="baseline"/>
                <w:lang w:val="en-US" w:eastAsia="zh-CN"/>
              </w:rPr>
            </w:pPr>
          </w:p>
        </w:tc>
        <w:tc>
          <w:tcPr>
            <w:tcW w:w="1533" w:type="dxa"/>
            <w:vMerge w:val="continue"/>
            <w:noWrap w:val="0"/>
            <w:vAlign w:val="top"/>
          </w:tcPr>
          <w:p w14:paraId="3A11B29F">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sz w:val="21"/>
                <w:szCs w:val="21"/>
                <w:highlight w:val="none"/>
                <w:vertAlign w:val="baseline"/>
                <w:lang w:val="en-US" w:eastAsia="zh-CN"/>
              </w:rPr>
            </w:pPr>
          </w:p>
        </w:tc>
        <w:tc>
          <w:tcPr>
            <w:tcW w:w="1117" w:type="dxa"/>
            <w:vMerge w:val="continue"/>
            <w:noWrap w:val="0"/>
            <w:vAlign w:val="center"/>
          </w:tcPr>
          <w:p w14:paraId="3BB3C994">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300" w:type="dxa"/>
            <w:noWrap w:val="0"/>
            <w:vAlign w:val="center"/>
          </w:tcPr>
          <w:p w14:paraId="20A3F6AC">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DN25</w:t>
            </w:r>
          </w:p>
        </w:tc>
        <w:tc>
          <w:tcPr>
            <w:tcW w:w="1116" w:type="dxa"/>
            <w:noWrap w:val="0"/>
            <w:vAlign w:val="center"/>
          </w:tcPr>
          <w:p w14:paraId="4AFFAED4">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米</w:t>
            </w:r>
          </w:p>
        </w:tc>
        <w:tc>
          <w:tcPr>
            <w:tcW w:w="750" w:type="dxa"/>
            <w:noWrap w:val="0"/>
            <w:vAlign w:val="center"/>
          </w:tcPr>
          <w:p w14:paraId="08BF320E">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300</w:t>
            </w:r>
          </w:p>
        </w:tc>
        <w:tc>
          <w:tcPr>
            <w:tcW w:w="2033" w:type="dxa"/>
            <w:vMerge w:val="continue"/>
            <w:noWrap w:val="0"/>
            <w:vAlign w:val="center"/>
          </w:tcPr>
          <w:p w14:paraId="04A74216">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r>
      <w:tr w14:paraId="0AD03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noWrap w:val="0"/>
            <w:vAlign w:val="top"/>
          </w:tcPr>
          <w:p w14:paraId="45BB96A7">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sz w:val="21"/>
                <w:szCs w:val="21"/>
                <w:highlight w:val="none"/>
                <w:vertAlign w:val="baseline"/>
                <w:lang w:val="en-US" w:eastAsia="zh-CN"/>
              </w:rPr>
            </w:pPr>
          </w:p>
        </w:tc>
        <w:tc>
          <w:tcPr>
            <w:tcW w:w="1533" w:type="dxa"/>
            <w:vMerge w:val="continue"/>
            <w:noWrap w:val="0"/>
            <w:vAlign w:val="top"/>
          </w:tcPr>
          <w:p w14:paraId="1C011C84">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sz w:val="21"/>
                <w:szCs w:val="21"/>
                <w:highlight w:val="none"/>
                <w:vertAlign w:val="baseline"/>
                <w:lang w:val="en-US" w:eastAsia="zh-CN"/>
              </w:rPr>
            </w:pPr>
          </w:p>
        </w:tc>
        <w:tc>
          <w:tcPr>
            <w:tcW w:w="1117" w:type="dxa"/>
            <w:vMerge w:val="restart"/>
            <w:noWrap w:val="0"/>
            <w:vAlign w:val="center"/>
          </w:tcPr>
          <w:p w14:paraId="133409E9">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弯头</w:t>
            </w:r>
          </w:p>
        </w:tc>
        <w:tc>
          <w:tcPr>
            <w:tcW w:w="1300" w:type="dxa"/>
            <w:noWrap w:val="0"/>
            <w:vAlign w:val="center"/>
          </w:tcPr>
          <w:p w14:paraId="2EBFC144">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DN150</w:t>
            </w:r>
          </w:p>
        </w:tc>
        <w:tc>
          <w:tcPr>
            <w:tcW w:w="1116" w:type="dxa"/>
            <w:noWrap w:val="0"/>
            <w:vAlign w:val="center"/>
          </w:tcPr>
          <w:p w14:paraId="1E87449B">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个</w:t>
            </w:r>
          </w:p>
        </w:tc>
        <w:tc>
          <w:tcPr>
            <w:tcW w:w="750" w:type="dxa"/>
            <w:noWrap w:val="0"/>
            <w:vAlign w:val="center"/>
          </w:tcPr>
          <w:p w14:paraId="7BFEB627">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25</w:t>
            </w:r>
          </w:p>
        </w:tc>
        <w:tc>
          <w:tcPr>
            <w:tcW w:w="2033" w:type="dxa"/>
            <w:vMerge w:val="continue"/>
            <w:noWrap w:val="0"/>
            <w:vAlign w:val="center"/>
          </w:tcPr>
          <w:p w14:paraId="1A811556">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r>
      <w:tr w14:paraId="5109A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noWrap w:val="0"/>
            <w:vAlign w:val="top"/>
          </w:tcPr>
          <w:p w14:paraId="553FFC8D">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sz w:val="21"/>
                <w:szCs w:val="21"/>
                <w:highlight w:val="none"/>
                <w:vertAlign w:val="baseline"/>
                <w:lang w:val="en-US" w:eastAsia="zh-CN"/>
              </w:rPr>
            </w:pPr>
          </w:p>
        </w:tc>
        <w:tc>
          <w:tcPr>
            <w:tcW w:w="1533" w:type="dxa"/>
            <w:vMerge w:val="continue"/>
            <w:noWrap w:val="0"/>
            <w:vAlign w:val="top"/>
          </w:tcPr>
          <w:p w14:paraId="004335B4">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sz w:val="21"/>
                <w:szCs w:val="21"/>
                <w:highlight w:val="none"/>
                <w:vertAlign w:val="baseline"/>
                <w:lang w:val="en-US" w:eastAsia="zh-CN"/>
              </w:rPr>
            </w:pPr>
          </w:p>
        </w:tc>
        <w:tc>
          <w:tcPr>
            <w:tcW w:w="1117" w:type="dxa"/>
            <w:vMerge w:val="continue"/>
            <w:noWrap w:val="0"/>
            <w:vAlign w:val="center"/>
          </w:tcPr>
          <w:p w14:paraId="40FFCAD5">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300" w:type="dxa"/>
            <w:noWrap w:val="0"/>
            <w:vAlign w:val="center"/>
          </w:tcPr>
          <w:p w14:paraId="7426D58C">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DN65</w:t>
            </w:r>
          </w:p>
        </w:tc>
        <w:tc>
          <w:tcPr>
            <w:tcW w:w="1116" w:type="dxa"/>
            <w:noWrap w:val="0"/>
            <w:vAlign w:val="center"/>
          </w:tcPr>
          <w:p w14:paraId="466700F8">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个</w:t>
            </w:r>
          </w:p>
        </w:tc>
        <w:tc>
          <w:tcPr>
            <w:tcW w:w="750" w:type="dxa"/>
            <w:noWrap w:val="0"/>
            <w:vAlign w:val="center"/>
          </w:tcPr>
          <w:p w14:paraId="7B478A95">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12</w:t>
            </w:r>
          </w:p>
        </w:tc>
        <w:tc>
          <w:tcPr>
            <w:tcW w:w="2033" w:type="dxa"/>
            <w:vMerge w:val="continue"/>
            <w:noWrap w:val="0"/>
            <w:vAlign w:val="center"/>
          </w:tcPr>
          <w:p w14:paraId="0C0CC60F">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r>
      <w:tr w14:paraId="667C7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670" w:type="dxa"/>
            <w:vMerge w:val="continue"/>
            <w:noWrap w:val="0"/>
            <w:vAlign w:val="top"/>
          </w:tcPr>
          <w:p w14:paraId="139091AC">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sz w:val="21"/>
                <w:szCs w:val="21"/>
                <w:highlight w:val="none"/>
                <w:vertAlign w:val="baseline"/>
                <w:lang w:val="en-US" w:eastAsia="zh-CN"/>
              </w:rPr>
            </w:pPr>
          </w:p>
        </w:tc>
        <w:tc>
          <w:tcPr>
            <w:tcW w:w="1533" w:type="dxa"/>
            <w:vMerge w:val="continue"/>
            <w:noWrap w:val="0"/>
            <w:vAlign w:val="top"/>
          </w:tcPr>
          <w:p w14:paraId="2AA03F52">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sz w:val="21"/>
                <w:szCs w:val="21"/>
                <w:highlight w:val="none"/>
                <w:vertAlign w:val="baseline"/>
                <w:lang w:val="en-US" w:eastAsia="zh-CN"/>
              </w:rPr>
            </w:pPr>
          </w:p>
        </w:tc>
        <w:tc>
          <w:tcPr>
            <w:tcW w:w="1117" w:type="dxa"/>
            <w:vMerge w:val="continue"/>
            <w:noWrap w:val="0"/>
            <w:vAlign w:val="center"/>
          </w:tcPr>
          <w:p w14:paraId="51CF9EA3">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300" w:type="dxa"/>
            <w:noWrap w:val="0"/>
            <w:vAlign w:val="center"/>
          </w:tcPr>
          <w:p w14:paraId="0A70BAFD">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DN25</w:t>
            </w:r>
          </w:p>
        </w:tc>
        <w:tc>
          <w:tcPr>
            <w:tcW w:w="1116" w:type="dxa"/>
            <w:noWrap w:val="0"/>
            <w:vAlign w:val="center"/>
          </w:tcPr>
          <w:p w14:paraId="2E9BBADA">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个</w:t>
            </w:r>
          </w:p>
        </w:tc>
        <w:tc>
          <w:tcPr>
            <w:tcW w:w="750" w:type="dxa"/>
            <w:noWrap w:val="0"/>
            <w:vAlign w:val="center"/>
          </w:tcPr>
          <w:p w14:paraId="66B9EF6D">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100</w:t>
            </w:r>
          </w:p>
        </w:tc>
        <w:tc>
          <w:tcPr>
            <w:tcW w:w="2033" w:type="dxa"/>
            <w:vMerge w:val="continue"/>
            <w:noWrap w:val="0"/>
            <w:vAlign w:val="center"/>
          </w:tcPr>
          <w:p w14:paraId="7172A909">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r>
      <w:tr w14:paraId="225D3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noWrap w:val="0"/>
            <w:vAlign w:val="top"/>
          </w:tcPr>
          <w:p w14:paraId="1D5478DA">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sz w:val="21"/>
                <w:szCs w:val="21"/>
                <w:highlight w:val="none"/>
                <w:vertAlign w:val="baseline"/>
                <w:lang w:val="en-US" w:eastAsia="zh-CN"/>
              </w:rPr>
            </w:pPr>
          </w:p>
        </w:tc>
        <w:tc>
          <w:tcPr>
            <w:tcW w:w="1533" w:type="dxa"/>
            <w:vMerge w:val="continue"/>
            <w:noWrap w:val="0"/>
            <w:vAlign w:val="top"/>
          </w:tcPr>
          <w:p w14:paraId="000275BE">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sz w:val="21"/>
                <w:szCs w:val="21"/>
                <w:highlight w:val="none"/>
                <w:vertAlign w:val="baseline"/>
                <w:lang w:val="en-US" w:eastAsia="zh-CN"/>
              </w:rPr>
            </w:pPr>
          </w:p>
        </w:tc>
        <w:tc>
          <w:tcPr>
            <w:tcW w:w="1117" w:type="dxa"/>
            <w:vMerge w:val="restart"/>
            <w:noWrap w:val="0"/>
            <w:vAlign w:val="center"/>
          </w:tcPr>
          <w:p w14:paraId="7A850D4C">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三通</w:t>
            </w:r>
          </w:p>
        </w:tc>
        <w:tc>
          <w:tcPr>
            <w:tcW w:w="1300" w:type="dxa"/>
            <w:noWrap w:val="0"/>
            <w:vAlign w:val="center"/>
          </w:tcPr>
          <w:p w14:paraId="0069B486">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DN150</w:t>
            </w:r>
          </w:p>
        </w:tc>
        <w:tc>
          <w:tcPr>
            <w:tcW w:w="1116" w:type="dxa"/>
            <w:noWrap w:val="0"/>
            <w:vAlign w:val="center"/>
          </w:tcPr>
          <w:p w14:paraId="4C58CFA2">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个</w:t>
            </w:r>
          </w:p>
        </w:tc>
        <w:tc>
          <w:tcPr>
            <w:tcW w:w="750" w:type="dxa"/>
            <w:noWrap w:val="0"/>
            <w:vAlign w:val="center"/>
          </w:tcPr>
          <w:p w14:paraId="6DF416D4">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w:t>
            </w:r>
          </w:p>
        </w:tc>
        <w:tc>
          <w:tcPr>
            <w:tcW w:w="2033" w:type="dxa"/>
            <w:vMerge w:val="continue"/>
            <w:noWrap w:val="0"/>
            <w:vAlign w:val="center"/>
          </w:tcPr>
          <w:p w14:paraId="542EF422">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r>
      <w:tr w14:paraId="6C451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noWrap w:val="0"/>
            <w:vAlign w:val="top"/>
          </w:tcPr>
          <w:p w14:paraId="07DAF44B">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sz w:val="21"/>
                <w:szCs w:val="21"/>
                <w:highlight w:val="none"/>
                <w:vertAlign w:val="baseline"/>
                <w:lang w:val="en-US" w:eastAsia="zh-CN"/>
              </w:rPr>
            </w:pPr>
          </w:p>
        </w:tc>
        <w:tc>
          <w:tcPr>
            <w:tcW w:w="1533" w:type="dxa"/>
            <w:vMerge w:val="continue"/>
            <w:noWrap w:val="0"/>
            <w:vAlign w:val="top"/>
          </w:tcPr>
          <w:p w14:paraId="2B74A72D">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sz w:val="21"/>
                <w:szCs w:val="21"/>
                <w:highlight w:val="none"/>
                <w:vertAlign w:val="baseline"/>
                <w:lang w:val="en-US" w:eastAsia="zh-CN"/>
              </w:rPr>
            </w:pPr>
          </w:p>
        </w:tc>
        <w:tc>
          <w:tcPr>
            <w:tcW w:w="1117" w:type="dxa"/>
            <w:vMerge w:val="continue"/>
            <w:noWrap w:val="0"/>
            <w:vAlign w:val="center"/>
          </w:tcPr>
          <w:p w14:paraId="00B503C6">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300" w:type="dxa"/>
            <w:noWrap w:val="0"/>
            <w:vAlign w:val="center"/>
          </w:tcPr>
          <w:p w14:paraId="2CA42041">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DN25</w:t>
            </w:r>
          </w:p>
        </w:tc>
        <w:tc>
          <w:tcPr>
            <w:tcW w:w="1116" w:type="dxa"/>
            <w:noWrap w:val="0"/>
            <w:vAlign w:val="center"/>
          </w:tcPr>
          <w:p w14:paraId="59A305BA">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个</w:t>
            </w:r>
          </w:p>
        </w:tc>
        <w:tc>
          <w:tcPr>
            <w:tcW w:w="750" w:type="dxa"/>
            <w:noWrap w:val="0"/>
            <w:vAlign w:val="center"/>
          </w:tcPr>
          <w:p w14:paraId="26374B20">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95</w:t>
            </w:r>
          </w:p>
        </w:tc>
        <w:tc>
          <w:tcPr>
            <w:tcW w:w="2033" w:type="dxa"/>
            <w:vMerge w:val="continue"/>
            <w:noWrap w:val="0"/>
            <w:vAlign w:val="center"/>
          </w:tcPr>
          <w:p w14:paraId="56281A82">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r>
      <w:tr w14:paraId="4B84C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dxa"/>
            <w:vMerge w:val="restart"/>
            <w:noWrap w:val="0"/>
            <w:vAlign w:val="center"/>
          </w:tcPr>
          <w:p w14:paraId="2AD72460">
            <w:pPr>
              <w:keepNext w:val="0"/>
              <w:keepLines w:val="0"/>
              <w:numPr>
                <w:ilvl w:val="0"/>
                <w:numId w:val="0"/>
              </w:numPr>
              <w:suppressLineNumbers w:val="0"/>
              <w:spacing w:before="0" w:beforeAutospacing="0" w:after="0" w:afterAutospacing="0" w:line="360" w:lineRule="auto"/>
              <w:ind w:left="0"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9</w:t>
            </w:r>
          </w:p>
        </w:tc>
        <w:tc>
          <w:tcPr>
            <w:tcW w:w="1533" w:type="dxa"/>
            <w:vMerge w:val="restart"/>
            <w:noWrap w:val="0"/>
            <w:vAlign w:val="center"/>
          </w:tcPr>
          <w:p w14:paraId="1349345E">
            <w:pPr>
              <w:keepNext w:val="0"/>
              <w:keepLines w:val="0"/>
              <w:numPr>
                <w:ilvl w:val="0"/>
                <w:numId w:val="0"/>
              </w:numPr>
              <w:suppressLineNumbers w:val="0"/>
              <w:spacing w:before="0" w:beforeAutospacing="0" w:after="0" w:afterAutospacing="0" w:line="360" w:lineRule="auto"/>
              <w:ind w:left="0"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塔楼楼顶</w:t>
            </w:r>
          </w:p>
        </w:tc>
        <w:tc>
          <w:tcPr>
            <w:tcW w:w="1117" w:type="dxa"/>
            <w:noWrap w:val="0"/>
            <w:vAlign w:val="center"/>
          </w:tcPr>
          <w:p w14:paraId="6B806259">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消防管</w:t>
            </w:r>
          </w:p>
        </w:tc>
        <w:tc>
          <w:tcPr>
            <w:tcW w:w="1300" w:type="dxa"/>
            <w:noWrap w:val="0"/>
            <w:vAlign w:val="center"/>
          </w:tcPr>
          <w:p w14:paraId="0A8943F8">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DN65</w:t>
            </w:r>
          </w:p>
        </w:tc>
        <w:tc>
          <w:tcPr>
            <w:tcW w:w="1116" w:type="dxa"/>
            <w:noWrap w:val="0"/>
            <w:vAlign w:val="center"/>
          </w:tcPr>
          <w:p w14:paraId="08C9E7B1">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米</w:t>
            </w:r>
          </w:p>
        </w:tc>
        <w:tc>
          <w:tcPr>
            <w:tcW w:w="750" w:type="dxa"/>
            <w:noWrap w:val="0"/>
            <w:vAlign w:val="center"/>
          </w:tcPr>
          <w:p w14:paraId="2EC125C3">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w:t>
            </w:r>
          </w:p>
        </w:tc>
        <w:tc>
          <w:tcPr>
            <w:tcW w:w="2033" w:type="dxa"/>
            <w:vMerge w:val="restart"/>
            <w:noWrap w:val="0"/>
            <w:vAlign w:val="center"/>
          </w:tcPr>
          <w:p w14:paraId="316E5604">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需登高作业，登高约</w:t>
            </w:r>
            <w:r>
              <w:rPr>
                <w:rFonts w:hint="eastAsia" w:ascii="宋体" w:hAnsi="宋体" w:cs="宋体"/>
                <w:kern w:val="0"/>
                <w:sz w:val="21"/>
                <w:szCs w:val="21"/>
                <w:highlight w:val="none"/>
                <w:lang w:val="en-US" w:eastAsia="zh-CN"/>
              </w:rPr>
              <w:t>4</w:t>
            </w:r>
            <w:r>
              <w:rPr>
                <w:rFonts w:hint="eastAsia" w:ascii="宋体" w:hAnsi="宋体" w:eastAsia="宋体" w:cs="宋体"/>
                <w:kern w:val="0"/>
                <w:sz w:val="21"/>
                <w:szCs w:val="21"/>
                <w:highlight w:val="none"/>
                <w:lang w:val="en-US" w:eastAsia="zh-CN"/>
              </w:rPr>
              <w:t>米</w:t>
            </w:r>
          </w:p>
        </w:tc>
      </w:tr>
      <w:tr w14:paraId="74AF6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noWrap w:val="0"/>
            <w:vAlign w:val="center"/>
          </w:tcPr>
          <w:p w14:paraId="45D90C6D">
            <w:pPr>
              <w:keepNext w:val="0"/>
              <w:keepLines w:val="0"/>
              <w:numPr>
                <w:ilvl w:val="0"/>
                <w:numId w:val="0"/>
              </w:numPr>
              <w:suppressLineNumbers w:val="0"/>
              <w:spacing w:before="0" w:beforeAutospacing="0" w:after="0" w:afterAutospacing="0" w:line="360" w:lineRule="auto"/>
              <w:ind w:left="0" w:right="0"/>
              <w:jc w:val="center"/>
              <w:rPr>
                <w:rFonts w:hint="eastAsia" w:ascii="宋体" w:hAnsi="宋体" w:eastAsia="宋体" w:cs="宋体"/>
                <w:sz w:val="21"/>
                <w:szCs w:val="21"/>
                <w:highlight w:val="none"/>
                <w:vertAlign w:val="baseline"/>
                <w:lang w:val="en-US" w:eastAsia="zh-CN"/>
              </w:rPr>
            </w:pPr>
          </w:p>
        </w:tc>
        <w:tc>
          <w:tcPr>
            <w:tcW w:w="1533" w:type="dxa"/>
            <w:vMerge w:val="continue"/>
            <w:noWrap w:val="0"/>
            <w:vAlign w:val="center"/>
          </w:tcPr>
          <w:p w14:paraId="5A61D973">
            <w:pPr>
              <w:keepNext w:val="0"/>
              <w:keepLines w:val="0"/>
              <w:numPr>
                <w:ilvl w:val="0"/>
                <w:numId w:val="0"/>
              </w:numPr>
              <w:suppressLineNumbers w:val="0"/>
              <w:spacing w:before="0" w:beforeAutospacing="0" w:after="0" w:afterAutospacing="0" w:line="360" w:lineRule="auto"/>
              <w:ind w:left="0" w:right="0"/>
              <w:jc w:val="center"/>
              <w:rPr>
                <w:rFonts w:hint="eastAsia" w:ascii="宋体" w:hAnsi="宋体" w:eastAsia="宋体" w:cs="宋体"/>
                <w:sz w:val="21"/>
                <w:szCs w:val="21"/>
                <w:highlight w:val="none"/>
                <w:vertAlign w:val="baseline"/>
                <w:lang w:val="en-US" w:eastAsia="zh-CN"/>
              </w:rPr>
            </w:pPr>
          </w:p>
        </w:tc>
        <w:tc>
          <w:tcPr>
            <w:tcW w:w="1117" w:type="dxa"/>
            <w:vMerge w:val="restart"/>
            <w:noWrap w:val="0"/>
            <w:vAlign w:val="center"/>
          </w:tcPr>
          <w:p w14:paraId="201A7B88">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喷淋管</w:t>
            </w:r>
          </w:p>
        </w:tc>
        <w:tc>
          <w:tcPr>
            <w:tcW w:w="1300" w:type="dxa"/>
            <w:noWrap w:val="0"/>
            <w:vAlign w:val="center"/>
          </w:tcPr>
          <w:p w14:paraId="5EC0092B">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DN32</w:t>
            </w:r>
          </w:p>
        </w:tc>
        <w:tc>
          <w:tcPr>
            <w:tcW w:w="1116" w:type="dxa"/>
            <w:noWrap w:val="0"/>
            <w:vAlign w:val="center"/>
          </w:tcPr>
          <w:p w14:paraId="7B558F41">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米</w:t>
            </w:r>
          </w:p>
        </w:tc>
        <w:tc>
          <w:tcPr>
            <w:tcW w:w="750" w:type="dxa"/>
            <w:noWrap w:val="0"/>
            <w:vAlign w:val="center"/>
          </w:tcPr>
          <w:p w14:paraId="37CB9BAD">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10</w:t>
            </w:r>
          </w:p>
        </w:tc>
        <w:tc>
          <w:tcPr>
            <w:tcW w:w="2033" w:type="dxa"/>
            <w:vMerge w:val="continue"/>
            <w:noWrap w:val="0"/>
            <w:vAlign w:val="center"/>
          </w:tcPr>
          <w:p w14:paraId="75CD4E15">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r>
      <w:tr w14:paraId="0CF16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noWrap w:val="0"/>
            <w:vAlign w:val="center"/>
          </w:tcPr>
          <w:p w14:paraId="2713D357">
            <w:pPr>
              <w:keepNext w:val="0"/>
              <w:keepLines w:val="0"/>
              <w:numPr>
                <w:ilvl w:val="0"/>
                <w:numId w:val="0"/>
              </w:numPr>
              <w:suppressLineNumbers w:val="0"/>
              <w:spacing w:before="0" w:beforeAutospacing="0" w:after="0" w:afterAutospacing="0" w:line="360" w:lineRule="auto"/>
              <w:ind w:left="0" w:right="0"/>
              <w:jc w:val="center"/>
              <w:rPr>
                <w:rFonts w:hint="eastAsia" w:ascii="宋体" w:hAnsi="宋体" w:eastAsia="宋体" w:cs="宋体"/>
                <w:sz w:val="21"/>
                <w:szCs w:val="21"/>
                <w:highlight w:val="none"/>
                <w:vertAlign w:val="baseline"/>
                <w:lang w:val="en-US" w:eastAsia="zh-CN"/>
              </w:rPr>
            </w:pPr>
          </w:p>
        </w:tc>
        <w:tc>
          <w:tcPr>
            <w:tcW w:w="1533" w:type="dxa"/>
            <w:vMerge w:val="continue"/>
            <w:noWrap w:val="0"/>
            <w:vAlign w:val="center"/>
          </w:tcPr>
          <w:p w14:paraId="1ED76BB1">
            <w:pPr>
              <w:keepNext w:val="0"/>
              <w:keepLines w:val="0"/>
              <w:numPr>
                <w:ilvl w:val="0"/>
                <w:numId w:val="0"/>
              </w:numPr>
              <w:suppressLineNumbers w:val="0"/>
              <w:spacing w:before="0" w:beforeAutospacing="0" w:after="0" w:afterAutospacing="0" w:line="360" w:lineRule="auto"/>
              <w:ind w:left="0" w:right="0"/>
              <w:jc w:val="center"/>
              <w:rPr>
                <w:rFonts w:hint="eastAsia" w:ascii="宋体" w:hAnsi="宋体" w:eastAsia="宋体" w:cs="宋体"/>
                <w:sz w:val="21"/>
                <w:szCs w:val="21"/>
                <w:highlight w:val="none"/>
                <w:vertAlign w:val="baseline"/>
                <w:lang w:val="en-US" w:eastAsia="zh-CN"/>
              </w:rPr>
            </w:pPr>
          </w:p>
        </w:tc>
        <w:tc>
          <w:tcPr>
            <w:tcW w:w="1117" w:type="dxa"/>
            <w:vMerge w:val="continue"/>
            <w:noWrap w:val="0"/>
            <w:vAlign w:val="center"/>
          </w:tcPr>
          <w:p w14:paraId="034D1748">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300" w:type="dxa"/>
            <w:noWrap w:val="0"/>
            <w:vAlign w:val="center"/>
          </w:tcPr>
          <w:p w14:paraId="700A70F7">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DN25</w:t>
            </w:r>
          </w:p>
        </w:tc>
        <w:tc>
          <w:tcPr>
            <w:tcW w:w="1116" w:type="dxa"/>
            <w:noWrap w:val="0"/>
            <w:vAlign w:val="center"/>
          </w:tcPr>
          <w:p w14:paraId="10785169">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米</w:t>
            </w:r>
          </w:p>
        </w:tc>
        <w:tc>
          <w:tcPr>
            <w:tcW w:w="750" w:type="dxa"/>
            <w:noWrap w:val="0"/>
            <w:vAlign w:val="center"/>
          </w:tcPr>
          <w:p w14:paraId="189A0C52">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w:t>
            </w:r>
          </w:p>
        </w:tc>
        <w:tc>
          <w:tcPr>
            <w:tcW w:w="2033" w:type="dxa"/>
            <w:vMerge w:val="continue"/>
            <w:noWrap w:val="0"/>
            <w:vAlign w:val="center"/>
          </w:tcPr>
          <w:p w14:paraId="0F96BE0C">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r>
      <w:tr w14:paraId="57091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noWrap w:val="0"/>
            <w:vAlign w:val="top"/>
          </w:tcPr>
          <w:p w14:paraId="0C3CA732">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sz w:val="21"/>
                <w:szCs w:val="21"/>
                <w:highlight w:val="none"/>
                <w:vertAlign w:val="baseline"/>
                <w:lang w:val="en-US" w:eastAsia="zh-CN"/>
              </w:rPr>
            </w:pPr>
          </w:p>
        </w:tc>
        <w:tc>
          <w:tcPr>
            <w:tcW w:w="1533" w:type="dxa"/>
            <w:vMerge w:val="continue"/>
            <w:noWrap w:val="0"/>
            <w:vAlign w:val="top"/>
          </w:tcPr>
          <w:p w14:paraId="5083C689">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sz w:val="21"/>
                <w:szCs w:val="21"/>
                <w:highlight w:val="none"/>
                <w:vertAlign w:val="baseline"/>
                <w:lang w:val="en-US" w:eastAsia="zh-CN"/>
              </w:rPr>
            </w:pPr>
          </w:p>
        </w:tc>
        <w:tc>
          <w:tcPr>
            <w:tcW w:w="1117" w:type="dxa"/>
            <w:noWrap w:val="0"/>
            <w:vAlign w:val="center"/>
          </w:tcPr>
          <w:p w14:paraId="6BC57C54">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弯头</w:t>
            </w:r>
          </w:p>
        </w:tc>
        <w:tc>
          <w:tcPr>
            <w:tcW w:w="1300" w:type="dxa"/>
            <w:noWrap w:val="0"/>
            <w:vAlign w:val="center"/>
          </w:tcPr>
          <w:p w14:paraId="23393224">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DN25</w:t>
            </w:r>
          </w:p>
        </w:tc>
        <w:tc>
          <w:tcPr>
            <w:tcW w:w="1116" w:type="dxa"/>
            <w:noWrap w:val="0"/>
            <w:vAlign w:val="center"/>
          </w:tcPr>
          <w:p w14:paraId="38F595D1">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个</w:t>
            </w:r>
          </w:p>
        </w:tc>
        <w:tc>
          <w:tcPr>
            <w:tcW w:w="750" w:type="dxa"/>
            <w:noWrap w:val="0"/>
            <w:vAlign w:val="center"/>
          </w:tcPr>
          <w:p w14:paraId="7285DCEB">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w:t>
            </w:r>
          </w:p>
        </w:tc>
        <w:tc>
          <w:tcPr>
            <w:tcW w:w="2033" w:type="dxa"/>
            <w:vMerge w:val="continue"/>
            <w:noWrap w:val="0"/>
            <w:vAlign w:val="center"/>
          </w:tcPr>
          <w:p w14:paraId="1D9815F8">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r>
      <w:tr w14:paraId="16822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noWrap w:val="0"/>
            <w:vAlign w:val="top"/>
          </w:tcPr>
          <w:p w14:paraId="75F6DD1E">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sz w:val="21"/>
                <w:szCs w:val="21"/>
                <w:highlight w:val="none"/>
                <w:vertAlign w:val="baseline"/>
                <w:lang w:val="en-US" w:eastAsia="zh-CN"/>
              </w:rPr>
            </w:pPr>
          </w:p>
        </w:tc>
        <w:tc>
          <w:tcPr>
            <w:tcW w:w="1533" w:type="dxa"/>
            <w:vMerge w:val="continue"/>
            <w:noWrap w:val="0"/>
            <w:vAlign w:val="top"/>
          </w:tcPr>
          <w:p w14:paraId="19E57D96">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sz w:val="21"/>
                <w:szCs w:val="21"/>
                <w:highlight w:val="none"/>
                <w:vertAlign w:val="baseline"/>
                <w:lang w:val="en-US" w:eastAsia="zh-CN"/>
              </w:rPr>
            </w:pPr>
          </w:p>
        </w:tc>
        <w:tc>
          <w:tcPr>
            <w:tcW w:w="1117" w:type="dxa"/>
            <w:vMerge w:val="restart"/>
            <w:noWrap w:val="0"/>
            <w:vAlign w:val="center"/>
          </w:tcPr>
          <w:p w14:paraId="4417F092">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三通</w:t>
            </w:r>
          </w:p>
        </w:tc>
        <w:tc>
          <w:tcPr>
            <w:tcW w:w="1300" w:type="dxa"/>
            <w:noWrap w:val="0"/>
            <w:vAlign w:val="center"/>
          </w:tcPr>
          <w:p w14:paraId="220011B9">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DN65</w:t>
            </w:r>
          </w:p>
        </w:tc>
        <w:tc>
          <w:tcPr>
            <w:tcW w:w="1116" w:type="dxa"/>
            <w:noWrap w:val="0"/>
            <w:vAlign w:val="center"/>
          </w:tcPr>
          <w:p w14:paraId="1FB9FA3F">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个</w:t>
            </w:r>
          </w:p>
        </w:tc>
        <w:tc>
          <w:tcPr>
            <w:tcW w:w="750" w:type="dxa"/>
            <w:noWrap w:val="0"/>
            <w:vAlign w:val="center"/>
          </w:tcPr>
          <w:p w14:paraId="1F40BD0A">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w:t>
            </w:r>
          </w:p>
        </w:tc>
        <w:tc>
          <w:tcPr>
            <w:tcW w:w="2033" w:type="dxa"/>
            <w:vMerge w:val="continue"/>
            <w:noWrap w:val="0"/>
            <w:vAlign w:val="center"/>
          </w:tcPr>
          <w:p w14:paraId="68318A29">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r>
      <w:tr w14:paraId="03619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noWrap w:val="0"/>
            <w:vAlign w:val="top"/>
          </w:tcPr>
          <w:p w14:paraId="22CD2212">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sz w:val="21"/>
                <w:szCs w:val="21"/>
                <w:highlight w:val="none"/>
                <w:vertAlign w:val="baseline"/>
                <w:lang w:val="en-US" w:eastAsia="zh-CN"/>
              </w:rPr>
            </w:pPr>
          </w:p>
        </w:tc>
        <w:tc>
          <w:tcPr>
            <w:tcW w:w="1533" w:type="dxa"/>
            <w:vMerge w:val="continue"/>
            <w:noWrap w:val="0"/>
            <w:vAlign w:val="top"/>
          </w:tcPr>
          <w:p w14:paraId="141E1E58">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sz w:val="21"/>
                <w:szCs w:val="21"/>
                <w:highlight w:val="none"/>
                <w:vertAlign w:val="baseline"/>
                <w:lang w:val="en-US" w:eastAsia="zh-CN"/>
              </w:rPr>
            </w:pPr>
          </w:p>
        </w:tc>
        <w:tc>
          <w:tcPr>
            <w:tcW w:w="1117" w:type="dxa"/>
            <w:vMerge w:val="continue"/>
            <w:noWrap w:val="0"/>
            <w:vAlign w:val="center"/>
          </w:tcPr>
          <w:p w14:paraId="43C4D6EF">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300" w:type="dxa"/>
            <w:noWrap w:val="0"/>
            <w:vAlign w:val="center"/>
          </w:tcPr>
          <w:p w14:paraId="6C7BDC64">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DN32</w:t>
            </w:r>
          </w:p>
        </w:tc>
        <w:tc>
          <w:tcPr>
            <w:tcW w:w="1116" w:type="dxa"/>
            <w:noWrap w:val="0"/>
            <w:vAlign w:val="center"/>
          </w:tcPr>
          <w:p w14:paraId="7DB7226C">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个</w:t>
            </w:r>
          </w:p>
        </w:tc>
        <w:tc>
          <w:tcPr>
            <w:tcW w:w="750" w:type="dxa"/>
            <w:noWrap w:val="0"/>
            <w:vAlign w:val="center"/>
          </w:tcPr>
          <w:p w14:paraId="58748848">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w:t>
            </w:r>
          </w:p>
        </w:tc>
        <w:tc>
          <w:tcPr>
            <w:tcW w:w="2033" w:type="dxa"/>
            <w:vMerge w:val="continue"/>
            <w:noWrap w:val="0"/>
            <w:vAlign w:val="center"/>
          </w:tcPr>
          <w:p w14:paraId="2B00B7CD">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r>
      <w:tr w14:paraId="38D3A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restart"/>
            <w:noWrap w:val="0"/>
            <w:vAlign w:val="center"/>
          </w:tcPr>
          <w:p w14:paraId="79200535">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10</w:t>
            </w:r>
          </w:p>
        </w:tc>
        <w:tc>
          <w:tcPr>
            <w:tcW w:w="1533" w:type="dxa"/>
            <w:vMerge w:val="restart"/>
            <w:noWrap w:val="0"/>
            <w:vAlign w:val="center"/>
          </w:tcPr>
          <w:p w14:paraId="237D33A4">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裙楼楼顶</w:t>
            </w:r>
          </w:p>
        </w:tc>
        <w:tc>
          <w:tcPr>
            <w:tcW w:w="1117" w:type="dxa"/>
            <w:vMerge w:val="restart"/>
            <w:noWrap w:val="0"/>
            <w:vAlign w:val="center"/>
          </w:tcPr>
          <w:p w14:paraId="07309B61">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消防管</w:t>
            </w:r>
          </w:p>
        </w:tc>
        <w:tc>
          <w:tcPr>
            <w:tcW w:w="1300" w:type="dxa"/>
            <w:noWrap w:val="0"/>
            <w:vAlign w:val="center"/>
          </w:tcPr>
          <w:p w14:paraId="4B2FFABB">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DN65</w:t>
            </w:r>
          </w:p>
        </w:tc>
        <w:tc>
          <w:tcPr>
            <w:tcW w:w="1116" w:type="dxa"/>
            <w:noWrap w:val="0"/>
            <w:vAlign w:val="center"/>
          </w:tcPr>
          <w:p w14:paraId="162DCDCA">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米</w:t>
            </w:r>
          </w:p>
        </w:tc>
        <w:tc>
          <w:tcPr>
            <w:tcW w:w="750" w:type="dxa"/>
            <w:noWrap w:val="0"/>
            <w:vAlign w:val="center"/>
          </w:tcPr>
          <w:p w14:paraId="6BE5CB26">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15</w:t>
            </w:r>
          </w:p>
        </w:tc>
        <w:tc>
          <w:tcPr>
            <w:tcW w:w="2033" w:type="dxa"/>
            <w:vMerge w:val="restart"/>
            <w:noWrap w:val="0"/>
            <w:vAlign w:val="center"/>
          </w:tcPr>
          <w:p w14:paraId="6E701DFC">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需登高作业，登高约</w:t>
            </w:r>
            <w:r>
              <w:rPr>
                <w:rFonts w:hint="eastAsia" w:ascii="宋体" w:hAnsi="宋体" w:cs="宋体"/>
                <w:kern w:val="0"/>
                <w:sz w:val="21"/>
                <w:szCs w:val="21"/>
                <w:highlight w:val="none"/>
                <w:lang w:val="en-US" w:eastAsia="zh-CN"/>
              </w:rPr>
              <w:t>4</w:t>
            </w:r>
            <w:r>
              <w:rPr>
                <w:rFonts w:hint="eastAsia" w:ascii="宋体" w:hAnsi="宋体" w:eastAsia="宋体" w:cs="宋体"/>
                <w:kern w:val="0"/>
                <w:sz w:val="21"/>
                <w:szCs w:val="21"/>
                <w:highlight w:val="none"/>
                <w:lang w:val="en-US" w:eastAsia="zh-CN"/>
              </w:rPr>
              <w:t>米</w:t>
            </w:r>
          </w:p>
        </w:tc>
      </w:tr>
      <w:tr w14:paraId="39916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noWrap w:val="0"/>
            <w:vAlign w:val="center"/>
          </w:tcPr>
          <w:p w14:paraId="35A6060B">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533" w:type="dxa"/>
            <w:vMerge w:val="continue"/>
            <w:noWrap w:val="0"/>
            <w:vAlign w:val="center"/>
          </w:tcPr>
          <w:p w14:paraId="7BEB4587">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117" w:type="dxa"/>
            <w:vMerge w:val="continue"/>
            <w:noWrap w:val="0"/>
            <w:vAlign w:val="center"/>
          </w:tcPr>
          <w:p w14:paraId="372D54CF">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300" w:type="dxa"/>
            <w:noWrap w:val="0"/>
            <w:vAlign w:val="center"/>
          </w:tcPr>
          <w:p w14:paraId="3677EBE8">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DN50</w:t>
            </w:r>
          </w:p>
        </w:tc>
        <w:tc>
          <w:tcPr>
            <w:tcW w:w="1116" w:type="dxa"/>
            <w:noWrap w:val="0"/>
            <w:vAlign w:val="center"/>
          </w:tcPr>
          <w:p w14:paraId="2AC8F5A2">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米</w:t>
            </w:r>
          </w:p>
        </w:tc>
        <w:tc>
          <w:tcPr>
            <w:tcW w:w="750" w:type="dxa"/>
            <w:noWrap w:val="0"/>
            <w:vAlign w:val="center"/>
          </w:tcPr>
          <w:p w14:paraId="38AEA3FB">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6</w:t>
            </w:r>
          </w:p>
        </w:tc>
        <w:tc>
          <w:tcPr>
            <w:tcW w:w="2033" w:type="dxa"/>
            <w:vMerge w:val="continue"/>
            <w:noWrap w:val="0"/>
            <w:vAlign w:val="center"/>
          </w:tcPr>
          <w:p w14:paraId="5F82026E">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r>
      <w:tr w14:paraId="36836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noWrap w:val="0"/>
            <w:vAlign w:val="center"/>
          </w:tcPr>
          <w:p w14:paraId="6F9DE95A">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533" w:type="dxa"/>
            <w:vMerge w:val="continue"/>
            <w:noWrap w:val="0"/>
            <w:vAlign w:val="center"/>
          </w:tcPr>
          <w:p w14:paraId="0B4BBBF8">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117" w:type="dxa"/>
            <w:vMerge w:val="continue"/>
            <w:noWrap w:val="0"/>
            <w:vAlign w:val="center"/>
          </w:tcPr>
          <w:p w14:paraId="5974FA62">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300" w:type="dxa"/>
            <w:noWrap w:val="0"/>
            <w:vAlign w:val="center"/>
          </w:tcPr>
          <w:p w14:paraId="06298ED0">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DN40</w:t>
            </w:r>
          </w:p>
        </w:tc>
        <w:tc>
          <w:tcPr>
            <w:tcW w:w="1116" w:type="dxa"/>
            <w:noWrap w:val="0"/>
            <w:vAlign w:val="center"/>
          </w:tcPr>
          <w:p w14:paraId="30ECD46E">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米</w:t>
            </w:r>
          </w:p>
        </w:tc>
        <w:tc>
          <w:tcPr>
            <w:tcW w:w="750" w:type="dxa"/>
            <w:noWrap w:val="0"/>
            <w:vAlign w:val="center"/>
          </w:tcPr>
          <w:p w14:paraId="3D7371E6">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w:t>
            </w:r>
          </w:p>
        </w:tc>
        <w:tc>
          <w:tcPr>
            <w:tcW w:w="2033" w:type="dxa"/>
            <w:vMerge w:val="continue"/>
            <w:noWrap w:val="0"/>
            <w:vAlign w:val="center"/>
          </w:tcPr>
          <w:p w14:paraId="078F77B2">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r>
      <w:tr w14:paraId="51C81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noWrap w:val="0"/>
            <w:vAlign w:val="center"/>
          </w:tcPr>
          <w:p w14:paraId="64CFE2C2">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533" w:type="dxa"/>
            <w:vMerge w:val="continue"/>
            <w:noWrap w:val="0"/>
            <w:vAlign w:val="center"/>
          </w:tcPr>
          <w:p w14:paraId="08E60BD7">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117" w:type="dxa"/>
            <w:vMerge w:val="restart"/>
            <w:noWrap w:val="0"/>
            <w:vAlign w:val="center"/>
          </w:tcPr>
          <w:p w14:paraId="28B6C658">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喷淋管</w:t>
            </w:r>
          </w:p>
        </w:tc>
        <w:tc>
          <w:tcPr>
            <w:tcW w:w="1300" w:type="dxa"/>
            <w:noWrap w:val="0"/>
            <w:vAlign w:val="center"/>
          </w:tcPr>
          <w:p w14:paraId="1DAE1991">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DN32</w:t>
            </w:r>
          </w:p>
        </w:tc>
        <w:tc>
          <w:tcPr>
            <w:tcW w:w="1116" w:type="dxa"/>
            <w:noWrap w:val="0"/>
            <w:vAlign w:val="center"/>
          </w:tcPr>
          <w:p w14:paraId="217C4757">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米</w:t>
            </w:r>
          </w:p>
        </w:tc>
        <w:tc>
          <w:tcPr>
            <w:tcW w:w="750" w:type="dxa"/>
            <w:noWrap w:val="0"/>
            <w:vAlign w:val="center"/>
          </w:tcPr>
          <w:p w14:paraId="7D416ABC">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30</w:t>
            </w:r>
          </w:p>
        </w:tc>
        <w:tc>
          <w:tcPr>
            <w:tcW w:w="2033" w:type="dxa"/>
            <w:vMerge w:val="continue"/>
            <w:noWrap w:val="0"/>
            <w:vAlign w:val="center"/>
          </w:tcPr>
          <w:p w14:paraId="3839C0E5">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r>
      <w:tr w14:paraId="0F92A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noWrap w:val="0"/>
            <w:vAlign w:val="center"/>
          </w:tcPr>
          <w:p w14:paraId="047442DC">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533" w:type="dxa"/>
            <w:vMerge w:val="continue"/>
            <w:noWrap w:val="0"/>
            <w:vAlign w:val="center"/>
          </w:tcPr>
          <w:p w14:paraId="74D68DCB">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117" w:type="dxa"/>
            <w:vMerge w:val="continue"/>
            <w:noWrap w:val="0"/>
            <w:vAlign w:val="center"/>
          </w:tcPr>
          <w:p w14:paraId="2A143EFA">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300" w:type="dxa"/>
            <w:noWrap w:val="0"/>
            <w:vAlign w:val="center"/>
          </w:tcPr>
          <w:p w14:paraId="6C7A740D">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DN25</w:t>
            </w:r>
          </w:p>
        </w:tc>
        <w:tc>
          <w:tcPr>
            <w:tcW w:w="1116" w:type="dxa"/>
            <w:noWrap w:val="0"/>
            <w:vAlign w:val="center"/>
          </w:tcPr>
          <w:p w14:paraId="370DECB9">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米</w:t>
            </w:r>
          </w:p>
        </w:tc>
        <w:tc>
          <w:tcPr>
            <w:tcW w:w="750" w:type="dxa"/>
            <w:noWrap w:val="0"/>
            <w:vAlign w:val="center"/>
          </w:tcPr>
          <w:p w14:paraId="101F4F7A">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25</w:t>
            </w:r>
          </w:p>
        </w:tc>
        <w:tc>
          <w:tcPr>
            <w:tcW w:w="2033" w:type="dxa"/>
            <w:vMerge w:val="continue"/>
            <w:noWrap w:val="0"/>
            <w:vAlign w:val="center"/>
          </w:tcPr>
          <w:p w14:paraId="1C82DFAF">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r>
      <w:tr w14:paraId="49C0F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noWrap w:val="0"/>
            <w:vAlign w:val="center"/>
          </w:tcPr>
          <w:p w14:paraId="15C399B8">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533" w:type="dxa"/>
            <w:vMerge w:val="continue"/>
            <w:noWrap w:val="0"/>
            <w:vAlign w:val="center"/>
          </w:tcPr>
          <w:p w14:paraId="040DD639">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117" w:type="dxa"/>
            <w:vMerge w:val="restart"/>
            <w:noWrap w:val="0"/>
            <w:vAlign w:val="center"/>
          </w:tcPr>
          <w:p w14:paraId="7EF920C0">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弯头</w:t>
            </w:r>
          </w:p>
        </w:tc>
        <w:tc>
          <w:tcPr>
            <w:tcW w:w="1300" w:type="dxa"/>
            <w:noWrap w:val="0"/>
            <w:vAlign w:val="center"/>
          </w:tcPr>
          <w:p w14:paraId="3E8CDA7B">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DN65</w:t>
            </w:r>
          </w:p>
        </w:tc>
        <w:tc>
          <w:tcPr>
            <w:tcW w:w="1116" w:type="dxa"/>
            <w:noWrap w:val="0"/>
            <w:vAlign w:val="center"/>
          </w:tcPr>
          <w:p w14:paraId="5B65656E">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个</w:t>
            </w:r>
          </w:p>
        </w:tc>
        <w:tc>
          <w:tcPr>
            <w:tcW w:w="750" w:type="dxa"/>
            <w:noWrap w:val="0"/>
            <w:vAlign w:val="center"/>
          </w:tcPr>
          <w:p w14:paraId="27092AA3">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10</w:t>
            </w:r>
          </w:p>
        </w:tc>
        <w:tc>
          <w:tcPr>
            <w:tcW w:w="2033" w:type="dxa"/>
            <w:vMerge w:val="continue"/>
            <w:noWrap w:val="0"/>
            <w:vAlign w:val="center"/>
          </w:tcPr>
          <w:p w14:paraId="032569B5">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r>
      <w:tr w14:paraId="061F0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noWrap w:val="0"/>
            <w:vAlign w:val="center"/>
          </w:tcPr>
          <w:p w14:paraId="79470975">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533" w:type="dxa"/>
            <w:vMerge w:val="continue"/>
            <w:noWrap w:val="0"/>
            <w:vAlign w:val="center"/>
          </w:tcPr>
          <w:p w14:paraId="653D71C7">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117" w:type="dxa"/>
            <w:vMerge w:val="continue"/>
            <w:noWrap w:val="0"/>
            <w:vAlign w:val="center"/>
          </w:tcPr>
          <w:p w14:paraId="0F2739AD">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300" w:type="dxa"/>
            <w:noWrap w:val="0"/>
            <w:vAlign w:val="center"/>
          </w:tcPr>
          <w:p w14:paraId="30AA7F6B">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DN25</w:t>
            </w:r>
          </w:p>
        </w:tc>
        <w:tc>
          <w:tcPr>
            <w:tcW w:w="1116" w:type="dxa"/>
            <w:noWrap w:val="0"/>
            <w:vAlign w:val="center"/>
          </w:tcPr>
          <w:p w14:paraId="40FF9564">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个</w:t>
            </w:r>
          </w:p>
        </w:tc>
        <w:tc>
          <w:tcPr>
            <w:tcW w:w="750" w:type="dxa"/>
            <w:noWrap w:val="0"/>
            <w:vAlign w:val="center"/>
          </w:tcPr>
          <w:p w14:paraId="7369D0E0">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15</w:t>
            </w:r>
          </w:p>
        </w:tc>
        <w:tc>
          <w:tcPr>
            <w:tcW w:w="2033" w:type="dxa"/>
            <w:vMerge w:val="continue"/>
            <w:noWrap w:val="0"/>
            <w:vAlign w:val="center"/>
          </w:tcPr>
          <w:p w14:paraId="131AB0E6">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r>
      <w:tr w14:paraId="65AC5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noWrap w:val="0"/>
            <w:vAlign w:val="center"/>
          </w:tcPr>
          <w:p w14:paraId="0C5E4944">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533" w:type="dxa"/>
            <w:vMerge w:val="continue"/>
            <w:noWrap w:val="0"/>
            <w:vAlign w:val="center"/>
          </w:tcPr>
          <w:p w14:paraId="65E1F140">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c>
          <w:tcPr>
            <w:tcW w:w="1117" w:type="dxa"/>
            <w:noWrap w:val="0"/>
            <w:vAlign w:val="center"/>
          </w:tcPr>
          <w:p w14:paraId="7BDD4FA3">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三通</w:t>
            </w:r>
          </w:p>
        </w:tc>
        <w:tc>
          <w:tcPr>
            <w:tcW w:w="1300" w:type="dxa"/>
            <w:noWrap w:val="0"/>
            <w:vAlign w:val="center"/>
          </w:tcPr>
          <w:p w14:paraId="7E8796CD">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DN32</w:t>
            </w:r>
          </w:p>
        </w:tc>
        <w:tc>
          <w:tcPr>
            <w:tcW w:w="1116" w:type="dxa"/>
            <w:noWrap w:val="0"/>
            <w:vAlign w:val="center"/>
          </w:tcPr>
          <w:p w14:paraId="6BFCB8AA">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个</w:t>
            </w:r>
          </w:p>
        </w:tc>
        <w:tc>
          <w:tcPr>
            <w:tcW w:w="750" w:type="dxa"/>
            <w:noWrap w:val="0"/>
            <w:vAlign w:val="center"/>
          </w:tcPr>
          <w:p w14:paraId="3CA73CD6">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12</w:t>
            </w:r>
          </w:p>
        </w:tc>
        <w:tc>
          <w:tcPr>
            <w:tcW w:w="2033" w:type="dxa"/>
            <w:vMerge w:val="continue"/>
            <w:noWrap w:val="0"/>
            <w:vAlign w:val="center"/>
          </w:tcPr>
          <w:p w14:paraId="14834315">
            <w:pPr>
              <w:keepNext w:val="0"/>
              <w:keepLines w:val="0"/>
              <w:suppressLineNumbers w:val="0"/>
              <w:tabs>
                <w:tab w:val="left" w:pos="420"/>
              </w:tabs>
              <w:adjustRightInd w:val="0"/>
              <w:snapToGrid w:val="0"/>
              <w:spacing w:before="0" w:beforeAutospacing="0" w:after="0" w:afterAutospacing="0" w:line="240" w:lineRule="auto"/>
              <w:ind w:left="0" w:right="0"/>
              <w:jc w:val="center"/>
              <w:rPr>
                <w:rFonts w:hint="eastAsia" w:ascii="宋体" w:hAnsi="宋体" w:eastAsia="宋体" w:cs="宋体"/>
                <w:kern w:val="0"/>
                <w:sz w:val="21"/>
                <w:szCs w:val="21"/>
                <w:highlight w:val="none"/>
                <w:lang w:val="en-US" w:eastAsia="zh-CN"/>
              </w:rPr>
            </w:pPr>
          </w:p>
        </w:tc>
      </w:tr>
    </w:tbl>
    <w:p w14:paraId="535970F4">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注：以上工作量清单表为需求参考工作量，投标人投标前应组织现场勘查，实际情况以现场勘查为准。如投标人未进行现场勘查，招标人则认为，投标人已完成掌握了解现场设备实际情况。</w:t>
      </w:r>
    </w:p>
    <w:p w14:paraId="39B872F2">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5.2</w:t>
      </w:r>
      <w:r>
        <w:rPr>
          <w:rFonts w:hint="eastAsia" w:ascii="宋体" w:hAnsi="宋体" w:cs="宋体"/>
          <w:kern w:val="0"/>
          <w:szCs w:val="21"/>
          <w:highlight w:val="none"/>
          <w:lang w:val="en-US" w:eastAsia="zh-CN"/>
        </w:rPr>
        <w:t>中</w:t>
      </w:r>
      <w:r>
        <w:rPr>
          <w:rFonts w:hint="eastAsia" w:ascii="宋体" w:hAnsi="宋体" w:eastAsia="宋体" w:cs="宋体"/>
          <w:kern w:val="0"/>
          <w:szCs w:val="21"/>
          <w:highlight w:val="none"/>
          <w:lang w:val="en-US" w:eastAsia="zh-CN"/>
        </w:rPr>
        <w:t>标人应根据本项目实际需求提供设备明细清单。</w:t>
      </w:r>
    </w:p>
    <w:p w14:paraId="0DADFC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宋体" w:hAnsi="宋体" w:eastAsia="宋体" w:cs="宋体"/>
          <w:b/>
          <w:bCs/>
          <w:kern w:val="0"/>
          <w:sz w:val="21"/>
          <w:szCs w:val="21"/>
          <w:highlight w:val="none"/>
          <w:lang w:val="en-US" w:eastAsia="zh-CN"/>
        </w:rPr>
      </w:pPr>
      <w:r>
        <w:rPr>
          <w:rFonts w:hint="eastAsia" w:ascii="宋体" w:hAnsi="宋体" w:eastAsia="宋体" w:cs="宋体"/>
          <w:b/>
          <w:bCs/>
          <w:kern w:val="0"/>
          <w:sz w:val="21"/>
          <w:szCs w:val="21"/>
          <w:highlight w:val="none"/>
          <w:lang w:val="en-US" w:eastAsia="zh-CN"/>
        </w:rPr>
        <w:t xml:space="preserve">六、文件 </w:t>
      </w:r>
    </w:p>
    <w:p w14:paraId="3E597C36">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6.1 对于从市场上采购的产品，必须提供产品说明书和合格证，说明书应能满足</w:t>
      </w:r>
      <w:r>
        <w:rPr>
          <w:rFonts w:hint="eastAsia" w:ascii="宋体" w:hAnsi="宋体" w:cs="宋体"/>
          <w:kern w:val="0"/>
          <w:szCs w:val="21"/>
          <w:highlight w:val="none"/>
          <w:lang w:val="en-US" w:eastAsia="zh-CN"/>
        </w:rPr>
        <w:t>招标人</w:t>
      </w:r>
      <w:r>
        <w:rPr>
          <w:rFonts w:hint="eastAsia" w:ascii="宋体" w:hAnsi="宋体" w:eastAsia="宋体" w:cs="宋体"/>
          <w:kern w:val="0"/>
          <w:szCs w:val="21"/>
          <w:highlight w:val="none"/>
          <w:lang w:val="en-US" w:eastAsia="zh-CN"/>
        </w:rPr>
        <w:t xml:space="preserve">的维修和采购的要求； </w:t>
      </w:r>
    </w:p>
    <w:p w14:paraId="2D3A418E">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6.2 设备应符合设备制造商的国家标准。</w:t>
      </w:r>
    </w:p>
    <w:p w14:paraId="6822EC96">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6.3 手册要求</w:t>
      </w:r>
    </w:p>
    <w:p w14:paraId="465A7ACE">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6.3.1 安装手册：安装手册应由所需之全部图纸和文件组成，应定义：</w:t>
      </w:r>
    </w:p>
    <w:p w14:paraId="30193B86">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●电源、数据、控制和通信接口的配线规程；</w:t>
      </w:r>
    </w:p>
    <w:p w14:paraId="147C35C4">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●为设备就位所需之地板、导轨、支架的安装、钻孔和上螺丝的方法；</w:t>
      </w:r>
    </w:p>
    <w:p w14:paraId="2E120F36">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●安全警告或注意事项；</w:t>
      </w:r>
    </w:p>
    <w:p w14:paraId="2FC41BE0">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●接地及其连接规程；</w:t>
      </w:r>
    </w:p>
    <w:p w14:paraId="303B826A">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●测试和校准方法；</w:t>
      </w:r>
    </w:p>
    <w:p w14:paraId="1B731400">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●气候防护、灰尘防护和其他的环境防护；</w:t>
      </w:r>
    </w:p>
    <w:p w14:paraId="31FFB250">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●正确安装设备所需要的其他规程；</w:t>
      </w:r>
    </w:p>
    <w:p w14:paraId="00551416">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●安装所需工具的功能及建议数量。</w:t>
      </w:r>
    </w:p>
    <w:p w14:paraId="5F3E34E2">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6.3.2 操作手册：操作手册应为招标人在系统操作和检查提供指导。</w:t>
      </w:r>
    </w:p>
    <w:p w14:paraId="1BDB173F">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●系统概述；</w:t>
      </w:r>
    </w:p>
    <w:p w14:paraId="4A39BD7F">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●主要功能说明；</w:t>
      </w:r>
    </w:p>
    <w:p w14:paraId="65894EE6">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●操作指南；</w:t>
      </w:r>
    </w:p>
    <w:p w14:paraId="06E237E7">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●故障状态；</w:t>
      </w:r>
    </w:p>
    <w:p w14:paraId="7A425FFF">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●供货商提交的说明资料要对所规定的每一种设备及其如何操作予以阐述；</w:t>
      </w:r>
    </w:p>
    <w:p w14:paraId="14387996">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6.3.3 维修手册：</w:t>
      </w:r>
    </w:p>
    <w:p w14:paraId="23D2A224">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●维修手册应为系统维修人员的维护提供指导。</w:t>
      </w:r>
    </w:p>
    <w:p w14:paraId="50D0E237">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●手册应对各系统各级检修的内容、要求、方法、程序、设备、工具、材料等方面做出详细的说明；对主要的故障部件的更换、调整和测试做出详细的说明。</w:t>
      </w:r>
    </w:p>
    <w:p w14:paraId="17443B0A">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●维修手册应用中文编制；</w:t>
      </w:r>
    </w:p>
    <w:p w14:paraId="3AB0886D">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6.3.4 最终技术文件</w:t>
      </w:r>
    </w:p>
    <w:p w14:paraId="373E81C4">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最终技术文件应包括所供系统的最终技术参数，它应能清晰规定所有实现子系统要求的硬件和软件，并取得</w:t>
      </w:r>
      <w:r>
        <w:rPr>
          <w:rFonts w:hint="eastAsia" w:ascii="宋体" w:hAnsi="宋体" w:cs="宋体"/>
          <w:kern w:val="0"/>
          <w:szCs w:val="21"/>
          <w:highlight w:val="none"/>
          <w:lang w:val="en-US" w:eastAsia="zh-CN"/>
        </w:rPr>
        <w:t>招标人</w:t>
      </w:r>
      <w:r>
        <w:rPr>
          <w:rFonts w:hint="eastAsia" w:ascii="宋体" w:hAnsi="宋体" w:eastAsia="宋体" w:cs="宋体"/>
          <w:kern w:val="0"/>
          <w:szCs w:val="21"/>
          <w:highlight w:val="none"/>
          <w:lang w:val="en-US" w:eastAsia="zh-CN"/>
        </w:rPr>
        <w:t>的确认。</w:t>
      </w:r>
    </w:p>
    <w:p w14:paraId="55373229">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最终技术文件包括但不限于下列内容：</w:t>
      </w:r>
    </w:p>
    <w:p w14:paraId="6F4F9943">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●系统总说明；</w:t>
      </w:r>
    </w:p>
    <w:p w14:paraId="7E3AA018">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●系统构成；</w:t>
      </w:r>
    </w:p>
    <w:p w14:paraId="12E5241B">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●功能详细描述；</w:t>
      </w:r>
    </w:p>
    <w:p w14:paraId="5F852A1E">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●技术参数；</w:t>
      </w:r>
    </w:p>
    <w:p w14:paraId="53865B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宋体" w:hAnsi="宋体" w:eastAsia="宋体" w:cs="宋体"/>
          <w:b/>
          <w:bCs/>
          <w:kern w:val="0"/>
          <w:sz w:val="21"/>
          <w:szCs w:val="21"/>
          <w:highlight w:val="none"/>
          <w:lang w:val="en-US" w:eastAsia="zh-CN"/>
        </w:rPr>
      </w:pPr>
      <w:r>
        <w:rPr>
          <w:rFonts w:hint="eastAsia" w:ascii="宋体" w:hAnsi="宋体" w:eastAsia="宋体" w:cs="宋体"/>
          <w:b/>
          <w:bCs/>
          <w:kern w:val="0"/>
          <w:sz w:val="21"/>
          <w:szCs w:val="21"/>
          <w:highlight w:val="none"/>
          <w:lang w:val="en-US" w:eastAsia="zh-CN"/>
        </w:rPr>
        <w:t>七、培训</w:t>
      </w:r>
    </w:p>
    <w:p w14:paraId="327C5744">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本项目培训为现场培训（免费，人数不限），要求如下：</w:t>
      </w:r>
    </w:p>
    <w:p w14:paraId="30FC0350">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7.1 </w:t>
      </w:r>
      <w:r>
        <w:rPr>
          <w:rFonts w:hint="eastAsia" w:ascii="宋体" w:hAnsi="宋体" w:eastAsia="宋体" w:cs="宋体"/>
          <w:kern w:val="0"/>
          <w:sz w:val="21"/>
          <w:szCs w:val="21"/>
          <w:highlight w:val="none"/>
          <w:lang w:val="en-US" w:eastAsia="zh-CN"/>
        </w:rPr>
        <w:t>中标人</w:t>
      </w:r>
      <w:r>
        <w:rPr>
          <w:rFonts w:hint="eastAsia" w:ascii="宋体" w:hAnsi="宋体" w:eastAsia="宋体" w:cs="宋体"/>
          <w:kern w:val="0"/>
          <w:sz w:val="21"/>
          <w:szCs w:val="21"/>
          <w:highlight w:val="none"/>
        </w:rPr>
        <w:t>派出经验丰富的技术人员对</w:t>
      </w:r>
      <w:r>
        <w:rPr>
          <w:rFonts w:hint="eastAsia" w:ascii="宋体" w:hAnsi="宋体" w:eastAsia="宋体" w:cs="宋体"/>
          <w:kern w:val="0"/>
          <w:sz w:val="21"/>
          <w:szCs w:val="21"/>
          <w:highlight w:val="none"/>
          <w:lang w:val="en-US" w:eastAsia="zh-CN"/>
        </w:rPr>
        <w:t>招标人</w:t>
      </w:r>
      <w:r>
        <w:rPr>
          <w:rFonts w:hint="eastAsia" w:ascii="宋体" w:hAnsi="宋体" w:eastAsia="宋体" w:cs="宋体"/>
          <w:kern w:val="0"/>
          <w:sz w:val="21"/>
          <w:szCs w:val="21"/>
          <w:highlight w:val="none"/>
        </w:rPr>
        <w:t>的维修、操作人员进行现场培训。</w:t>
      </w:r>
    </w:p>
    <w:p w14:paraId="2A150211">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7.2 现场培训在本项目终验之后进行，该培训在控制中心进行，培训的内容包括正常操作程序和如何处理紧急情况。</w:t>
      </w:r>
    </w:p>
    <w:p w14:paraId="31D8DFB9">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7.3 现场培训包括安装、调试、维护等项内容，使维护人员掌握操作维护</w:t>
      </w:r>
      <w:r>
        <w:rPr>
          <w:rFonts w:hint="eastAsia" w:ascii="宋体" w:hAnsi="宋体" w:eastAsia="宋体" w:cs="宋体"/>
          <w:kern w:val="0"/>
          <w:sz w:val="21"/>
          <w:szCs w:val="21"/>
          <w:highlight w:val="none"/>
          <w:lang w:val="en-US" w:eastAsia="zh-CN"/>
        </w:rPr>
        <w:t>中标人</w:t>
      </w:r>
      <w:r>
        <w:rPr>
          <w:rFonts w:hint="eastAsia" w:ascii="宋体" w:hAnsi="宋体" w:eastAsia="宋体" w:cs="宋体"/>
          <w:kern w:val="0"/>
          <w:sz w:val="21"/>
          <w:szCs w:val="21"/>
          <w:highlight w:val="none"/>
        </w:rPr>
        <w:t>提供的设备、专用仪表的能力。</w:t>
      </w:r>
    </w:p>
    <w:p w14:paraId="3F14AAC1">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7.4 </w:t>
      </w:r>
      <w:r>
        <w:rPr>
          <w:rFonts w:hint="eastAsia" w:ascii="宋体" w:hAnsi="宋体" w:eastAsia="宋体" w:cs="宋体"/>
          <w:kern w:val="0"/>
          <w:sz w:val="21"/>
          <w:szCs w:val="21"/>
          <w:highlight w:val="none"/>
          <w:lang w:val="en-US" w:eastAsia="zh-CN"/>
        </w:rPr>
        <w:t>中标人</w:t>
      </w:r>
      <w:r>
        <w:rPr>
          <w:rFonts w:hint="eastAsia" w:ascii="宋体" w:hAnsi="宋体" w:eastAsia="宋体" w:cs="宋体"/>
          <w:kern w:val="0"/>
          <w:sz w:val="21"/>
          <w:szCs w:val="21"/>
          <w:highlight w:val="none"/>
        </w:rPr>
        <w:t>提供培训人员所需的设备、工具、仪器仪表等。</w:t>
      </w:r>
    </w:p>
    <w:p w14:paraId="239B87DC">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7.5 </w:t>
      </w:r>
      <w:r>
        <w:rPr>
          <w:rFonts w:hint="eastAsia" w:ascii="宋体" w:hAnsi="宋体" w:eastAsia="宋体" w:cs="宋体"/>
          <w:kern w:val="0"/>
          <w:sz w:val="21"/>
          <w:szCs w:val="21"/>
          <w:highlight w:val="none"/>
          <w:lang w:val="en-US" w:eastAsia="zh-CN"/>
        </w:rPr>
        <w:t>中标人</w:t>
      </w:r>
      <w:r>
        <w:rPr>
          <w:rFonts w:hint="eastAsia" w:ascii="宋体" w:hAnsi="宋体" w:eastAsia="宋体" w:cs="宋体"/>
          <w:kern w:val="0"/>
          <w:sz w:val="21"/>
          <w:szCs w:val="21"/>
          <w:highlight w:val="none"/>
        </w:rPr>
        <w:t>提供培训的相关资料及文本。</w:t>
      </w:r>
    </w:p>
    <w:p w14:paraId="206F61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宋体" w:hAnsi="宋体" w:eastAsia="宋体" w:cs="宋体"/>
          <w:b/>
          <w:bCs/>
          <w:kern w:val="0"/>
          <w:sz w:val="21"/>
          <w:szCs w:val="21"/>
          <w:highlight w:val="none"/>
          <w:lang w:val="en-US" w:eastAsia="zh-CN"/>
        </w:rPr>
      </w:pPr>
      <w:r>
        <w:rPr>
          <w:rFonts w:hint="eastAsia" w:ascii="宋体" w:hAnsi="宋体" w:eastAsia="宋体" w:cs="宋体"/>
          <w:b/>
          <w:bCs/>
          <w:kern w:val="0"/>
          <w:sz w:val="21"/>
          <w:szCs w:val="21"/>
          <w:highlight w:val="none"/>
          <w:lang w:val="en-US" w:eastAsia="zh-CN"/>
        </w:rPr>
        <w:t>八、试验、检验、验收</w:t>
      </w:r>
    </w:p>
    <w:p w14:paraId="0307F911">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8.1 到货检查</w:t>
      </w:r>
    </w:p>
    <w:p w14:paraId="4DEE0C81">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合同项下的设备、材料和技术文件运抵规定的交货地点后，买卖双方人员共同对其进行检查，并</w:t>
      </w:r>
      <w:r>
        <w:rPr>
          <w:rFonts w:hint="eastAsia" w:ascii="宋体" w:hAnsi="宋体" w:eastAsia="宋体" w:cs="宋体"/>
          <w:kern w:val="0"/>
          <w:sz w:val="21"/>
          <w:szCs w:val="21"/>
          <w:highlight w:val="none"/>
          <w:lang w:eastAsia="zh-CN"/>
        </w:rPr>
        <w:t>认真做好</w:t>
      </w:r>
      <w:r>
        <w:rPr>
          <w:rFonts w:hint="eastAsia" w:ascii="宋体" w:hAnsi="宋体" w:eastAsia="宋体" w:cs="宋体"/>
          <w:kern w:val="0"/>
          <w:sz w:val="21"/>
          <w:szCs w:val="21"/>
          <w:highlight w:val="none"/>
        </w:rPr>
        <w:t>交接记录，各方签字。</w:t>
      </w:r>
    </w:p>
    <w:p w14:paraId="1E209A57">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检查的内容主要有：满足合同对包装的要求；外观良好，运输途中未受损；</w:t>
      </w:r>
    </w:p>
    <w:p w14:paraId="6CF9F624">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编号、数量和名称与合同要求的货物清单核实无误。</w:t>
      </w:r>
    </w:p>
    <w:p w14:paraId="4FFE72D0">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8.2 开箱检验</w:t>
      </w:r>
    </w:p>
    <w:p w14:paraId="0DF2691D">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在设备运到现场规定时间内，</w:t>
      </w:r>
      <w:r>
        <w:rPr>
          <w:rFonts w:hint="eastAsia" w:ascii="宋体" w:hAnsi="宋体" w:cs="宋体"/>
          <w:kern w:val="0"/>
          <w:sz w:val="21"/>
          <w:szCs w:val="21"/>
          <w:highlight w:val="none"/>
          <w:lang w:val="en-US" w:eastAsia="zh-CN"/>
        </w:rPr>
        <w:t>中标人</w:t>
      </w:r>
      <w:r>
        <w:rPr>
          <w:rFonts w:hint="eastAsia" w:ascii="宋体" w:hAnsi="宋体" w:eastAsia="宋体" w:cs="宋体"/>
          <w:kern w:val="0"/>
          <w:sz w:val="21"/>
          <w:szCs w:val="21"/>
          <w:highlight w:val="none"/>
        </w:rPr>
        <w:t>与</w:t>
      </w:r>
      <w:r>
        <w:rPr>
          <w:rFonts w:hint="eastAsia" w:ascii="宋体" w:hAnsi="宋体" w:cs="宋体"/>
          <w:kern w:val="0"/>
          <w:sz w:val="21"/>
          <w:szCs w:val="21"/>
          <w:highlight w:val="none"/>
          <w:lang w:val="en-US" w:eastAsia="zh-CN"/>
        </w:rPr>
        <w:t>招标人</w:t>
      </w:r>
      <w:r>
        <w:rPr>
          <w:rFonts w:hint="eastAsia" w:ascii="宋体" w:hAnsi="宋体" w:eastAsia="宋体" w:cs="宋体"/>
          <w:kern w:val="0"/>
          <w:sz w:val="21"/>
          <w:szCs w:val="21"/>
          <w:highlight w:val="none"/>
        </w:rPr>
        <w:t>到现场进行开箱检查若发现有诸如数量、型号</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外观与合同不符以及存在的质量问题，均由</w:t>
      </w:r>
      <w:r>
        <w:rPr>
          <w:rFonts w:hint="eastAsia" w:ascii="宋体" w:hAnsi="宋体" w:cs="宋体"/>
          <w:kern w:val="0"/>
          <w:sz w:val="21"/>
          <w:szCs w:val="21"/>
          <w:highlight w:val="none"/>
          <w:lang w:val="en-US" w:eastAsia="zh-CN"/>
        </w:rPr>
        <w:t>中标人</w:t>
      </w:r>
      <w:r>
        <w:rPr>
          <w:rFonts w:hint="eastAsia" w:ascii="宋体" w:hAnsi="宋体" w:eastAsia="宋体" w:cs="宋体"/>
          <w:kern w:val="0"/>
          <w:sz w:val="21"/>
          <w:szCs w:val="21"/>
          <w:highlight w:val="none"/>
        </w:rPr>
        <w:t>负责。开箱检查结果，不免除</w:t>
      </w:r>
      <w:r>
        <w:rPr>
          <w:rFonts w:hint="eastAsia" w:ascii="宋体" w:hAnsi="宋体" w:cs="宋体"/>
          <w:kern w:val="0"/>
          <w:sz w:val="21"/>
          <w:szCs w:val="21"/>
          <w:highlight w:val="none"/>
          <w:lang w:val="en-US" w:eastAsia="zh-CN"/>
        </w:rPr>
        <w:t>中标人</w:t>
      </w:r>
      <w:r>
        <w:rPr>
          <w:rFonts w:hint="eastAsia" w:ascii="宋体" w:hAnsi="宋体" w:eastAsia="宋体" w:cs="宋体"/>
          <w:kern w:val="0"/>
          <w:sz w:val="21"/>
          <w:szCs w:val="21"/>
          <w:highlight w:val="none"/>
        </w:rPr>
        <w:t>对产品功能方面的任何责任。</w:t>
      </w:r>
    </w:p>
    <w:p w14:paraId="4CB9D866">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8.3 竣工验收</w:t>
      </w:r>
    </w:p>
    <w:p w14:paraId="05E6901F">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8.3.1 </w:t>
      </w:r>
      <w:r>
        <w:rPr>
          <w:rFonts w:hint="eastAsia" w:ascii="宋体" w:hAnsi="宋体" w:cs="宋体"/>
          <w:kern w:val="0"/>
          <w:sz w:val="21"/>
          <w:szCs w:val="21"/>
          <w:highlight w:val="none"/>
          <w:lang w:val="en-US" w:eastAsia="zh-CN"/>
        </w:rPr>
        <w:t>中标人</w:t>
      </w:r>
      <w:r>
        <w:rPr>
          <w:rFonts w:hint="eastAsia" w:ascii="宋体" w:hAnsi="宋体" w:eastAsia="宋体" w:cs="宋体"/>
          <w:kern w:val="0"/>
          <w:sz w:val="21"/>
          <w:szCs w:val="21"/>
          <w:highlight w:val="none"/>
        </w:rPr>
        <w:t>应提前根据工程进度要求，制定设备安装、验收计划，提交</w:t>
      </w:r>
      <w:r>
        <w:rPr>
          <w:rFonts w:hint="eastAsia" w:ascii="宋体" w:hAnsi="宋体" w:cs="宋体"/>
          <w:kern w:val="0"/>
          <w:sz w:val="21"/>
          <w:szCs w:val="21"/>
          <w:highlight w:val="none"/>
          <w:lang w:val="en-US" w:eastAsia="zh-CN"/>
        </w:rPr>
        <w:t>招标人</w:t>
      </w:r>
      <w:r>
        <w:rPr>
          <w:rFonts w:hint="eastAsia" w:ascii="宋体" w:hAnsi="宋体" w:eastAsia="宋体" w:cs="宋体"/>
          <w:kern w:val="0"/>
          <w:sz w:val="21"/>
          <w:szCs w:val="21"/>
          <w:highlight w:val="none"/>
        </w:rPr>
        <w:t>审核，由</w:t>
      </w:r>
      <w:r>
        <w:rPr>
          <w:rFonts w:hint="eastAsia" w:ascii="宋体" w:hAnsi="宋体" w:cs="宋体"/>
          <w:kern w:val="0"/>
          <w:sz w:val="21"/>
          <w:szCs w:val="21"/>
          <w:highlight w:val="none"/>
          <w:lang w:val="en-US" w:eastAsia="zh-CN"/>
        </w:rPr>
        <w:t>招标人</w:t>
      </w:r>
      <w:r>
        <w:rPr>
          <w:rFonts w:hint="eastAsia" w:ascii="宋体" w:hAnsi="宋体" w:eastAsia="宋体" w:cs="宋体"/>
          <w:kern w:val="0"/>
          <w:sz w:val="21"/>
          <w:szCs w:val="21"/>
          <w:highlight w:val="none"/>
        </w:rPr>
        <w:t>审批、确认。</w:t>
      </w:r>
    </w:p>
    <w:p w14:paraId="7F1F4CC3">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8.3.2 安装完成后，</w:t>
      </w:r>
      <w:r>
        <w:rPr>
          <w:rFonts w:hint="eastAsia" w:ascii="宋体" w:hAnsi="宋体" w:cs="宋体"/>
          <w:kern w:val="0"/>
          <w:sz w:val="21"/>
          <w:szCs w:val="21"/>
          <w:highlight w:val="none"/>
          <w:lang w:val="en-US" w:eastAsia="zh-CN"/>
        </w:rPr>
        <w:t>招标人</w:t>
      </w:r>
      <w:r>
        <w:rPr>
          <w:rFonts w:hint="eastAsia" w:ascii="宋体" w:hAnsi="宋体" w:eastAsia="宋体" w:cs="宋体"/>
          <w:kern w:val="0"/>
          <w:sz w:val="21"/>
          <w:szCs w:val="21"/>
          <w:highlight w:val="none"/>
        </w:rPr>
        <w:t>按照</w:t>
      </w:r>
      <w:r>
        <w:rPr>
          <w:rFonts w:hint="eastAsia" w:ascii="宋体" w:hAnsi="宋体" w:cs="宋体"/>
          <w:kern w:val="0"/>
          <w:sz w:val="21"/>
          <w:szCs w:val="21"/>
          <w:highlight w:val="none"/>
          <w:lang w:val="en-US" w:eastAsia="zh-CN"/>
        </w:rPr>
        <w:t>中标人</w:t>
      </w:r>
      <w:r>
        <w:rPr>
          <w:rFonts w:hint="eastAsia" w:ascii="宋体" w:hAnsi="宋体" w:eastAsia="宋体" w:cs="宋体"/>
          <w:kern w:val="0"/>
          <w:sz w:val="21"/>
          <w:szCs w:val="21"/>
          <w:highlight w:val="none"/>
        </w:rPr>
        <w:t>制定安装验收计划和行业相关安装验收标准进行竣工验收。</w:t>
      </w:r>
    </w:p>
    <w:p w14:paraId="76FF76BF">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竣工验收应包括但不限于以下内容：</w:t>
      </w:r>
    </w:p>
    <w:p w14:paraId="2CB4D5F8">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（1）所有设备、电缆布线和配电安全、可靠。</w:t>
      </w:r>
    </w:p>
    <w:p w14:paraId="64F6A534">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2</w:t>
      </w:r>
      <w:r>
        <w:rPr>
          <w:rFonts w:hint="eastAsia" w:ascii="宋体" w:hAnsi="宋体" w:eastAsia="宋体" w:cs="宋体"/>
          <w:kern w:val="0"/>
          <w:sz w:val="21"/>
          <w:szCs w:val="21"/>
          <w:highlight w:val="none"/>
        </w:rPr>
        <w:t>）电缆和设备的绝缘电阻要大于IEC规定要求。</w:t>
      </w:r>
    </w:p>
    <w:p w14:paraId="5E58750F">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3</w:t>
      </w:r>
      <w:r>
        <w:rPr>
          <w:rFonts w:hint="eastAsia" w:ascii="宋体" w:hAnsi="宋体" w:eastAsia="宋体" w:cs="宋体"/>
          <w:kern w:val="0"/>
          <w:sz w:val="21"/>
          <w:szCs w:val="21"/>
          <w:highlight w:val="none"/>
        </w:rPr>
        <w:t>）所有用于故障指示和报警的电子回路应工作正常。</w:t>
      </w:r>
    </w:p>
    <w:p w14:paraId="048439BF">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4</w:t>
      </w:r>
      <w:r>
        <w:rPr>
          <w:rFonts w:hint="eastAsia" w:ascii="宋体" w:hAnsi="宋体" w:eastAsia="宋体" w:cs="宋体"/>
          <w:kern w:val="0"/>
          <w:sz w:val="21"/>
          <w:szCs w:val="21"/>
          <w:highlight w:val="none"/>
        </w:rPr>
        <w:t>）设备外观检查：（现场检查，据图核对）</w:t>
      </w:r>
    </w:p>
    <w:p w14:paraId="01C4630C">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5</w:t>
      </w:r>
      <w:r>
        <w:rPr>
          <w:rFonts w:hint="eastAsia" w:ascii="宋体" w:hAnsi="宋体" w:eastAsia="宋体" w:cs="宋体"/>
          <w:kern w:val="0"/>
          <w:sz w:val="21"/>
          <w:szCs w:val="21"/>
          <w:highlight w:val="none"/>
        </w:rPr>
        <w:t>）在检查过程中，如发现</w:t>
      </w:r>
      <w:r>
        <w:rPr>
          <w:rFonts w:hint="eastAsia" w:ascii="宋体" w:hAnsi="宋体" w:cs="宋体"/>
          <w:kern w:val="0"/>
          <w:sz w:val="21"/>
          <w:szCs w:val="21"/>
          <w:highlight w:val="none"/>
          <w:lang w:val="en-US" w:eastAsia="zh-CN"/>
        </w:rPr>
        <w:t>中标人</w:t>
      </w:r>
      <w:r>
        <w:rPr>
          <w:rFonts w:hint="eastAsia" w:ascii="宋体" w:hAnsi="宋体" w:eastAsia="宋体" w:cs="宋体"/>
          <w:kern w:val="0"/>
          <w:sz w:val="21"/>
          <w:szCs w:val="21"/>
          <w:highlight w:val="none"/>
        </w:rPr>
        <w:t>未能满足施工图和</w:t>
      </w:r>
      <w:r>
        <w:rPr>
          <w:rFonts w:hint="eastAsia" w:ascii="宋体" w:hAnsi="宋体" w:eastAsia="宋体" w:cs="宋体"/>
          <w:kern w:val="0"/>
          <w:sz w:val="21"/>
          <w:szCs w:val="21"/>
          <w:highlight w:val="none"/>
          <w:lang w:val="en-US" w:eastAsia="zh-CN"/>
        </w:rPr>
        <w:t>招标人</w:t>
      </w:r>
      <w:r>
        <w:rPr>
          <w:rFonts w:hint="eastAsia" w:ascii="宋体" w:hAnsi="宋体" w:eastAsia="宋体" w:cs="宋体"/>
          <w:kern w:val="0"/>
          <w:sz w:val="21"/>
          <w:szCs w:val="21"/>
          <w:highlight w:val="none"/>
        </w:rPr>
        <w:t>需求表的功能要求，</w:t>
      </w:r>
      <w:r>
        <w:rPr>
          <w:rFonts w:hint="eastAsia" w:ascii="宋体" w:hAnsi="宋体" w:cs="宋体"/>
          <w:kern w:val="0"/>
          <w:sz w:val="21"/>
          <w:szCs w:val="21"/>
          <w:highlight w:val="none"/>
          <w:lang w:val="en-US" w:eastAsia="zh-CN"/>
        </w:rPr>
        <w:t>中标人</w:t>
      </w:r>
      <w:r>
        <w:rPr>
          <w:rFonts w:hint="eastAsia" w:ascii="宋体" w:hAnsi="宋体" w:eastAsia="宋体" w:cs="宋体"/>
          <w:kern w:val="0"/>
          <w:sz w:val="21"/>
          <w:szCs w:val="21"/>
          <w:highlight w:val="none"/>
        </w:rPr>
        <w:t>应无条件的按照要求进行整改，直至达到规定的要求。</w:t>
      </w:r>
    </w:p>
    <w:p w14:paraId="7B4E834B">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8.3.3 对未通过验收的安装项目，</w:t>
      </w:r>
      <w:r>
        <w:rPr>
          <w:rFonts w:hint="eastAsia" w:ascii="宋体" w:hAnsi="宋体" w:cs="宋体"/>
          <w:kern w:val="0"/>
          <w:sz w:val="21"/>
          <w:szCs w:val="21"/>
          <w:highlight w:val="none"/>
          <w:lang w:val="en-US" w:eastAsia="zh-CN"/>
        </w:rPr>
        <w:t>招标人</w:t>
      </w:r>
      <w:r>
        <w:rPr>
          <w:rFonts w:hint="eastAsia" w:ascii="宋体" w:hAnsi="宋体" w:eastAsia="宋体" w:cs="宋体"/>
          <w:kern w:val="0"/>
          <w:sz w:val="21"/>
          <w:szCs w:val="21"/>
          <w:highlight w:val="none"/>
        </w:rPr>
        <w:t>向</w:t>
      </w:r>
      <w:r>
        <w:rPr>
          <w:rFonts w:hint="eastAsia" w:ascii="宋体" w:hAnsi="宋体" w:cs="宋体"/>
          <w:kern w:val="0"/>
          <w:sz w:val="21"/>
          <w:szCs w:val="21"/>
          <w:highlight w:val="none"/>
          <w:lang w:val="en-US" w:eastAsia="zh-CN"/>
        </w:rPr>
        <w:t>中标人</w:t>
      </w:r>
      <w:r>
        <w:rPr>
          <w:rFonts w:hint="eastAsia" w:ascii="宋体" w:hAnsi="宋体" w:eastAsia="宋体" w:cs="宋体"/>
          <w:kern w:val="0"/>
          <w:sz w:val="21"/>
          <w:szCs w:val="21"/>
          <w:highlight w:val="none"/>
        </w:rPr>
        <w:t>发出修改、替换通知，限期修改、替换，由此而发生的费用由</w:t>
      </w:r>
      <w:r>
        <w:rPr>
          <w:rFonts w:hint="eastAsia" w:ascii="宋体" w:hAnsi="宋体" w:cs="宋体"/>
          <w:kern w:val="0"/>
          <w:sz w:val="21"/>
          <w:szCs w:val="21"/>
          <w:highlight w:val="none"/>
          <w:lang w:val="en-US" w:eastAsia="zh-CN"/>
        </w:rPr>
        <w:t>中标人</w:t>
      </w:r>
      <w:r>
        <w:rPr>
          <w:rFonts w:hint="eastAsia" w:ascii="宋体" w:hAnsi="宋体" w:eastAsia="宋体" w:cs="宋体"/>
          <w:kern w:val="0"/>
          <w:sz w:val="21"/>
          <w:szCs w:val="21"/>
          <w:highlight w:val="none"/>
        </w:rPr>
        <w:t>承担。</w:t>
      </w:r>
    </w:p>
    <w:p w14:paraId="3416371B">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8.3.4 竣工验收设备功能需满足</w:t>
      </w:r>
      <w:r>
        <w:rPr>
          <w:rFonts w:hint="eastAsia" w:ascii="宋体" w:hAnsi="宋体" w:cs="宋体"/>
          <w:kern w:val="0"/>
          <w:sz w:val="21"/>
          <w:szCs w:val="21"/>
          <w:highlight w:val="none"/>
          <w:lang w:val="en-US" w:eastAsia="zh-CN"/>
        </w:rPr>
        <w:t>招标人</w:t>
      </w:r>
      <w:r>
        <w:rPr>
          <w:rFonts w:hint="eastAsia" w:ascii="宋体" w:hAnsi="宋体" w:eastAsia="宋体" w:cs="宋体"/>
          <w:kern w:val="0"/>
          <w:sz w:val="21"/>
          <w:szCs w:val="21"/>
          <w:highlight w:val="none"/>
        </w:rPr>
        <w:t>要求的所有功能，如果系统功能不满足合同规定的技术要求，</w:t>
      </w:r>
      <w:r>
        <w:rPr>
          <w:rFonts w:hint="eastAsia" w:ascii="宋体" w:hAnsi="宋体" w:cs="宋体"/>
          <w:kern w:val="0"/>
          <w:sz w:val="21"/>
          <w:szCs w:val="21"/>
          <w:highlight w:val="none"/>
          <w:lang w:val="en-US" w:eastAsia="zh-CN"/>
        </w:rPr>
        <w:t>中标人</w:t>
      </w:r>
      <w:r>
        <w:rPr>
          <w:rFonts w:hint="eastAsia" w:ascii="宋体" w:hAnsi="宋体" w:eastAsia="宋体" w:cs="宋体"/>
          <w:kern w:val="0"/>
          <w:sz w:val="21"/>
          <w:szCs w:val="21"/>
          <w:highlight w:val="none"/>
        </w:rPr>
        <w:t>必须在规定的时间内进行解决，由此引起的一切费用由</w:t>
      </w:r>
      <w:r>
        <w:rPr>
          <w:rFonts w:hint="eastAsia" w:ascii="宋体" w:hAnsi="宋体" w:cs="宋体"/>
          <w:kern w:val="0"/>
          <w:sz w:val="21"/>
          <w:szCs w:val="21"/>
          <w:highlight w:val="none"/>
          <w:lang w:val="en-US" w:eastAsia="zh-CN"/>
        </w:rPr>
        <w:t>中标人</w:t>
      </w:r>
      <w:r>
        <w:rPr>
          <w:rFonts w:hint="eastAsia" w:ascii="宋体" w:hAnsi="宋体" w:eastAsia="宋体" w:cs="宋体"/>
          <w:kern w:val="0"/>
          <w:sz w:val="21"/>
          <w:szCs w:val="21"/>
          <w:highlight w:val="none"/>
        </w:rPr>
        <w:t>负责。</w:t>
      </w:r>
    </w:p>
    <w:p w14:paraId="38F340F1">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8.4 最终验收</w:t>
      </w:r>
    </w:p>
    <w:p w14:paraId="2AD9E282">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质量保证期结束后四十五(45)天内，</w:t>
      </w:r>
      <w:r>
        <w:rPr>
          <w:rFonts w:hint="eastAsia" w:ascii="宋体" w:hAnsi="宋体" w:cs="宋体"/>
          <w:kern w:val="0"/>
          <w:sz w:val="21"/>
          <w:szCs w:val="21"/>
          <w:highlight w:val="none"/>
          <w:lang w:val="en-US" w:eastAsia="zh-CN"/>
        </w:rPr>
        <w:t>招标人</w:t>
      </w:r>
      <w:r>
        <w:rPr>
          <w:rFonts w:hint="eastAsia" w:ascii="宋体" w:hAnsi="宋体" w:eastAsia="宋体" w:cs="宋体"/>
          <w:kern w:val="0"/>
          <w:sz w:val="21"/>
          <w:szCs w:val="21"/>
          <w:highlight w:val="none"/>
        </w:rPr>
        <w:t>确认设备运行可靠，功能齐全、各项指标及技术参数全部合格，对本工程项目无异议，即可开具最终验收证书。</w:t>
      </w:r>
    </w:p>
    <w:p w14:paraId="29BCD9C2">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若</w:t>
      </w:r>
      <w:r>
        <w:rPr>
          <w:rFonts w:hint="eastAsia" w:ascii="宋体" w:hAnsi="宋体" w:cs="宋体"/>
          <w:kern w:val="0"/>
          <w:sz w:val="21"/>
          <w:szCs w:val="21"/>
          <w:highlight w:val="none"/>
          <w:lang w:val="en-US" w:eastAsia="zh-CN"/>
        </w:rPr>
        <w:t>招标人</w:t>
      </w:r>
      <w:r>
        <w:rPr>
          <w:rFonts w:hint="eastAsia" w:ascii="宋体" w:hAnsi="宋体" w:eastAsia="宋体" w:cs="宋体"/>
          <w:kern w:val="0"/>
          <w:sz w:val="21"/>
          <w:szCs w:val="21"/>
          <w:highlight w:val="none"/>
        </w:rPr>
        <w:t>认为设备中出现的疏漏和错误不影响最终验收证书的签署，</w:t>
      </w:r>
      <w:r>
        <w:rPr>
          <w:rFonts w:hint="eastAsia" w:ascii="宋体" w:hAnsi="宋体" w:cs="宋体"/>
          <w:kern w:val="0"/>
          <w:sz w:val="21"/>
          <w:szCs w:val="21"/>
          <w:highlight w:val="none"/>
          <w:lang w:val="en-US" w:eastAsia="zh-CN"/>
        </w:rPr>
        <w:t>招标人</w:t>
      </w:r>
      <w:r>
        <w:rPr>
          <w:rFonts w:hint="eastAsia" w:ascii="宋体" w:hAnsi="宋体" w:eastAsia="宋体" w:cs="宋体"/>
          <w:kern w:val="0"/>
          <w:sz w:val="21"/>
          <w:szCs w:val="21"/>
          <w:highlight w:val="none"/>
        </w:rPr>
        <w:t>应签署最终验收证书并注明存在的疏漏和错误。</w:t>
      </w:r>
      <w:r>
        <w:rPr>
          <w:rFonts w:hint="eastAsia" w:ascii="宋体" w:hAnsi="宋体" w:cs="宋体"/>
          <w:kern w:val="0"/>
          <w:sz w:val="21"/>
          <w:szCs w:val="21"/>
          <w:highlight w:val="none"/>
          <w:lang w:val="en-US" w:eastAsia="zh-CN"/>
        </w:rPr>
        <w:t>中标人</w:t>
      </w:r>
      <w:r>
        <w:rPr>
          <w:rFonts w:hint="eastAsia" w:ascii="宋体" w:hAnsi="宋体" w:eastAsia="宋体" w:cs="宋体"/>
          <w:kern w:val="0"/>
          <w:sz w:val="21"/>
          <w:szCs w:val="21"/>
          <w:highlight w:val="none"/>
        </w:rPr>
        <w:t>应采取措施对存在的疏漏和错误(包括潜在的)进行修正，直至使</w:t>
      </w:r>
      <w:r>
        <w:rPr>
          <w:rFonts w:hint="eastAsia" w:ascii="宋体" w:hAnsi="宋体" w:cs="宋体"/>
          <w:kern w:val="0"/>
          <w:sz w:val="21"/>
          <w:szCs w:val="21"/>
          <w:highlight w:val="none"/>
          <w:lang w:val="en-US" w:eastAsia="zh-CN"/>
        </w:rPr>
        <w:t>招标人</w:t>
      </w:r>
      <w:r>
        <w:rPr>
          <w:rFonts w:hint="eastAsia" w:ascii="宋体" w:hAnsi="宋体" w:eastAsia="宋体" w:cs="宋体"/>
          <w:kern w:val="0"/>
          <w:sz w:val="21"/>
          <w:szCs w:val="21"/>
          <w:highlight w:val="none"/>
        </w:rPr>
        <w:t>满意为止。</w:t>
      </w:r>
    </w:p>
    <w:p w14:paraId="30F6CBBB">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在质量保证期内，</w:t>
      </w:r>
      <w:r>
        <w:rPr>
          <w:rFonts w:hint="eastAsia" w:ascii="宋体" w:hAnsi="宋体" w:cs="宋体"/>
          <w:kern w:val="0"/>
          <w:sz w:val="21"/>
          <w:szCs w:val="21"/>
          <w:highlight w:val="none"/>
          <w:lang w:val="en-US" w:eastAsia="zh-CN"/>
        </w:rPr>
        <w:t>中标人</w:t>
      </w:r>
      <w:r>
        <w:rPr>
          <w:rFonts w:hint="eastAsia" w:ascii="宋体" w:hAnsi="宋体" w:eastAsia="宋体" w:cs="宋体"/>
          <w:kern w:val="0"/>
          <w:sz w:val="21"/>
          <w:szCs w:val="21"/>
          <w:highlight w:val="none"/>
        </w:rPr>
        <w:t>所供设备和产品出现任何质量问题，</w:t>
      </w:r>
      <w:r>
        <w:rPr>
          <w:rFonts w:hint="eastAsia" w:ascii="宋体" w:hAnsi="宋体" w:cs="宋体"/>
          <w:kern w:val="0"/>
          <w:sz w:val="21"/>
          <w:szCs w:val="21"/>
          <w:highlight w:val="none"/>
          <w:lang w:val="en-US" w:eastAsia="zh-CN"/>
        </w:rPr>
        <w:t>中标人</w:t>
      </w:r>
      <w:r>
        <w:rPr>
          <w:rFonts w:hint="eastAsia" w:ascii="宋体" w:hAnsi="宋体" w:eastAsia="宋体" w:cs="宋体"/>
          <w:kern w:val="0"/>
          <w:sz w:val="21"/>
          <w:szCs w:val="21"/>
          <w:highlight w:val="none"/>
        </w:rPr>
        <w:t>将负责对故障设备或模块元件予以免费维修或更换。</w:t>
      </w:r>
    </w:p>
    <w:p w14:paraId="166227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宋体" w:hAnsi="宋体" w:eastAsia="宋体" w:cs="宋体"/>
          <w:b/>
          <w:bCs/>
          <w:kern w:val="0"/>
          <w:sz w:val="21"/>
          <w:szCs w:val="21"/>
          <w:highlight w:val="none"/>
          <w:lang w:val="en-US" w:eastAsia="zh-CN"/>
        </w:rPr>
      </w:pPr>
      <w:r>
        <w:rPr>
          <w:rFonts w:hint="eastAsia" w:ascii="宋体" w:hAnsi="宋体" w:eastAsia="宋体" w:cs="宋体"/>
          <w:b/>
          <w:bCs/>
          <w:kern w:val="0"/>
          <w:sz w:val="21"/>
          <w:szCs w:val="21"/>
          <w:highlight w:val="none"/>
          <w:lang w:val="en-US" w:eastAsia="zh-CN"/>
        </w:rPr>
        <w:t>九 质保期及后续服务</w:t>
      </w:r>
    </w:p>
    <w:p w14:paraId="297381A3">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9.1 质保期的服务</w:t>
      </w:r>
    </w:p>
    <w:p w14:paraId="3C6862FE">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9.1.1 质量保证期（以下简称“质保期”）从设备安装调试完毕并通过竣工验收之日开始计算。本项目质保期最少为</w:t>
      </w:r>
      <w:r>
        <w:rPr>
          <w:rFonts w:hint="eastAsia" w:ascii="宋体" w:hAnsi="宋体" w:eastAsia="宋体" w:cs="宋体"/>
          <w:kern w:val="0"/>
          <w:sz w:val="21"/>
          <w:szCs w:val="21"/>
          <w:highlight w:val="none"/>
          <w:lang w:val="en-US" w:eastAsia="zh-CN"/>
        </w:rPr>
        <w:t>一</w:t>
      </w:r>
      <w:r>
        <w:rPr>
          <w:rFonts w:hint="eastAsia" w:ascii="宋体" w:hAnsi="宋体" w:eastAsia="宋体" w:cs="宋体"/>
          <w:kern w:val="0"/>
          <w:sz w:val="21"/>
          <w:szCs w:val="21"/>
          <w:highlight w:val="none"/>
        </w:rPr>
        <w:t>年。</w:t>
      </w:r>
    </w:p>
    <w:p w14:paraId="5BCF4639">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9.1.2 在质保期内，</w:t>
      </w:r>
      <w:r>
        <w:rPr>
          <w:rFonts w:hint="eastAsia" w:ascii="宋体" w:hAnsi="宋体" w:cs="宋体"/>
          <w:kern w:val="0"/>
          <w:sz w:val="21"/>
          <w:szCs w:val="21"/>
          <w:highlight w:val="none"/>
          <w:lang w:val="en-US" w:eastAsia="zh-CN"/>
        </w:rPr>
        <w:t>中标人</w:t>
      </w:r>
      <w:r>
        <w:rPr>
          <w:rFonts w:hint="eastAsia" w:ascii="宋体" w:hAnsi="宋体" w:eastAsia="宋体" w:cs="宋体"/>
          <w:kern w:val="0"/>
          <w:sz w:val="21"/>
          <w:szCs w:val="21"/>
          <w:highlight w:val="none"/>
        </w:rPr>
        <w:t>将做到以下几点：</w:t>
      </w:r>
    </w:p>
    <w:p w14:paraId="4297759E">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9.1.2.</w:t>
      </w:r>
      <w:r>
        <w:rPr>
          <w:rFonts w:hint="eastAsia" w:ascii="宋体" w:hAnsi="宋体" w:eastAsia="宋体" w:cs="宋体"/>
          <w:kern w:val="0"/>
          <w:sz w:val="21"/>
          <w:szCs w:val="21"/>
          <w:highlight w:val="none"/>
          <w:lang w:val="en-US" w:eastAsia="zh-CN"/>
        </w:rPr>
        <w:t>1</w:t>
      </w:r>
      <w:r>
        <w:rPr>
          <w:rFonts w:hint="eastAsia" w:ascii="宋体" w:hAnsi="宋体" w:eastAsia="宋体" w:cs="宋体"/>
          <w:kern w:val="0"/>
          <w:sz w:val="21"/>
          <w:szCs w:val="21"/>
          <w:highlight w:val="none"/>
        </w:rPr>
        <w:t xml:space="preserve"> 继续</w:t>
      </w:r>
      <w:r>
        <w:rPr>
          <w:rFonts w:hint="eastAsia" w:ascii="宋体" w:hAnsi="宋体" w:eastAsia="宋体" w:cs="宋体"/>
          <w:kern w:val="0"/>
          <w:sz w:val="21"/>
          <w:szCs w:val="21"/>
          <w:highlight w:val="none"/>
          <w:lang w:eastAsia="zh-CN"/>
        </w:rPr>
        <w:t>记录</w:t>
      </w:r>
      <w:r>
        <w:rPr>
          <w:rFonts w:hint="eastAsia" w:ascii="宋体" w:hAnsi="宋体" w:eastAsia="宋体" w:cs="宋体"/>
          <w:kern w:val="0"/>
          <w:sz w:val="21"/>
          <w:szCs w:val="21"/>
          <w:highlight w:val="none"/>
        </w:rPr>
        <w:t>各子系统和设备运行的所有故障。</w:t>
      </w:r>
    </w:p>
    <w:p w14:paraId="3235C8FD">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9.1.2.</w:t>
      </w:r>
      <w:r>
        <w:rPr>
          <w:rFonts w:hint="eastAsia" w:ascii="宋体" w:hAnsi="宋体" w:eastAsia="宋体" w:cs="宋体"/>
          <w:kern w:val="0"/>
          <w:sz w:val="21"/>
          <w:szCs w:val="21"/>
          <w:highlight w:val="none"/>
          <w:lang w:val="en-US" w:eastAsia="zh-CN"/>
        </w:rPr>
        <w:t>2</w:t>
      </w:r>
      <w:r>
        <w:rPr>
          <w:rFonts w:hint="eastAsia" w:ascii="宋体" w:hAnsi="宋体" w:eastAsia="宋体" w:cs="宋体"/>
          <w:kern w:val="0"/>
          <w:sz w:val="21"/>
          <w:szCs w:val="21"/>
          <w:highlight w:val="none"/>
        </w:rPr>
        <w:t xml:space="preserve"> 对由</w:t>
      </w:r>
      <w:r>
        <w:rPr>
          <w:rFonts w:hint="eastAsia" w:ascii="宋体" w:hAnsi="宋体" w:cs="宋体"/>
          <w:kern w:val="0"/>
          <w:sz w:val="21"/>
          <w:szCs w:val="21"/>
          <w:highlight w:val="none"/>
          <w:lang w:val="en-US" w:eastAsia="zh-CN"/>
        </w:rPr>
        <w:t>中标人</w:t>
      </w:r>
      <w:r>
        <w:rPr>
          <w:rFonts w:hint="eastAsia" w:ascii="宋体" w:hAnsi="宋体" w:eastAsia="宋体" w:cs="宋体"/>
          <w:kern w:val="0"/>
          <w:sz w:val="21"/>
          <w:szCs w:val="21"/>
          <w:highlight w:val="none"/>
        </w:rPr>
        <w:t>原因引起或造成系统（或设备）故障或板卡等部件损坏，</w:t>
      </w:r>
      <w:r>
        <w:rPr>
          <w:rFonts w:hint="eastAsia" w:ascii="宋体" w:hAnsi="宋体" w:cs="宋体"/>
          <w:kern w:val="0"/>
          <w:sz w:val="21"/>
          <w:szCs w:val="21"/>
          <w:highlight w:val="none"/>
          <w:lang w:val="en-US" w:eastAsia="zh-CN"/>
        </w:rPr>
        <w:t>中标人</w:t>
      </w:r>
      <w:r>
        <w:rPr>
          <w:rFonts w:hint="eastAsia" w:ascii="宋体" w:hAnsi="宋体" w:eastAsia="宋体" w:cs="宋体"/>
          <w:kern w:val="0"/>
          <w:sz w:val="21"/>
          <w:szCs w:val="21"/>
          <w:highlight w:val="none"/>
        </w:rPr>
        <w:t>将免费修理或更换。修理的时间为：</w:t>
      </w:r>
      <w:r>
        <w:rPr>
          <w:rFonts w:hint="eastAsia" w:ascii="宋体" w:hAnsi="宋体" w:eastAsia="宋体" w:cs="宋体"/>
          <w:kern w:val="0"/>
          <w:sz w:val="21"/>
          <w:szCs w:val="21"/>
          <w:highlight w:val="none"/>
          <w:lang w:val="en-US" w:eastAsia="zh-CN"/>
        </w:rPr>
        <w:t>一</w:t>
      </w:r>
      <w:r>
        <w:rPr>
          <w:rFonts w:hint="eastAsia" w:ascii="宋体" w:hAnsi="宋体" w:eastAsia="宋体" w:cs="宋体"/>
          <w:kern w:val="0"/>
          <w:sz w:val="21"/>
          <w:szCs w:val="21"/>
          <w:highlight w:val="none"/>
        </w:rPr>
        <w:t>个月。如在规定时间未能完成，且无任何原因，</w:t>
      </w:r>
      <w:r>
        <w:rPr>
          <w:rFonts w:hint="eastAsia" w:ascii="宋体" w:hAnsi="宋体" w:cs="宋体"/>
          <w:kern w:val="0"/>
          <w:sz w:val="21"/>
          <w:szCs w:val="21"/>
          <w:highlight w:val="none"/>
          <w:lang w:val="en-US" w:eastAsia="zh-CN"/>
        </w:rPr>
        <w:t>招标人</w:t>
      </w:r>
      <w:r>
        <w:rPr>
          <w:rFonts w:hint="eastAsia" w:ascii="宋体" w:hAnsi="宋体" w:eastAsia="宋体" w:cs="宋体"/>
          <w:kern w:val="0"/>
          <w:sz w:val="21"/>
          <w:szCs w:val="21"/>
          <w:highlight w:val="none"/>
        </w:rPr>
        <w:t>将视情节根据合同相关条款对其进行经济处罚。</w:t>
      </w:r>
    </w:p>
    <w:p w14:paraId="59900007">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9.1.</w:t>
      </w:r>
      <w:r>
        <w:rPr>
          <w:rFonts w:hint="eastAsia" w:ascii="宋体" w:hAnsi="宋体" w:eastAsia="宋体" w:cs="宋体"/>
          <w:kern w:val="0"/>
          <w:sz w:val="21"/>
          <w:szCs w:val="21"/>
          <w:highlight w:val="none"/>
          <w:lang w:val="en-US" w:eastAsia="zh-CN"/>
        </w:rPr>
        <w:t>2</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3</w:t>
      </w:r>
      <w:r>
        <w:rPr>
          <w:rFonts w:hint="eastAsia" w:ascii="宋体" w:hAnsi="宋体" w:eastAsia="宋体" w:cs="宋体"/>
          <w:kern w:val="0"/>
          <w:sz w:val="21"/>
          <w:szCs w:val="21"/>
          <w:highlight w:val="none"/>
        </w:rPr>
        <w:t xml:space="preserve"> 对维修（或更换）后的设备，</w:t>
      </w:r>
      <w:r>
        <w:rPr>
          <w:rFonts w:hint="eastAsia" w:ascii="宋体" w:hAnsi="宋体" w:cs="宋体"/>
          <w:kern w:val="0"/>
          <w:sz w:val="21"/>
          <w:szCs w:val="21"/>
          <w:highlight w:val="none"/>
          <w:lang w:val="en-US" w:eastAsia="zh-CN"/>
        </w:rPr>
        <w:t>中标人</w:t>
      </w:r>
      <w:r>
        <w:rPr>
          <w:rFonts w:hint="eastAsia" w:ascii="宋体" w:hAnsi="宋体" w:eastAsia="宋体" w:cs="宋体"/>
          <w:kern w:val="0"/>
          <w:sz w:val="21"/>
          <w:szCs w:val="21"/>
          <w:highlight w:val="none"/>
        </w:rPr>
        <w:t>同时提供设备维修（或更换）书面报告。书面报告的内容包括但不限于以下内容：</w:t>
      </w:r>
    </w:p>
    <w:p w14:paraId="3D7F9C68">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（1）故障报告人（</w:t>
      </w:r>
      <w:r>
        <w:rPr>
          <w:rFonts w:hint="eastAsia" w:ascii="宋体" w:hAnsi="宋体" w:cs="宋体"/>
          <w:kern w:val="0"/>
          <w:sz w:val="21"/>
          <w:szCs w:val="21"/>
          <w:highlight w:val="none"/>
          <w:lang w:val="en-US" w:eastAsia="zh-CN"/>
        </w:rPr>
        <w:t>招标人</w:t>
      </w:r>
      <w:r>
        <w:rPr>
          <w:rFonts w:hint="eastAsia" w:ascii="宋体" w:hAnsi="宋体" w:eastAsia="宋体" w:cs="宋体"/>
          <w:kern w:val="0"/>
          <w:sz w:val="21"/>
          <w:szCs w:val="21"/>
          <w:highlight w:val="none"/>
        </w:rPr>
        <w:t>）；</w:t>
      </w:r>
    </w:p>
    <w:p w14:paraId="2A60F700">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（2）故障受理人（</w:t>
      </w:r>
      <w:r>
        <w:rPr>
          <w:rFonts w:hint="eastAsia" w:ascii="宋体" w:hAnsi="宋体" w:cs="宋体"/>
          <w:kern w:val="0"/>
          <w:sz w:val="21"/>
          <w:szCs w:val="21"/>
          <w:highlight w:val="none"/>
          <w:lang w:val="en-US" w:eastAsia="zh-CN"/>
        </w:rPr>
        <w:t>中标人</w:t>
      </w:r>
      <w:r>
        <w:rPr>
          <w:rFonts w:hint="eastAsia" w:ascii="宋体" w:hAnsi="宋体" w:eastAsia="宋体" w:cs="宋体"/>
          <w:kern w:val="0"/>
          <w:sz w:val="21"/>
          <w:szCs w:val="21"/>
          <w:highlight w:val="none"/>
        </w:rPr>
        <w:t>）；</w:t>
      </w:r>
    </w:p>
    <w:p w14:paraId="5BF05F80">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（3）故障发生时间；</w:t>
      </w:r>
    </w:p>
    <w:p w14:paraId="53E9C9C8">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（4）故障现象；</w:t>
      </w:r>
    </w:p>
    <w:p w14:paraId="6ABAAAD0">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（5）故障产生的原因；</w:t>
      </w:r>
    </w:p>
    <w:p w14:paraId="33718B7F">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（6）处理、解决办法；</w:t>
      </w:r>
    </w:p>
    <w:p w14:paraId="21DB687B">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（7）故障修复时间；</w:t>
      </w:r>
    </w:p>
    <w:p w14:paraId="2B48340B">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（8）处理人签名。</w:t>
      </w:r>
    </w:p>
    <w:p w14:paraId="08B02054">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9.1.</w:t>
      </w:r>
      <w:r>
        <w:rPr>
          <w:rFonts w:hint="eastAsia" w:ascii="宋体" w:hAnsi="宋体" w:eastAsia="宋体" w:cs="宋体"/>
          <w:kern w:val="0"/>
          <w:sz w:val="21"/>
          <w:szCs w:val="21"/>
          <w:highlight w:val="none"/>
          <w:lang w:val="en-US" w:eastAsia="zh-CN"/>
        </w:rPr>
        <w:t>2</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4</w:t>
      </w:r>
      <w:r>
        <w:rPr>
          <w:rFonts w:hint="eastAsia" w:ascii="宋体" w:hAnsi="宋体" w:eastAsia="宋体" w:cs="宋体"/>
          <w:kern w:val="0"/>
          <w:sz w:val="21"/>
          <w:szCs w:val="21"/>
          <w:highlight w:val="none"/>
        </w:rPr>
        <w:t xml:space="preserve"> 对所提供的设备实行“三包”。既包修、包换、包退。</w:t>
      </w:r>
    </w:p>
    <w:p w14:paraId="5C78A1A0">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9.1.</w:t>
      </w:r>
      <w:r>
        <w:rPr>
          <w:rFonts w:hint="eastAsia" w:ascii="宋体" w:hAnsi="宋体" w:eastAsia="宋体" w:cs="宋体"/>
          <w:kern w:val="0"/>
          <w:sz w:val="21"/>
          <w:szCs w:val="21"/>
          <w:highlight w:val="none"/>
          <w:lang w:val="en-US" w:eastAsia="zh-CN"/>
        </w:rPr>
        <w:t>2</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5</w:t>
      </w:r>
      <w:r>
        <w:rPr>
          <w:rFonts w:hint="eastAsia" w:ascii="宋体" w:hAnsi="宋体" w:eastAsia="宋体" w:cs="宋体"/>
          <w:kern w:val="0"/>
          <w:sz w:val="21"/>
          <w:szCs w:val="21"/>
          <w:highlight w:val="none"/>
        </w:rPr>
        <w:t xml:space="preserve"> 对所提供的设备免费提供日常维护服务、排除故障及抢修服务、软件升级服务。</w:t>
      </w:r>
    </w:p>
    <w:p w14:paraId="56D68BEA">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9.1.</w:t>
      </w:r>
      <w:r>
        <w:rPr>
          <w:rFonts w:hint="eastAsia" w:ascii="宋体" w:hAnsi="宋体" w:eastAsia="宋体" w:cs="宋体"/>
          <w:kern w:val="0"/>
          <w:sz w:val="21"/>
          <w:szCs w:val="21"/>
          <w:highlight w:val="none"/>
          <w:lang w:val="en-US" w:eastAsia="zh-CN"/>
        </w:rPr>
        <w:t>2.6</w:t>
      </w:r>
      <w:r>
        <w:rPr>
          <w:rFonts w:hint="eastAsia" w:ascii="宋体" w:hAnsi="宋体" w:eastAsia="宋体" w:cs="宋体"/>
          <w:kern w:val="0"/>
          <w:sz w:val="21"/>
          <w:szCs w:val="21"/>
          <w:highlight w:val="none"/>
        </w:rPr>
        <w:t xml:space="preserve"> 如果发生故障的设备或材料需要更换或修理，在修理期间</w:t>
      </w:r>
      <w:r>
        <w:rPr>
          <w:rFonts w:hint="eastAsia" w:ascii="宋体" w:hAnsi="宋体" w:cs="宋体"/>
          <w:kern w:val="0"/>
          <w:sz w:val="21"/>
          <w:szCs w:val="21"/>
          <w:highlight w:val="none"/>
          <w:lang w:eastAsia="zh-CN"/>
        </w:rPr>
        <w:t>可以</w:t>
      </w:r>
      <w:r>
        <w:rPr>
          <w:rFonts w:hint="eastAsia" w:ascii="宋体" w:hAnsi="宋体" w:eastAsia="宋体" w:cs="宋体"/>
          <w:kern w:val="0"/>
          <w:sz w:val="21"/>
          <w:szCs w:val="21"/>
          <w:highlight w:val="none"/>
        </w:rPr>
        <w:t>使用</w:t>
      </w:r>
      <w:r>
        <w:rPr>
          <w:rFonts w:hint="eastAsia" w:ascii="宋体" w:hAnsi="宋体" w:cs="宋体"/>
          <w:kern w:val="0"/>
          <w:sz w:val="21"/>
          <w:szCs w:val="21"/>
          <w:highlight w:val="none"/>
          <w:lang w:val="en-US" w:eastAsia="zh-CN"/>
        </w:rPr>
        <w:t>招标人</w:t>
      </w:r>
      <w:r>
        <w:rPr>
          <w:rFonts w:hint="eastAsia" w:ascii="宋体" w:hAnsi="宋体" w:eastAsia="宋体" w:cs="宋体"/>
          <w:kern w:val="0"/>
          <w:sz w:val="21"/>
          <w:szCs w:val="21"/>
          <w:highlight w:val="none"/>
        </w:rPr>
        <w:t>的备件，但</w:t>
      </w:r>
      <w:r>
        <w:rPr>
          <w:rFonts w:hint="eastAsia" w:ascii="宋体" w:hAnsi="宋体" w:cs="宋体"/>
          <w:kern w:val="0"/>
          <w:sz w:val="21"/>
          <w:szCs w:val="21"/>
          <w:highlight w:val="none"/>
          <w:lang w:val="en-US" w:eastAsia="zh-CN"/>
        </w:rPr>
        <w:t>中标人</w:t>
      </w:r>
      <w:r>
        <w:rPr>
          <w:rFonts w:hint="eastAsia" w:ascii="宋体" w:hAnsi="宋体" w:eastAsia="宋体" w:cs="宋体"/>
          <w:kern w:val="0"/>
          <w:sz w:val="21"/>
          <w:szCs w:val="21"/>
          <w:highlight w:val="none"/>
        </w:rPr>
        <w:t>必须购买全新的替换件提供给</w:t>
      </w:r>
      <w:r>
        <w:rPr>
          <w:rFonts w:hint="eastAsia" w:ascii="宋体" w:hAnsi="宋体" w:cs="宋体"/>
          <w:kern w:val="0"/>
          <w:sz w:val="21"/>
          <w:szCs w:val="21"/>
          <w:highlight w:val="none"/>
          <w:lang w:val="en-US" w:eastAsia="zh-CN"/>
        </w:rPr>
        <w:t>招标人</w:t>
      </w:r>
      <w:r>
        <w:rPr>
          <w:rFonts w:hint="eastAsia" w:ascii="宋体" w:hAnsi="宋体" w:eastAsia="宋体" w:cs="宋体"/>
          <w:kern w:val="0"/>
          <w:sz w:val="21"/>
          <w:szCs w:val="21"/>
          <w:highlight w:val="none"/>
        </w:rPr>
        <w:t>。</w:t>
      </w:r>
    </w:p>
    <w:p w14:paraId="0822FDD7">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9.1.</w:t>
      </w:r>
      <w:r>
        <w:rPr>
          <w:rFonts w:hint="eastAsia" w:ascii="宋体" w:hAnsi="宋体" w:eastAsia="宋体" w:cs="宋体"/>
          <w:kern w:val="0"/>
          <w:sz w:val="21"/>
          <w:szCs w:val="21"/>
          <w:highlight w:val="none"/>
          <w:lang w:val="en-US" w:eastAsia="zh-CN"/>
        </w:rPr>
        <w:t>2.7</w:t>
      </w:r>
      <w:r>
        <w:rPr>
          <w:rFonts w:hint="eastAsia" w:ascii="宋体" w:hAnsi="宋体" w:eastAsia="宋体" w:cs="宋体"/>
          <w:kern w:val="0"/>
          <w:sz w:val="21"/>
          <w:szCs w:val="21"/>
          <w:highlight w:val="none"/>
        </w:rPr>
        <w:t>如果</w:t>
      </w:r>
      <w:r>
        <w:rPr>
          <w:rFonts w:hint="eastAsia" w:ascii="宋体" w:hAnsi="宋体" w:cs="宋体"/>
          <w:kern w:val="0"/>
          <w:sz w:val="21"/>
          <w:szCs w:val="21"/>
          <w:highlight w:val="none"/>
          <w:lang w:val="en-US" w:eastAsia="zh-CN"/>
        </w:rPr>
        <w:t>中标人</w:t>
      </w:r>
      <w:r>
        <w:rPr>
          <w:rFonts w:hint="eastAsia" w:ascii="宋体" w:hAnsi="宋体" w:eastAsia="宋体" w:cs="宋体"/>
          <w:kern w:val="0"/>
          <w:sz w:val="21"/>
          <w:szCs w:val="21"/>
          <w:highlight w:val="none"/>
        </w:rPr>
        <w:t>提供的设备出现的故障在质保期内未能解决，</w:t>
      </w:r>
      <w:r>
        <w:rPr>
          <w:rFonts w:hint="eastAsia" w:ascii="宋体" w:hAnsi="宋体" w:cs="宋体"/>
          <w:kern w:val="0"/>
          <w:sz w:val="21"/>
          <w:szCs w:val="21"/>
          <w:highlight w:val="none"/>
          <w:lang w:val="en-US" w:eastAsia="zh-CN"/>
        </w:rPr>
        <w:t>中标人</w:t>
      </w:r>
      <w:r>
        <w:rPr>
          <w:rFonts w:hint="eastAsia" w:ascii="宋体" w:hAnsi="宋体" w:eastAsia="宋体" w:cs="宋体"/>
          <w:kern w:val="0"/>
          <w:sz w:val="21"/>
          <w:szCs w:val="21"/>
          <w:highlight w:val="none"/>
        </w:rPr>
        <w:t>将不受质保期制约无条件负责直至故障解决。</w:t>
      </w:r>
    </w:p>
    <w:p w14:paraId="4B8830FD">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9.2 质保期责任</w:t>
      </w:r>
    </w:p>
    <w:p w14:paraId="7B3FD464">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9.2.1 在质保期内，由</w:t>
      </w:r>
      <w:r>
        <w:rPr>
          <w:rFonts w:hint="eastAsia" w:ascii="宋体" w:hAnsi="宋体" w:cs="宋体"/>
          <w:kern w:val="0"/>
          <w:sz w:val="21"/>
          <w:szCs w:val="21"/>
          <w:highlight w:val="none"/>
          <w:lang w:val="en-US" w:eastAsia="zh-CN"/>
        </w:rPr>
        <w:t>中标人</w:t>
      </w:r>
      <w:r>
        <w:rPr>
          <w:rFonts w:hint="eastAsia" w:ascii="宋体" w:hAnsi="宋体" w:eastAsia="宋体" w:cs="宋体"/>
          <w:kern w:val="0"/>
          <w:sz w:val="21"/>
          <w:szCs w:val="21"/>
          <w:highlight w:val="none"/>
        </w:rPr>
        <w:t>完成任何扫尾工作或履行质保期服务义务所致，或由发生在最终验收日期之前任何</w:t>
      </w:r>
      <w:r>
        <w:rPr>
          <w:rFonts w:hint="eastAsia" w:ascii="宋体" w:hAnsi="宋体" w:cs="宋体"/>
          <w:kern w:val="0"/>
          <w:sz w:val="21"/>
          <w:szCs w:val="21"/>
          <w:highlight w:val="none"/>
          <w:lang w:val="en-US" w:eastAsia="zh-CN"/>
        </w:rPr>
        <w:t>中标人</w:t>
      </w:r>
      <w:r>
        <w:rPr>
          <w:rFonts w:hint="eastAsia" w:ascii="宋体" w:hAnsi="宋体" w:eastAsia="宋体" w:cs="宋体"/>
          <w:kern w:val="0"/>
          <w:sz w:val="21"/>
          <w:szCs w:val="21"/>
          <w:highlight w:val="none"/>
        </w:rPr>
        <w:t>的风险所致的原因引起的任何损失或损害投保所需的全部保险</w:t>
      </w:r>
      <w:r>
        <w:rPr>
          <w:rFonts w:hint="eastAsia" w:ascii="宋体" w:hAnsi="宋体" w:eastAsia="宋体" w:cs="宋体"/>
          <w:kern w:val="0"/>
          <w:sz w:val="21"/>
          <w:szCs w:val="21"/>
          <w:highlight w:val="none"/>
          <w:lang w:eastAsia="zh-CN"/>
        </w:rPr>
        <w:t>费用</w:t>
      </w:r>
      <w:r>
        <w:rPr>
          <w:rFonts w:hint="eastAsia" w:ascii="宋体" w:hAnsi="宋体" w:eastAsia="宋体" w:cs="宋体"/>
          <w:kern w:val="0"/>
          <w:sz w:val="21"/>
          <w:szCs w:val="21"/>
          <w:highlight w:val="none"/>
        </w:rPr>
        <w:t>均由</w:t>
      </w:r>
      <w:r>
        <w:rPr>
          <w:rFonts w:hint="eastAsia" w:ascii="宋体" w:hAnsi="宋体" w:cs="宋体"/>
          <w:kern w:val="0"/>
          <w:sz w:val="21"/>
          <w:szCs w:val="21"/>
          <w:highlight w:val="none"/>
          <w:lang w:val="en-US" w:eastAsia="zh-CN"/>
        </w:rPr>
        <w:t>中标人</w:t>
      </w:r>
      <w:r>
        <w:rPr>
          <w:rFonts w:hint="eastAsia" w:ascii="宋体" w:hAnsi="宋体" w:eastAsia="宋体" w:cs="宋体"/>
          <w:kern w:val="0"/>
          <w:sz w:val="21"/>
          <w:szCs w:val="21"/>
          <w:highlight w:val="none"/>
        </w:rPr>
        <w:t>支付。</w:t>
      </w:r>
    </w:p>
    <w:p w14:paraId="717FAE10">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9.2.2 在质保期内，</w:t>
      </w:r>
      <w:r>
        <w:rPr>
          <w:rFonts w:hint="eastAsia" w:ascii="宋体" w:hAnsi="宋体" w:cs="宋体"/>
          <w:kern w:val="0"/>
          <w:sz w:val="21"/>
          <w:szCs w:val="21"/>
          <w:highlight w:val="none"/>
          <w:lang w:val="en-US" w:eastAsia="zh-CN"/>
        </w:rPr>
        <w:t>中标人</w:t>
      </w:r>
      <w:r>
        <w:rPr>
          <w:rFonts w:hint="eastAsia" w:ascii="宋体" w:hAnsi="宋体" w:eastAsia="宋体" w:cs="宋体"/>
          <w:kern w:val="0"/>
          <w:sz w:val="21"/>
          <w:szCs w:val="21"/>
          <w:highlight w:val="none"/>
        </w:rPr>
        <w:t>应在</w:t>
      </w:r>
      <w:r>
        <w:rPr>
          <w:rFonts w:hint="eastAsia" w:ascii="宋体" w:hAnsi="宋体" w:eastAsia="宋体" w:cs="宋体"/>
          <w:kern w:val="0"/>
          <w:sz w:val="21"/>
          <w:szCs w:val="21"/>
          <w:highlight w:val="none"/>
          <w:lang w:val="en-US" w:eastAsia="zh-CN"/>
        </w:rPr>
        <w:t>本项目地</w:t>
      </w:r>
      <w:r>
        <w:rPr>
          <w:rFonts w:hint="eastAsia" w:ascii="宋体" w:hAnsi="宋体" w:eastAsia="宋体" w:cs="宋体"/>
          <w:kern w:val="0"/>
          <w:sz w:val="21"/>
          <w:szCs w:val="21"/>
          <w:highlight w:val="none"/>
        </w:rPr>
        <w:t>设置专职售后服务人员，对与设备有关的各类问题要及时回复。</w:t>
      </w:r>
    </w:p>
    <w:p w14:paraId="14F84025">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9.2.3 在质保期内，</w:t>
      </w:r>
      <w:r>
        <w:rPr>
          <w:rFonts w:hint="eastAsia" w:ascii="宋体" w:hAnsi="宋体" w:cs="宋体"/>
          <w:kern w:val="0"/>
          <w:sz w:val="21"/>
          <w:szCs w:val="21"/>
          <w:highlight w:val="none"/>
          <w:lang w:val="en-US" w:eastAsia="zh-CN"/>
        </w:rPr>
        <w:t>中标人</w:t>
      </w:r>
      <w:r>
        <w:rPr>
          <w:rFonts w:hint="eastAsia" w:ascii="宋体" w:hAnsi="宋体" w:eastAsia="宋体" w:cs="宋体"/>
          <w:kern w:val="0"/>
          <w:sz w:val="21"/>
          <w:szCs w:val="21"/>
          <w:highlight w:val="none"/>
        </w:rPr>
        <w:t>应现场指导技术人员对设备进行养护与维修。</w:t>
      </w:r>
    </w:p>
    <w:p w14:paraId="67B44FED">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9.3 质保期后服务</w:t>
      </w:r>
    </w:p>
    <w:p w14:paraId="129C70BB">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9.3.1 </w:t>
      </w:r>
      <w:r>
        <w:rPr>
          <w:rFonts w:hint="eastAsia" w:ascii="宋体" w:hAnsi="宋体" w:cs="宋体"/>
          <w:kern w:val="0"/>
          <w:sz w:val="21"/>
          <w:szCs w:val="21"/>
          <w:highlight w:val="none"/>
          <w:lang w:val="en-US" w:eastAsia="zh-CN"/>
        </w:rPr>
        <w:t>中标人</w:t>
      </w:r>
      <w:r>
        <w:rPr>
          <w:rFonts w:hint="eastAsia" w:ascii="宋体" w:hAnsi="宋体" w:eastAsia="宋体" w:cs="宋体"/>
          <w:kern w:val="0"/>
          <w:sz w:val="21"/>
          <w:szCs w:val="21"/>
          <w:highlight w:val="none"/>
        </w:rPr>
        <w:t>应经常性地进行多种方式的巡检（例如电话），随时了解设备运行情况；定期安排专职技术人员对设备进行现场巡检，并根据需要对设备的主要技术指标进行测试，保证设备的固有性能，同时提供设备检查测试报告，签字确认。</w:t>
      </w:r>
    </w:p>
    <w:p w14:paraId="0AD307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宋体" w:hAnsi="宋体" w:eastAsia="宋体" w:cs="宋体"/>
          <w:b/>
          <w:bCs/>
          <w:kern w:val="0"/>
          <w:sz w:val="21"/>
          <w:szCs w:val="21"/>
          <w:highlight w:val="none"/>
          <w:lang w:val="en-US" w:eastAsia="zh-CN"/>
        </w:rPr>
      </w:pPr>
      <w:r>
        <w:rPr>
          <w:rFonts w:hint="eastAsia" w:ascii="宋体" w:hAnsi="宋体" w:eastAsia="宋体" w:cs="宋体"/>
          <w:b/>
          <w:bCs/>
          <w:kern w:val="0"/>
          <w:sz w:val="21"/>
          <w:szCs w:val="21"/>
          <w:highlight w:val="none"/>
          <w:lang w:val="en-US" w:eastAsia="zh-CN"/>
        </w:rPr>
        <w:t>十、施工作业要求</w:t>
      </w:r>
    </w:p>
    <w:p w14:paraId="5175904E">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10.1 施工工艺要求</w:t>
      </w:r>
    </w:p>
    <w:p w14:paraId="2F550C4B">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10.1.1 施工场地与条件</w:t>
      </w:r>
    </w:p>
    <w:p w14:paraId="10ACB427">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cs="宋体"/>
          <w:kern w:val="0"/>
          <w:sz w:val="21"/>
          <w:szCs w:val="21"/>
          <w:highlight w:val="none"/>
          <w:lang w:val="en-US" w:eastAsia="zh-CN"/>
        </w:rPr>
        <w:t>中标人</w:t>
      </w:r>
      <w:r>
        <w:rPr>
          <w:rFonts w:hint="eastAsia" w:ascii="宋体" w:hAnsi="宋体" w:eastAsia="宋体" w:cs="宋体"/>
          <w:kern w:val="0"/>
          <w:sz w:val="21"/>
          <w:szCs w:val="21"/>
          <w:highlight w:val="none"/>
        </w:rPr>
        <w:t>全面负责施工范围内的现场施工管理，对施工场地内的用水、用电、施工现场的安全与卫生、场地内的施工协调负有全面的管理责任。</w:t>
      </w:r>
    </w:p>
    <w:p w14:paraId="137CD673">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10.1.2 施工准备</w:t>
      </w:r>
    </w:p>
    <w:p w14:paraId="0D555996">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10.1.2.1 </w:t>
      </w:r>
      <w:r>
        <w:rPr>
          <w:rFonts w:hint="eastAsia" w:ascii="宋体" w:hAnsi="宋体" w:cs="宋体"/>
          <w:kern w:val="0"/>
          <w:sz w:val="21"/>
          <w:szCs w:val="21"/>
          <w:highlight w:val="none"/>
          <w:lang w:val="en-US" w:eastAsia="zh-CN"/>
        </w:rPr>
        <w:t>中标人</w:t>
      </w:r>
      <w:r>
        <w:rPr>
          <w:rFonts w:hint="eastAsia" w:ascii="宋体" w:hAnsi="宋体" w:eastAsia="宋体" w:cs="宋体"/>
          <w:kern w:val="0"/>
          <w:sz w:val="21"/>
          <w:szCs w:val="21"/>
          <w:highlight w:val="none"/>
        </w:rPr>
        <w:t>充分考虑本工程的特点，包括工期要求和施工时的相互干扰等，提出切实可行的施工方法和施工组织方案。</w:t>
      </w:r>
    </w:p>
    <w:p w14:paraId="0252A5FB">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10.1.2.2 认真</w:t>
      </w:r>
      <w:r>
        <w:rPr>
          <w:rFonts w:hint="eastAsia" w:ascii="宋体" w:hAnsi="宋体" w:eastAsia="宋体" w:cs="宋体"/>
          <w:kern w:val="0"/>
          <w:sz w:val="21"/>
          <w:szCs w:val="21"/>
          <w:highlight w:val="none"/>
          <w:lang w:eastAsia="zh-CN"/>
        </w:rPr>
        <w:t>做好</w:t>
      </w:r>
      <w:r>
        <w:rPr>
          <w:rFonts w:hint="eastAsia" w:ascii="宋体" w:hAnsi="宋体" w:eastAsia="宋体" w:cs="宋体"/>
          <w:kern w:val="0"/>
          <w:sz w:val="21"/>
          <w:szCs w:val="21"/>
          <w:highlight w:val="none"/>
        </w:rPr>
        <w:t>施工图交底工作。</w:t>
      </w:r>
      <w:r>
        <w:rPr>
          <w:rFonts w:hint="eastAsia" w:ascii="宋体" w:hAnsi="宋体" w:cs="宋体"/>
          <w:kern w:val="0"/>
          <w:sz w:val="21"/>
          <w:szCs w:val="21"/>
          <w:highlight w:val="none"/>
          <w:lang w:val="en-US" w:eastAsia="zh-CN"/>
        </w:rPr>
        <w:t>中标人</w:t>
      </w:r>
      <w:r>
        <w:rPr>
          <w:rFonts w:hint="eastAsia" w:ascii="宋体" w:hAnsi="宋体" w:eastAsia="宋体" w:cs="宋体"/>
          <w:kern w:val="0"/>
          <w:sz w:val="21"/>
          <w:szCs w:val="21"/>
          <w:highlight w:val="none"/>
        </w:rPr>
        <w:t>根据</w:t>
      </w:r>
      <w:r>
        <w:rPr>
          <w:rFonts w:hint="eastAsia" w:ascii="宋体" w:hAnsi="宋体" w:eastAsia="宋体" w:cs="宋体"/>
          <w:kern w:val="0"/>
          <w:sz w:val="21"/>
          <w:szCs w:val="21"/>
          <w:highlight w:val="none"/>
          <w:lang w:val="en-US" w:eastAsia="zh-CN"/>
        </w:rPr>
        <w:t>招标人</w:t>
      </w:r>
      <w:r>
        <w:rPr>
          <w:rFonts w:hint="eastAsia" w:ascii="宋体" w:hAnsi="宋体" w:eastAsia="宋体" w:cs="宋体"/>
          <w:kern w:val="0"/>
          <w:sz w:val="21"/>
          <w:szCs w:val="21"/>
          <w:highlight w:val="none"/>
        </w:rPr>
        <w:t>要求做好施工图设计，负责施工图的细化工作。</w:t>
      </w:r>
    </w:p>
    <w:p w14:paraId="128EB112">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10.1.2.3 </w:t>
      </w:r>
      <w:r>
        <w:rPr>
          <w:rFonts w:hint="eastAsia" w:ascii="宋体" w:hAnsi="宋体" w:cs="宋体"/>
          <w:kern w:val="0"/>
          <w:sz w:val="21"/>
          <w:szCs w:val="21"/>
          <w:highlight w:val="none"/>
          <w:lang w:val="en-US" w:eastAsia="zh-CN"/>
        </w:rPr>
        <w:t>中标人</w:t>
      </w:r>
      <w:r>
        <w:rPr>
          <w:rFonts w:hint="eastAsia" w:ascii="宋体" w:hAnsi="宋体" w:eastAsia="宋体" w:cs="宋体"/>
          <w:kern w:val="0"/>
          <w:sz w:val="21"/>
          <w:szCs w:val="21"/>
          <w:highlight w:val="none"/>
        </w:rPr>
        <w:t>在开工前派出技术人员，根据</w:t>
      </w:r>
      <w:r>
        <w:rPr>
          <w:rFonts w:hint="eastAsia" w:ascii="宋体" w:hAnsi="宋体" w:eastAsia="宋体" w:cs="宋体"/>
          <w:kern w:val="0"/>
          <w:sz w:val="21"/>
          <w:szCs w:val="21"/>
          <w:highlight w:val="none"/>
          <w:lang w:val="en-US" w:eastAsia="zh-CN"/>
        </w:rPr>
        <w:t>招标人</w:t>
      </w:r>
      <w:r>
        <w:rPr>
          <w:rFonts w:hint="eastAsia" w:ascii="宋体" w:hAnsi="宋体" w:eastAsia="宋体" w:cs="宋体"/>
          <w:kern w:val="0"/>
          <w:sz w:val="21"/>
          <w:szCs w:val="21"/>
          <w:highlight w:val="none"/>
        </w:rPr>
        <w:t>的要求进行现场勘测。</w:t>
      </w:r>
    </w:p>
    <w:p w14:paraId="2C13456D">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10.1.2.4 编制施工组织方案，并与其他设备与建筑装修工作相协调。</w:t>
      </w:r>
    </w:p>
    <w:p w14:paraId="1AF1290F">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10.1.2.5 由</w:t>
      </w:r>
      <w:r>
        <w:rPr>
          <w:rFonts w:hint="eastAsia" w:ascii="宋体" w:hAnsi="宋体" w:cs="宋体"/>
          <w:kern w:val="0"/>
          <w:sz w:val="21"/>
          <w:szCs w:val="21"/>
          <w:highlight w:val="none"/>
          <w:lang w:val="en-US" w:eastAsia="zh-CN"/>
        </w:rPr>
        <w:t>中标人</w:t>
      </w:r>
      <w:r>
        <w:rPr>
          <w:rFonts w:hint="eastAsia" w:ascii="宋体" w:hAnsi="宋体" w:eastAsia="宋体" w:cs="宋体"/>
          <w:kern w:val="0"/>
          <w:sz w:val="21"/>
          <w:szCs w:val="21"/>
          <w:highlight w:val="none"/>
        </w:rPr>
        <w:t>负责所有货物的仓储，工程完毕后向</w:t>
      </w:r>
      <w:r>
        <w:rPr>
          <w:rFonts w:hint="eastAsia" w:ascii="宋体" w:hAnsi="宋体" w:eastAsia="宋体" w:cs="宋体"/>
          <w:kern w:val="0"/>
          <w:sz w:val="21"/>
          <w:szCs w:val="21"/>
          <w:highlight w:val="none"/>
          <w:lang w:val="en-US" w:eastAsia="zh-CN"/>
        </w:rPr>
        <w:t>招标人</w:t>
      </w:r>
      <w:r>
        <w:rPr>
          <w:rFonts w:hint="eastAsia" w:ascii="宋体" w:hAnsi="宋体" w:eastAsia="宋体" w:cs="宋体"/>
          <w:kern w:val="0"/>
          <w:sz w:val="21"/>
          <w:szCs w:val="21"/>
          <w:highlight w:val="none"/>
        </w:rPr>
        <w:t>进行交接。</w:t>
      </w:r>
    </w:p>
    <w:p w14:paraId="464D546D">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10.1.3 开工准备</w:t>
      </w:r>
    </w:p>
    <w:p w14:paraId="49AFBBE7">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为保证工程顺利实施，正式开工前必须具备下列条件：</w:t>
      </w:r>
    </w:p>
    <w:p w14:paraId="6C434AE0">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10.1.3.1 </w:t>
      </w:r>
      <w:r>
        <w:rPr>
          <w:rFonts w:hint="eastAsia" w:ascii="宋体" w:hAnsi="宋体" w:cs="宋体"/>
          <w:kern w:val="0"/>
          <w:sz w:val="21"/>
          <w:szCs w:val="21"/>
          <w:highlight w:val="none"/>
          <w:lang w:val="en-US" w:eastAsia="zh-CN"/>
        </w:rPr>
        <w:t>中标人</w:t>
      </w:r>
      <w:r>
        <w:rPr>
          <w:rFonts w:hint="eastAsia" w:ascii="宋体" w:hAnsi="宋体" w:eastAsia="宋体" w:cs="宋体"/>
          <w:kern w:val="0"/>
          <w:sz w:val="21"/>
          <w:szCs w:val="21"/>
          <w:highlight w:val="none"/>
        </w:rPr>
        <w:t>在开工前应组织施工调查，并根据合同做好施工组织工作，提出施工组织计划以及质量保证措施。</w:t>
      </w:r>
    </w:p>
    <w:p w14:paraId="0B520E08">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10.1.3.2 安装验收规范书</w:t>
      </w:r>
    </w:p>
    <w:p w14:paraId="141B98DF">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cs="宋体"/>
          <w:kern w:val="0"/>
          <w:sz w:val="21"/>
          <w:szCs w:val="21"/>
          <w:highlight w:val="none"/>
          <w:lang w:val="en-US" w:eastAsia="zh-CN"/>
        </w:rPr>
        <w:t>中标人</w:t>
      </w:r>
      <w:r>
        <w:rPr>
          <w:rFonts w:hint="eastAsia" w:ascii="宋体" w:hAnsi="宋体" w:eastAsia="宋体" w:cs="宋体"/>
          <w:kern w:val="0"/>
          <w:sz w:val="21"/>
          <w:szCs w:val="21"/>
          <w:highlight w:val="none"/>
        </w:rPr>
        <w:t>在工程进行安装前2周向</w:t>
      </w:r>
      <w:r>
        <w:rPr>
          <w:rFonts w:hint="eastAsia" w:ascii="宋体" w:hAnsi="宋体" w:eastAsia="宋体" w:cs="宋体"/>
          <w:kern w:val="0"/>
          <w:sz w:val="21"/>
          <w:szCs w:val="21"/>
          <w:highlight w:val="none"/>
          <w:lang w:val="en-US" w:eastAsia="zh-CN"/>
        </w:rPr>
        <w:t>招标人</w:t>
      </w:r>
      <w:r>
        <w:rPr>
          <w:rFonts w:hint="eastAsia" w:ascii="宋体" w:hAnsi="宋体" w:eastAsia="宋体" w:cs="宋体"/>
          <w:kern w:val="0"/>
          <w:sz w:val="21"/>
          <w:szCs w:val="21"/>
          <w:highlight w:val="none"/>
        </w:rPr>
        <w:t>提供安装工程规范（包括验收工程、标准、方法以及对不合格工程的修理和替换的规定等），经</w:t>
      </w:r>
      <w:r>
        <w:rPr>
          <w:rFonts w:hint="eastAsia" w:ascii="宋体" w:hAnsi="宋体" w:eastAsia="宋体" w:cs="宋体"/>
          <w:kern w:val="0"/>
          <w:sz w:val="21"/>
          <w:szCs w:val="21"/>
          <w:highlight w:val="none"/>
          <w:lang w:val="en-US" w:eastAsia="zh-CN"/>
        </w:rPr>
        <w:t>招标人</w:t>
      </w:r>
      <w:r>
        <w:rPr>
          <w:rFonts w:hint="eastAsia" w:ascii="宋体" w:hAnsi="宋体" w:eastAsia="宋体" w:cs="宋体"/>
          <w:kern w:val="0"/>
          <w:sz w:val="21"/>
          <w:szCs w:val="21"/>
          <w:highlight w:val="none"/>
        </w:rPr>
        <w:t>批准后，安装验收规范书正式生效。</w:t>
      </w:r>
    </w:p>
    <w:p w14:paraId="29E70E9D">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10.1.3.3 用于安装的设计文件及施工图应满足施工需要，</w:t>
      </w:r>
      <w:r>
        <w:rPr>
          <w:rFonts w:hint="eastAsia" w:ascii="宋体" w:hAnsi="宋体" w:cs="宋体"/>
          <w:kern w:val="0"/>
          <w:sz w:val="21"/>
          <w:szCs w:val="21"/>
          <w:highlight w:val="none"/>
          <w:lang w:val="en-US" w:eastAsia="zh-CN"/>
        </w:rPr>
        <w:t>中标人</w:t>
      </w:r>
      <w:r>
        <w:rPr>
          <w:rFonts w:hint="eastAsia" w:ascii="宋体" w:hAnsi="宋体" w:eastAsia="宋体" w:cs="宋体"/>
          <w:kern w:val="0"/>
          <w:sz w:val="21"/>
          <w:szCs w:val="21"/>
          <w:highlight w:val="none"/>
        </w:rPr>
        <w:t>应核实</w:t>
      </w:r>
      <w:r>
        <w:rPr>
          <w:rFonts w:hint="eastAsia" w:ascii="宋体" w:hAnsi="宋体" w:eastAsia="宋体" w:cs="宋体"/>
          <w:kern w:val="0"/>
          <w:sz w:val="21"/>
          <w:szCs w:val="21"/>
          <w:highlight w:val="none"/>
          <w:lang w:val="en-US" w:eastAsia="zh-CN"/>
        </w:rPr>
        <w:t>招标人</w:t>
      </w:r>
      <w:r>
        <w:rPr>
          <w:rFonts w:hint="eastAsia" w:ascii="宋体" w:hAnsi="宋体" w:eastAsia="宋体" w:cs="宋体"/>
          <w:kern w:val="0"/>
          <w:sz w:val="21"/>
          <w:szCs w:val="21"/>
          <w:highlight w:val="none"/>
        </w:rPr>
        <w:t>的需求能否满足，工程能否顺利实施，发现问题应及时通知</w:t>
      </w:r>
      <w:r>
        <w:rPr>
          <w:rFonts w:hint="eastAsia" w:ascii="宋体" w:hAnsi="宋体" w:eastAsia="宋体" w:cs="宋体"/>
          <w:kern w:val="0"/>
          <w:sz w:val="21"/>
          <w:szCs w:val="21"/>
          <w:highlight w:val="none"/>
          <w:lang w:val="en-US" w:eastAsia="zh-CN"/>
        </w:rPr>
        <w:t>招标人</w:t>
      </w:r>
      <w:r>
        <w:rPr>
          <w:rFonts w:hint="eastAsia" w:ascii="宋体" w:hAnsi="宋体" w:eastAsia="宋体" w:cs="宋体"/>
          <w:kern w:val="0"/>
          <w:sz w:val="21"/>
          <w:szCs w:val="21"/>
          <w:highlight w:val="none"/>
        </w:rPr>
        <w:t>。施工人员应熟悉施工图纸及有关资料，包括工程特点、施工方案、工艺要求、施工质量标准等。</w:t>
      </w:r>
    </w:p>
    <w:p w14:paraId="424DDBA1">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10.1.3.4 设备、器材供货、货源、规格数量与施工图相吻合，施工机具、仪表（器），劳动力已安排落实，可满足连续施工和阶段施工要求。</w:t>
      </w:r>
    </w:p>
    <w:p w14:paraId="2726C574">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10.1.3.5 乙供的材料型号、规格必须符合设计要求，并有产品合格证书，未经鉴定批准的产品或不合格产品不得在本工程使用，所有乙供材料的试验和检验应执行合同的有关规定。</w:t>
      </w:r>
    </w:p>
    <w:p w14:paraId="1537A6D9">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10.2 施工技术要求</w:t>
      </w:r>
    </w:p>
    <w:p w14:paraId="263BDA4D">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10.2.1 </w:t>
      </w:r>
      <w:r>
        <w:rPr>
          <w:rFonts w:hint="eastAsia" w:ascii="宋体" w:hAnsi="宋体" w:eastAsia="宋体" w:cs="宋体"/>
          <w:kern w:val="0"/>
          <w:sz w:val="21"/>
          <w:szCs w:val="21"/>
          <w:highlight w:val="none"/>
          <w:lang w:val="en-US" w:eastAsia="zh-CN"/>
        </w:rPr>
        <w:t>中标人</w:t>
      </w:r>
      <w:r>
        <w:rPr>
          <w:rFonts w:hint="eastAsia" w:ascii="宋体" w:hAnsi="宋体" w:eastAsia="宋体" w:cs="宋体"/>
          <w:kern w:val="0"/>
          <w:sz w:val="21"/>
          <w:szCs w:val="21"/>
          <w:highlight w:val="none"/>
        </w:rPr>
        <w:t>施工中采用和推广经批准的新技术、新材料、新工艺，应制定不低于现行国家或部及行业规范水平的质量标准和工艺要求，并经</w:t>
      </w:r>
      <w:r>
        <w:rPr>
          <w:rFonts w:hint="eastAsia" w:ascii="宋体" w:hAnsi="宋体" w:eastAsia="宋体" w:cs="宋体"/>
          <w:kern w:val="0"/>
          <w:sz w:val="21"/>
          <w:szCs w:val="21"/>
          <w:highlight w:val="none"/>
          <w:lang w:val="en-US" w:eastAsia="zh-CN"/>
        </w:rPr>
        <w:t>招标人</w:t>
      </w:r>
      <w:r>
        <w:rPr>
          <w:rFonts w:hint="eastAsia" w:ascii="宋体" w:hAnsi="宋体" w:eastAsia="宋体" w:cs="宋体"/>
          <w:kern w:val="0"/>
          <w:sz w:val="21"/>
          <w:szCs w:val="21"/>
          <w:highlight w:val="none"/>
        </w:rPr>
        <w:t>代表批准。</w:t>
      </w:r>
      <w:r>
        <w:rPr>
          <w:rFonts w:hint="eastAsia" w:ascii="宋体" w:hAnsi="宋体" w:eastAsia="宋体" w:cs="宋体"/>
          <w:kern w:val="0"/>
          <w:sz w:val="21"/>
          <w:szCs w:val="21"/>
          <w:highlight w:val="none"/>
          <w:lang w:val="en-US" w:eastAsia="zh-CN"/>
        </w:rPr>
        <w:t>中标人</w:t>
      </w:r>
      <w:r>
        <w:rPr>
          <w:rFonts w:hint="eastAsia" w:ascii="宋体" w:hAnsi="宋体" w:eastAsia="宋体" w:cs="宋体"/>
          <w:kern w:val="0"/>
          <w:sz w:val="21"/>
          <w:szCs w:val="21"/>
          <w:highlight w:val="none"/>
        </w:rPr>
        <w:t>在工程中所用设备、材料及其安装必须符合设计要求及国家现行标准。</w:t>
      </w:r>
    </w:p>
    <w:p w14:paraId="2CC27C82">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10.2.2 在工程施工过程中，如果工程的位置、标高尺寸或准线出现错误，</w:t>
      </w:r>
      <w:r>
        <w:rPr>
          <w:rFonts w:hint="eastAsia" w:ascii="宋体" w:hAnsi="宋体" w:eastAsia="宋体" w:cs="宋体"/>
          <w:kern w:val="0"/>
          <w:sz w:val="21"/>
          <w:szCs w:val="21"/>
          <w:highlight w:val="none"/>
          <w:lang w:val="en-US" w:eastAsia="zh-CN"/>
        </w:rPr>
        <w:t>中标人</w:t>
      </w:r>
      <w:r>
        <w:rPr>
          <w:rFonts w:hint="eastAsia" w:ascii="宋体" w:hAnsi="宋体" w:eastAsia="宋体" w:cs="宋体"/>
          <w:kern w:val="0"/>
          <w:sz w:val="21"/>
          <w:szCs w:val="21"/>
          <w:highlight w:val="none"/>
        </w:rPr>
        <w:t>应修正上述错误并负担修正错误的一切费用。</w:t>
      </w:r>
    </w:p>
    <w:p w14:paraId="1DF5F6BD">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10.2.3 乙供材料的型号、规格、货源、数量符合设计及合同规定。内部设备接 (插)件 (盘)完整，符合施工图设计。</w:t>
      </w:r>
    </w:p>
    <w:p w14:paraId="33BF22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宋体" w:hAnsi="宋体" w:eastAsia="宋体" w:cs="宋体"/>
          <w:b/>
          <w:bCs/>
          <w:kern w:val="0"/>
          <w:sz w:val="21"/>
          <w:szCs w:val="21"/>
          <w:highlight w:val="none"/>
          <w:lang w:val="en-US" w:eastAsia="zh-CN"/>
        </w:rPr>
      </w:pPr>
      <w:r>
        <w:rPr>
          <w:rFonts w:hint="eastAsia" w:ascii="宋体" w:hAnsi="宋体" w:eastAsia="宋体" w:cs="宋体"/>
          <w:b/>
          <w:bCs/>
          <w:kern w:val="0"/>
          <w:sz w:val="21"/>
          <w:szCs w:val="21"/>
          <w:highlight w:val="none"/>
          <w:lang w:val="en-US" w:eastAsia="zh-CN"/>
        </w:rPr>
        <w:t>十一、作业要求</w:t>
      </w:r>
    </w:p>
    <w:p w14:paraId="137BACAB">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11.1 中标人进场前需向招标人缴纳履约保证金及签订安全协议，要通过招标人的安全培训并且合格。</w:t>
      </w:r>
    </w:p>
    <w:p w14:paraId="44E3723F">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11.2 中标人自行将每日施工所需材料运至现场，并做好未完品保护。</w:t>
      </w:r>
    </w:p>
    <w:p w14:paraId="179EB019">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11.3 中标人每日作业完成后须经双方检查确认合格后方可撤离现场。</w:t>
      </w:r>
    </w:p>
    <w:p w14:paraId="4642DF43">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11.4 中标人应严格遵守滁宁城铁的安全施工制度要求，做好现场的作业安全防护，文明施工，保证施工现场工完料清。</w:t>
      </w:r>
    </w:p>
    <w:p w14:paraId="651F632C">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11.5 现场作业人员防护用品必须齐备（反光背心、安全帽、劳保手套、劳保鞋等），否则不予操作，操作时须规范佩戴防护用品。</w:t>
      </w:r>
    </w:p>
    <w:p w14:paraId="2523377D">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11.6 施工完成后必须清理现场，做到“三清”，并配合招标人检查完毕后方可撤离现场。</w:t>
      </w:r>
    </w:p>
    <w:p w14:paraId="017D62E7">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11.7 密切加强与运营部门的协调工作，并按管理规定对人员、物件及时清场，施工场所要做到工完料尽。</w:t>
      </w:r>
    </w:p>
    <w:p w14:paraId="7BFC9E3D">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11.8 实施人员工作前不许饮酒，进入施工现场不准嬉笑打闹。 实施期间应做好相应的安全保护措施。</w:t>
      </w:r>
    </w:p>
    <w:p w14:paraId="692729F5">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11.9 实施前须由项目负责人向操作人员进行技术交底和安全交底，并做好记录（签字确认），未经交底者不得进入现场作业。</w:t>
      </w:r>
    </w:p>
    <w:p w14:paraId="1E03A353">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11.10 对既有设施、设备的操作，中标人需在招标人监督下，由相关专业配合完成。</w:t>
      </w:r>
    </w:p>
    <w:p w14:paraId="77B045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宋体" w:hAnsi="宋体" w:eastAsia="宋体" w:cs="宋体"/>
          <w:b/>
          <w:bCs/>
          <w:kern w:val="0"/>
          <w:sz w:val="21"/>
          <w:szCs w:val="21"/>
          <w:highlight w:val="none"/>
          <w:lang w:val="en-US" w:eastAsia="zh-CN"/>
        </w:rPr>
      </w:pPr>
      <w:r>
        <w:rPr>
          <w:rFonts w:hint="eastAsia" w:ascii="宋体" w:hAnsi="宋体" w:eastAsia="宋体" w:cs="宋体"/>
          <w:b/>
          <w:bCs/>
          <w:kern w:val="0"/>
          <w:sz w:val="21"/>
          <w:szCs w:val="21"/>
          <w:highlight w:val="none"/>
          <w:lang w:val="en-US" w:eastAsia="zh-CN"/>
        </w:rPr>
        <w:t>十二、保证措施</w:t>
      </w:r>
    </w:p>
    <w:p w14:paraId="01E4EECA">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12.1严格遵守和执行国家、地方、行业的相关法律、法规、规范、规程、标准及招标人的各项管理制度及规定。</w:t>
      </w:r>
    </w:p>
    <w:p w14:paraId="79269041">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12.2遵守合同协议，组织足够力量的技术人员、技术工人，完成合同约定。</w:t>
      </w:r>
    </w:p>
    <w:p w14:paraId="6C471B23">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12.3对组织机构定岗、定员。队伍人员素质、专业技术结构满足各项要求，并保证人员稳定。</w:t>
      </w:r>
    </w:p>
    <w:p w14:paraId="41BBB6CB">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12.4严格按照招标人管理模式，及招标人审定的工作计划和方案组织实施。</w:t>
      </w:r>
    </w:p>
    <w:p w14:paraId="5E7A8651">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12.5按照合同协议认真执行，及时完成初验、问题反馈以及最终验收。</w:t>
      </w:r>
    </w:p>
    <w:p w14:paraId="568670DD">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12.6同招标人密切配合，有权利也有义务为招标人生产及设备维护提出合理化建议，形成“</w:t>
      </w:r>
      <w:r>
        <w:rPr>
          <w:rFonts w:hint="eastAsia" w:ascii="宋体" w:hAnsi="宋体" w:eastAsia="宋体" w:cs="宋体"/>
          <w:kern w:val="0"/>
          <w:sz w:val="21"/>
          <w:szCs w:val="21"/>
          <w:highlight w:val="none"/>
          <w:lang w:eastAsia="zh-CN"/>
        </w:rPr>
        <w:t>相融</w:t>
      </w:r>
      <w:r>
        <w:rPr>
          <w:rFonts w:hint="eastAsia" w:ascii="宋体" w:hAnsi="宋体" w:eastAsia="宋体" w:cs="宋体"/>
          <w:kern w:val="0"/>
          <w:sz w:val="21"/>
          <w:szCs w:val="21"/>
          <w:highlight w:val="none"/>
        </w:rPr>
        <w:t>、相敬、互通、互助”的局面。</w:t>
      </w:r>
    </w:p>
    <w:p w14:paraId="5E9E93FF">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12.7强化对工期的检查、监督。</w:t>
      </w:r>
    </w:p>
    <w:p w14:paraId="3BA40CFE">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12.8严格控制质量。认真做好每一项工作任务，做到工作不留尾项，不留隐患，不出现返工，降低总体成本，提高经济效益。</w:t>
      </w:r>
    </w:p>
    <w:p w14:paraId="32773D46">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12.9加强安全管理力度，杜绝各类事故的发生。</w:t>
      </w:r>
    </w:p>
    <w:p w14:paraId="6D5CBFC4">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12.10团队人员的病假、事假、调休轮休、探亲等各种假期，中标人必须在定编不缺员的情况下合理安排，并经招标人批准。</w:t>
      </w:r>
    </w:p>
    <w:p w14:paraId="62CDD9BF">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12.11项目负责人及主要技术骨干休息，离开岗位，必须向招标人办理请假手续。岗位缺员，招标人有权另行临时聘员或工作外协，所发生的费用由中标人承担。</w:t>
      </w:r>
    </w:p>
    <w:p w14:paraId="6CD906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宋体" w:hAnsi="宋体" w:eastAsia="宋体" w:cs="宋体"/>
          <w:b/>
          <w:bCs/>
          <w:kern w:val="0"/>
          <w:sz w:val="21"/>
          <w:szCs w:val="21"/>
          <w:highlight w:val="none"/>
          <w:lang w:val="en-US" w:eastAsia="zh-CN"/>
        </w:rPr>
      </w:pPr>
      <w:r>
        <w:rPr>
          <w:rFonts w:hint="eastAsia" w:ascii="宋体" w:hAnsi="宋体" w:eastAsia="宋体" w:cs="宋体"/>
          <w:b/>
          <w:bCs/>
          <w:kern w:val="0"/>
          <w:sz w:val="21"/>
          <w:szCs w:val="21"/>
          <w:highlight w:val="none"/>
          <w:lang w:val="en-US" w:eastAsia="zh-CN"/>
        </w:rPr>
        <w:t>十三、质量管理</w:t>
      </w:r>
    </w:p>
    <w:p w14:paraId="087E0987">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13</w:t>
      </w:r>
      <w:r>
        <w:rPr>
          <w:rFonts w:hint="eastAsia" w:ascii="宋体" w:hAnsi="宋体" w:eastAsia="宋体" w:cs="宋体"/>
          <w:kern w:val="0"/>
          <w:sz w:val="21"/>
          <w:szCs w:val="21"/>
          <w:highlight w:val="none"/>
        </w:rPr>
        <w:t>.1中标人必须有明确的项目质量方针、质量目标并按此进行质量管理。</w:t>
      </w:r>
    </w:p>
    <w:p w14:paraId="388FA72B">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13</w:t>
      </w:r>
      <w:r>
        <w:rPr>
          <w:rFonts w:hint="eastAsia" w:ascii="宋体" w:hAnsi="宋体" w:eastAsia="宋体" w:cs="宋体"/>
          <w:kern w:val="0"/>
          <w:sz w:val="21"/>
          <w:szCs w:val="21"/>
          <w:highlight w:val="none"/>
        </w:rPr>
        <w:t>.2中标人必须认真贯彻执行GB/T19001-ISO9001质量保证标准。以完整的质量管理体系对待每一项检测工作，从准备到交工的各个环节都要做到精心组织，科学管理，对检测质量严格要求。</w:t>
      </w:r>
    </w:p>
    <w:p w14:paraId="6480A9A5">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13</w:t>
      </w:r>
      <w:r>
        <w:rPr>
          <w:rFonts w:hint="eastAsia" w:ascii="宋体" w:hAnsi="宋体" w:eastAsia="宋体" w:cs="宋体"/>
          <w:kern w:val="0"/>
          <w:sz w:val="21"/>
          <w:szCs w:val="21"/>
          <w:highlight w:val="none"/>
        </w:rPr>
        <w:t>.3质量保证</w:t>
      </w:r>
    </w:p>
    <w:p w14:paraId="092C2CD1">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13</w:t>
      </w:r>
      <w:r>
        <w:rPr>
          <w:rFonts w:hint="eastAsia" w:ascii="宋体" w:hAnsi="宋体" w:eastAsia="宋体" w:cs="宋体"/>
          <w:kern w:val="0"/>
          <w:sz w:val="21"/>
          <w:szCs w:val="21"/>
          <w:highlight w:val="none"/>
        </w:rPr>
        <w:t>.3.1认真贯彻执行国家、地方、行业及招标人有关部门对设备质量的有关规范、规定和《质量管理和质量保证》体系等有关规定。</w:t>
      </w:r>
    </w:p>
    <w:p w14:paraId="153A40EC">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13</w:t>
      </w:r>
      <w:r>
        <w:rPr>
          <w:rFonts w:hint="eastAsia" w:ascii="宋体" w:hAnsi="宋体" w:eastAsia="宋体" w:cs="宋体"/>
          <w:kern w:val="0"/>
          <w:sz w:val="21"/>
          <w:szCs w:val="21"/>
          <w:highlight w:val="none"/>
        </w:rPr>
        <w:t>.3.2坚持把“质量第一，用户至上”作为质量控制的基本原则。</w:t>
      </w:r>
    </w:p>
    <w:p w14:paraId="5755CAB8">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13</w:t>
      </w:r>
      <w:r>
        <w:rPr>
          <w:rFonts w:hint="eastAsia" w:ascii="宋体" w:hAnsi="宋体" w:eastAsia="宋体" w:cs="宋体"/>
          <w:kern w:val="0"/>
          <w:sz w:val="21"/>
          <w:szCs w:val="21"/>
          <w:highlight w:val="none"/>
        </w:rPr>
        <w:t>.3.3针对质量目标编制质量检验与管理体制实施细则，编制工作关键项目的施工（检修）作业技术措施或作业指导书，并严格执行，做好预防措施、控制质量通病。</w:t>
      </w:r>
    </w:p>
    <w:p w14:paraId="15DBCD5B">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13</w:t>
      </w:r>
      <w:r>
        <w:rPr>
          <w:rFonts w:hint="eastAsia" w:ascii="宋体" w:hAnsi="宋体" w:eastAsia="宋体" w:cs="宋体"/>
          <w:kern w:val="0"/>
          <w:sz w:val="21"/>
          <w:szCs w:val="21"/>
          <w:highlight w:val="none"/>
        </w:rPr>
        <w:t>.3.4选派作业水平较高且有丰富经验的专业人员上岗，并组织学习滁宁城铁设备特性和技术标准以及要求，努力提高人员的业务素质，避免人为失误。以人的工作质量保工序质量、促工程质量，确保作业质量。</w:t>
      </w:r>
    </w:p>
    <w:p w14:paraId="4785FED0">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13</w:t>
      </w:r>
      <w:r>
        <w:rPr>
          <w:rFonts w:hint="eastAsia" w:ascii="宋体" w:hAnsi="宋体" w:eastAsia="宋体" w:cs="宋体"/>
          <w:kern w:val="0"/>
          <w:sz w:val="21"/>
          <w:szCs w:val="21"/>
          <w:highlight w:val="none"/>
        </w:rPr>
        <w:t>.3.5“以人为核心”，加强对员工的质量意识教育，充分调动所有施工人员的积极性，增强人的责任感，抓好施工过程中的质量控制，加大质量管理和质量检验力度，虚心接受招标人意见。</w:t>
      </w:r>
    </w:p>
    <w:p w14:paraId="20A2274D">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13</w:t>
      </w:r>
      <w:r>
        <w:rPr>
          <w:rFonts w:hint="eastAsia" w:ascii="宋体" w:hAnsi="宋体" w:eastAsia="宋体" w:cs="宋体"/>
          <w:kern w:val="0"/>
          <w:sz w:val="21"/>
          <w:szCs w:val="21"/>
          <w:highlight w:val="none"/>
        </w:rPr>
        <w:t>.3.6项目保证资料真实、完整、规范、及时、满足要求。</w:t>
      </w:r>
    </w:p>
    <w:p w14:paraId="55310AD3">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13</w:t>
      </w:r>
      <w:r>
        <w:rPr>
          <w:rFonts w:hint="eastAsia" w:ascii="宋体" w:hAnsi="宋体" w:eastAsia="宋体" w:cs="宋体"/>
          <w:kern w:val="0"/>
          <w:sz w:val="21"/>
          <w:szCs w:val="21"/>
          <w:highlight w:val="none"/>
        </w:rPr>
        <w:t>.3.7检测管理标准化，检测操作规范化。</w:t>
      </w:r>
    </w:p>
    <w:p w14:paraId="400252D1">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13</w:t>
      </w:r>
      <w:r>
        <w:rPr>
          <w:rFonts w:hint="eastAsia" w:ascii="宋体" w:hAnsi="宋体" w:eastAsia="宋体" w:cs="宋体"/>
          <w:kern w:val="0"/>
          <w:sz w:val="21"/>
          <w:szCs w:val="21"/>
          <w:highlight w:val="none"/>
        </w:rPr>
        <w:t>.3.8强化全过程的质量管理，在工作准备阶段主动与招标人取得联系，确保质量和工期。</w:t>
      </w:r>
    </w:p>
    <w:p w14:paraId="20B600F3">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13</w:t>
      </w:r>
      <w:r>
        <w:rPr>
          <w:rFonts w:hint="eastAsia" w:ascii="宋体" w:hAnsi="宋体" w:eastAsia="宋体" w:cs="宋体"/>
          <w:kern w:val="0"/>
          <w:sz w:val="21"/>
          <w:szCs w:val="21"/>
          <w:highlight w:val="none"/>
        </w:rPr>
        <w:t>.3.9加强隐蔽工程的质量管理，隐蔽工程施工必须经招标人检查，并办好签字手续后方可隐蔽。</w:t>
      </w:r>
    </w:p>
    <w:p w14:paraId="383D43B6">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13</w:t>
      </w:r>
      <w:r>
        <w:rPr>
          <w:rFonts w:hint="eastAsia" w:ascii="宋体" w:hAnsi="宋体" w:eastAsia="宋体" w:cs="宋体"/>
          <w:kern w:val="0"/>
          <w:sz w:val="21"/>
          <w:szCs w:val="21"/>
          <w:highlight w:val="none"/>
        </w:rPr>
        <w:t>.3.10 坚持预防为主，确保工程的内在质量和外观质量均符合要求。</w:t>
      </w:r>
    </w:p>
    <w:p w14:paraId="2A49BA48">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13</w:t>
      </w:r>
      <w:r>
        <w:rPr>
          <w:rFonts w:hint="eastAsia" w:ascii="宋体" w:hAnsi="宋体" w:eastAsia="宋体" w:cs="宋体"/>
          <w:kern w:val="0"/>
          <w:sz w:val="21"/>
          <w:szCs w:val="21"/>
          <w:highlight w:val="none"/>
        </w:rPr>
        <w:t>.3.11对施工（检修）用机具、设备、计量器具严格管理。对施工（检修）用检验、测量和试验设备分类按期进行校验、校准，使用前进行仔细检查，保证使用合格的计量器具。</w:t>
      </w:r>
    </w:p>
    <w:p w14:paraId="16433DB8">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13</w:t>
      </w:r>
      <w:r>
        <w:rPr>
          <w:rFonts w:hint="eastAsia" w:ascii="宋体" w:hAnsi="宋体" w:eastAsia="宋体" w:cs="宋体"/>
          <w:kern w:val="0"/>
          <w:sz w:val="21"/>
          <w:szCs w:val="21"/>
          <w:highlight w:val="none"/>
        </w:rPr>
        <w:t>.3.12认真填写记录，做到不合格工序不转序，不合格项目不移交。尤其是对关键工序和特殊过程严加控制，确保工序质量。</w:t>
      </w:r>
    </w:p>
    <w:p w14:paraId="275F5D23">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13</w:t>
      </w:r>
      <w:r>
        <w:rPr>
          <w:rFonts w:hint="eastAsia" w:ascii="宋体" w:hAnsi="宋体" w:eastAsia="宋体" w:cs="宋体"/>
          <w:kern w:val="0"/>
          <w:sz w:val="21"/>
          <w:szCs w:val="21"/>
          <w:highlight w:val="none"/>
        </w:rPr>
        <w:t>.3.13认真做好每次开工作业前的准备，工作结束的质量总结。</w:t>
      </w:r>
    </w:p>
    <w:p w14:paraId="7E85FDB0">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13</w:t>
      </w:r>
      <w:r>
        <w:rPr>
          <w:rFonts w:hint="eastAsia" w:ascii="宋体" w:hAnsi="宋体" w:eastAsia="宋体" w:cs="宋体"/>
          <w:kern w:val="0"/>
          <w:sz w:val="21"/>
          <w:szCs w:val="21"/>
          <w:highlight w:val="none"/>
        </w:rPr>
        <w:t>.3.</w:t>
      </w:r>
      <w:r>
        <w:rPr>
          <w:rFonts w:hint="eastAsia" w:ascii="宋体" w:hAnsi="宋体" w:eastAsia="宋体" w:cs="宋体"/>
          <w:kern w:val="0"/>
          <w:sz w:val="21"/>
          <w:szCs w:val="21"/>
          <w:highlight w:val="none"/>
          <w:lang w:eastAsia="zh-CN"/>
        </w:rPr>
        <w:t>1</w:t>
      </w:r>
      <w:r>
        <w:rPr>
          <w:rFonts w:hint="eastAsia" w:ascii="宋体" w:hAnsi="宋体" w:eastAsia="宋体" w:cs="宋体"/>
          <w:kern w:val="0"/>
          <w:sz w:val="21"/>
          <w:szCs w:val="21"/>
          <w:highlight w:val="none"/>
          <w:lang w:val="en-US" w:eastAsia="zh-CN"/>
        </w:rPr>
        <w:t>4</w:t>
      </w:r>
      <w:r>
        <w:rPr>
          <w:rFonts w:hint="eastAsia" w:ascii="宋体" w:hAnsi="宋体" w:eastAsia="宋体" w:cs="宋体"/>
          <w:kern w:val="0"/>
          <w:sz w:val="21"/>
          <w:szCs w:val="21"/>
          <w:highlight w:val="none"/>
        </w:rPr>
        <w:t>过程中发生的质量问题或质量事故要及时报告招标人，中标人必须及时制定处理方案，经招标人和有关部门审批后进行实施。</w:t>
      </w:r>
    </w:p>
    <w:p w14:paraId="1A9061A2">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13</w:t>
      </w:r>
      <w:r>
        <w:rPr>
          <w:rFonts w:hint="eastAsia" w:ascii="宋体" w:hAnsi="宋体" w:eastAsia="宋体" w:cs="宋体"/>
          <w:kern w:val="0"/>
          <w:sz w:val="21"/>
          <w:szCs w:val="21"/>
          <w:highlight w:val="none"/>
        </w:rPr>
        <w:t>.3.</w:t>
      </w:r>
      <w:r>
        <w:rPr>
          <w:rFonts w:hint="eastAsia" w:ascii="宋体" w:hAnsi="宋体" w:eastAsia="宋体" w:cs="宋体"/>
          <w:kern w:val="0"/>
          <w:sz w:val="21"/>
          <w:szCs w:val="21"/>
          <w:highlight w:val="none"/>
          <w:lang w:eastAsia="zh-CN"/>
        </w:rPr>
        <w:t>1</w:t>
      </w:r>
      <w:r>
        <w:rPr>
          <w:rFonts w:hint="eastAsia" w:ascii="宋体" w:hAnsi="宋体" w:eastAsia="宋体" w:cs="宋体"/>
          <w:kern w:val="0"/>
          <w:sz w:val="21"/>
          <w:szCs w:val="21"/>
          <w:highlight w:val="none"/>
          <w:lang w:val="en-US" w:eastAsia="zh-CN"/>
        </w:rPr>
        <w:t>5</w:t>
      </w:r>
      <w:r>
        <w:rPr>
          <w:rFonts w:hint="eastAsia" w:ascii="宋体" w:hAnsi="宋体" w:eastAsia="宋体" w:cs="宋体"/>
          <w:kern w:val="0"/>
          <w:sz w:val="21"/>
          <w:szCs w:val="21"/>
          <w:highlight w:val="none"/>
        </w:rPr>
        <w:t>中标人应对工作内容认真自检，确认合格后，再报招标人确认。</w:t>
      </w:r>
    </w:p>
    <w:p w14:paraId="6A3B585A">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13</w:t>
      </w:r>
      <w:r>
        <w:rPr>
          <w:rFonts w:hint="eastAsia" w:ascii="宋体" w:hAnsi="宋体" w:eastAsia="宋体" w:cs="宋体"/>
          <w:kern w:val="0"/>
          <w:sz w:val="21"/>
          <w:szCs w:val="21"/>
          <w:highlight w:val="none"/>
        </w:rPr>
        <w:t>.3.</w:t>
      </w:r>
      <w:r>
        <w:rPr>
          <w:rFonts w:hint="eastAsia" w:ascii="宋体" w:hAnsi="宋体" w:eastAsia="宋体" w:cs="宋体"/>
          <w:kern w:val="0"/>
          <w:sz w:val="21"/>
          <w:szCs w:val="21"/>
          <w:highlight w:val="none"/>
          <w:lang w:eastAsia="zh-CN"/>
        </w:rPr>
        <w:t>1</w:t>
      </w:r>
      <w:r>
        <w:rPr>
          <w:rFonts w:hint="eastAsia" w:ascii="宋体" w:hAnsi="宋体" w:eastAsia="宋体" w:cs="宋体"/>
          <w:kern w:val="0"/>
          <w:sz w:val="21"/>
          <w:szCs w:val="21"/>
          <w:highlight w:val="none"/>
          <w:lang w:val="en-US" w:eastAsia="zh-CN"/>
        </w:rPr>
        <w:t>6</w:t>
      </w:r>
      <w:r>
        <w:rPr>
          <w:rFonts w:hint="eastAsia" w:ascii="宋体" w:hAnsi="宋体" w:eastAsia="宋体" w:cs="宋体"/>
          <w:kern w:val="0"/>
          <w:sz w:val="21"/>
          <w:szCs w:val="21"/>
          <w:highlight w:val="none"/>
        </w:rPr>
        <w:t>中标人必须对现场跟踪检查，发现问题及时组织处理。</w:t>
      </w:r>
    </w:p>
    <w:p w14:paraId="2CFBED4F">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13</w:t>
      </w:r>
      <w:r>
        <w:rPr>
          <w:rFonts w:hint="eastAsia" w:ascii="宋体" w:hAnsi="宋体" w:eastAsia="宋体" w:cs="宋体"/>
          <w:kern w:val="0"/>
          <w:sz w:val="21"/>
          <w:szCs w:val="21"/>
          <w:highlight w:val="none"/>
        </w:rPr>
        <w:t>.3.17工作完成后，及时整理完工资料，并交付招标人审核、确认。</w:t>
      </w:r>
    </w:p>
    <w:p w14:paraId="54972E38">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13</w:t>
      </w:r>
      <w:r>
        <w:rPr>
          <w:rFonts w:hint="eastAsia" w:ascii="宋体" w:hAnsi="宋体" w:eastAsia="宋体" w:cs="宋体"/>
          <w:kern w:val="0"/>
          <w:sz w:val="21"/>
          <w:szCs w:val="21"/>
          <w:highlight w:val="none"/>
        </w:rPr>
        <w:t>.4 质量管理组织机构及主要职责</w:t>
      </w:r>
    </w:p>
    <w:p w14:paraId="2CCD2169">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中标人必须提供该项目的质量管理组织架构图及各岗位的主要职责。</w:t>
      </w:r>
    </w:p>
    <w:p w14:paraId="1F647485">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13</w:t>
      </w:r>
      <w:r>
        <w:rPr>
          <w:rFonts w:hint="eastAsia" w:ascii="宋体" w:hAnsi="宋体" w:eastAsia="宋体" w:cs="宋体"/>
          <w:kern w:val="0"/>
          <w:sz w:val="21"/>
          <w:szCs w:val="21"/>
          <w:highlight w:val="none"/>
        </w:rPr>
        <w:t>.5中标人必须有明确的安全质量检验标准及技术规范并参照执行。</w:t>
      </w:r>
    </w:p>
    <w:p w14:paraId="00435A47">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13</w:t>
      </w:r>
      <w:r>
        <w:rPr>
          <w:rFonts w:hint="eastAsia" w:ascii="宋体" w:hAnsi="宋体" w:eastAsia="宋体" w:cs="宋体"/>
          <w:kern w:val="0"/>
          <w:sz w:val="21"/>
          <w:szCs w:val="21"/>
          <w:highlight w:val="none"/>
        </w:rPr>
        <w:t>.6 除非另有规定，本项目应按中国技术规范和标准设计及施工（检修）作业。如遇遗漏所需项目实施的作业规范，应征得招标人同意，补充规范以满足合同要求。原则上没有国家标准、规范的，适用行业标准、规范；没有国家和行业标准、规范的，适用工程所在地地方标准、规范；国内没有相应标准、规范的，由招标人向中标人提出施工（检修）作业技术要求，中标人提出施工（检修）工艺，经招标人批准后执行。</w:t>
      </w:r>
    </w:p>
    <w:p w14:paraId="7C6FC4BF">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13</w:t>
      </w:r>
      <w:r>
        <w:rPr>
          <w:rFonts w:hint="eastAsia" w:ascii="宋体" w:hAnsi="宋体" w:eastAsia="宋体" w:cs="宋体"/>
          <w:kern w:val="0"/>
          <w:sz w:val="21"/>
          <w:szCs w:val="21"/>
          <w:highlight w:val="none"/>
        </w:rPr>
        <w:t>.7文件资料控制</w:t>
      </w:r>
    </w:p>
    <w:p w14:paraId="0B0BBB32">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13</w:t>
      </w:r>
      <w:r>
        <w:rPr>
          <w:rFonts w:hint="eastAsia" w:ascii="宋体" w:hAnsi="宋体" w:eastAsia="宋体" w:cs="宋体"/>
          <w:kern w:val="0"/>
          <w:sz w:val="21"/>
          <w:szCs w:val="21"/>
          <w:highlight w:val="none"/>
        </w:rPr>
        <w:t>.7.1所有与检测相关文件和记录应分别进行编号、分类、登记、发放、传递、保管和回收，必须与招标人管理同步。</w:t>
      </w:r>
    </w:p>
    <w:p w14:paraId="656D9B63">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13</w:t>
      </w:r>
      <w:r>
        <w:rPr>
          <w:rFonts w:hint="eastAsia" w:ascii="宋体" w:hAnsi="宋体" w:eastAsia="宋体" w:cs="宋体"/>
          <w:kern w:val="0"/>
          <w:sz w:val="21"/>
          <w:szCs w:val="21"/>
          <w:highlight w:val="none"/>
        </w:rPr>
        <w:t>.7.2图纸及计划、任务单、各类会议纪要（记录）按程序文件的要求统一编号、分类、登记、标识、存档，按招标人批准的范围发放、传递。</w:t>
      </w:r>
    </w:p>
    <w:p w14:paraId="7EEE746A">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13</w:t>
      </w:r>
      <w:r>
        <w:rPr>
          <w:rFonts w:hint="eastAsia" w:ascii="宋体" w:hAnsi="宋体" w:eastAsia="宋体" w:cs="宋体"/>
          <w:kern w:val="0"/>
          <w:sz w:val="21"/>
          <w:szCs w:val="21"/>
          <w:highlight w:val="none"/>
        </w:rPr>
        <w:t>.7.3如项目修改原设计，中标人必须征得招标人同意并在资料相应位置明确标识，并将修改存档，同时将修改指令复印件附在图中。对作废图纸应及时回收，交招标人统一处理。</w:t>
      </w:r>
    </w:p>
    <w:p w14:paraId="25B3D18B">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13</w:t>
      </w:r>
      <w:r>
        <w:rPr>
          <w:rFonts w:hint="eastAsia" w:ascii="宋体" w:hAnsi="宋体" w:eastAsia="宋体" w:cs="宋体"/>
          <w:kern w:val="0"/>
          <w:sz w:val="21"/>
          <w:szCs w:val="21"/>
          <w:highlight w:val="none"/>
        </w:rPr>
        <w:t>.7.4有一整套检修规范、标准等文件，对于标准的更新及规程、规范的变化应及时报告招标人，并在相应部位做代替说明，待业方批准后执行。</w:t>
      </w:r>
    </w:p>
    <w:p w14:paraId="28D2AA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宋体" w:hAnsi="宋体" w:eastAsia="宋体" w:cs="宋体"/>
          <w:b/>
          <w:bCs/>
          <w:kern w:val="0"/>
          <w:sz w:val="21"/>
          <w:szCs w:val="21"/>
          <w:highlight w:val="none"/>
          <w:lang w:val="en-US" w:eastAsia="zh-CN"/>
        </w:rPr>
      </w:pPr>
      <w:r>
        <w:rPr>
          <w:rFonts w:hint="eastAsia" w:ascii="宋体" w:hAnsi="宋体" w:eastAsia="宋体" w:cs="宋体"/>
          <w:b/>
          <w:bCs/>
          <w:kern w:val="0"/>
          <w:sz w:val="21"/>
          <w:szCs w:val="21"/>
          <w:highlight w:val="none"/>
          <w:lang w:val="en-US" w:eastAsia="zh-CN"/>
        </w:rPr>
        <w:t>十四、安全管理</w:t>
      </w:r>
    </w:p>
    <w:p w14:paraId="0A980B24">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14</w:t>
      </w:r>
      <w:r>
        <w:rPr>
          <w:rFonts w:hint="eastAsia" w:ascii="宋体" w:hAnsi="宋体" w:eastAsia="宋体" w:cs="宋体"/>
          <w:kern w:val="0"/>
          <w:sz w:val="21"/>
          <w:szCs w:val="21"/>
          <w:highlight w:val="none"/>
        </w:rPr>
        <w:t>.1中标人必须有明确的该项目的安全目标、安全指标并进行安全管理。</w:t>
      </w:r>
    </w:p>
    <w:p w14:paraId="157C8746">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14</w:t>
      </w:r>
      <w:r>
        <w:rPr>
          <w:rFonts w:hint="eastAsia" w:ascii="宋体" w:hAnsi="宋体" w:eastAsia="宋体" w:cs="宋体"/>
          <w:kern w:val="0"/>
          <w:sz w:val="21"/>
          <w:szCs w:val="21"/>
          <w:highlight w:val="none"/>
        </w:rPr>
        <w:t>.2中标人必须提供该项目的安全控制组织架构及主要岗位职责。</w:t>
      </w:r>
    </w:p>
    <w:p w14:paraId="119DF8A3">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14</w:t>
      </w:r>
      <w:r>
        <w:rPr>
          <w:rFonts w:hint="eastAsia" w:ascii="宋体" w:hAnsi="宋体" w:eastAsia="宋体" w:cs="宋体"/>
          <w:kern w:val="0"/>
          <w:sz w:val="21"/>
          <w:szCs w:val="21"/>
          <w:highlight w:val="none"/>
        </w:rPr>
        <w:t>.3安全控制管理制度</w:t>
      </w:r>
    </w:p>
    <w:p w14:paraId="277A424D">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14</w:t>
      </w:r>
      <w:r>
        <w:rPr>
          <w:rFonts w:hint="eastAsia" w:ascii="宋体" w:hAnsi="宋体" w:eastAsia="宋体" w:cs="宋体"/>
          <w:kern w:val="0"/>
          <w:sz w:val="21"/>
          <w:szCs w:val="21"/>
          <w:highlight w:val="none"/>
        </w:rPr>
        <w:t>.3.1在作业过程中，首先牢固树立“安全第一、预防为主”的思想。</w:t>
      </w:r>
    </w:p>
    <w:p w14:paraId="348B2B57">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14</w:t>
      </w:r>
      <w:r>
        <w:rPr>
          <w:rFonts w:hint="eastAsia" w:ascii="宋体" w:hAnsi="宋体" w:eastAsia="宋体" w:cs="宋体"/>
          <w:kern w:val="0"/>
          <w:sz w:val="21"/>
          <w:szCs w:val="21"/>
          <w:highlight w:val="none"/>
        </w:rPr>
        <w:t>.3.2全面执行中标人发布的安全管理制度：</w:t>
      </w:r>
    </w:p>
    <w:p w14:paraId="0D1AF370">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14</w:t>
      </w:r>
      <w:r>
        <w:rPr>
          <w:rFonts w:hint="eastAsia" w:ascii="宋体" w:hAnsi="宋体" w:eastAsia="宋体" w:cs="宋体"/>
          <w:kern w:val="0"/>
          <w:sz w:val="21"/>
          <w:szCs w:val="21"/>
          <w:highlight w:val="none"/>
        </w:rPr>
        <w:t>.4安全组织、技术措施</w:t>
      </w:r>
    </w:p>
    <w:p w14:paraId="62C31EAE">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14</w:t>
      </w:r>
      <w:r>
        <w:rPr>
          <w:rFonts w:hint="eastAsia" w:ascii="宋体" w:hAnsi="宋体" w:eastAsia="宋体" w:cs="宋体"/>
          <w:kern w:val="0"/>
          <w:sz w:val="21"/>
          <w:szCs w:val="21"/>
          <w:highlight w:val="none"/>
        </w:rPr>
        <w:t>.4.1遵照现行国家及有关部门的安全法规、规范、规定对本项目进行安全管理、健康管理、环境管理，确保安全施工（检修），杜绝一切人身伤亡事故。要有完整的安全管理组织体制，有专兼职安全干部，安全员负责设备检测和日常的安全、防火工作等。</w:t>
      </w:r>
    </w:p>
    <w:p w14:paraId="73A87239">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14</w:t>
      </w:r>
      <w:r>
        <w:rPr>
          <w:rFonts w:hint="eastAsia" w:ascii="宋体" w:hAnsi="宋体" w:eastAsia="宋体" w:cs="宋体"/>
          <w:kern w:val="0"/>
          <w:sz w:val="21"/>
          <w:szCs w:val="21"/>
          <w:highlight w:val="none"/>
        </w:rPr>
        <w:t>.4.2实行“三级”安全管理，坚持“管施工（检修）的同时必须抓安全”，“项目负责人是第一安全责任人”的原则，开展好正常的安全活动。中标人对本合同工作范围内的安全、消防等负责，对本单位进场人员治安保卫工作负责。</w:t>
      </w:r>
    </w:p>
    <w:p w14:paraId="5DC02198">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14</w:t>
      </w:r>
      <w:r>
        <w:rPr>
          <w:rFonts w:hint="eastAsia" w:ascii="宋体" w:hAnsi="宋体" w:eastAsia="宋体" w:cs="宋体"/>
          <w:kern w:val="0"/>
          <w:sz w:val="21"/>
          <w:szCs w:val="21"/>
          <w:highlight w:val="none"/>
        </w:rPr>
        <w:t>.4.3强化各级安全监察网络，一级抓一级，层层落实安全生产责任制，抓好安全基础工作，重点放在预防上，有针对性的开展好作业前的安全预想预防工作，在布置工作的同时也要布置安全，认真做好内部的各种</w:t>
      </w:r>
      <w:r>
        <w:rPr>
          <w:rFonts w:hint="eastAsia" w:ascii="宋体" w:hAnsi="宋体" w:eastAsia="宋体" w:cs="宋体"/>
          <w:kern w:val="0"/>
          <w:sz w:val="21"/>
          <w:szCs w:val="21"/>
          <w:highlight w:val="none"/>
          <w:lang w:eastAsia="zh-CN"/>
        </w:rPr>
        <w:t>安全管理台账</w:t>
      </w:r>
      <w:r>
        <w:rPr>
          <w:rFonts w:hint="eastAsia" w:ascii="宋体" w:hAnsi="宋体" w:eastAsia="宋体" w:cs="宋体"/>
          <w:kern w:val="0"/>
          <w:sz w:val="21"/>
          <w:szCs w:val="21"/>
          <w:highlight w:val="none"/>
        </w:rPr>
        <w:t>。</w:t>
      </w:r>
    </w:p>
    <w:p w14:paraId="2047863A">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14</w:t>
      </w:r>
      <w:r>
        <w:rPr>
          <w:rFonts w:hint="eastAsia" w:ascii="宋体" w:hAnsi="宋体" w:eastAsia="宋体" w:cs="宋体"/>
          <w:kern w:val="0"/>
          <w:sz w:val="21"/>
          <w:szCs w:val="21"/>
          <w:highlight w:val="none"/>
        </w:rPr>
        <w:t>.4.4执行招标人制定的安全管理制度、安全操作规程及安全奖惩办法等规章制度，强化安全管理。</w:t>
      </w:r>
    </w:p>
    <w:p w14:paraId="7C7E4654">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14</w:t>
      </w:r>
      <w:r>
        <w:rPr>
          <w:rFonts w:hint="eastAsia" w:ascii="宋体" w:hAnsi="宋体" w:eastAsia="宋体" w:cs="宋体"/>
          <w:kern w:val="0"/>
          <w:sz w:val="21"/>
          <w:szCs w:val="21"/>
          <w:highlight w:val="none"/>
        </w:rPr>
        <w:t>.4.5推行安全风险</w:t>
      </w:r>
      <w:r>
        <w:rPr>
          <w:rFonts w:hint="eastAsia" w:ascii="宋体" w:hAnsi="宋体" w:eastAsia="宋体" w:cs="宋体"/>
          <w:kern w:val="0"/>
          <w:sz w:val="21"/>
          <w:szCs w:val="21"/>
          <w:highlight w:val="none"/>
          <w:lang w:eastAsia="zh-CN"/>
        </w:rPr>
        <w:t>制度</w:t>
      </w:r>
      <w:r>
        <w:rPr>
          <w:rFonts w:hint="eastAsia" w:ascii="宋体" w:hAnsi="宋体" w:eastAsia="宋体" w:cs="宋体"/>
          <w:kern w:val="0"/>
          <w:sz w:val="21"/>
          <w:szCs w:val="21"/>
          <w:highlight w:val="none"/>
        </w:rPr>
        <w:t>，执行《“安全风险抵押金”制度》，从负责人到施工（检修）人员，逐级签订安全风险责任合同。</w:t>
      </w:r>
    </w:p>
    <w:p w14:paraId="55AE7E20">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14</w:t>
      </w:r>
      <w:r>
        <w:rPr>
          <w:rFonts w:hint="eastAsia" w:ascii="宋体" w:hAnsi="宋体" w:eastAsia="宋体" w:cs="宋体"/>
          <w:kern w:val="0"/>
          <w:sz w:val="21"/>
          <w:szCs w:val="21"/>
          <w:highlight w:val="none"/>
        </w:rPr>
        <w:t>.4.6专、兼职安全员固定在作业现场，掌握安全动态，加强安全监督管理，抓好安全措施的落实，及时向负责人提供安全信息，协助抓好整个项目的安全工作。</w:t>
      </w:r>
    </w:p>
    <w:p w14:paraId="7B4AA9AF">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14</w:t>
      </w:r>
      <w:r>
        <w:rPr>
          <w:rFonts w:hint="eastAsia" w:ascii="宋体" w:hAnsi="宋体" w:eastAsia="宋体" w:cs="宋体"/>
          <w:kern w:val="0"/>
          <w:sz w:val="21"/>
          <w:szCs w:val="21"/>
          <w:highlight w:val="none"/>
        </w:rPr>
        <w:t>.4.7项目负责人、安全员都有责任搞好本单位的施工（检修）安全。凡发现有违反安全操作规程者，有权令其停止工作。</w:t>
      </w:r>
    </w:p>
    <w:p w14:paraId="49A91AFC">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14</w:t>
      </w:r>
      <w:r>
        <w:rPr>
          <w:rFonts w:hint="eastAsia" w:ascii="宋体" w:hAnsi="宋体" w:eastAsia="宋体" w:cs="宋体"/>
          <w:kern w:val="0"/>
          <w:sz w:val="21"/>
          <w:szCs w:val="21"/>
          <w:highlight w:val="none"/>
        </w:rPr>
        <w:t>.4.8加强对职工的安全教育，定期组织安全学习，施工（检修）中严格执行安全措施和安全规程，狠抓安全措施的落实，防患于未然。</w:t>
      </w:r>
    </w:p>
    <w:p w14:paraId="6B1C627F">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14</w:t>
      </w:r>
      <w:r>
        <w:rPr>
          <w:rFonts w:hint="eastAsia" w:ascii="宋体" w:hAnsi="宋体" w:eastAsia="宋体" w:cs="宋体"/>
          <w:kern w:val="0"/>
          <w:sz w:val="21"/>
          <w:szCs w:val="21"/>
          <w:highlight w:val="none"/>
        </w:rPr>
        <w:t>.4.9在危险作业区域和交叉作业区域，增加临时性安全监察岗，加强预控和监督。</w:t>
      </w:r>
    </w:p>
    <w:p w14:paraId="36EABE93">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14</w:t>
      </w:r>
      <w:r>
        <w:rPr>
          <w:rFonts w:hint="eastAsia" w:ascii="宋体" w:hAnsi="宋体" w:eastAsia="宋体" w:cs="宋体"/>
          <w:kern w:val="0"/>
          <w:sz w:val="21"/>
          <w:szCs w:val="21"/>
          <w:highlight w:val="none"/>
        </w:rPr>
        <w:t>.4.10各级领导和业务部门定期深入作业现场，进行安全大检查，查思想、查管理、查落实，查隐患，对安全上的薄弱环节决不放过。</w:t>
      </w:r>
    </w:p>
    <w:p w14:paraId="68F4ADE8">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14</w:t>
      </w:r>
      <w:r>
        <w:rPr>
          <w:rFonts w:hint="eastAsia" w:ascii="宋体" w:hAnsi="宋体" w:eastAsia="宋体" w:cs="宋体"/>
          <w:kern w:val="0"/>
          <w:sz w:val="21"/>
          <w:szCs w:val="21"/>
          <w:highlight w:val="none"/>
        </w:rPr>
        <w:t>.4.11坚持文明施工（检修），保证施工（检修）机械、设备完好和清洁，安全操作规程齐全，持证上岗，施工（检修）现场的安全管理、安全设施、安全工器具要符合规定。</w:t>
      </w:r>
    </w:p>
    <w:p w14:paraId="04DD02D5">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14</w:t>
      </w:r>
      <w:r>
        <w:rPr>
          <w:rFonts w:hint="eastAsia" w:ascii="宋体" w:hAnsi="宋体" w:eastAsia="宋体" w:cs="宋体"/>
          <w:kern w:val="0"/>
          <w:sz w:val="21"/>
          <w:szCs w:val="21"/>
          <w:highlight w:val="none"/>
        </w:rPr>
        <w:t>.4.12作业现场设置安全标志，安全员上岗监督，作业人员一律戴安全帽，闲杂人员不得进入作业现场；登高时必须佩好安全带及安全绳后才能进行高空作业，严禁高空落物。</w:t>
      </w:r>
    </w:p>
    <w:p w14:paraId="57262728">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14</w:t>
      </w:r>
      <w:r>
        <w:rPr>
          <w:rFonts w:hint="eastAsia" w:ascii="宋体" w:hAnsi="宋体" w:eastAsia="宋体" w:cs="宋体"/>
          <w:kern w:val="0"/>
          <w:sz w:val="21"/>
          <w:szCs w:val="21"/>
          <w:highlight w:val="none"/>
        </w:rPr>
        <w:t>.4.13施工（检修）中严格按照安规办事，施工（检修）现场坚持特殊工种100%持有效证件上岗作业的准则；所有检测人员应办理招标人场地出入证，进入招标人场地必须执行招标人有关安全、消防和治安管理制度。所有检测人员均要有操作证及经过安全培训，并向招标人提供详细的操作技术等级证书和操作证的复印件供招标人备案。</w:t>
      </w:r>
    </w:p>
    <w:p w14:paraId="4E38A3E8">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14</w:t>
      </w:r>
      <w:r>
        <w:rPr>
          <w:rFonts w:hint="eastAsia" w:ascii="宋体" w:hAnsi="宋体" w:eastAsia="宋体" w:cs="宋体"/>
          <w:kern w:val="0"/>
          <w:sz w:val="21"/>
          <w:szCs w:val="21"/>
          <w:highlight w:val="none"/>
        </w:rPr>
        <w:t>.4.</w:t>
      </w:r>
      <w:r>
        <w:rPr>
          <w:rFonts w:hint="eastAsia" w:ascii="宋体" w:hAnsi="宋体" w:eastAsia="宋体" w:cs="宋体"/>
          <w:kern w:val="0"/>
          <w:sz w:val="21"/>
          <w:szCs w:val="21"/>
          <w:highlight w:val="none"/>
          <w:lang w:eastAsia="zh-CN"/>
        </w:rPr>
        <w:t>1</w:t>
      </w:r>
      <w:r>
        <w:rPr>
          <w:rFonts w:hint="eastAsia" w:ascii="宋体" w:hAnsi="宋体" w:eastAsia="宋体" w:cs="宋体"/>
          <w:kern w:val="0"/>
          <w:sz w:val="21"/>
          <w:szCs w:val="21"/>
          <w:highlight w:val="none"/>
          <w:lang w:val="en-US" w:eastAsia="zh-CN"/>
        </w:rPr>
        <w:t>4</w:t>
      </w:r>
      <w:r>
        <w:rPr>
          <w:rFonts w:hint="eastAsia" w:ascii="宋体" w:hAnsi="宋体" w:eastAsia="宋体" w:cs="宋体"/>
          <w:kern w:val="0"/>
          <w:sz w:val="21"/>
          <w:szCs w:val="21"/>
          <w:highlight w:val="none"/>
        </w:rPr>
        <w:t>各分项作业都制定明确的安全保证措施，贯彻执行于作业的全过程。</w:t>
      </w:r>
    </w:p>
    <w:p w14:paraId="3C355687">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14</w:t>
      </w:r>
      <w:r>
        <w:rPr>
          <w:rFonts w:hint="eastAsia" w:ascii="宋体" w:hAnsi="宋体" w:eastAsia="宋体" w:cs="宋体"/>
          <w:kern w:val="0"/>
          <w:sz w:val="21"/>
          <w:szCs w:val="21"/>
          <w:highlight w:val="none"/>
        </w:rPr>
        <w:t>.4.</w:t>
      </w:r>
      <w:r>
        <w:rPr>
          <w:rFonts w:hint="eastAsia" w:ascii="宋体" w:hAnsi="宋体" w:eastAsia="宋体" w:cs="宋体"/>
          <w:kern w:val="0"/>
          <w:sz w:val="21"/>
          <w:szCs w:val="21"/>
          <w:highlight w:val="none"/>
          <w:lang w:eastAsia="zh-CN"/>
        </w:rPr>
        <w:t>1</w:t>
      </w:r>
      <w:r>
        <w:rPr>
          <w:rFonts w:hint="eastAsia" w:ascii="宋体" w:hAnsi="宋体" w:eastAsia="宋体" w:cs="宋体"/>
          <w:kern w:val="0"/>
          <w:sz w:val="21"/>
          <w:szCs w:val="21"/>
          <w:highlight w:val="none"/>
          <w:lang w:val="en-US" w:eastAsia="zh-CN"/>
        </w:rPr>
        <w:t>5</w:t>
      </w:r>
      <w:r>
        <w:rPr>
          <w:rFonts w:hint="eastAsia" w:ascii="宋体" w:hAnsi="宋体" w:eastAsia="宋体" w:cs="宋体"/>
          <w:kern w:val="0"/>
          <w:sz w:val="21"/>
          <w:szCs w:val="21"/>
          <w:highlight w:val="none"/>
        </w:rPr>
        <w:t>加强对机具设备的维护管理，操作前检查；操作人员必须经考试合格，才能上岗，其它人员不能顶岗操作。</w:t>
      </w:r>
    </w:p>
    <w:p w14:paraId="085BCA69">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14</w:t>
      </w:r>
      <w:r>
        <w:rPr>
          <w:rFonts w:hint="eastAsia" w:ascii="宋体" w:hAnsi="宋体" w:eastAsia="宋体" w:cs="宋体"/>
          <w:kern w:val="0"/>
          <w:sz w:val="21"/>
          <w:szCs w:val="21"/>
          <w:highlight w:val="none"/>
        </w:rPr>
        <w:t>.4.</w:t>
      </w:r>
      <w:r>
        <w:rPr>
          <w:rFonts w:hint="eastAsia" w:ascii="宋体" w:hAnsi="宋体" w:eastAsia="宋体" w:cs="宋体"/>
          <w:kern w:val="0"/>
          <w:sz w:val="21"/>
          <w:szCs w:val="21"/>
          <w:highlight w:val="none"/>
          <w:lang w:eastAsia="zh-CN"/>
        </w:rPr>
        <w:t>1</w:t>
      </w:r>
      <w:r>
        <w:rPr>
          <w:rFonts w:hint="eastAsia" w:ascii="宋体" w:hAnsi="宋体" w:eastAsia="宋体" w:cs="宋体"/>
          <w:kern w:val="0"/>
          <w:sz w:val="21"/>
          <w:szCs w:val="21"/>
          <w:highlight w:val="none"/>
          <w:lang w:val="en-US" w:eastAsia="zh-CN"/>
        </w:rPr>
        <w:t>6</w:t>
      </w:r>
      <w:r>
        <w:rPr>
          <w:rFonts w:hint="eastAsia" w:ascii="宋体" w:hAnsi="宋体" w:eastAsia="宋体" w:cs="宋体"/>
          <w:kern w:val="0"/>
          <w:sz w:val="21"/>
          <w:szCs w:val="21"/>
          <w:highlight w:val="none"/>
        </w:rPr>
        <w:t>加强对车辆使用的管理，加强车辆保养和司机安全意识教育；加强所有作业人员在地铁隧道中行走的安全教育，防止行车伤害，杜绝交通事故发生。</w:t>
      </w:r>
    </w:p>
    <w:p w14:paraId="76FBFDA4">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14</w:t>
      </w:r>
      <w:r>
        <w:rPr>
          <w:rFonts w:hint="eastAsia" w:ascii="宋体" w:hAnsi="宋体" w:eastAsia="宋体" w:cs="宋体"/>
          <w:kern w:val="0"/>
          <w:sz w:val="21"/>
          <w:szCs w:val="21"/>
          <w:highlight w:val="none"/>
        </w:rPr>
        <w:t>.4.17作业用临时电源箱，下班后应将闸刀拉开上锁，所有机电设备都应设接地接零等保护装置，严禁乱拉、乱接电源线。</w:t>
      </w:r>
    </w:p>
    <w:p w14:paraId="143D3467">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14</w:t>
      </w:r>
      <w:r>
        <w:rPr>
          <w:rFonts w:hint="eastAsia" w:ascii="宋体" w:hAnsi="宋体" w:eastAsia="宋体" w:cs="宋体"/>
          <w:kern w:val="0"/>
          <w:sz w:val="21"/>
          <w:szCs w:val="21"/>
          <w:highlight w:val="none"/>
        </w:rPr>
        <w:t>.4.1</w:t>
      </w:r>
      <w:r>
        <w:rPr>
          <w:rFonts w:hint="eastAsia" w:ascii="宋体" w:hAnsi="宋体" w:eastAsia="宋体" w:cs="宋体"/>
          <w:kern w:val="0"/>
          <w:sz w:val="21"/>
          <w:szCs w:val="21"/>
          <w:highlight w:val="none"/>
          <w:lang w:val="en-US" w:eastAsia="zh-CN"/>
        </w:rPr>
        <w:t>8</w:t>
      </w:r>
      <w:r>
        <w:rPr>
          <w:rFonts w:hint="eastAsia" w:ascii="宋体" w:hAnsi="宋体" w:eastAsia="宋体" w:cs="宋体"/>
          <w:kern w:val="0"/>
          <w:sz w:val="21"/>
          <w:szCs w:val="21"/>
          <w:highlight w:val="none"/>
        </w:rPr>
        <w:t>工作负责人必须要办理许可手续后方可带领工作人员进入工作现场。</w:t>
      </w:r>
    </w:p>
    <w:p w14:paraId="327B012C">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14</w:t>
      </w:r>
      <w:r>
        <w:rPr>
          <w:rFonts w:hint="eastAsia" w:ascii="宋体" w:hAnsi="宋体" w:eastAsia="宋体" w:cs="宋体"/>
          <w:kern w:val="0"/>
          <w:sz w:val="21"/>
          <w:szCs w:val="21"/>
          <w:highlight w:val="none"/>
        </w:rPr>
        <w:t>.4.</w:t>
      </w:r>
      <w:r>
        <w:rPr>
          <w:rFonts w:hint="eastAsia" w:ascii="宋体" w:hAnsi="宋体" w:eastAsia="宋体" w:cs="宋体"/>
          <w:kern w:val="0"/>
          <w:sz w:val="21"/>
          <w:szCs w:val="21"/>
          <w:highlight w:val="none"/>
          <w:lang w:val="en-US" w:eastAsia="zh-CN"/>
        </w:rPr>
        <w:t>19</w:t>
      </w:r>
      <w:r>
        <w:rPr>
          <w:rFonts w:hint="eastAsia" w:ascii="宋体" w:hAnsi="宋体" w:eastAsia="宋体" w:cs="宋体"/>
          <w:kern w:val="0"/>
          <w:sz w:val="21"/>
          <w:szCs w:val="21"/>
          <w:highlight w:val="none"/>
        </w:rPr>
        <w:t>在危险区域动火必须到招标人安保部办理动火证。并派专人监护，方可实施。</w:t>
      </w:r>
    </w:p>
    <w:p w14:paraId="09D078ED">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14</w:t>
      </w:r>
      <w:r>
        <w:rPr>
          <w:rFonts w:hint="eastAsia" w:ascii="宋体" w:hAnsi="宋体" w:eastAsia="宋体" w:cs="宋体"/>
          <w:kern w:val="0"/>
          <w:sz w:val="21"/>
          <w:szCs w:val="21"/>
          <w:highlight w:val="none"/>
        </w:rPr>
        <w:t>.4.</w:t>
      </w:r>
      <w:r>
        <w:rPr>
          <w:rFonts w:hint="eastAsia" w:ascii="宋体" w:hAnsi="宋体" w:eastAsia="宋体" w:cs="宋体"/>
          <w:kern w:val="0"/>
          <w:sz w:val="21"/>
          <w:szCs w:val="21"/>
          <w:highlight w:val="none"/>
          <w:lang w:val="en-US" w:eastAsia="zh-CN"/>
        </w:rPr>
        <w:t>20</w:t>
      </w:r>
      <w:r>
        <w:rPr>
          <w:rFonts w:hint="eastAsia" w:ascii="宋体" w:hAnsi="宋体" w:eastAsia="宋体" w:cs="宋体"/>
          <w:kern w:val="0"/>
          <w:sz w:val="21"/>
          <w:szCs w:val="21"/>
          <w:highlight w:val="none"/>
        </w:rPr>
        <w:t>对设备缺陷的处理工作，必须在工作前将缺陷发生的原因、处理的方法以及处理工作时对现场条件的要求、工作中的安全注意事项等核查清楚。</w:t>
      </w:r>
    </w:p>
    <w:p w14:paraId="1E7C1C54">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14</w:t>
      </w:r>
      <w:r>
        <w:rPr>
          <w:rFonts w:hint="eastAsia" w:ascii="宋体" w:hAnsi="宋体" w:eastAsia="宋体" w:cs="宋体"/>
          <w:kern w:val="0"/>
          <w:sz w:val="21"/>
          <w:szCs w:val="21"/>
          <w:highlight w:val="none"/>
        </w:rPr>
        <w:t>.4.2</w:t>
      </w:r>
      <w:r>
        <w:rPr>
          <w:rFonts w:hint="eastAsia" w:ascii="宋体" w:hAnsi="宋体" w:eastAsia="宋体" w:cs="宋体"/>
          <w:kern w:val="0"/>
          <w:sz w:val="21"/>
          <w:szCs w:val="21"/>
          <w:highlight w:val="none"/>
          <w:lang w:val="en-US" w:eastAsia="zh-CN"/>
        </w:rPr>
        <w:t>1</w:t>
      </w:r>
      <w:r>
        <w:rPr>
          <w:rFonts w:hint="eastAsia" w:ascii="宋体" w:hAnsi="宋体" w:eastAsia="宋体" w:cs="宋体"/>
          <w:kern w:val="0"/>
          <w:sz w:val="21"/>
          <w:szCs w:val="21"/>
          <w:highlight w:val="none"/>
        </w:rPr>
        <w:t>对大型作业等较为复杂的施工（检修）作业项目，有关人员必须在施工（检修）前深入到现场，对大型施工（检修）机械的行走路线和工作位置以及对施工（检修）构成障碍的物体等核查清楚，以确定可行的施工（检修）方案和作业中的不安全因素，制定可靠的安全防范措施。</w:t>
      </w:r>
    </w:p>
    <w:p w14:paraId="1A54EC3A">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14</w:t>
      </w:r>
      <w:r>
        <w:rPr>
          <w:rFonts w:hint="eastAsia" w:ascii="宋体" w:hAnsi="宋体" w:eastAsia="宋体" w:cs="宋体"/>
          <w:kern w:val="0"/>
          <w:sz w:val="21"/>
          <w:szCs w:val="21"/>
          <w:highlight w:val="none"/>
        </w:rPr>
        <w:t>.4.2</w:t>
      </w:r>
      <w:r>
        <w:rPr>
          <w:rFonts w:hint="eastAsia" w:ascii="宋体" w:hAnsi="宋体" w:eastAsia="宋体" w:cs="宋体"/>
          <w:kern w:val="0"/>
          <w:sz w:val="21"/>
          <w:szCs w:val="21"/>
          <w:highlight w:val="none"/>
          <w:lang w:val="en-US" w:eastAsia="zh-CN"/>
        </w:rPr>
        <w:t>2</w:t>
      </w:r>
      <w:r>
        <w:rPr>
          <w:rFonts w:hint="eastAsia" w:ascii="宋体" w:hAnsi="宋体" w:eastAsia="宋体" w:cs="宋体"/>
          <w:kern w:val="0"/>
          <w:sz w:val="21"/>
          <w:szCs w:val="21"/>
          <w:highlight w:val="none"/>
        </w:rPr>
        <w:t>保证作业区内的清洁卫生。</w:t>
      </w:r>
    </w:p>
    <w:p w14:paraId="58C8B510">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14</w:t>
      </w:r>
      <w:r>
        <w:rPr>
          <w:rFonts w:hint="eastAsia" w:ascii="宋体" w:hAnsi="宋体" w:eastAsia="宋体" w:cs="宋体"/>
          <w:kern w:val="0"/>
          <w:sz w:val="21"/>
          <w:szCs w:val="21"/>
          <w:highlight w:val="none"/>
        </w:rPr>
        <w:t>.4.2</w:t>
      </w:r>
      <w:r>
        <w:rPr>
          <w:rFonts w:hint="eastAsia" w:ascii="宋体" w:hAnsi="宋体" w:eastAsia="宋体" w:cs="宋体"/>
          <w:kern w:val="0"/>
          <w:sz w:val="21"/>
          <w:szCs w:val="21"/>
          <w:highlight w:val="none"/>
          <w:lang w:val="en-US" w:eastAsia="zh-CN"/>
        </w:rPr>
        <w:t>3</w:t>
      </w:r>
      <w:r>
        <w:rPr>
          <w:rFonts w:hint="eastAsia" w:ascii="宋体" w:hAnsi="宋体" w:eastAsia="宋体" w:cs="宋体"/>
          <w:kern w:val="0"/>
          <w:sz w:val="21"/>
          <w:szCs w:val="21"/>
          <w:highlight w:val="none"/>
        </w:rPr>
        <w:t>爱护招标人的消防设施，按招标人有关规定及时到指定地点调换使用过的灭火器材。</w:t>
      </w:r>
    </w:p>
    <w:p w14:paraId="01432A89">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14</w:t>
      </w:r>
      <w:r>
        <w:rPr>
          <w:rFonts w:hint="eastAsia" w:ascii="宋体" w:hAnsi="宋体" w:eastAsia="宋体" w:cs="宋体"/>
          <w:kern w:val="0"/>
          <w:sz w:val="21"/>
          <w:szCs w:val="21"/>
          <w:highlight w:val="none"/>
        </w:rPr>
        <w:t>.4.2</w:t>
      </w:r>
      <w:r>
        <w:rPr>
          <w:rFonts w:hint="eastAsia" w:ascii="宋体" w:hAnsi="宋体" w:eastAsia="宋体" w:cs="宋体"/>
          <w:kern w:val="0"/>
          <w:sz w:val="21"/>
          <w:szCs w:val="21"/>
          <w:highlight w:val="none"/>
          <w:lang w:val="en-US" w:eastAsia="zh-CN"/>
        </w:rPr>
        <w:t>4</w:t>
      </w:r>
      <w:r>
        <w:rPr>
          <w:rFonts w:hint="eastAsia" w:ascii="宋体" w:hAnsi="宋体" w:eastAsia="宋体" w:cs="宋体"/>
          <w:kern w:val="0"/>
          <w:sz w:val="21"/>
          <w:szCs w:val="21"/>
          <w:highlight w:val="none"/>
        </w:rPr>
        <w:t>中标人必须严格遵守招标人及中标人规定的劳动纪律，中标人规定的劳动纪律及各类规章制度、规程不得与招标人的规章制度、规程相违背。</w:t>
      </w:r>
    </w:p>
    <w:p w14:paraId="22359278">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方正仿宋_GB18030" w:hAnsi="方正仿宋_GB18030" w:eastAsia="方正仿宋_GB18030" w:cs="方正仿宋_GB18030"/>
          <w:kern w:val="0"/>
          <w:sz w:val="24"/>
          <w:szCs w:val="24"/>
          <w:highlight w:val="none"/>
        </w:rPr>
      </w:pPr>
      <w:r>
        <w:rPr>
          <w:rFonts w:hint="eastAsia" w:ascii="宋体" w:hAnsi="宋体" w:eastAsia="宋体" w:cs="宋体"/>
          <w:kern w:val="0"/>
          <w:sz w:val="21"/>
          <w:szCs w:val="21"/>
          <w:highlight w:val="none"/>
          <w:lang w:eastAsia="zh-CN"/>
        </w:rPr>
        <w:t>14</w:t>
      </w:r>
      <w:r>
        <w:rPr>
          <w:rFonts w:hint="eastAsia" w:ascii="宋体" w:hAnsi="宋体" w:eastAsia="宋体" w:cs="宋体"/>
          <w:kern w:val="0"/>
          <w:sz w:val="21"/>
          <w:szCs w:val="21"/>
          <w:highlight w:val="none"/>
        </w:rPr>
        <w:t>.4.2</w:t>
      </w:r>
      <w:r>
        <w:rPr>
          <w:rFonts w:hint="eastAsia" w:ascii="宋体" w:hAnsi="宋体" w:eastAsia="宋体" w:cs="宋体"/>
          <w:kern w:val="0"/>
          <w:sz w:val="21"/>
          <w:szCs w:val="21"/>
          <w:highlight w:val="none"/>
          <w:lang w:val="en-US" w:eastAsia="zh-CN"/>
        </w:rPr>
        <w:t>5</w:t>
      </w:r>
      <w:r>
        <w:rPr>
          <w:rFonts w:hint="eastAsia" w:ascii="宋体" w:hAnsi="宋体" w:eastAsia="宋体" w:cs="宋体"/>
          <w:kern w:val="0"/>
          <w:sz w:val="21"/>
          <w:szCs w:val="21"/>
          <w:highlight w:val="none"/>
        </w:rPr>
        <w:t>中标人必须严格遵守招标人所在地的“社会治安管理条例”。</w:t>
      </w:r>
    </w:p>
    <w:p w14:paraId="2827F6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宋体" w:hAnsi="宋体" w:eastAsia="宋体" w:cs="宋体"/>
          <w:b/>
          <w:bCs/>
          <w:kern w:val="0"/>
          <w:sz w:val="21"/>
          <w:szCs w:val="21"/>
          <w:highlight w:val="none"/>
          <w:lang w:val="en-US" w:eastAsia="zh-CN"/>
        </w:rPr>
      </w:pPr>
      <w:r>
        <w:rPr>
          <w:rFonts w:hint="eastAsia" w:ascii="宋体" w:hAnsi="宋体" w:eastAsia="宋体" w:cs="宋体"/>
          <w:b/>
          <w:bCs/>
          <w:kern w:val="0"/>
          <w:sz w:val="21"/>
          <w:szCs w:val="21"/>
          <w:highlight w:val="none"/>
          <w:lang w:val="en-US" w:eastAsia="zh-CN"/>
        </w:rPr>
        <w:t>十五、文明管理</w:t>
      </w:r>
    </w:p>
    <w:p w14:paraId="485A551A">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15</w:t>
      </w:r>
      <w:r>
        <w:rPr>
          <w:rFonts w:hint="eastAsia" w:ascii="宋体" w:hAnsi="宋体" w:eastAsia="宋体" w:cs="宋体"/>
          <w:kern w:val="0"/>
          <w:sz w:val="21"/>
          <w:szCs w:val="21"/>
          <w:highlight w:val="none"/>
        </w:rPr>
        <w:t>.1作业过程中，严格按照“规范化管理、标准化作业”规定要求，实施文明管理。</w:t>
      </w:r>
    </w:p>
    <w:p w14:paraId="05D31D1D">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15</w:t>
      </w:r>
      <w:r>
        <w:rPr>
          <w:rFonts w:hint="eastAsia" w:ascii="宋体" w:hAnsi="宋体" w:eastAsia="宋体" w:cs="宋体"/>
          <w:kern w:val="0"/>
          <w:sz w:val="21"/>
          <w:szCs w:val="21"/>
          <w:highlight w:val="none"/>
        </w:rPr>
        <w:t>.2作业过程中，中标人应合理地保持作业现场中不出现不必要的障碍，处置好作业设备及多余材料，保持现场整洁和道路畅通。</w:t>
      </w:r>
    </w:p>
    <w:p w14:paraId="3FE09236">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15</w:t>
      </w:r>
      <w:r>
        <w:rPr>
          <w:rFonts w:hint="eastAsia" w:ascii="宋体" w:hAnsi="宋体" w:eastAsia="宋体" w:cs="宋体"/>
          <w:kern w:val="0"/>
          <w:sz w:val="21"/>
          <w:szCs w:val="21"/>
          <w:highlight w:val="none"/>
        </w:rPr>
        <w:t>.3保护作业区域内各种管线、输电及通信线路、控制开关、生产通道、测量标点等，不得随意破坏、操作、占用。如与其他作业平面发生矛盾，应事先通报招标人，在得到招标人同意后方可按要求执行。如发现未经请示同意而擅自行事，将视其具体情况给予罚款处理。</w:t>
      </w:r>
    </w:p>
    <w:p w14:paraId="33069DC0">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15</w:t>
      </w:r>
      <w:r>
        <w:rPr>
          <w:rFonts w:hint="eastAsia" w:ascii="宋体" w:hAnsi="宋体" w:eastAsia="宋体" w:cs="宋体"/>
          <w:kern w:val="0"/>
          <w:sz w:val="21"/>
          <w:szCs w:val="21"/>
          <w:highlight w:val="none"/>
        </w:rPr>
        <w:t>.4必须负责作业现场日常卫生清理工作，保证公共环境整洁。</w:t>
      </w:r>
    </w:p>
    <w:p w14:paraId="687B685B">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15</w:t>
      </w:r>
      <w:r>
        <w:rPr>
          <w:rFonts w:hint="eastAsia" w:ascii="宋体" w:hAnsi="宋体" w:eastAsia="宋体" w:cs="宋体"/>
          <w:kern w:val="0"/>
          <w:sz w:val="21"/>
          <w:szCs w:val="21"/>
          <w:highlight w:val="none"/>
        </w:rPr>
        <w:t>.5运至作业现场的备品备件，剩余部分由中标人及时回收，并放到招标人指定的地点。</w:t>
      </w:r>
    </w:p>
    <w:p w14:paraId="39A55B3D">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eastAsia="zh-CN"/>
        </w:rPr>
        <w:t>15</w:t>
      </w:r>
      <w:r>
        <w:rPr>
          <w:rFonts w:hint="eastAsia" w:ascii="宋体" w:hAnsi="宋体" w:eastAsia="宋体" w:cs="宋体"/>
          <w:kern w:val="0"/>
          <w:sz w:val="21"/>
          <w:szCs w:val="21"/>
          <w:highlight w:val="none"/>
        </w:rPr>
        <w:t>.6作业现场讲文明、讲礼貌，遇事商量解决，严禁打架、斗殴。</w:t>
      </w:r>
    </w:p>
    <w:p w14:paraId="725B8B9F">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color w:val="auto"/>
          <w:kern w:val="0"/>
          <w:sz w:val="21"/>
          <w:szCs w:val="21"/>
          <w:highlight w:val="none"/>
          <w:lang w:val="en-US" w:eastAsia="zh-CN"/>
        </w:rPr>
      </w:pPr>
    </w:p>
    <w:p w14:paraId="368CA9D5">
      <w:pP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br w:type="page"/>
      </w:r>
    </w:p>
    <w:p w14:paraId="2880BDC6">
      <w:pPr>
        <w:numPr>
          <w:ilvl w:val="0"/>
          <w:numId w:val="5"/>
        </w:numPr>
        <w:jc w:val="center"/>
        <w:rPr>
          <w:rFonts w:hint="eastAsia" w:ascii="宋体" w:hAnsi="Times New Roman" w:eastAsia="宋体" w:cs="Times New Roman"/>
          <w:b/>
          <w:bCs w:val="0"/>
          <w:color w:val="auto"/>
          <w:kern w:val="2"/>
          <w:sz w:val="32"/>
          <w:szCs w:val="32"/>
          <w:highlight w:val="none"/>
          <w:lang w:val="en-US" w:eastAsia="zh-CN" w:bidi="ar-SA"/>
        </w:rPr>
      </w:pPr>
      <w:r>
        <w:rPr>
          <w:rFonts w:hint="eastAsia" w:ascii="宋体" w:hAnsi="Times New Roman" w:eastAsia="宋体" w:cs="Times New Roman"/>
          <w:b/>
          <w:bCs w:val="0"/>
          <w:color w:val="auto"/>
          <w:kern w:val="2"/>
          <w:sz w:val="32"/>
          <w:szCs w:val="32"/>
          <w:highlight w:val="none"/>
          <w:lang w:val="en-US" w:eastAsia="zh-CN" w:bidi="ar-SA"/>
        </w:rPr>
        <w:t xml:space="preserve"> 合同条款及格式</w:t>
      </w:r>
    </w:p>
    <w:p w14:paraId="25206C00">
      <w:pPr>
        <w:numPr>
          <w:ilvl w:val="0"/>
          <w:numId w:val="0"/>
        </w:numPr>
        <w:jc w:val="left"/>
        <w:rPr>
          <w:rFonts w:hint="eastAsia" w:eastAsia="仿宋"/>
          <w:b/>
          <w:highlight w:val="none"/>
          <w:lang w:eastAsia="zh-CN"/>
        </w:rPr>
      </w:pPr>
      <w:r>
        <w:rPr>
          <w:rFonts w:hint="eastAsia" w:eastAsia="仿宋"/>
          <w:b/>
          <w:highlight w:val="none"/>
        </w:rPr>
        <w:t>甲方：</w:t>
      </w:r>
    </w:p>
    <w:p w14:paraId="441AFBEF">
      <w:pPr>
        <w:spacing w:line="360" w:lineRule="auto"/>
        <w:rPr>
          <w:rFonts w:eastAsia="仿宋"/>
          <w:b/>
          <w:highlight w:val="none"/>
          <w:u w:val="single"/>
        </w:rPr>
      </w:pPr>
      <w:r>
        <w:rPr>
          <w:rFonts w:hint="eastAsia" w:eastAsia="仿宋"/>
          <w:b/>
          <w:highlight w:val="none"/>
        </w:rPr>
        <w:t>乙方：</w:t>
      </w:r>
    </w:p>
    <w:p w14:paraId="7B550967">
      <w:pPr>
        <w:spacing w:line="360" w:lineRule="auto"/>
        <w:ind w:firstLine="420" w:firstLineChars="200"/>
        <w:rPr>
          <w:rFonts w:eastAsia="仿宋"/>
          <w:highlight w:val="none"/>
        </w:rPr>
      </w:pPr>
      <w:r>
        <w:rPr>
          <w:rFonts w:eastAsia="仿宋"/>
          <w:highlight w:val="none"/>
        </w:rPr>
        <w:t>根据有关法律</w:t>
      </w:r>
      <w:r>
        <w:rPr>
          <w:rFonts w:hint="eastAsia" w:eastAsia="仿宋"/>
          <w:highlight w:val="none"/>
        </w:rPr>
        <w:t>法规</w:t>
      </w:r>
      <w:r>
        <w:rPr>
          <w:rFonts w:eastAsia="仿宋"/>
          <w:highlight w:val="none"/>
        </w:rPr>
        <w:t>规定，遵循平等、自愿、公平和诚信的原则，</w:t>
      </w:r>
      <w:r>
        <w:rPr>
          <w:rFonts w:hint="eastAsia" w:eastAsia="仿宋"/>
          <w:highlight w:val="none"/>
        </w:rPr>
        <w:t>甲、乙</w:t>
      </w:r>
      <w:r>
        <w:rPr>
          <w:rFonts w:eastAsia="仿宋"/>
          <w:highlight w:val="none"/>
        </w:rPr>
        <w:t>双方就</w:t>
      </w:r>
      <w:r>
        <w:rPr>
          <w:rFonts w:hint="eastAsia" w:eastAsia="仿宋"/>
          <w:highlight w:val="none"/>
          <w:u w:val="single"/>
          <w:lang w:eastAsia="zh-CN"/>
        </w:rPr>
        <w:t>滁州至南京城际铁路（滁州段）一期管道防寒保温项目</w:t>
      </w:r>
      <w:r>
        <w:rPr>
          <w:rFonts w:hint="eastAsia" w:eastAsia="仿宋"/>
          <w:highlight w:val="none"/>
        </w:rPr>
        <w:t>（以下称“本项目”）的实施</w:t>
      </w:r>
      <w:r>
        <w:rPr>
          <w:rFonts w:eastAsia="仿宋"/>
          <w:highlight w:val="none"/>
        </w:rPr>
        <w:t>及有关事项协商一致</w:t>
      </w:r>
      <w:r>
        <w:rPr>
          <w:rFonts w:hint="eastAsia" w:eastAsia="仿宋"/>
          <w:highlight w:val="none"/>
        </w:rPr>
        <w:t>，</w:t>
      </w:r>
      <w:r>
        <w:rPr>
          <w:rFonts w:eastAsia="仿宋"/>
          <w:highlight w:val="none"/>
        </w:rPr>
        <w:t>共同达成如下协议：</w:t>
      </w:r>
    </w:p>
    <w:p w14:paraId="0789248B">
      <w:pPr>
        <w:pStyle w:val="39"/>
        <w:numPr>
          <w:ilvl w:val="0"/>
          <w:numId w:val="0"/>
        </w:numPr>
        <w:spacing w:line="360" w:lineRule="auto"/>
        <w:ind w:leftChars="0"/>
        <w:rPr>
          <w:rFonts w:eastAsia="仿宋"/>
          <w:b/>
          <w:highlight w:val="none"/>
        </w:rPr>
      </w:pPr>
      <w:bookmarkStart w:id="79" w:name="_Toc351203486"/>
      <w:r>
        <w:rPr>
          <w:rFonts w:hint="eastAsia" w:eastAsia="仿宋"/>
          <w:b/>
          <w:highlight w:val="none"/>
          <w:lang w:val="en-US" w:eastAsia="zh-CN"/>
        </w:rPr>
        <w:t>一、</w:t>
      </w:r>
      <w:r>
        <w:rPr>
          <w:rFonts w:eastAsia="仿宋"/>
          <w:b/>
          <w:highlight w:val="none"/>
        </w:rPr>
        <w:t>合同文件构成</w:t>
      </w:r>
      <w:bookmarkEnd w:id="79"/>
    </w:p>
    <w:p w14:paraId="040B1419">
      <w:pPr>
        <w:spacing w:line="360" w:lineRule="auto"/>
        <w:rPr>
          <w:rFonts w:eastAsia="仿宋"/>
          <w:bCs/>
          <w:highlight w:val="none"/>
        </w:rPr>
      </w:pPr>
      <w:bookmarkStart w:id="80" w:name="_Hlk14188859"/>
      <w:r>
        <w:rPr>
          <w:rFonts w:eastAsia="仿宋"/>
          <w:bCs/>
          <w:highlight w:val="none"/>
        </w:rPr>
        <w:t>本</w:t>
      </w:r>
      <w:r>
        <w:rPr>
          <w:rFonts w:hint="eastAsia" w:eastAsia="仿宋"/>
          <w:bCs/>
          <w:highlight w:val="none"/>
          <w:lang w:eastAsia="zh-CN"/>
        </w:rPr>
        <w:t>合同</w:t>
      </w:r>
      <w:r>
        <w:rPr>
          <w:rFonts w:eastAsia="仿宋"/>
          <w:bCs/>
          <w:highlight w:val="none"/>
        </w:rPr>
        <w:t>书与下列文件一起构成合同文件：</w:t>
      </w:r>
    </w:p>
    <w:p w14:paraId="4E0A9042">
      <w:pPr>
        <w:pStyle w:val="39"/>
        <w:numPr>
          <w:ilvl w:val="0"/>
          <w:numId w:val="6"/>
        </w:numPr>
        <w:spacing w:line="360" w:lineRule="auto"/>
        <w:ind w:firstLineChars="0"/>
        <w:rPr>
          <w:rFonts w:eastAsia="仿宋"/>
          <w:highlight w:val="none"/>
        </w:rPr>
      </w:pPr>
      <w:r>
        <w:rPr>
          <w:rFonts w:hint="eastAsia" w:eastAsia="仿宋"/>
          <w:highlight w:val="none"/>
        </w:rPr>
        <w:t>招标文件、投标文件、</w:t>
      </w:r>
      <w:r>
        <w:rPr>
          <w:rFonts w:eastAsia="仿宋"/>
          <w:highlight w:val="none"/>
        </w:rPr>
        <w:t>中标通知书（如有）；</w:t>
      </w:r>
    </w:p>
    <w:p w14:paraId="739DD1EF">
      <w:pPr>
        <w:pStyle w:val="39"/>
        <w:numPr>
          <w:ilvl w:val="0"/>
          <w:numId w:val="6"/>
        </w:numPr>
        <w:spacing w:line="360" w:lineRule="auto"/>
        <w:ind w:firstLineChars="0"/>
        <w:rPr>
          <w:rFonts w:eastAsia="仿宋"/>
          <w:highlight w:val="none"/>
        </w:rPr>
      </w:pPr>
      <w:bookmarkStart w:id="81" w:name="_Hlk14189050"/>
      <w:r>
        <w:rPr>
          <w:rFonts w:hint="eastAsia" w:eastAsia="仿宋"/>
          <w:highlight w:val="none"/>
        </w:rPr>
        <w:t>竞争性磋商</w:t>
      </w:r>
      <w:r>
        <w:rPr>
          <w:rFonts w:hint="eastAsia" w:eastAsia="仿宋"/>
          <w:highlight w:val="none"/>
          <w:lang w:val="en-US" w:eastAsia="zh-CN"/>
        </w:rPr>
        <w:t>文件</w:t>
      </w:r>
      <w:r>
        <w:rPr>
          <w:rFonts w:hint="eastAsia" w:eastAsia="仿宋"/>
          <w:highlight w:val="none"/>
        </w:rPr>
        <w:t>、谈判文件及申请文件（如有）</w:t>
      </w:r>
      <w:r>
        <w:rPr>
          <w:rFonts w:eastAsia="仿宋"/>
          <w:highlight w:val="none"/>
        </w:rPr>
        <w:t>；</w:t>
      </w:r>
    </w:p>
    <w:p w14:paraId="4EBDBF58">
      <w:pPr>
        <w:numPr>
          <w:ilvl w:val="0"/>
          <w:numId w:val="6"/>
        </w:numPr>
        <w:spacing w:line="360" w:lineRule="auto"/>
        <w:ind w:left="720" w:leftChars="0" w:hanging="720" w:firstLineChars="0"/>
        <w:rPr>
          <w:rFonts w:eastAsia="仿宋"/>
          <w:highlight w:val="none"/>
        </w:rPr>
      </w:pPr>
      <w:r>
        <w:rPr>
          <w:rFonts w:eastAsia="仿宋"/>
          <w:highlight w:val="none"/>
        </w:rPr>
        <w:t>技术标准和要求</w:t>
      </w:r>
      <w:r>
        <w:rPr>
          <w:rFonts w:hint="eastAsia" w:eastAsia="仿宋"/>
          <w:highlight w:val="none"/>
          <w:lang w:eastAsia="zh-CN"/>
        </w:rPr>
        <w:t>（</w:t>
      </w:r>
      <w:r>
        <w:rPr>
          <w:rFonts w:hint="eastAsia" w:eastAsia="仿宋"/>
          <w:highlight w:val="none"/>
          <w:lang w:val="en-US" w:eastAsia="zh-CN"/>
        </w:rPr>
        <w:t>用户需求书</w:t>
      </w:r>
      <w:r>
        <w:rPr>
          <w:rFonts w:hint="eastAsia" w:eastAsia="仿宋"/>
          <w:highlight w:val="none"/>
          <w:lang w:eastAsia="zh-CN"/>
        </w:rPr>
        <w:t>）</w:t>
      </w:r>
      <w:r>
        <w:rPr>
          <w:rFonts w:eastAsia="仿宋"/>
          <w:highlight w:val="none"/>
        </w:rPr>
        <w:t>；</w:t>
      </w:r>
      <w:bookmarkEnd w:id="81"/>
    </w:p>
    <w:p w14:paraId="681E10EE">
      <w:pPr>
        <w:numPr>
          <w:ilvl w:val="0"/>
          <w:numId w:val="6"/>
        </w:numPr>
        <w:spacing w:line="360" w:lineRule="auto"/>
        <w:ind w:left="720" w:leftChars="0" w:hanging="720" w:firstLineChars="0"/>
        <w:rPr>
          <w:rFonts w:eastAsia="仿宋"/>
          <w:highlight w:val="none"/>
        </w:rPr>
      </w:pPr>
      <w:r>
        <w:rPr>
          <w:rFonts w:eastAsia="仿宋"/>
          <w:highlight w:val="none"/>
        </w:rPr>
        <w:t>图纸</w:t>
      </w:r>
      <w:r>
        <w:rPr>
          <w:rFonts w:hint="eastAsia" w:eastAsia="仿宋"/>
          <w:highlight w:val="none"/>
          <w:lang w:eastAsia="zh-CN"/>
        </w:rPr>
        <w:t>（</w:t>
      </w:r>
      <w:r>
        <w:rPr>
          <w:rFonts w:hint="eastAsia" w:eastAsia="仿宋"/>
          <w:highlight w:val="none"/>
          <w:lang w:val="en-US" w:eastAsia="zh-CN"/>
        </w:rPr>
        <w:t>如有</w:t>
      </w:r>
      <w:r>
        <w:rPr>
          <w:rFonts w:hint="eastAsia" w:eastAsia="仿宋"/>
          <w:highlight w:val="none"/>
          <w:lang w:eastAsia="zh-CN"/>
        </w:rPr>
        <w:t>）</w:t>
      </w:r>
      <w:r>
        <w:rPr>
          <w:rFonts w:eastAsia="仿宋"/>
          <w:highlight w:val="none"/>
        </w:rPr>
        <w:t>；</w:t>
      </w:r>
    </w:p>
    <w:p w14:paraId="070942C0">
      <w:pPr>
        <w:numPr>
          <w:ilvl w:val="0"/>
          <w:numId w:val="6"/>
        </w:numPr>
        <w:spacing w:line="360" w:lineRule="auto"/>
        <w:ind w:left="720" w:leftChars="0" w:hanging="720" w:firstLineChars="0"/>
        <w:rPr>
          <w:rFonts w:eastAsia="仿宋"/>
          <w:highlight w:val="none"/>
        </w:rPr>
      </w:pPr>
      <w:r>
        <w:rPr>
          <w:rFonts w:eastAsia="仿宋"/>
          <w:highlight w:val="none"/>
        </w:rPr>
        <w:t>已标价工程量清单或预算书</w:t>
      </w:r>
      <w:r>
        <w:rPr>
          <w:rFonts w:hint="eastAsia" w:eastAsia="仿宋"/>
          <w:highlight w:val="none"/>
          <w:lang w:eastAsia="zh-CN"/>
        </w:rPr>
        <w:t>（</w:t>
      </w:r>
      <w:r>
        <w:rPr>
          <w:rFonts w:hint="eastAsia" w:eastAsia="仿宋"/>
          <w:highlight w:val="none"/>
          <w:lang w:val="en-US" w:eastAsia="zh-CN"/>
        </w:rPr>
        <w:t>如有</w:t>
      </w:r>
      <w:r>
        <w:rPr>
          <w:rFonts w:hint="eastAsia" w:eastAsia="仿宋"/>
          <w:highlight w:val="none"/>
          <w:lang w:eastAsia="zh-CN"/>
        </w:rPr>
        <w:t>）</w:t>
      </w:r>
      <w:r>
        <w:rPr>
          <w:rFonts w:eastAsia="仿宋"/>
          <w:highlight w:val="none"/>
        </w:rPr>
        <w:t>；</w:t>
      </w:r>
      <w:bookmarkStart w:id="82" w:name="_Hlk14189066"/>
    </w:p>
    <w:p w14:paraId="3B8D39D1">
      <w:pPr>
        <w:numPr>
          <w:ilvl w:val="0"/>
          <w:numId w:val="6"/>
        </w:numPr>
        <w:spacing w:line="360" w:lineRule="auto"/>
        <w:ind w:left="720" w:leftChars="0" w:hanging="720" w:firstLineChars="0"/>
        <w:rPr>
          <w:rFonts w:eastAsia="仿宋"/>
          <w:highlight w:val="none"/>
        </w:rPr>
      </w:pPr>
      <w:r>
        <w:rPr>
          <w:rFonts w:hint="eastAsia" w:eastAsia="仿宋"/>
          <w:highlight w:val="none"/>
        </w:rPr>
        <w:t>其他文件：_</w:t>
      </w:r>
      <w:r>
        <w:rPr>
          <w:rFonts w:eastAsia="仿宋"/>
          <w:highlight w:val="none"/>
        </w:rPr>
        <w:t>____________________</w:t>
      </w:r>
      <w:bookmarkEnd w:id="80"/>
      <w:bookmarkEnd w:id="82"/>
    </w:p>
    <w:p w14:paraId="39501BA3">
      <w:pPr>
        <w:spacing w:line="360" w:lineRule="auto"/>
        <w:ind w:firstLine="420" w:firstLineChars="200"/>
        <w:rPr>
          <w:rFonts w:eastAsia="仿宋"/>
          <w:highlight w:val="none"/>
        </w:rPr>
      </w:pPr>
      <w:r>
        <w:rPr>
          <w:rFonts w:eastAsia="仿宋"/>
          <w:highlight w:val="none"/>
        </w:rPr>
        <w:t>上述各项合同文件包括合同当事人就该项合同文件所作出的补充和修改，属于同一类内容的文件，应以最新签署的为准。</w:t>
      </w:r>
    </w:p>
    <w:p w14:paraId="19EEF47B">
      <w:pPr>
        <w:spacing w:line="360" w:lineRule="auto"/>
        <w:outlineLvl w:val="0"/>
        <w:rPr>
          <w:rFonts w:eastAsia="仿宋"/>
          <w:b/>
          <w:bCs/>
          <w:highlight w:val="none"/>
        </w:rPr>
      </w:pPr>
      <w:r>
        <w:rPr>
          <w:rFonts w:hint="eastAsia" w:eastAsia="仿宋"/>
          <w:b/>
          <w:bCs/>
          <w:highlight w:val="none"/>
        </w:rPr>
        <w:t>二、项目概况</w:t>
      </w:r>
    </w:p>
    <w:p w14:paraId="13059FA8">
      <w:pPr>
        <w:spacing w:line="360" w:lineRule="auto"/>
        <w:rPr>
          <w:rFonts w:eastAsia="仿宋"/>
          <w:highlight w:val="none"/>
        </w:rPr>
      </w:pPr>
      <w:r>
        <w:rPr>
          <w:rFonts w:hint="eastAsia" w:eastAsia="仿宋"/>
          <w:highlight w:val="none"/>
        </w:rPr>
        <w:t>2</w:t>
      </w:r>
      <w:r>
        <w:rPr>
          <w:rFonts w:eastAsia="仿宋"/>
          <w:highlight w:val="none"/>
        </w:rPr>
        <w:t>.1</w:t>
      </w:r>
      <w:r>
        <w:rPr>
          <w:rFonts w:hint="eastAsia" w:eastAsia="仿宋"/>
          <w:highlight w:val="none"/>
          <w:lang w:val="en-US" w:eastAsia="zh-CN"/>
        </w:rPr>
        <w:t xml:space="preserve"> </w:t>
      </w:r>
      <w:r>
        <w:rPr>
          <w:rFonts w:hint="eastAsia" w:eastAsia="仿宋"/>
          <w:highlight w:val="none"/>
        </w:rPr>
        <w:t>项目实施</w:t>
      </w:r>
      <w:r>
        <w:rPr>
          <w:rFonts w:eastAsia="仿宋"/>
          <w:highlight w:val="none"/>
        </w:rPr>
        <w:t>地点：</w:t>
      </w:r>
      <w:r>
        <w:rPr>
          <w:rFonts w:hint="eastAsia" w:eastAsia="仿宋"/>
          <w:highlight w:val="none"/>
          <w:u w:val="single"/>
          <w:lang w:val="en-US" w:eastAsia="zh-CN"/>
        </w:rPr>
        <w:t xml:space="preserve"> </w:t>
      </w:r>
      <w:r>
        <w:rPr>
          <w:rFonts w:eastAsia="仿宋"/>
          <w:highlight w:val="none"/>
          <w:u w:val="single"/>
        </w:rPr>
        <w:t xml:space="preserve">    </w:t>
      </w:r>
      <w:r>
        <w:rPr>
          <w:rFonts w:hint="eastAsia" w:eastAsia="仿宋"/>
          <w:highlight w:val="none"/>
          <w:u w:val="single"/>
          <w:lang w:val="en-US" w:eastAsia="zh-CN"/>
        </w:rPr>
        <w:t xml:space="preserve">         </w:t>
      </w:r>
      <w:r>
        <w:rPr>
          <w:rFonts w:eastAsia="仿宋"/>
          <w:highlight w:val="none"/>
          <w:u w:val="single"/>
        </w:rPr>
        <w:t xml:space="preserve">   </w:t>
      </w:r>
    </w:p>
    <w:p w14:paraId="075C2815">
      <w:pPr>
        <w:spacing w:line="360" w:lineRule="auto"/>
        <w:rPr>
          <w:rFonts w:eastAsia="仿宋"/>
          <w:highlight w:val="none"/>
        </w:rPr>
      </w:pPr>
      <w:r>
        <w:rPr>
          <w:rFonts w:hint="eastAsia" w:eastAsia="仿宋"/>
          <w:highlight w:val="none"/>
        </w:rPr>
        <w:t>2</w:t>
      </w:r>
      <w:r>
        <w:rPr>
          <w:rFonts w:eastAsia="仿宋"/>
          <w:highlight w:val="none"/>
        </w:rPr>
        <w:t xml:space="preserve">.2 </w:t>
      </w:r>
      <w:r>
        <w:rPr>
          <w:rFonts w:hint="eastAsia" w:eastAsia="仿宋"/>
          <w:highlight w:val="none"/>
        </w:rPr>
        <w:t>项目内容：</w:t>
      </w:r>
      <w:r>
        <w:rPr>
          <w:rFonts w:hint="eastAsia" w:eastAsia="仿宋"/>
          <w:highlight w:val="none"/>
          <w:u w:val="single"/>
          <w:lang w:val="en-US" w:eastAsia="zh-CN"/>
        </w:rPr>
        <w:t xml:space="preserve"> </w:t>
      </w:r>
      <w:r>
        <w:rPr>
          <w:rFonts w:eastAsia="仿宋"/>
          <w:highlight w:val="none"/>
          <w:u w:val="single"/>
        </w:rPr>
        <w:t xml:space="preserve"> </w:t>
      </w:r>
      <w:r>
        <w:rPr>
          <w:rFonts w:hint="eastAsia" w:eastAsia="仿宋"/>
          <w:highlight w:val="none"/>
          <w:u w:val="single"/>
          <w:lang w:val="en-US" w:eastAsia="zh-CN"/>
        </w:rPr>
        <w:t>详见用户需求书</w:t>
      </w:r>
      <w:r>
        <w:rPr>
          <w:rFonts w:eastAsia="仿宋"/>
          <w:highlight w:val="none"/>
          <w:u w:val="single"/>
        </w:rPr>
        <w:t xml:space="preserve">     </w:t>
      </w:r>
    </w:p>
    <w:p w14:paraId="035981DF">
      <w:pPr>
        <w:spacing w:line="360" w:lineRule="auto"/>
        <w:outlineLvl w:val="0"/>
        <w:rPr>
          <w:rFonts w:hint="eastAsia" w:eastAsia="仿宋"/>
          <w:b/>
          <w:bCs/>
          <w:highlight w:val="none"/>
        </w:rPr>
      </w:pPr>
      <w:r>
        <w:rPr>
          <w:rFonts w:hint="eastAsia" w:eastAsia="仿宋"/>
          <w:b/>
          <w:bCs/>
          <w:highlight w:val="none"/>
        </w:rPr>
        <w:t>三、合同工期</w:t>
      </w:r>
    </w:p>
    <w:p w14:paraId="75E6596F">
      <w:pPr>
        <w:spacing w:line="360" w:lineRule="auto"/>
        <w:rPr>
          <w:rFonts w:eastAsia="仿宋"/>
          <w:highlight w:val="none"/>
          <w:u w:val="single"/>
        </w:rPr>
      </w:pPr>
      <w:r>
        <w:rPr>
          <w:rFonts w:hint="eastAsia" w:eastAsia="仿宋"/>
          <w:highlight w:val="none"/>
          <w:lang w:val="en-US" w:eastAsia="zh-CN"/>
        </w:rPr>
        <w:t xml:space="preserve">3.1 </w:t>
      </w:r>
      <w:r>
        <w:rPr>
          <w:rFonts w:hint="eastAsia" w:eastAsia="仿宋"/>
          <w:highlight w:val="none"/>
        </w:rPr>
        <w:t>本项目工期为</w:t>
      </w:r>
      <w:r>
        <w:rPr>
          <w:rFonts w:hint="eastAsia" w:eastAsia="仿宋"/>
          <w:highlight w:val="none"/>
          <w:u w:val="single"/>
          <w:lang w:val="en-US" w:eastAsia="zh-CN"/>
        </w:rPr>
        <w:t xml:space="preserve">     </w:t>
      </w:r>
      <w:r>
        <w:rPr>
          <w:rFonts w:hint="eastAsia" w:eastAsia="仿宋"/>
          <w:highlight w:val="none"/>
        </w:rPr>
        <w:t>天（日历天），自</w:t>
      </w:r>
      <w:r>
        <w:rPr>
          <w:rFonts w:hint="eastAsia" w:eastAsia="仿宋"/>
          <w:highlight w:val="none"/>
          <w:u w:val="single"/>
        </w:rPr>
        <w:t>甲方下达开工通知书之日起计算</w:t>
      </w:r>
      <w:r>
        <w:rPr>
          <w:rFonts w:hint="eastAsia" w:eastAsia="仿宋"/>
          <w:highlight w:val="none"/>
          <w:u w:val="none"/>
        </w:rPr>
        <w:t>。</w:t>
      </w:r>
    </w:p>
    <w:p w14:paraId="6AA8635C">
      <w:pPr>
        <w:spacing w:line="360" w:lineRule="auto"/>
        <w:rPr>
          <w:rFonts w:hint="default" w:eastAsia="仿宋"/>
          <w:b/>
          <w:highlight w:val="none"/>
          <w:lang w:val="en-US" w:eastAsia="zh-CN"/>
        </w:rPr>
      </w:pPr>
      <w:bookmarkStart w:id="83" w:name="_Toc351203484"/>
      <w:r>
        <w:rPr>
          <w:rFonts w:hint="eastAsia" w:eastAsia="仿宋"/>
          <w:b/>
          <w:highlight w:val="none"/>
        </w:rPr>
        <w:t>四</w:t>
      </w:r>
      <w:r>
        <w:rPr>
          <w:rFonts w:eastAsia="仿宋"/>
          <w:b/>
          <w:highlight w:val="none"/>
        </w:rPr>
        <w:t>、合同价</w:t>
      </w:r>
      <w:bookmarkEnd w:id="83"/>
      <w:r>
        <w:rPr>
          <w:rFonts w:hint="eastAsia" w:eastAsia="仿宋"/>
          <w:b/>
          <w:highlight w:val="none"/>
        </w:rPr>
        <w:t>款</w:t>
      </w:r>
      <w:r>
        <w:rPr>
          <w:rFonts w:hint="eastAsia" w:eastAsia="仿宋"/>
          <w:b/>
          <w:highlight w:val="none"/>
          <w:lang w:val="en-US" w:eastAsia="zh-CN"/>
        </w:rPr>
        <w:t>及付款方式</w:t>
      </w:r>
    </w:p>
    <w:p w14:paraId="11554297">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b/>
          <w:bCs/>
          <w:sz w:val="21"/>
          <w:szCs w:val="21"/>
          <w:highlight w:val="none"/>
        </w:rPr>
      </w:pPr>
      <w:r>
        <w:rPr>
          <w:rFonts w:hint="eastAsia" w:eastAsia="仿宋"/>
          <w:sz w:val="21"/>
          <w:szCs w:val="21"/>
          <w:highlight w:val="none"/>
        </w:rPr>
        <w:t>4</w:t>
      </w:r>
      <w:r>
        <w:rPr>
          <w:rFonts w:eastAsia="仿宋"/>
          <w:sz w:val="21"/>
          <w:szCs w:val="21"/>
          <w:highlight w:val="none"/>
        </w:rPr>
        <w:t xml:space="preserve">.1 </w:t>
      </w:r>
      <w:r>
        <w:rPr>
          <w:rFonts w:ascii="仿宋" w:hAnsi="仿宋" w:eastAsia="仿宋"/>
          <w:sz w:val="21"/>
          <w:szCs w:val="21"/>
          <w:highlight w:val="none"/>
        </w:rPr>
        <w:t>本合同不含税价</w:t>
      </w:r>
      <w:r>
        <w:rPr>
          <w:rFonts w:hint="eastAsia" w:ascii="仿宋" w:hAnsi="仿宋" w:eastAsia="仿宋"/>
          <w:sz w:val="21"/>
          <w:szCs w:val="21"/>
          <w:highlight w:val="none"/>
          <w:lang w:val="en-US" w:eastAsia="zh-CN"/>
        </w:rPr>
        <w:t>款</w:t>
      </w:r>
      <w:r>
        <w:rPr>
          <w:rFonts w:ascii="仿宋" w:hAnsi="仿宋" w:eastAsia="仿宋"/>
          <w:sz w:val="21"/>
          <w:szCs w:val="21"/>
          <w:highlight w:val="none"/>
        </w:rPr>
        <w:t>为</w:t>
      </w:r>
      <w:r>
        <w:rPr>
          <w:rFonts w:hint="eastAsia" w:ascii="仿宋" w:hAnsi="仿宋" w:eastAsia="仿宋"/>
          <w:sz w:val="21"/>
          <w:szCs w:val="21"/>
          <w:highlight w:val="none"/>
        </w:rPr>
        <w:t>人民币（大写）</w:t>
      </w:r>
      <w:r>
        <w:rPr>
          <w:rFonts w:hint="eastAsia" w:ascii="仿宋" w:hAnsi="仿宋" w:eastAsia="仿宋"/>
          <w:sz w:val="21"/>
          <w:szCs w:val="21"/>
          <w:highlight w:val="none"/>
          <w:u w:val="single"/>
        </w:rPr>
        <w:t xml:space="preserve">                  </w:t>
      </w:r>
      <w:r>
        <w:rPr>
          <w:rFonts w:hint="eastAsia" w:ascii="仿宋" w:hAnsi="仿宋" w:eastAsia="仿宋"/>
          <w:sz w:val="21"/>
          <w:szCs w:val="21"/>
          <w:highlight w:val="none"/>
        </w:rPr>
        <w:t>（¥</w:t>
      </w:r>
      <w:r>
        <w:rPr>
          <w:rFonts w:hint="eastAsia" w:ascii="仿宋" w:hAnsi="仿宋" w:eastAsia="仿宋"/>
          <w:sz w:val="21"/>
          <w:szCs w:val="21"/>
          <w:highlight w:val="none"/>
          <w:u w:val="single"/>
        </w:rPr>
        <w:t xml:space="preserve">           </w:t>
      </w:r>
      <w:r>
        <w:rPr>
          <w:rFonts w:hint="eastAsia" w:ascii="仿宋" w:hAnsi="仿宋" w:eastAsia="仿宋"/>
          <w:sz w:val="21"/>
          <w:szCs w:val="21"/>
          <w:highlight w:val="none"/>
        </w:rPr>
        <w:t>元）</w:t>
      </w:r>
      <w:r>
        <w:rPr>
          <w:rFonts w:ascii="仿宋" w:hAnsi="仿宋" w:eastAsia="仿宋"/>
          <w:sz w:val="21"/>
          <w:szCs w:val="21"/>
          <w:highlight w:val="none"/>
        </w:rPr>
        <w:t>，含税总价共计为</w:t>
      </w:r>
      <w:r>
        <w:rPr>
          <w:rFonts w:hint="eastAsia" w:ascii="仿宋" w:hAnsi="仿宋" w:eastAsia="仿宋"/>
          <w:sz w:val="21"/>
          <w:szCs w:val="21"/>
          <w:highlight w:val="none"/>
        </w:rPr>
        <w:t>人民币（大写）</w:t>
      </w:r>
      <w:r>
        <w:rPr>
          <w:rFonts w:hint="eastAsia" w:ascii="仿宋" w:hAnsi="仿宋" w:eastAsia="仿宋"/>
          <w:sz w:val="21"/>
          <w:szCs w:val="21"/>
          <w:highlight w:val="none"/>
          <w:u w:val="single"/>
        </w:rPr>
        <w:t xml:space="preserve">                  </w:t>
      </w:r>
      <w:r>
        <w:rPr>
          <w:rFonts w:hint="eastAsia" w:ascii="仿宋" w:hAnsi="仿宋" w:eastAsia="仿宋"/>
          <w:sz w:val="21"/>
          <w:szCs w:val="21"/>
          <w:highlight w:val="none"/>
        </w:rPr>
        <w:t>（¥</w:t>
      </w:r>
      <w:r>
        <w:rPr>
          <w:rFonts w:hint="eastAsia" w:ascii="仿宋" w:hAnsi="仿宋" w:eastAsia="仿宋"/>
          <w:sz w:val="21"/>
          <w:szCs w:val="21"/>
          <w:highlight w:val="none"/>
          <w:u w:val="single"/>
        </w:rPr>
        <w:t xml:space="preserve">           </w:t>
      </w:r>
      <w:r>
        <w:rPr>
          <w:rFonts w:hint="eastAsia" w:ascii="仿宋" w:hAnsi="仿宋" w:eastAsia="仿宋"/>
          <w:sz w:val="21"/>
          <w:szCs w:val="21"/>
          <w:highlight w:val="none"/>
        </w:rPr>
        <w:t>元）,税率为_</w:t>
      </w:r>
      <w:r>
        <w:rPr>
          <w:rFonts w:ascii="仿宋" w:hAnsi="仿宋" w:eastAsia="仿宋"/>
          <w:sz w:val="21"/>
          <w:szCs w:val="21"/>
          <w:highlight w:val="none"/>
        </w:rPr>
        <w:t>____%。</w:t>
      </w:r>
    </w:p>
    <w:p w14:paraId="5440D66E">
      <w:pPr>
        <w:spacing w:line="360" w:lineRule="auto"/>
        <w:rPr>
          <w:rFonts w:eastAsia="仿宋"/>
          <w:highlight w:val="none"/>
        </w:rPr>
      </w:pPr>
      <w:r>
        <w:rPr>
          <w:rFonts w:hint="eastAsia" w:eastAsia="仿宋"/>
          <w:highlight w:val="none"/>
        </w:rPr>
        <w:t>4</w:t>
      </w:r>
      <w:r>
        <w:rPr>
          <w:rFonts w:eastAsia="仿宋"/>
          <w:highlight w:val="none"/>
        </w:rPr>
        <w:t xml:space="preserve">.2 </w:t>
      </w:r>
      <w:r>
        <w:rPr>
          <w:rFonts w:hint="eastAsia" w:eastAsia="仿宋"/>
          <w:highlight w:val="none"/>
        </w:rPr>
        <w:t>本合同采用以下第</w:t>
      </w:r>
      <w:r>
        <w:rPr>
          <w:rFonts w:hint="eastAsia" w:eastAsia="仿宋"/>
          <w:highlight w:val="none"/>
          <w:u w:val="single"/>
          <w:lang w:val="en-US" w:eastAsia="zh-CN"/>
        </w:rPr>
        <w:t>1</w:t>
      </w:r>
      <w:r>
        <w:rPr>
          <w:rFonts w:hint="eastAsia" w:eastAsia="仿宋"/>
          <w:highlight w:val="none"/>
        </w:rPr>
        <w:t>种价格形式：</w:t>
      </w:r>
    </w:p>
    <w:p w14:paraId="352F481D">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eastAsia="仿宋"/>
          <w:highlight w:val="none"/>
        </w:rPr>
      </w:pPr>
      <w:r>
        <w:rPr>
          <w:rFonts w:hint="eastAsia" w:eastAsia="仿宋"/>
          <w:highlight w:val="none"/>
        </w:rPr>
        <w:t>1.总价合同形式</w:t>
      </w:r>
    </w:p>
    <w:p w14:paraId="1E8F7F8C">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eastAsia="仿宋"/>
          <w:highlight w:val="none"/>
        </w:rPr>
      </w:pPr>
      <w:r>
        <w:rPr>
          <w:rFonts w:hint="eastAsia" w:eastAsia="仿宋"/>
          <w:highlight w:val="none"/>
        </w:rPr>
        <w:t>（1）合同价款包括合同项目范围内的合同设备（含合同规定的各种材料、备品备件、专用工具）、设计、土建、安装、保管、调试、试验、验收、并网、技术服务等费用。</w:t>
      </w:r>
    </w:p>
    <w:p w14:paraId="3F8128DB">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eastAsia="仿宋"/>
          <w:color w:val="auto"/>
          <w:highlight w:val="none"/>
        </w:rPr>
      </w:pPr>
      <w:r>
        <w:rPr>
          <w:rFonts w:hint="eastAsia" w:eastAsia="仿宋"/>
          <w:highlight w:val="none"/>
        </w:rPr>
        <w:t>（</w:t>
      </w:r>
      <w:r>
        <w:rPr>
          <w:rFonts w:eastAsia="仿宋"/>
          <w:highlight w:val="none"/>
        </w:rPr>
        <w:t>2</w:t>
      </w:r>
      <w:r>
        <w:rPr>
          <w:rFonts w:hint="eastAsia" w:eastAsia="仿宋"/>
          <w:highlight w:val="none"/>
        </w:rPr>
        <w:t>）</w:t>
      </w:r>
      <w:r>
        <w:rPr>
          <w:rFonts w:hint="eastAsia" w:eastAsia="仿宋"/>
          <w:color w:val="auto"/>
          <w:highlight w:val="none"/>
        </w:rPr>
        <w:t>以甲方提供的工程量清单包干，在合同约定的范围内合同总价原则上不作任何调整。</w:t>
      </w:r>
    </w:p>
    <w:p w14:paraId="5A5B2FE4">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eastAsia="仿宋"/>
          <w:color w:val="auto"/>
          <w:highlight w:val="none"/>
        </w:rPr>
      </w:pPr>
      <w:r>
        <w:rPr>
          <w:rFonts w:hint="eastAsia" w:eastAsia="仿宋"/>
          <w:color w:val="auto"/>
          <w:highlight w:val="none"/>
        </w:rPr>
        <w:t>（3）</w:t>
      </w:r>
      <w:r>
        <w:rPr>
          <w:rFonts w:eastAsia="仿宋"/>
          <w:color w:val="auto"/>
          <w:highlight w:val="none"/>
        </w:rPr>
        <w:t>本合同总价在合同有效期内为不变价</w:t>
      </w:r>
      <w:r>
        <w:rPr>
          <w:rFonts w:hint="eastAsia" w:eastAsia="仿宋"/>
          <w:color w:val="auto"/>
          <w:highlight w:val="none"/>
        </w:rPr>
        <w:t>，除非发生下列情形可作调整外，不会因为其他情形发生任何调整：</w:t>
      </w:r>
    </w:p>
    <w:p w14:paraId="1BC8E5CD">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eastAsia="仿宋"/>
          <w:color w:val="auto"/>
          <w:highlight w:val="none"/>
        </w:rPr>
      </w:pPr>
      <w:r>
        <w:rPr>
          <w:rFonts w:hint="eastAsia" w:eastAsia="仿宋"/>
          <w:color w:val="auto"/>
          <w:highlight w:val="none"/>
        </w:rPr>
        <w:t>a</w:t>
      </w:r>
      <w:r>
        <w:rPr>
          <w:rFonts w:eastAsia="仿宋"/>
          <w:color w:val="auto"/>
          <w:highlight w:val="none"/>
        </w:rPr>
        <w:t xml:space="preserve">. </w:t>
      </w:r>
      <w:r>
        <w:rPr>
          <w:rFonts w:hint="eastAsia" w:eastAsia="仿宋"/>
          <w:color w:val="auto"/>
          <w:highlight w:val="none"/>
        </w:rPr>
        <w:t>按照甲方要求或指示的设计变更，导致不包含在合同范围内的工程量或费用的增加，或者导致合同范围内的工程量或费用的减少；</w:t>
      </w:r>
    </w:p>
    <w:p w14:paraId="3AD73679">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eastAsia="仿宋"/>
          <w:color w:val="auto"/>
          <w:highlight w:val="none"/>
        </w:rPr>
      </w:pPr>
      <w:r>
        <w:rPr>
          <w:rFonts w:hint="eastAsia" w:eastAsia="仿宋"/>
          <w:color w:val="auto"/>
          <w:highlight w:val="none"/>
        </w:rPr>
        <w:t>b</w:t>
      </w:r>
      <w:r>
        <w:rPr>
          <w:rFonts w:eastAsia="仿宋"/>
          <w:color w:val="auto"/>
          <w:highlight w:val="none"/>
        </w:rPr>
        <w:t>.</w:t>
      </w:r>
      <w:r>
        <w:rPr>
          <w:rFonts w:hint="eastAsia" w:eastAsia="仿宋"/>
          <w:color w:val="auto"/>
          <w:highlight w:val="none"/>
        </w:rPr>
        <w:t>经甲方签证确认的非乙方原因导致的合同工程现场签证事项。</w:t>
      </w:r>
    </w:p>
    <w:p w14:paraId="7937A90A">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eastAsia="仿宋"/>
          <w:color w:val="auto"/>
          <w:highlight w:val="none"/>
        </w:rPr>
      </w:pPr>
      <w:r>
        <w:rPr>
          <w:rFonts w:hint="eastAsia" w:eastAsia="仿宋"/>
          <w:color w:val="auto"/>
          <w:highlight w:val="none"/>
        </w:rPr>
        <w:t>2.单价合同形式</w:t>
      </w:r>
    </w:p>
    <w:p w14:paraId="4D656823">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eastAsia="仿宋"/>
          <w:color w:val="auto"/>
          <w:highlight w:val="none"/>
        </w:rPr>
      </w:pPr>
      <w:r>
        <w:rPr>
          <w:rFonts w:hint="eastAsia" w:eastAsia="仿宋"/>
          <w:color w:val="auto"/>
          <w:highlight w:val="none"/>
        </w:rPr>
        <w:t>（1）本合同采用固定单价合同形式，固定单价所包含的范围，除合同另有约定外，工程量清单中有标价的单价均包括了实施和完成合同项目所需的人工、材料、机械、质检、安装、缺陷修复、管理、利润等费用，以及合同明示或暗示的所有责任、风险。</w:t>
      </w:r>
    </w:p>
    <w:p w14:paraId="0466428B">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eastAsia="仿宋"/>
          <w:color w:val="auto"/>
          <w:highlight w:val="none"/>
        </w:rPr>
      </w:pPr>
      <w:r>
        <w:rPr>
          <w:rFonts w:hint="eastAsia" w:eastAsia="仿宋"/>
          <w:color w:val="auto"/>
          <w:highlight w:val="none"/>
        </w:rPr>
        <w:t>（2）构成合同价款的项目单价一经甲方和乙方签订合同确定后不作调整。</w:t>
      </w:r>
    </w:p>
    <w:p w14:paraId="03609C4C">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eastAsia="仿宋"/>
          <w:color w:val="auto"/>
          <w:highlight w:val="none"/>
        </w:rPr>
      </w:pPr>
      <w:r>
        <w:rPr>
          <w:rFonts w:hint="eastAsia" w:eastAsia="仿宋"/>
          <w:color w:val="auto"/>
          <w:highlight w:val="none"/>
        </w:rPr>
        <w:t>3.其他形式</w:t>
      </w:r>
    </w:p>
    <w:p w14:paraId="7C01B5B7">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eastAsia="仿宋"/>
          <w:color w:val="auto"/>
          <w:highlight w:val="none"/>
        </w:rPr>
      </w:pPr>
      <w:r>
        <w:rPr>
          <w:rFonts w:hint="eastAsia" w:eastAsia="仿宋" w:cs="仿宋"/>
          <w:color w:val="auto"/>
          <w:highlight w:val="none"/>
        </w:rPr>
        <w:t>本项目中的</w:t>
      </w:r>
      <w:r>
        <w:rPr>
          <w:rFonts w:hint="eastAsia" w:eastAsia="仿宋"/>
          <w:color w:val="auto"/>
          <w:highlight w:val="none"/>
        </w:rPr>
        <w:t>__________(</w:t>
      </w:r>
      <w:r>
        <w:rPr>
          <w:rFonts w:hint="eastAsia" w:eastAsia="仿宋" w:cs="仿宋"/>
          <w:color w:val="auto"/>
          <w:highlight w:val="none"/>
        </w:rPr>
        <w:t>工程量确定的子项目名称</w:t>
      </w:r>
      <w:r>
        <w:rPr>
          <w:rFonts w:hint="eastAsia" w:eastAsia="仿宋"/>
          <w:color w:val="auto"/>
          <w:highlight w:val="none"/>
        </w:rPr>
        <w:t>)</w:t>
      </w:r>
      <w:r>
        <w:rPr>
          <w:rFonts w:hint="eastAsia" w:eastAsia="仿宋" w:cs="仿宋"/>
          <w:color w:val="auto"/>
          <w:highlight w:val="none"/>
        </w:rPr>
        <w:t>以双方确认的</w:t>
      </w:r>
      <w:r>
        <w:rPr>
          <w:rFonts w:hint="eastAsia" w:eastAsia="仿宋"/>
          <w:color w:val="auto"/>
          <w:highlight w:val="none"/>
        </w:rPr>
        <w:t>/</w:t>
      </w:r>
      <w:r>
        <w:rPr>
          <w:rFonts w:hint="eastAsia" w:eastAsia="仿宋" w:cs="仿宋"/>
          <w:color w:val="auto"/>
          <w:highlight w:val="none"/>
        </w:rPr>
        <w:t>甲方提供的报价清单中固定总价包干，这部分项目的合同价款在约定的范围内原则上不作任何调整；本项目中的</w:t>
      </w:r>
      <w:r>
        <w:rPr>
          <w:rFonts w:hint="eastAsia" w:eastAsia="仿宋"/>
          <w:color w:val="auto"/>
          <w:highlight w:val="none"/>
        </w:rPr>
        <w:t>__________(</w:t>
      </w:r>
      <w:r>
        <w:rPr>
          <w:rFonts w:hint="eastAsia" w:eastAsia="仿宋" w:cs="仿宋"/>
          <w:color w:val="auto"/>
          <w:highlight w:val="none"/>
        </w:rPr>
        <w:t>工程量预估的子项目名称</w:t>
      </w:r>
      <w:r>
        <w:rPr>
          <w:rFonts w:hint="eastAsia" w:eastAsia="仿宋"/>
          <w:color w:val="auto"/>
          <w:highlight w:val="none"/>
        </w:rPr>
        <w:t>)</w:t>
      </w:r>
      <w:r>
        <w:rPr>
          <w:rFonts w:hint="eastAsia" w:eastAsia="仿宋" w:cs="仿宋"/>
          <w:color w:val="auto"/>
          <w:highlight w:val="none"/>
        </w:rPr>
        <w:t>工程量为预估，以双方或者甲方确认的报价清单中的固定单价包干，这部分项目的合同价款按双方最终确认的工程量据实计算，固定单价原则上不作任何调整。</w:t>
      </w:r>
    </w:p>
    <w:p w14:paraId="438592D4">
      <w:pPr>
        <w:spacing w:line="360" w:lineRule="auto"/>
        <w:rPr>
          <w:rFonts w:eastAsia="仿宋"/>
          <w:highlight w:val="none"/>
        </w:rPr>
      </w:pPr>
      <w:r>
        <w:rPr>
          <w:rFonts w:hint="eastAsia" w:eastAsia="仿宋"/>
          <w:highlight w:val="none"/>
        </w:rPr>
        <w:t>4</w:t>
      </w:r>
      <w:r>
        <w:rPr>
          <w:rFonts w:eastAsia="仿宋"/>
          <w:highlight w:val="none"/>
        </w:rPr>
        <w:t xml:space="preserve">.3 </w:t>
      </w:r>
      <w:r>
        <w:rPr>
          <w:rFonts w:hint="eastAsia" w:eastAsia="仿宋"/>
          <w:highlight w:val="none"/>
        </w:rPr>
        <w:t>出现合同约定的合同价款调增事项后的七个工作日内，乙方应向甲方提交合同价款调增报告并附上相关资料，若乙方在七个工作日内未提交合同价款调增报告的，视为乙方对该事项不存在调整价款。</w:t>
      </w:r>
    </w:p>
    <w:p w14:paraId="688B0130">
      <w:pPr>
        <w:spacing w:line="360" w:lineRule="auto"/>
        <w:rPr>
          <w:rFonts w:eastAsia="仿宋"/>
          <w:highlight w:val="none"/>
        </w:rPr>
      </w:pPr>
      <w:r>
        <w:rPr>
          <w:rFonts w:hint="eastAsia" w:eastAsia="仿宋"/>
          <w:highlight w:val="none"/>
        </w:rPr>
        <w:t>4</w:t>
      </w:r>
      <w:r>
        <w:rPr>
          <w:rFonts w:eastAsia="仿宋"/>
          <w:highlight w:val="none"/>
        </w:rPr>
        <w:t xml:space="preserve">.4 </w:t>
      </w:r>
      <w:r>
        <w:rPr>
          <w:rFonts w:hint="eastAsia" w:eastAsia="仿宋"/>
          <w:highlight w:val="none"/>
        </w:rPr>
        <w:t>甲方应</w:t>
      </w:r>
      <w:r>
        <w:rPr>
          <w:rFonts w:eastAsia="仿宋"/>
          <w:highlight w:val="none"/>
        </w:rPr>
        <w:t>在收到</w:t>
      </w:r>
      <w:r>
        <w:rPr>
          <w:rFonts w:hint="eastAsia" w:eastAsia="仿宋"/>
          <w:highlight w:val="none"/>
        </w:rPr>
        <w:t>乙方</w:t>
      </w:r>
      <w:r>
        <w:rPr>
          <w:rFonts w:eastAsia="仿宋"/>
          <w:highlight w:val="none"/>
        </w:rPr>
        <w:t>合同价款调增报告及相关资料之日起</w:t>
      </w:r>
      <w:r>
        <w:rPr>
          <w:rFonts w:eastAsia="仿宋"/>
          <w:highlight w:val="none"/>
          <w:u w:val="single"/>
        </w:rPr>
        <w:t>14</w:t>
      </w:r>
      <w:r>
        <w:rPr>
          <w:rFonts w:hint="eastAsia" w:eastAsia="仿宋"/>
          <w:highlight w:val="none"/>
          <w:u w:val="none"/>
          <w:lang w:val="en-US" w:eastAsia="zh-CN"/>
        </w:rPr>
        <w:t>个</w:t>
      </w:r>
      <w:r>
        <w:rPr>
          <w:rFonts w:hint="eastAsia" w:eastAsia="仿宋"/>
          <w:highlight w:val="none"/>
        </w:rPr>
        <w:t>工作日内</w:t>
      </w:r>
      <w:r>
        <w:rPr>
          <w:rFonts w:eastAsia="仿宋"/>
          <w:highlight w:val="none"/>
        </w:rPr>
        <w:t>对其核实，予以确认的</w:t>
      </w:r>
      <w:r>
        <w:rPr>
          <w:rFonts w:hint="eastAsia" w:eastAsia="仿宋"/>
          <w:highlight w:val="none"/>
        </w:rPr>
        <w:t>，</w:t>
      </w:r>
      <w:r>
        <w:rPr>
          <w:rFonts w:eastAsia="仿宋"/>
          <w:highlight w:val="none"/>
        </w:rPr>
        <w:t>应书面通知</w:t>
      </w:r>
      <w:r>
        <w:rPr>
          <w:rFonts w:hint="eastAsia" w:eastAsia="仿宋"/>
          <w:highlight w:val="none"/>
        </w:rPr>
        <w:t>乙方</w:t>
      </w:r>
      <w:r>
        <w:rPr>
          <w:rFonts w:eastAsia="仿宋"/>
          <w:highlight w:val="none"/>
        </w:rPr>
        <w:t>。</w:t>
      </w:r>
      <w:r>
        <w:rPr>
          <w:rFonts w:hint="eastAsia" w:eastAsia="仿宋"/>
          <w:highlight w:val="none"/>
        </w:rPr>
        <w:t>甲方未予确认的部分，乙方不得擅自变更或增加。</w:t>
      </w:r>
    </w:p>
    <w:p w14:paraId="6D992FED">
      <w:pPr>
        <w:spacing w:line="360" w:lineRule="auto"/>
        <w:rPr>
          <w:rFonts w:eastAsia="仿宋"/>
          <w:highlight w:val="none"/>
        </w:rPr>
      </w:pPr>
      <w:r>
        <w:rPr>
          <w:rFonts w:hint="eastAsia" w:eastAsia="仿宋"/>
          <w:highlight w:val="none"/>
        </w:rPr>
        <w:t>4</w:t>
      </w:r>
      <w:r>
        <w:rPr>
          <w:rFonts w:eastAsia="仿宋"/>
          <w:highlight w:val="none"/>
        </w:rPr>
        <w:t xml:space="preserve">.5 </w:t>
      </w:r>
      <w:r>
        <w:rPr>
          <w:rFonts w:hint="eastAsia" w:eastAsia="仿宋"/>
          <w:highlight w:val="none"/>
        </w:rPr>
        <w:t>出现合同约定的合同价款调减事项后的</w:t>
      </w:r>
      <w:r>
        <w:rPr>
          <w:rFonts w:hint="eastAsia" w:eastAsia="仿宋"/>
          <w:highlight w:val="none"/>
          <w:u w:val="single"/>
        </w:rPr>
        <w:t>7</w:t>
      </w:r>
      <w:r>
        <w:rPr>
          <w:rFonts w:hint="eastAsia" w:eastAsia="仿宋"/>
          <w:highlight w:val="none"/>
        </w:rPr>
        <w:t>个工作日内，甲方应向乙方提交合同价款调减报告并说明理由。乙方在收到甲方合同价款调减报告及相关资料之日起</w:t>
      </w:r>
      <w:r>
        <w:rPr>
          <w:rFonts w:hint="eastAsia" w:eastAsia="仿宋"/>
          <w:highlight w:val="none"/>
          <w:u w:val="single"/>
          <w:lang w:val="en-US" w:eastAsia="zh-CN"/>
        </w:rPr>
        <w:t>7</w:t>
      </w:r>
      <w:r>
        <w:rPr>
          <w:rFonts w:hint="eastAsia" w:eastAsia="仿宋"/>
          <w:highlight w:val="none"/>
        </w:rPr>
        <w:t>个工作日内不予确认也未提出不同意见的，视为乙方认可甲方的价款调减请求。</w:t>
      </w:r>
    </w:p>
    <w:p w14:paraId="1A2254B5">
      <w:pPr>
        <w:spacing w:line="360" w:lineRule="auto"/>
        <w:rPr>
          <w:rFonts w:hint="eastAsia" w:eastAsia="仿宋"/>
          <w:highlight w:val="none"/>
        </w:rPr>
      </w:pPr>
      <w:r>
        <w:rPr>
          <w:rFonts w:hint="eastAsia" w:eastAsia="仿宋"/>
          <w:highlight w:val="none"/>
        </w:rPr>
        <w:t>4</w:t>
      </w:r>
      <w:r>
        <w:rPr>
          <w:rFonts w:eastAsia="仿宋"/>
          <w:highlight w:val="none"/>
        </w:rPr>
        <w:t xml:space="preserve">.6 </w:t>
      </w:r>
      <w:r>
        <w:rPr>
          <w:rFonts w:hint="eastAsia" w:eastAsia="仿宋"/>
          <w:highlight w:val="none"/>
        </w:rPr>
        <w:t>经过甲乙双方确认调整的合同价款，作为追加（减）合同价款，与工程进度款或结算款同期支付。</w:t>
      </w:r>
    </w:p>
    <w:p w14:paraId="75330161">
      <w:pPr>
        <w:spacing w:line="360" w:lineRule="auto"/>
        <w:rPr>
          <w:rFonts w:eastAsia="仿宋"/>
          <w:highlight w:val="none"/>
        </w:rPr>
      </w:pPr>
      <w:r>
        <w:rPr>
          <w:rFonts w:hint="eastAsia" w:eastAsia="仿宋"/>
          <w:highlight w:val="none"/>
          <w:lang w:val="en-US" w:eastAsia="zh-CN"/>
        </w:rPr>
        <w:t>4.7 本合同款项应按</w:t>
      </w:r>
      <w:r>
        <w:rPr>
          <w:rFonts w:hint="eastAsia" w:eastAsia="仿宋"/>
          <w:highlight w:val="none"/>
        </w:rPr>
        <w:t>下列第</w:t>
      </w:r>
      <w:r>
        <w:rPr>
          <w:rFonts w:hint="eastAsia" w:eastAsia="仿宋"/>
          <w:highlight w:val="none"/>
          <w:u w:val="single"/>
          <w:lang w:val="en-US" w:eastAsia="zh-CN"/>
        </w:rPr>
        <w:t>1</w:t>
      </w:r>
      <w:r>
        <w:rPr>
          <w:rFonts w:hint="eastAsia" w:eastAsia="仿宋"/>
          <w:highlight w:val="none"/>
        </w:rPr>
        <w:t>种方式</w:t>
      </w:r>
      <w:r>
        <w:rPr>
          <w:rFonts w:hint="eastAsia" w:eastAsia="仿宋"/>
          <w:highlight w:val="none"/>
          <w:lang w:val="en-US" w:eastAsia="zh-CN"/>
        </w:rPr>
        <w:t>支付</w:t>
      </w:r>
      <w:r>
        <w:rPr>
          <w:rFonts w:hint="eastAsia" w:eastAsia="仿宋"/>
          <w:highlight w:val="none"/>
        </w:rPr>
        <w:t>：</w:t>
      </w:r>
    </w:p>
    <w:p w14:paraId="4CB7E36B">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eastAsia="仿宋"/>
          <w:color w:val="auto"/>
          <w:highlight w:val="none"/>
        </w:rPr>
      </w:pPr>
      <w:r>
        <w:rPr>
          <w:rFonts w:eastAsia="仿宋"/>
          <w:color w:val="auto"/>
          <w:highlight w:val="none"/>
        </w:rPr>
        <w:t>1</w:t>
      </w:r>
      <w:r>
        <w:rPr>
          <w:rFonts w:hint="eastAsia" w:eastAsia="仿宋"/>
          <w:color w:val="auto"/>
          <w:highlight w:val="none"/>
        </w:rPr>
        <w:t>.一次性付款</w:t>
      </w:r>
    </w:p>
    <w:p w14:paraId="740B52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仿宋"/>
          <w:highlight w:val="none"/>
          <w:lang w:val="en-US" w:eastAsia="zh-CN"/>
        </w:rPr>
      </w:pPr>
      <w:r>
        <w:rPr>
          <w:rFonts w:hint="eastAsia" w:eastAsia="仿宋"/>
          <w:highlight w:val="none"/>
          <w:lang w:val="en-US" w:eastAsia="zh-CN"/>
        </w:rPr>
        <w:t>工程完工及验收通过后，乙方提交付款申请及工作量清单，甲方审核后并按合同约定扣除索赔款项、违约金等，于30天内向乙方一次性支付结算款的97%，剩余3%待1年质保期满后一次性支付。</w:t>
      </w:r>
    </w:p>
    <w:p w14:paraId="1C42198A">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eastAsia="仿宋"/>
          <w:highlight w:val="none"/>
        </w:rPr>
      </w:pPr>
      <w:r>
        <w:rPr>
          <w:rFonts w:eastAsia="仿宋"/>
          <w:highlight w:val="none"/>
        </w:rPr>
        <w:t>2.</w:t>
      </w:r>
      <w:r>
        <w:rPr>
          <w:rFonts w:hint="eastAsia" w:eastAsia="仿宋"/>
          <w:highlight w:val="none"/>
        </w:rPr>
        <w:t>分阶段付款：</w:t>
      </w:r>
    </w:p>
    <w:p w14:paraId="22238C1E">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eastAsia="仿宋"/>
          <w:highlight w:val="none"/>
        </w:rPr>
      </w:pPr>
      <w:r>
        <w:rPr>
          <w:rFonts w:hint="eastAsia" w:eastAsia="仿宋"/>
          <w:highlight w:val="none"/>
        </w:rPr>
        <w:t>（1）首期付款：【</w:t>
      </w:r>
      <w:r>
        <w:rPr>
          <w:rFonts w:hint="eastAsia" w:eastAsia="仿宋"/>
          <w:highlight w:val="none"/>
          <w:u w:val="single"/>
        </w:rPr>
        <w:t>付款条件</w:t>
      </w:r>
      <w:r>
        <w:rPr>
          <w:rFonts w:hint="eastAsia" w:eastAsia="仿宋"/>
          <w:highlight w:val="none"/>
        </w:rPr>
        <w:t>】，【</w:t>
      </w:r>
      <w:r>
        <w:rPr>
          <w:rFonts w:hint="eastAsia" w:eastAsia="仿宋"/>
          <w:highlight w:val="none"/>
          <w:u w:val="single"/>
        </w:rPr>
        <w:t>付款时间</w:t>
      </w:r>
      <w:r>
        <w:rPr>
          <w:rFonts w:hint="eastAsia" w:eastAsia="仿宋"/>
          <w:highlight w:val="none"/>
        </w:rPr>
        <w:t>】，【</w:t>
      </w:r>
      <w:r>
        <w:rPr>
          <w:rFonts w:hint="eastAsia" w:eastAsia="仿宋"/>
          <w:highlight w:val="none"/>
          <w:u w:val="single"/>
        </w:rPr>
        <w:t>付款比例</w:t>
      </w:r>
      <w:r>
        <w:rPr>
          <w:rFonts w:hint="eastAsia" w:eastAsia="仿宋"/>
          <w:highlight w:val="none"/>
        </w:rPr>
        <w:t>】%，即人民币（大写）_____元(￥_____元)；</w:t>
      </w:r>
    </w:p>
    <w:p w14:paraId="438C4032">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eastAsia="仿宋"/>
          <w:highlight w:val="none"/>
        </w:rPr>
      </w:pPr>
      <w:r>
        <w:rPr>
          <w:rFonts w:hint="eastAsia" w:eastAsia="仿宋"/>
          <w:highlight w:val="none"/>
        </w:rPr>
        <w:t>（2）第二期付款：【</w:t>
      </w:r>
      <w:r>
        <w:rPr>
          <w:rFonts w:hint="eastAsia" w:eastAsia="仿宋"/>
          <w:highlight w:val="none"/>
          <w:u w:val="single"/>
        </w:rPr>
        <w:t>付款条件</w:t>
      </w:r>
      <w:r>
        <w:rPr>
          <w:rFonts w:hint="eastAsia" w:eastAsia="仿宋"/>
          <w:highlight w:val="none"/>
        </w:rPr>
        <w:t>】，【</w:t>
      </w:r>
      <w:r>
        <w:rPr>
          <w:rFonts w:hint="eastAsia" w:eastAsia="仿宋"/>
          <w:highlight w:val="none"/>
          <w:u w:val="single"/>
        </w:rPr>
        <w:t>付款时间</w:t>
      </w:r>
      <w:r>
        <w:rPr>
          <w:rFonts w:hint="eastAsia" w:eastAsia="仿宋"/>
          <w:highlight w:val="none"/>
        </w:rPr>
        <w:t>】，【</w:t>
      </w:r>
      <w:r>
        <w:rPr>
          <w:rFonts w:hint="eastAsia" w:eastAsia="仿宋"/>
          <w:highlight w:val="none"/>
          <w:u w:val="single"/>
        </w:rPr>
        <w:t>付款比例</w:t>
      </w:r>
      <w:r>
        <w:rPr>
          <w:rFonts w:hint="eastAsia" w:eastAsia="仿宋"/>
          <w:highlight w:val="none"/>
        </w:rPr>
        <w:t>】%，即人民币（大写）_____元(￥_____元)；</w:t>
      </w:r>
    </w:p>
    <w:p w14:paraId="2E31D884">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eastAsia="仿宋"/>
          <w:highlight w:val="none"/>
        </w:rPr>
      </w:pPr>
      <w:r>
        <w:rPr>
          <w:rFonts w:hint="eastAsia" w:eastAsia="仿宋"/>
          <w:highlight w:val="none"/>
        </w:rPr>
        <w:t>（3）末期付款：在本</w:t>
      </w:r>
      <w:r>
        <w:rPr>
          <w:rFonts w:eastAsia="仿宋"/>
          <w:highlight w:val="none"/>
        </w:rPr>
        <w:t>项目</w:t>
      </w:r>
      <w:r>
        <w:rPr>
          <w:rFonts w:hint="eastAsia" w:eastAsia="仿宋"/>
          <w:highlight w:val="none"/>
        </w:rPr>
        <w:t>竣工验收通过后（如果存在项目变更，须完成结算审计）</w:t>
      </w:r>
      <w:r>
        <w:rPr>
          <w:rFonts w:eastAsia="仿宋"/>
          <w:highlight w:val="none"/>
        </w:rPr>
        <w:t>，甲方</w:t>
      </w:r>
      <w:r>
        <w:rPr>
          <w:rFonts w:hint="eastAsia" w:eastAsia="仿宋"/>
          <w:highlight w:val="none"/>
        </w:rPr>
        <w:t>收到</w:t>
      </w:r>
      <w:r>
        <w:rPr>
          <w:rFonts w:eastAsia="仿宋"/>
          <w:highlight w:val="none"/>
        </w:rPr>
        <w:t>乙方提供的有效</w:t>
      </w:r>
      <w:r>
        <w:rPr>
          <w:rFonts w:hint="eastAsia" w:eastAsia="仿宋"/>
          <w:highlight w:val="none"/>
        </w:rPr>
        <w:t>增值税专用发票后三十日内，甲方向乙方</w:t>
      </w:r>
      <w:r>
        <w:rPr>
          <w:rFonts w:eastAsia="仿宋"/>
          <w:highlight w:val="none"/>
        </w:rPr>
        <w:t>支付至结算价的</w:t>
      </w:r>
      <w:r>
        <w:rPr>
          <w:rFonts w:hint="eastAsia" w:eastAsia="仿宋"/>
          <w:highlight w:val="none"/>
          <w:u w:val="single"/>
        </w:rPr>
        <w:t>97</w:t>
      </w:r>
      <w:r>
        <w:rPr>
          <w:rFonts w:eastAsia="仿宋"/>
          <w:highlight w:val="none"/>
        </w:rPr>
        <w:t>%</w:t>
      </w:r>
      <w:r>
        <w:rPr>
          <w:rFonts w:hint="eastAsia" w:eastAsia="仿宋"/>
          <w:highlight w:val="none"/>
        </w:rPr>
        <w:t>；</w:t>
      </w:r>
    </w:p>
    <w:p w14:paraId="4AE5BB5D">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eastAsia="仿宋"/>
          <w:highlight w:val="none"/>
        </w:rPr>
      </w:pPr>
      <w:r>
        <w:rPr>
          <w:rFonts w:hint="eastAsia" w:eastAsia="仿宋"/>
          <w:highlight w:val="none"/>
        </w:rPr>
        <w:t>（4）</w:t>
      </w:r>
      <w:r>
        <w:rPr>
          <w:rFonts w:eastAsia="仿宋"/>
          <w:highlight w:val="none"/>
        </w:rPr>
        <w:t>余下</w:t>
      </w:r>
      <w:r>
        <w:rPr>
          <w:rFonts w:hint="eastAsia" w:eastAsia="仿宋"/>
          <w:highlight w:val="none"/>
          <w:u w:val="single"/>
        </w:rPr>
        <w:t>3</w:t>
      </w:r>
      <w:r>
        <w:rPr>
          <w:rFonts w:eastAsia="仿宋"/>
          <w:highlight w:val="none"/>
        </w:rPr>
        <w:t>%</w:t>
      </w:r>
      <w:r>
        <w:rPr>
          <w:rFonts w:hint="eastAsia" w:eastAsia="仿宋"/>
          <w:highlight w:val="none"/>
        </w:rPr>
        <w:t>的</w:t>
      </w:r>
      <w:r>
        <w:rPr>
          <w:rFonts w:eastAsia="仿宋"/>
          <w:highlight w:val="none"/>
        </w:rPr>
        <w:t>合同</w:t>
      </w:r>
      <w:r>
        <w:rPr>
          <w:rFonts w:hint="eastAsia" w:eastAsia="仿宋"/>
          <w:highlight w:val="none"/>
        </w:rPr>
        <w:t>价款</w:t>
      </w:r>
      <w:r>
        <w:rPr>
          <w:rFonts w:eastAsia="仿宋"/>
          <w:highlight w:val="none"/>
        </w:rPr>
        <w:t>作为质保金</w:t>
      </w:r>
      <w:r>
        <w:rPr>
          <w:rFonts w:hint="eastAsia" w:eastAsia="仿宋"/>
          <w:highlight w:val="none"/>
        </w:rPr>
        <w:t>，</w:t>
      </w:r>
      <w:r>
        <w:rPr>
          <w:rFonts w:eastAsia="仿宋"/>
          <w:highlight w:val="none"/>
        </w:rPr>
        <w:t>在</w:t>
      </w:r>
      <w:r>
        <w:rPr>
          <w:rFonts w:hint="eastAsia" w:eastAsia="仿宋"/>
          <w:highlight w:val="none"/>
        </w:rPr>
        <w:t>本</w:t>
      </w:r>
      <w:r>
        <w:rPr>
          <w:rFonts w:eastAsia="仿宋"/>
          <w:highlight w:val="none"/>
        </w:rPr>
        <w:t>项目</w:t>
      </w:r>
      <w:r>
        <w:rPr>
          <w:rFonts w:hint="eastAsia" w:eastAsia="仿宋"/>
          <w:highlight w:val="none"/>
        </w:rPr>
        <w:t>质保期结束并经</w:t>
      </w:r>
      <w:r>
        <w:rPr>
          <w:rFonts w:eastAsia="仿宋"/>
          <w:highlight w:val="none"/>
        </w:rPr>
        <w:t>验收</w:t>
      </w:r>
      <w:r>
        <w:rPr>
          <w:rFonts w:hint="eastAsia" w:eastAsia="仿宋"/>
          <w:highlight w:val="none"/>
        </w:rPr>
        <w:t>合格后三十日内，</w:t>
      </w:r>
      <w:r>
        <w:rPr>
          <w:rFonts w:eastAsia="仿宋"/>
          <w:highlight w:val="none"/>
        </w:rPr>
        <w:t>乙方提供（甲方</w:t>
      </w:r>
      <w:r>
        <w:rPr>
          <w:rFonts w:hint="eastAsia" w:eastAsia="仿宋"/>
          <w:highlight w:val="none"/>
        </w:rPr>
        <w:t>出具</w:t>
      </w:r>
      <w:r>
        <w:rPr>
          <w:rFonts w:eastAsia="仿宋"/>
          <w:highlight w:val="none"/>
        </w:rPr>
        <w:t>的）验收证明文件，由甲方支付给乙方。</w:t>
      </w:r>
    </w:p>
    <w:p w14:paraId="29642C90">
      <w:pPr>
        <w:spacing w:line="360" w:lineRule="auto"/>
        <w:rPr>
          <w:rFonts w:hint="eastAsia" w:eastAsia="仿宋"/>
          <w:highlight w:val="none"/>
          <w:lang w:val="en-US" w:eastAsia="zh-CN"/>
        </w:rPr>
      </w:pPr>
      <w:r>
        <w:rPr>
          <w:rFonts w:hint="eastAsia" w:eastAsia="仿宋"/>
          <w:highlight w:val="none"/>
          <w:lang w:val="en-US" w:eastAsia="zh-CN"/>
        </w:rPr>
        <w:t>4.8 合同价款以</w:t>
      </w:r>
      <w:r>
        <w:rPr>
          <w:rFonts w:hint="eastAsia" w:eastAsia="仿宋"/>
          <w:highlight w:val="none"/>
          <w:u w:val="single"/>
          <w:lang w:val="en-US" w:eastAsia="zh-CN"/>
        </w:rPr>
        <w:t xml:space="preserve"> 银行转账 </w:t>
      </w:r>
      <w:r>
        <w:rPr>
          <w:rFonts w:hint="eastAsia" w:eastAsia="仿宋"/>
          <w:highlight w:val="none"/>
          <w:lang w:val="en-US" w:eastAsia="zh-CN"/>
        </w:rPr>
        <w:t>的方式支付。</w:t>
      </w:r>
    </w:p>
    <w:p w14:paraId="4018C542">
      <w:pPr>
        <w:spacing w:line="360" w:lineRule="auto"/>
        <w:rPr>
          <w:rFonts w:hint="eastAsia" w:eastAsia="仿宋"/>
          <w:highlight w:val="none"/>
          <w:lang w:val="en-US" w:eastAsia="zh-CN"/>
        </w:rPr>
      </w:pPr>
      <w:r>
        <w:rPr>
          <w:rFonts w:hint="eastAsia" w:eastAsia="仿宋"/>
          <w:highlight w:val="none"/>
          <w:lang w:val="en-US" w:eastAsia="zh-CN"/>
        </w:rPr>
        <w:t>乙方银行账户信息确认如下：</w:t>
      </w:r>
    </w:p>
    <w:p w14:paraId="65C45F78">
      <w:pPr>
        <w:spacing w:line="360" w:lineRule="auto"/>
        <w:rPr>
          <w:rFonts w:hint="eastAsia" w:eastAsia="仿宋"/>
          <w:highlight w:val="none"/>
          <w:u w:val="none"/>
          <w:lang w:val="en-US" w:eastAsia="zh-CN"/>
        </w:rPr>
      </w:pPr>
      <w:r>
        <w:rPr>
          <w:rFonts w:hint="eastAsia" w:eastAsia="仿宋"/>
          <w:highlight w:val="none"/>
          <w:lang w:val="en-US" w:eastAsia="zh-CN"/>
        </w:rPr>
        <w:t>账户名：_____________________</w:t>
      </w:r>
      <w:r>
        <w:rPr>
          <w:rFonts w:hint="eastAsia" w:eastAsia="仿宋"/>
          <w:highlight w:val="none"/>
          <w:u w:val="none"/>
          <w:lang w:val="en-US" w:eastAsia="zh-CN"/>
        </w:rPr>
        <w:t xml:space="preserve">  </w:t>
      </w:r>
    </w:p>
    <w:p w14:paraId="59C5C8A9">
      <w:pPr>
        <w:spacing w:line="360" w:lineRule="auto"/>
        <w:rPr>
          <w:rFonts w:hint="default" w:eastAsia="仿宋"/>
          <w:highlight w:val="none"/>
          <w:lang w:val="en-US" w:eastAsia="zh-CN"/>
        </w:rPr>
      </w:pPr>
      <w:r>
        <w:rPr>
          <w:rFonts w:hint="eastAsia" w:eastAsia="仿宋"/>
          <w:highlight w:val="none"/>
          <w:lang w:val="en-US" w:eastAsia="zh-CN"/>
        </w:rPr>
        <w:t xml:space="preserve">开户行：_____________________                                   </w:t>
      </w:r>
    </w:p>
    <w:p w14:paraId="68B4FBE4">
      <w:pPr>
        <w:spacing w:line="360" w:lineRule="auto"/>
        <w:rPr>
          <w:rFonts w:hint="default" w:eastAsia="仿宋"/>
          <w:highlight w:val="none"/>
          <w:lang w:val="en-US" w:eastAsia="zh-CN"/>
        </w:rPr>
      </w:pPr>
      <w:r>
        <w:rPr>
          <w:rFonts w:hint="eastAsia" w:eastAsia="仿宋"/>
          <w:highlight w:val="none"/>
          <w:lang w:val="en-US" w:eastAsia="zh-CN"/>
        </w:rPr>
        <w:t xml:space="preserve">账号： ______________________                                         </w:t>
      </w:r>
    </w:p>
    <w:p w14:paraId="293CCCD3">
      <w:pPr>
        <w:spacing w:line="360" w:lineRule="auto"/>
        <w:rPr>
          <w:rFonts w:hint="eastAsia" w:eastAsia="仿宋"/>
          <w:highlight w:val="none"/>
          <w:lang w:val="en-US" w:eastAsia="zh-CN"/>
        </w:rPr>
      </w:pPr>
      <w:r>
        <w:rPr>
          <w:rFonts w:hint="eastAsia" w:eastAsia="仿宋"/>
          <w:highlight w:val="none"/>
          <w:lang w:val="en-US" w:eastAsia="zh-CN"/>
        </w:rPr>
        <w:t>甲方开票信息确认如下：</w:t>
      </w:r>
    </w:p>
    <w:p w14:paraId="14A355E7">
      <w:pPr>
        <w:spacing w:line="360" w:lineRule="auto"/>
        <w:rPr>
          <w:rFonts w:hint="eastAsia" w:eastAsia="仿宋"/>
          <w:highlight w:val="none"/>
          <w:lang w:val="en-US" w:eastAsia="zh-CN"/>
        </w:rPr>
      </w:pPr>
      <w:r>
        <w:rPr>
          <w:rFonts w:hint="eastAsia" w:eastAsia="仿宋"/>
          <w:highlight w:val="none"/>
          <w:lang w:val="en-US" w:eastAsia="zh-CN"/>
        </w:rPr>
        <w:t xml:space="preserve">单位名称：                                    </w:t>
      </w:r>
    </w:p>
    <w:p w14:paraId="7E7ACC75">
      <w:pPr>
        <w:spacing w:line="360" w:lineRule="auto"/>
        <w:rPr>
          <w:rFonts w:hint="eastAsia" w:eastAsia="仿宋"/>
          <w:highlight w:val="none"/>
          <w:lang w:val="en-US" w:eastAsia="zh-CN"/>
        </w:rPr>
      </w:pPr>
      <w:r>
        <w:rPr>
          <w:rFonts w:hint="eastAsia" w:eastAsia="仿宋"/>
          <w:highlight w:val="none"/>
          <w:lang w:val="en-US" w:eastAsia="zh-CN"/>
        </w:rPr>
        <w:t xml:space="preserve">纳税人识别号：                             </w:t>
      </w:r>
    </w:p>
    <w:p w14:paraId="1FCF13D4">
      <w:pPr>
        <w:spacing w:line="360" w:lineRule="auto"/>
        <w:rPr>
          <w:rFonts w:hint="eastAsia" w:eastAsia="仿宋"/>
          <w:highlight w:val="none"/>
          <w:lang w:val="en-US" w:eastAsia="zh-CN"/>
        </w:rPr>
      </w:pPr>
      <w:r>
        <w:rPr>
          <w:rFonts w:hint="eastAsia" w:eastAsia="仿宋"/>
          <w:highlight w:val="none"/>
          <w:lang w:val="en-US" w:eastAsia="zh-CN"/>
        </w:rPr>
        <w:t xml:space="preserve">地址、电话：                                  </w:t>
      </w:r>
    </w:p>
    <w:p w14:paraId="6F8E176E">
      <w:pPr>
        <w:spacing w:line="360" w:lineRule="auto"/>
        <w:rPr>
          <w:rFonts w:hint="eastAsia" w:eastAsia="仿宋"/>
          <w:highlight w:val="none"/>
          <w:lang w:val="en-US" w:eastAsia="zh-CN"/>
        </w:rPr>
      </w:pPr>
      <w:r>
        <w:rPr>
          <w:rFonts w:hint="eastAsia" w:eastAsia="仿宋"/>
          <w:highlight w:val="none"/>
          <w:lang w:val="en-US" w:eastAsia="zh-CN"/>
        </w:rPr>
        <w:t>开户行、账号：</w:t>
      </w:r>
    </w:p>
    <w:p w14:paraId="79E5541A">
      <w:pPr>
        <w:spacing w:line="360" w:lineRule="auto"/>
        <w:rPr>
          <w:rFonts w:eastAsia="仿宋"/>
          <w:highlight w:val="none"/>
        </w:rPr>
      </w:pPr>
      <w:r>
        <w:rPr>
          <w:rFonts w:hint="eastAsia" w:eastAsia="仿宋"/>
          <w:highlight w:val="none"/>
          <w:lang w:val="en-US" w:eastAsia="zh-CN"/>
        </w:rPr>
        <w:t xml:space="preserve">4.9 </w:t>
      </w:r>
      <w:r>
        <w:rPr>
          <w:rFonts w:hint="eastAsia" w:eastAsia="仿宋"/>
          <w:highlight w:val="none"/>
        </w:rPr>
        <w:t>乙方应支付的违约金、损失赔偿金等均可由甲方直接从未付的合同价款、履约保证金或质保金中扣除。如不足以赔付，甲方有权向乙方另行主张赔偿。</w:t>
      </w:r>
    </w:p>
    <w:p w14:paraId="083F2074">
      <w:pPr>
        <w:spacing w:line="360" w:lineRule="auto"/>
        <w:rPr>
          <w:rFonts w:hint="eastAsia" w:eastAsia="仿宋"/>
          <w:highlight w:val="none"/>
        </w:rPr>
      </w:pPr>
      <w:r>
        <w:rPr>
          <w:rFonts w:hint="eastAsia" w:eastAsia="仿宋"/>
          <w:highlight w:val="none"/>
          <w:lang w:val="en-US" w:eastAsia="zh-CN"/>
        </w:rPr>
        <w:t xml:space="preserve">4.10 </w:t>
      </w:r>
      <w:r>
        <w:rPr>
          <w:rFonts w:hint="eastAsia" w:eastAsia="仿宋"/>
          <w:highlight w:val="none"/>
        </w:rPr>
        <w:t>本合同约定的为含税合同价款。在合同履行期间，如遇国家的税率调整或其他政策影响税率的，税率随变化而变化，则合同价款及综合单价金额不做调整。</w:t>
      </w:r>
    </w:p>
    <w:p w14:paraId="51E95700">
      <w:pPr>
        <w:spacing w:line="360" w:lineRule="auto"/>
        <w:rPr>
          <w:rFonts w:eastAsia="仿宋"/>
          <w:highlight w:val="none"/>
        </w:rPr>
      </w:pPr>
      <w:r>
        <w:rPr>
          <w:rFonts w:hint="eastAsia" w:eastAsia="仿宋"/>
          <w:highlight w:val="none"/>
          <w:lang w:val="en-US" w:eastAsia="zh-CN"/>
        </w:rPr>
        <w:t xml:space="preserve">4.11 </w:t>
      </w:r>
      <w:r>
        <w:rPr>
          <w:rFonts w:hint="eastAsia" w:eastAsia="仿宋"/>
          <w:highlight w:val="none"/>
        </w:rPr>
        <w:t>因乙方提供的发票不符合国家发票管理等法规要求，导致甲方从乙方取得的增值税专用发票被税务管理机关认定为不得作为增值税进项税额抵扣凭证或税前扣除凭据的，而给甲方造成的经济损失，由乙方负责赔偿。</w:t>
      </w:r>
    </w:p>
    <w:p w14:paraId="76DE4F9A">
      <w:pPr>
        <w:spacing w:line="360" w:lineRule="auto"/>
        <w:rPr>
          <w:rFonts w:eastAsia="仿宋"/>
          <w:b/>
          <w:highlight w:val="none"/>
        </w:rPr>
      </w:pPr>
      <w:r>
        <w:rPr>
          <w:rFonts w:hint="eastAsia" w:eastAsia="仿宋"/>
          <w:b/>
          <w:highlight w:val="none"/>
        </w:rPr>
        <w:t>五、甲方权利义务</w:t>
      </w:r>
    </w:p>
    <w:p w14:paraId="323C04E8">
      <w:pPr>
        <w:spacing w:line="360" w:lineRule="auto"/>
        <w:rPr>
          <w:rFonts w:eastAsia="仿宋"/>
          <w:highlight w:val="none"/>
        </w:rPr>
      </w:pPr>
      <w:r>
        <w:rPr>
          <w:rFonts w:hint="eastAsia" w:eastAsia="仿宋"/>
          <w:highlight w:val="none"/>
        </w:rPr>
        <w:t>5</w:t>
      </w:r>
      <w:r>
        <w:rPr>
          <w:rFonts w:eastAsia="仿宋"/>
          <w:highlight w:val="none"/>
        </w:rPr>
        <w:t>.1</w:t>
      </w:r>
      <w:r>
        <w:rPr>
          <w:rFonts w:hint="eastAsia" w:eastAsia="仿宋"/>
          <w:highlight w:val="none"/>
          <w:lang w:val="en-US" w:eastAsia="zh-CN"/>
        </w:rPr>
        <w:t xml:space="preserve"> </w:t>
      </w:r>
      <w:r>
        <w:rPr>
          <w:rFonts w:hint="eastAsia" w:eastAsia="仿宋"/>
          <w:highlight w:val="none"/>
        </w:rPr>
        <w:t>负责按照本合同约定向乙方支付相应的费用。</w:t>
      </w:r>
    </w:p>
    <w:p w14:paraId="2B7F3C97">
      <w:pPr>
        <w:spacing w:line="360" w:lineRule="auto"/>
        <w:rPr>
          <w:rFonts w:eastAsia="仿宋"/>
          <w:highlight w:val="none"/>
        </w:rPr>
      </w:pPr>
      <w:r>
        <w:rPr>
          <w:rFonts w:hint="eastAsia" w:eastAsia="仿宋"/>
          <w:highlight w:val="none"/>
        </w:rPr>
        <w:t>5</w:t>
      </w:r>
      <w:r>
        <w:rPr>
          <w:rFonts w:eastAsia="仿宋"/>
          <w:highlight w:val="none"/>
        </w:rPr>
        <w:t>.2</w:t>
      </w:r>
      <w:r>
        <w:rPr>
          <w:rFonts w:hint="eastAsia" w:eastAsia="仿宋"/>
          <w:highlight w:val="none"/>
          <w:lang w:val="en-US" w:eastAsia="zh-CN"/>
        </w:rPr>
        <w:t xml:space="preserve"> </w:t>
      </w:r>
      <w:r>
        <w:rPr>
          <w:rFonts w:hint="eastAsia" w:eastAsia="仿宋"/>
          <w:highlight w:val="none"/>
        </w:rPr>
        <w:t>负责向乙方提供本项目相关的图纸和资料，并审批乙方提供的施工方案和计划。</w:t>
      </w:r>
    </w:p>
    <w:p w14:paraId="5FA7BC9C">
      <w:pPr>
        <w:spacing w:line="360" w:lineRule="auto"/>
        <w:rPr>
          <w:rFonts w:eastAsia="仿宋"/>
          <w:highlight w:val="none"/>
        </w:rPr>
      </w:pPr>
      <w:r>
        <w:rPr>
          <w:rFonts w:hint="eastAsia" w:eastAsia="仿宋"/>
          <w:highlight w:val="none"/>
        </w:rPr>
        <w:t>5</w:t>
      </w:r>
      <w:r>
        <w:rPr>
          <w:rFonts w:eastAsia="仿宋"/>
          <w:highlight w:val="none"/>
        </w:rPr>
        <w:t xml:space="preserve">.3 </w:t>
      </w:r>
      <w:r>
        <w:rPr>
          <w:rFonts w:hint="eastAsia" w:eastAsia="仿宋"/>
          <w:highlight w:val="none"/>
        </w:rPr>
        <w:t>对乙方维修中的项目的施工质量、工程进度、安全生产、文明、环保施工等有协调、监督、监察的权利。</w:t>
      </w:r>
    </w:p>
    <w:p w14:paraId="19E9C4D1">
      <w:pPr>
        <w:spacing w:line="360" w:lineRule="auto"/>
        <w:rPr>
          <w:rFonts w:eastAsia="仿宋"/>
          <w:highlight w:val="none"/>
        </w:rPr>
      </w:pPr>
      <w:r>
        <w:rPr>
          <w:rFonts w:hint="eastAsia" w:eastAsia="仿宋"/>
          <w:highlight w:val="none"/>
        </w:rPr>
        <w:t>5.</w:t>
      </w:r>
      <w:r>
        <w:rPr>
          <w:rFonts w:eastAsia="仿宋"/>
          <w:highlight w:val="none"/>
        </w:rPr>
        <w:t>4</w:t>
      </w:r>
      <w:r>
        <w:rPr>
          <w:rFonts w:hint="eastAsia" w:eastAsia="仿宋"/>
          <w:highlight w:val="none"/>
          <w:lang w:val="en-US" w:eastAsia="zh-CN"/>
        </w:rPr>
        <w:t xml:space="preserve"> </w:t>
      </w:r>
      <w:r>
        <w:rPr>
          <w:rFonts w:hint="eastAsia" w:eastAsia="仿宋"/>
          <w:highlight w:val="none"/>
        </w:rPr>
        <w:t>负责本项目的完工验收，并办理项目结算。</w:t>
      </w:r>
    </w:p>
    <w:p w14:paraId="1CE8B7FE">
      <w:pPr>
        <w:spacing w:line="360" w:lineRule="auto"/>
        <w:rPr>
          <w:rFonts w:eastAsia="仿宋"/>
          <w:b/>
          <w:highlight w:val="none"/>
        </w:rPr>
      </w:pPr>
      <w:r>
        <w:rPr>
          <w:rFonts w:hint="eastAsia" w:eastAsia="仿宋"/>
          <w:b/>
          <w:highlight w:val="none"/>
        </w:rPr>
        <w:t>六、乙方权利义务</w:t>
      </w:r>
    </w:p>
    <w:p w14:paraId="4050084B">
      <w:pPr>
        <w:spacing w:line="360" w:lineRule="auto"/>
        <w:rPr>
          <w:rFonts w:eastAsia="仿宋"/>
          <w:highlight w:val="none"/>
        </w:rPr>
      </w:pPr>
      <w:r>
        <w:rPr>
          <w:rFonts w:hint="eastAsia" w:eastAsia="仿宋"/>
          <w:highlight w:val="none"/>
        </w:rPr>
        <w:t>6</w:t>
      </w:r>
      <w:r>
        <w:rPr>
          <w:rFonts w:eastAsia="仿宋"/>
          <w:highlight w:val="none"/>
        </w:rPr>
        <w:t>.1</w:t>
      </w:r>
      <w:r>
        <w:rPr>
          <w:rFonts w:hint="eastAsia" w:eastAsia="仿宋"/>
          <w:highlight w:val="none"/>
          <w:lang w:val="en-US" w:eastAsia="zh-CN"/>
        </w:rPr>
        <w:t xml:space="preserve"> </w:t>
      </w:r>
      <w:r>
        <w:rPr>
          <w:rFonts w:hint="eastAsia" w:eastAsia="仿宋"/>
          <w:highlight w:val="none"/>
        </w:rPr>
        <w:t>乙方应具有完成本项目的施工资质，在施工前应向甲方提供符合要求的施工计划、施工方案以及施工设计图纸等材料。</w:t>
      </w:r>
    </w:p>
    <w:p w14:paraId="2E8A6ADE">
      <w:pPr>
        <w:spacing w:line="360" w:lineRule="auto"/>
        <w:rPr>
          <w:rFonts w:eastAsia="仿宋"/>
          <w:highlight w:val="none"/>
        </w:rPr>
      </w:pPr>
      <w:r>
        <w:rPr>
          <w:rFonts w:hint="eastAsia" w:eastAsia="仿宋"/>
          <w:highlight w:val="none"/>
        </w:rPr>
        <w:t>6</w:t>
      </w:r>
      <w:r>
        <w:rPr>
          <w:rFonts w:eastAsia="仿宋"/>
          <w:highlight w:val="none"/>
        </w:rPr>
        <w:t>.2</w:t>
      </w:r>
      <w:r>
        <w:rPr>
          <w:rFonts w:hint="eastAsia" w:eastAsia="仿宋"/>
          <w:highlight w:val="none"/>
          <w:lang w:val="en-US" w:eastAsia="zh-CN"/>
        </w:rPr>
        <w:t xml:space="preserve"> </w:t>
      </w:r>
      <w:r>
        <w:rPr>
          <w:rFonts w:hint="eastAsia" w:eastAsia="仿宋"/>
          <w:highlight w:val="none"/>
        </w:rPr>
        <w:t>乙方指派项目经理负责组织施工，保质、保量、按期完成施工任务。</w:t>
      </w:r>
    </w:p>
    <w:p w14:paraId="5B9C4442">
      <w:pPr>
        <w:spacing w:line="360" w:lineRule="auto"/>
        <w:rPr>
          <w:rFonts w:eastAsia="仿宋"/>
          <w:highlight w:val="none"/>
        </w:rPr>
      </w:pPr>
      <w:r>
        <w:rPr>
          <w:rFonts w:hint="eastAsia" w:eastAsia="仿宋"/>
          <w:highlight w:val="none"/>
        </w:rPr>
        <w:t>6</w:t>
      </w:r>
      <w:r>
        <w:rPr>
          <w:rFonts w:eastAsia="仿宋"/>
          <w:highlight w:val="none"/>
        </w:rPr>
        <w:t>.3</w:t>
      </w:r>
      <w:r>
        <w:rPr>
          <w:rFonts w:hint="eastAsia" w:eastAsia="仿宋"/>
          <w:highlight w:val="none"/>
          <w:lang w:val="en-US" w:eastAsia="zh-CN"/>
        </w:rPr>
        <w:t xml:space="preserve"> </w:t>
      </w:r>
      <w:r>
        <w:rPr>
          <w:rFonts w:hint="eastAsia" w:eastAsia="仿宋"/>
          <w:highlight w:val="none"/>
        </w:rPr>
        <w:t>在项目实施前向甲方提交一份现场主要施工人员和施工设备的清单，严格执行施工规范、安全操作规程，遵守防火安全、环境保护等规定，做好各项质量检查记录。</w:t>
      </w:r>
    </w:p>
    <w:p w14:paraId="78AACF17">
      <w:pPr>
        <w:spacing w:line="360" w:lineRule="auto"/>
        <w:rPr>
          <w:rFonts w:eastAsia="仿宋"/>
          <w:highlight w:val="none"/>
        </w:rPr>
      </w:pPr>
      <w:r>
        <w:rPr>
          <w:rFonts w:hint="eastAsia" w:eastAsia="仿宋"/>
          <w:highlight w:val="none"/>
        </w:rPr>
        <w:t>6</w:t>
      </w:r>
      <w:r>
        <w:rPr>
          <w:rFonts w:eastAsia="仿宋"/>
          <w:highlight w:val="none"/>
        </w:rPr>
        <w:t>.4</w:t>
      </w:r>
      <w:r>
        <w:rPr>
          <w:rFonts w:hint="eastAsia" w:eastAsia="仿宋"/>
          <w:highlight w:val="none"/>
          <w:lang w:val="en-US" w:eastAsia="zh-CN"/>
        </w:rPr>
        <w:t xml:space="preserve"> </w:t>
      </w:r>
      <w:r>
        <w:rPr>
          <w:rFonts w:hint="eastAsia" w:eastAsia="仿宋"/>
          <w:highlight w:val="none"/>
        </w:rPr>
        <w:t>本项目实施过程中，应接受甲方的检查、检验，并为检查、检验提供便利条件。</w:t>
      </w:r>
    </w:p>
    <w:p w14:paraId="279B723A">
      <w:pPr>
        <w:spacing w:line="360" w:lineRule="auto"/>
        <w:rPr>
          <w:rFonts w:eastAsia="仿宋"/>
          <w:highlight w:val="none"/>
        </w:rPr>
      </w:pPr>
      <w:r>
        <w:rPr>
          <w:rFonts w:hint="eastAsia" w:eastAsia="仿宋"/>
          <w:highlight w:val="none"/>
        </w:rPr>
        <w:t>6</w:t>
      </w:r>
      <w:r>
        <w:rPr>
          <w:rFonts w:eastAsia="仿宋"/>
          <w:highlight w:val="none"/>
        </w:rPr>
        <w:t>.5</w:t>
      </w:r>
      <w:r>
        <w:rPr>
          <w:rFonts w:hint="eastAsia" w:eastAsia="仿宋"/>
          <w:highlight w:val="none"/>
          <w:lang w:val="en-US" w:eastAsia="zh-CN"/>
        </w:rPr>
        <w:t xml:space="preserve"> </w:t>
      </w:r>
      <w:r>
        <w:rPr>
          <w:rFonts w:hint="eastAsia" w:eastAsia="仿宋"/>
          <w:highlight w:val="none"/>
        </w:rPr>
        <w:t>乙方应当严格按照国家颁布的安全法规安全施工，如本项目施工过程中发生安全、火灾等事故的，乙方应立即采取适当救助措施并通知甲方。出现安全事故或造成乙方雇员、第三人人身损害、财产损失的，由乙方承担全部赔偿责任。</w:t>
      </w:r>
    </w:p>
    <w:p w14:paraId="09B954DC">
      <w:pPr>
        <w:spacing w:line="360" w:lineRule="auto"/>
        <w:rPr>
          <w:rFonts w:eastAsia="仿宋"/>
          <w:highlight w:val="none"/>
        </w:rPr>
      </w:pPr>
      <w:r>
        <w:rPr>
          <w:rFonts w:hint="eastAsia" w:eastAsia="仿宋"/>
          <w:highlight w:val="none"/>
        </w:rPr>
        <w:t>6</w:t>
      </w:r>
      <w:r>
        <w:rPr>
          <w:rFonts w:eastAsia="仿宋"/>
          <w:highlight w:val="none"/>
        </w:rPr>
        <w:t>.6</w:t>
      </w:r>
      <w:r>
        <w:rPr>
          <w:rFonts w:hint="eastAsia" w:eastAsia="仿宋"/>
          <w:highlight w:val="none"/>
          <w:lang w:val="en-US" w:eastAsia="zh-CN"/>
        </w:rPr>
        <w:t xml:space="preserve"> </w:t>
      </w:r>
      <w:r>
        <w:rPr>
          <w:rFonts w:hint="eastAsia" w:eastAsia="仿宋"/>
          <w:highlight w:val="none"/>
        </w:rPr>
        <w:t>遵守国家、地方政府及行政主管部门对施工现场管理的规定，妥善保护好施工现场周围建筑物、设备管线不受损坏，保护期间发生侵权或损坏事件的，由乙方负责解决，并承担由此产生的一切费用和损失；做好施工现场保卫和垃圾清运等工作，保证在本项目竣工之日起7天内清理所有的垃圾。</w:t>
      </w:r>
    </w:p>
    <w:p w14:paraId="0D633E09">
      <w:pPr>
        <w:spacing w:line="360" w:lineRule="auto"/>
        <w:rPr>
          <w:rFonts w:eastAsia="仿宋"/>
          <w:highlight w:val="none"/>
        </w:rPr>
      </w:pPr>
      <w:r>
        <w:rPr>
          <w:rFonts w:hint="eastAsia" w:eastAsia="仿宋"/>
          <w:highlight w:val="none"/>
        </w:rPr>
        <w:t>6</w:t>
      </w:r>
      <w:r>
        <w:rPr>
          <w:rFonts w:eastAsia="仿宋"/>
          <w:highlight w:val="none"/>
        </w:rPr>
        <w:t>.7</w:t>
      </w:r>
      <w:r>
        <w:rPr>
          <w:rFonts w:hint="eastAsia" w:eastAsia="仿宋"/>
          <w:highlight w:val="none"/>
          <w:lang w:val="en-US" w:eastAsia="zh-CN"/>
        </w:rPr>
        <w:t xml:space="preserve"> </w:t>
      </w:r>
      <w:r>
        <w:rPr>
          <w:rFonts w:hint="eastAsia" w:eastAsia="仿宋"/>
          <w:highlight w:val="none"/>
        </w:rPr>
        <w:t>本项目完工未移交甲方之前，乙方应负责保管现场的一切设施和工程成品。</w:t>
      </w:r>
    </w:p>
    <w:p w14:paraId="19AD62F2">
      <w:pPr>
        <w:spacing w:line="360" w:lineRule="auto"/>
        <w:rPr>
          <w:rFonts w:eastAsia="仿宋"/>
          <w:highlight w:val="none"/>
        </w:rPr>
      </w:pPr>
      <w:r>
        <w:rPr>
          <w:rFonts w:hint="eastAsia" w:eastAsia="仿宋"/>
          <w:highlight w:val="none"/>
        </w:rPr>
        <w:t>6</w:t>
      </w:r>
      <w:r>
        <w:rPr>
          <w:rFonts w:eastAsia="仿宋"/>
          <w:highlight w:val="none"/>
        </w:rPr>
        <w:t>.8</w:t>
      </w:r>
      <w:r>
        <w:rPr>
          <w:rFonts w:hint="eastAsia" w:eastAsia="仿宋"/>
          <w:highlight w:val="none"/>
          <w:lang w:val="en-US" w:eastAsia="zh-CN"/>
        </w:rPr>
        <w:t xml:space="preserve"> </w:t>
      </w:r>
      <w:r>
        <w:rPr>
          <w:rFonts w:hint="eastAsia" w:eastAsia="仿宋"/>
          <w:highlight w:val="none"/>
        </w:rPr>
        <w:t>未经甲方的书面同意，乙方不得将其在本合同项下的权利和义务转让给第三方。</w:t>
      </w:r>
    </w:p>
    <w:p w14:paraId="0569550B">
      <w:pPr>
        <w:spacing w:line="360" w:lineRule="auto"/>
        <w:rPr>
          <w:rFonts w:hint="eastAsia" w:eastAsia="仿宋"/>
          <w:highlight w:val="none"/>
        </w:rPr>
      </w:pPr>
      <w:r>
        <w:rPr>
          <w:rFonts w:hint="eastAsia" w:eastAsia="仿宋"/>
          <w:highlight w:val="none"/>
        </w:rPr>
        <w:t>6</w:t>
      </w:r>
      <w:r>
        <w:rPr>
          <w:rFonts w:eastAsia="仿宋"/>
          <w:highlight w:val="none"/>
        </w:rPr>
        <w:t>.9</w:t>
      </w:r>
      <w:r>
        <w:rPr>
          <w:rFonts w:hint="eastAsia" w:eastAsia="仿宋"/>
          <w:highlight w:val="none"/>
          <w:lang w:val="en-US" w:eastAsia="zh-CN"/>
        </w:rPr>
        <w:t xml:space="preserve"> </w:t>
      </w:r>
      <w:r>
        <w:rPr>
          <w:rFonts w:hint="eastAsia" w:eastAsia="仿宋"/>
          <w:highlight w:val="none"/>
        </w:rPr>
        <w:t>负责办理</w:t>
      </w:r>
      <w:r>
        <w:rPr>
          <w:rFonts w:hint="eastAsia" w:eastAsia="仿宋"/>
          <w:highlight w:val="none"/>
          <w:lang w:val="en-US" w:eastAsia="zh-CN"/>
        </w:rPr>
        <w:t>项目</w:t>
      </w:r>
      <w:r>
        <w:rPr>
          <w:rFonts w:hint="eastAsia" w:eastAsia="仿宋"/>
          <w:highlight w:val="none"/>
        </w:rPr>
        <w:t>施工期间乙方相关雇员的工伤保险、意外伤害保险、第三者责任保险及工程设备保险等事宜并承担相关费用，并负责处理与其雇员、员工之间的劳动人事争议。</w:t>
      </w:r>
    </w:p>
    <w:p w14:paraId="6D4FF2E7">
      <w:pPr>
        <w:spacing w:line="360" w:lineRule="auto"/>
        <w:rPr>
          <w:rFonts w:hint="eastAsia" w:eastAsia="仿宋" w:cs="Times New Roman (正文 CS 字体)"/>
          <w:highlight w:val="none"/>
        </w:rPr>
      </w:pPr>
      <w:r>
        <w:rPr>
          <w:rFonts w:hint="eastAsia" w:eastAsia="仿宋"/>
          <w:highlight w:val="none"/>
          <w:lang w:val="en-US" w:eastAsia="zh-CN"/>
        </w:rPr>
        <w:t xml:space="preserve">6.10 </w:t>
      </w:r>
      <w:r>
        <w:rPr>
          <w:rFonts w:hint="eastAsia" w:eastAsia="仿宋"/>
          <w:highlight w:val="none"/>
        </w:rPr>
        <w:t>乙方承诺严格规范劳动用工，</w:t>
      </w:r>
      <w:r>
        <w:rPr>
          <w:rFonts w:hint="eastAsia" w:eastAsia="仿宋"/>
          <w:highlight w:val="none"/>
          <w:lang w:val="en-US" w:eastAsia="zh-CN"/>
        </w:rPr>
        <w:t>并</w:t>
      </w:r>
      <w:r>
        <w:rPr>
          <w:rFonts w:hint="eastAsia" w:eastAsia="仿宋"/>
          <w:highlight w:val="none"/>
        </w:rPr>
        <w:t>不得发生任何拖欠第三方材料款、拖欠农民工工资或集体聚集、上访、打架等群体事件，</w:t>
      </w:r>
      <w:r>
        <w:rPr>
          <w:rFonts w:hint="eastAsia" w:eastAsia="仿宋"/>
          <w:highlight w:val="none"/>
          <w:lang w:val="en-US" w:eastAsia="zh-CN"/>
        </w:rPr>
        <w:t>否则甲方有权解除合同，并有权从应付未付的合同款项、履约保证金中扣除因</w:t>
      </w:r>
      <w:r>
        <w:rPr>
          <w:rFonts w:hint="eastAsia" w:eastAsia="仿宋" w:cs="Times New Roman (正文 CS 字体)"/>
          <w:highlight w:val="none"/>
        </w:rPr>
        <w:t>乙方</w:t>
      </w:r>
      <w:r>
        <w:rPr>
          <w:rFonts w:hint="eastAsia" w:eastAsia="仿宋" w:cs="Times New Roman (正文 CS 字体)"/>
          <w:highlight w:val="none"/>
          <w:lang w:val="en-US" w:eastAsia="zh-CN"/>
        </w:rPr>
        <w:t>原因</w:t>
      </w:r>
      <w:r>
        <w:rPr>
          <w:rFonts w:hint="eastAsia" w:eastAsia="仿宋" w:cs="Times New Roman (正文 CS 字体)"/>
          <w:highlight w:val="none"/>
        </w:rPr>
        <w:t>导致的任何费用支出、违约金、损失或损害赔偿金。</w:t>
      </w:r>
    </w:p>
    <w:p w14:paraId="4D12B00B">
      <w:pPr>
        <w:spacing w:line="360" w:lineRule="auto"/>
        <w:rPr>
          <w:rFonts w:hint="eastAsia" w:eastAsia="仿宋"/>
          <w:highlight w:val="none"/>
          <w:lang w:val="en-US" w:eastAsia="zh-CN"/>
        </w:rPr>
      </w:pPr>
      <w:r>
        <w:rPr>
          <w:rFonts w:hint="default" w:eastAsia="仿宋"/>
          <w:highlight w:val="none"/>
          <w:lang w:eastAsia="zh-CN"/>
        </w:rPr>
        <w:t>6.11</w:t>
      </w:r>
      <w:r>
        <w:rPr>
          <w:rFonts w:hint="eastAsia" w:eastAsia="仿宋"/>
          <w:highlight w:val="none"/>
          <w:lang w:val="en-US" w:eastAsia="zh-CN"/>
        </w:rPr>
        <w:t xml:space="preserve"> 乙方</w:t>
      </w:r>
      <w:r>
        <w:rPr>
          <w:rFonts w:hint="eastAsia" w:eastAsia="仿宋"/>
          <w:highlight w:val="none"/>
          <w:lang w:val="en-US" w:eastAsia="zh-Hans"/>
        </w:rPr>
        <w:t>如</w:t>
      </w:r>
      <w:r>
        <w:rPr>
          <w:rFonts w:hint="eastAsia" w:eastAsia="仿宋"/>
          <w:highlight w:val="none"/>
          <w:lang w:val="en-US" w:eastAsia="zh-CN"/>
        </w:rPr>
        <w:t>在中标后</w:t>
      </w:r>
      <w:r>
        <w:rPr>
          <w:rFonts w:hint="eastAsia" w:eastAsia="仿宋"/>
          <w:highlight w:val="none"/>
          <w:lang w:val="en-US" w:eastAsia="zh-Hans"/>
        </w:rPr>
        <w:t>或者合同履行期间发生</w:t>
      </w:r>
      <w:r>
        <w:rPr>
          <w:rFonts w:hint="eastAsia" w:eastAsia="仿宋"/>
          <w:highlight w:val="none"/>
          <w:lang w:val="en-US" w:eastAsia="zh-CN"/>
        </w:rPr>
        <w:t>被人民法院列为失信被执行人、影响合同履约能力的重大行政处罚等情形，应及时向</w:t>
      </w:r>
      <w:r>
        <w:rPr>
          <w:rFonts w:hint="eastAsia" w:eastAsia="仿宋"/>
          <w:highlight w:val="none"/>
          <w:lang w:val="en-US" w:eastAsia="zh-Hans"/>
        </w:rPr>
        <w:t>甲方的</w:t>
      </w:r>
      <w:r>
        <w:rPr>
          <w:rFonts w:hint="eastAsia" w:eastAsia="仿宋"/>
          <w:highlight w:val="none"/>
          <w:lang w:val="en-US" w:eastAsia="zh-CN"/>
        </w:rPr>
        <w:t>履约管理单位</w:t>
      </w:r>
      <w:r>
        <w:rPr>
          <w:rFonts w:hint="eastAsia" w:eastAsia="仿宋"/>
          <w:highlight w:val="none"/>
          <w:lang w:val="en-US" w:eastAsia="zh-Hans"/>
        </w:rPr>
        <w:t>、</w:t>
      </w:r>
      <w:r>
        <w:rPr>
          <w:rFonts w:hint="eastAsia" w:eastAsia="仿宋"/>
          <w:highlight w:val="none"/>
          <w:lang w:val="en-US" w:eastAsia="zh-CN"/>
        </w:rPr>
        <w:t>物资部报备。</w:t>
      </w:r>
    </w:p>
    <w:p w14:paraId="7CBADB6F">
      <w:pPr>
        <w:spacing w:line="360" w:lineRule="auto"/>
        <w:rPr>
          <w:rFonts w:eastAsia="仿宋"/>
          <w:b/>
          <w:highlight w:val="none"/>
        </w:rPr>
      </w:pPr>
      <w:r>
        <w:rPr>
          <w:rFonts w:hint="eastAsia" w:eastAsia="仿宋"/>
          <w:b/>
          <w:highlight w:val="none"/>
          <w:lang w:val="en-US" w:eastAsia="zh-CN"/>
        </w:rPr>
        <w:t>七</w:t>
      </w:r>
      <w:r>
        <w:rPr>
          <w:rFonts w:hint="eastAsia" w:eastAsia="仿宋"/>
          <w:b/>
          <w:highlight w:val="none"/>
        </w:rPr>
        <w:t>、质量及验收要求</w:t>
      </w:r>
    </w:p>
    <w:p w14:paraId="24592128">
      <w:pPr>
        <w:spacing w:line="360" w:lineRule="auto"/>
        <w:rPr>
          <w:rFonts w:eastAsia="仿宋"/>
          <w:highlight w:val="none"/>
        </w:rPr>
      </w:pPr>
      <w:r>
        <w:rPr>
          <w:rFonts w:hint="eastAsia" w:eastAsia="仿宋"/>
          <w:highlight w:val="none"/>
        </w:rPr>
        <w:t>7</w:t>
      </w:r>
      <w:r>
        <w:rPr>
          <w:rFonts w:eastAsia="仿宋"/>
          <w:highlight w:val="none"/>
        </w:rPr>
        <w:t>.1</w:t>
      </w:r>
      <w:r>
        <w:rPr>
          <w:rFonts w:hint="eastAsia" w:eastAsia="仿宋"/>
          <w:highlight w:val="none"/>
          <w:lang w:val="en-US" w:eastAsia="zh-CN"/>
        </w:rPr>
        <w:t xml:space="preserve"> </w:t>
      </w:r>
      <w:r>
        <w:rPr>
          <w:rFonts w:hint="eastAsia" w:eastAsia="仿宋"/>
          <w:highlight w:val="none"/>
        </w:rPr>
        <w:t>乙方为本项目提供的材料均须符合国家标准，有质量合格证明，主要材料的品种、规格等经甲方认可后方可使用。</w:t>
      </w:r>
    </w:p>
    <w:p w14:paraId="232BC6F9">
      <w:pPr>
        <w:spacing w:line="360" w:lineRule="auto"/>
        <w:rPr>
          <w:rFonts w:eastAsia="仿宋"/>
          <w:highlight w:val="none"/>
        </w:rPr>
      </w:pPr>
      <w:r>
        <w:rPr>
          <w:rFonts w:hint="eastAsia" w:eastAsia="仿宋"/>
          <w:highlight w:val="none"/>
        </w:rPr>
        <w:t>7</w:t>
      </w:r>
      <w:r>
        <w:rPr>
          <w:rFonts w:eastAsia="仿宋"/>
          <w:highlight w:val="none"/>
        </w:rPr>
        <w:t>.2</w:t>
      </w:r>
      <w:r>
        <w:rPr>
          <w:rFonts w:hint="eastAsia" w:eastAsia="仿宋"/>
          <w:highlight w:val="none"/>
          <w:lang w:val="en-US" w:eastAsia="zh-CN"/>
        </w:rPr>
        <w:t xml:space="preserve"> </w:t>
      </w:r>
      <w:r>
        <w:rPr>
          <w:rFonts w:hint="eastAsia" w:eastAsia="仿宋"/>
          <w:highlight w:val="none"/>
        </w:rPr>
        <w:t>本项目施工质量应符合</w:t>
      </w:r>
      <w:r>
        <w:rPr>
          <w:rFonts w:eastAsia="仿宋"/>
          <w:highlight w:val="none"/>
        </w:rPr>
        <w:t>国家标准、行业标准、工程所在地的地方性标准</w:t>
      </w:r>
      <w:r>
        <w:rPr>
          <w:rFonts w:hint="eastAsia" w:eastAsia="仿宋"/>
          <w:highlight w:val="none"/>
        </w:rPr>
        <w:t>，并达到合同规定要求，各项技术指标符合施工图纸中所列举的指标要求。</w:t>
      </w:r>
    </w:p>
    <w:p w14:paraId="5F170DCF">
      <w:pPr>
        <w:spacing w:line="360" w:lineRule="auto"/>
        <w:rPr>
          <w:rFonts w:eastAsia="仿宋"/>
          <w:highlight w:val="none"/>
        </w:rPr>
      </w:pPr>
      <w:r>
        <w:rPr>
          <w:rFonts w:hint="eastAsia" w:eastAsia="仿宋"/>
          <w:highlight w:val="none"/>
        </w:rPr>
        <w:t>7.3</w:t>
      </w:r>
      <w:r>
        <w:rPr>
          <w:rFonts w:hint="eastAsia" w:eastAsia="仿宋"/>
          <w:highlight w:val="none"/>
          <w:lang w:val="en-US" w:eastAsia="zh-CN"/>
        </w:rPr>
        <w:t xml:space="preserve"> </w:t>
      </w:r>
      <w:r>
        <w:rPr>
          <w:rFonts w:hint="eastAsia" w:eastAsia="仿宋"/>
          <w:highlight w:val="none"/>
        </w:rPr>
        <w:t>原则上没有国家标准、规范的，适用行业标准、规范；没有国家和行业标准、规范的，适用项目所在地的地方标准、规范；国内没有相应标准、规范的，由甲方向乙方提出技术要求，乙方提出维修方案，经甲方批准后执行。</w:t>
      </w:r>
    </w:p>
    <w:p w14:paraId="52A1C298">
      <w:pPr>
        <w:spacing w:line="360" w:lineRule="auto"/>
        <w:rPr>
          <w:rFonts w:eastAsia="仿宋"/>
          <w:highlight w:val="none"/>
        </w:rPr>
      </w:pPr>
      <w:r>
        <w:rPr>
          <w:rFonts w:hint="eastAsia" w:eastAsia="仿宋"/>
          <w:highlight w:val="none"/>
        </w:rPr>
        <w:t>7.4</w:t>
      </w:r>
      <w:r>
        <w:rPr>
          <w:rFonts w:hint="eastAsia" w:eastAsia="仿宋"/>
          <w:highlight w:val="none"/>
          <w:lang w:val="en-US" w:eastAsia="zh-CN"/>
        </w:rPr>
        <w:t xml:space="preserve"> </w:t>
      </w:r>
      <w:r>
        <w:rPr>
          <w:rFonts w:hint="eastAsia" w:eastAsia="仿宋"/>
          <w:highlight w:val="none"/>
        </w:rPr>
        <w:t>如遇规范、标准、技术规程对同一问题的处理出现相互矛盾的情况时，乙方应通知甲方，提出解决办法并征得甲方的同意。本项目所用的规范及标准应采用双方最新确定的方案。</w:t>
      </w:r>
    </w:p>
    <w:p w14:paraId="6B2E976F">
      <w:pPr>
        <w:spacing w:line="360" w:lineRule="auto"/>
        <w:rPr>
          <w:rFonts w:eastAsia="仿宋"/>
          <w:highlight w:val="none"/>
        </w:rPr>
      </w:pPr>
      <w:r>
        <w:rPr>
          <w:rFonts w:hint="eastAsia" w:eastAsia="仿宋"/>
          <w:highlight w:val="none"/>
        </w:rPr>
        <w:t>7</w:t>
      </w:r>
      <w:r>
        <w:rPr>
          <w:rFonts w:eastAsia="仿宋"/>
          <w:highlight w:val="none"/>
        </w:rPr>
        <w:t>.</w:t>
      </w:r>
      <w:r>
        <w:rPr>
          <w:rFonts w:hint="eastAsia" w:eastAsia="仿宋"/>
          <w:highlight w:val="none"/>
        </w:rPr>
        <w:t>5</w:t>
      </w:r>
      <w:r>
        <w:rPr>
          <w:rFonts w:hint="eastAsia" w:eastAsia="仿宋"/>
          <w:highlight w:val="none"/>
          <w:lang w:val="en-US" w:eastAsia="zh-CN"/>
        </w:rPr>
        <w:t xml:space="preserve"> </w:t>
      </w:r>
      <w:r>
        <w:rPr>
          <w:rFonts w:hint="eastAsia" w:eastAsia="仿宋"/>
          <w:highlight w:val="none"/>
        </w:rPr>
        <w:t>工程完工后七日内，乙方应书面通知甲方验收，甲方自接到验收通知之日起七日内组织验收；如果性能及施工质量不能满足甲方要求，乙方将全部或部分重新设计施工，延误的工期以及造成的损失由乙方承担。甲、乙双方可另定验收之日组织验收，验收合格之日为质保期起算日。</w:t>
      </w:r>
    </w:p>
    <w:p w14:paraId="67B86106">
      <w:pPr>
        <w:spacing w:line="360" w:lineRule="auto"/>
        <w:rPr>
          <w:rFonts w:eastAsia="仿宋"/>
          <w:highlight w:val="none"/>
        </w:rPr>
      </w:pPr>
      <w:r>
        <w:rPr>
          <w:rFonts w:hint="eastAsia" w:eastAsia="仿宋"/>
          <w:highlight w:val="none"/>
        </w:rPr>
        <w:t>7</w:t>
      </w:r>
      <w:r>
        <w:rPr>
          <w:rFonts w:eastAsia="仿宋"/>
          <w:highlight w:val="none"/>
        </w:rPr>
        <w:t>.</w:t>
      </w:r>
      <w:r>
        <w:rPr>
          <w:rFonts w:hint="eastAsia" w:eastAsia="仿宋"/>
          <w:highlight w:val="none"/>
        </w:rPr>
        <w:t>6</w:t>
      </w:r>
      <w:r>
        <w:rPr>
          <w:rFonts w:hint="eastAsia" w:eastAsia="仿宋"/>
          <w:highlight w:val="none"/>
          <w:lang w:val="en-US" w:eastAsia="zh-CN"/>
        </w:rPr>
        <w:t xml:space="preserve"> </w:t>
      </w:r>
      <w:r>
        <w:rPr>
          <w:rFonts w:hint="eastAsia" w:eastAsia="仿宋"/>
          <w:highlight w:val="none"/>
        </w:rPr>
        <w:t>甲乙双方对工程质量有争议，应协商确定第三方工程质量检验机构进行鉴定，所需费用及由此造成的损失，由责任方承担。</w:t>
      </w:r>
    </w:p>
    <w:p w14:paraId="79C4323B">
      <w:pPr>
        <w:spacing w:line="360" w:lineRule="auto"/>
        <w:rPr>
          <w:rFonts w:eastAsia="仿宋"/>
          <w:b/>
          <w:highlight w:val="none"/>
        </w:rPr>
      </w:pPr>
      <w:r>
        <w:rPr>
          <w:rFonts w:hint="eastAsia" w:eastAsia="仿宋"/>
          <w:b/>
          <w:highlight w:val="none"/>
        </w:rPr>
        <w:t>八、质量保证</w:t>
      </w:r>
    </w:p>
    <w:p w14:paraId="1E4CDD10">
      <w:pPr>
        <w:spacing w:line="360" w:lineRule="auto"/>
        <w:ind w:firstLine="420" w:firstLineChars="200"/>
        <w:rPr>
          <w:rFonts w:eastAsia="仿宋"/>
          <w:highlight w:val="none"/>
        </w:rPr>
      </w:pPr>
      <w:r>
        <w:rPr>
          <w:rFonts w:hint="eastAsia" w:eastAsia="仿宋"/>
          <w:highlight w:val="none"/>
        </w:rPr>
        <w:t>乙方应按法律法规及本合同约定，对交付甲方使用的工程或设备在质量保证期内承担质量保证责任。</w:t>
      </w:r>
    </w:p>
    <w:p w14:paraId="2D3A36F6">
      <w:pPr>
        <w:spacing w:line="360" w:lineRule="auto"/>
        <w:rPr>
          <w:rFonts w:eastAsia="仿宋"/>
          <w:highlight w:val="none"/>
        </w:rPr>
      </w:pPr>
      <w:r>
        <w:rPr>
          <w:rFonts w:hint="eastAsia" w:eastAsia="仿宋"/>
          <w:highlight w:val="none"/>
        </w:rPr>
        <w:t>8</w:t>
      </w:r>
      <w:r>
        <w:rPr>
          <w:rFonts w:eastAsia="仿宋"/>
          <w:highlight w:val="none"/>
        </w:rPr>
        <w:t>.1</w:t>
      </w:r>
      <w:r>
        <w:rPr>
          <w:rFonts w:hint="eastAsia" w:eastAsia="仿宋"/>
          <w:highlight w:val="none"/>
          <w:lang w:val="en-US" w:eastAsia="zh-CN"/>
        </w:rPr>
        <w:t xml:space="preserve"> </w:t>
      </w:r>
      <w:r>
        <w:rPr>
          <w:rFonts w:hint="eastAsia" w:eastAsia="仿宋"/>
          <w:highlight w:val="none"/>
        </w:rPr>
        <w:t>质量保证范围</w:t>
      </w:r>
    </w:p>
    <w:p w14:paraId="40E14083">
      <w:pPr>
        <w:keepNext w:val="0"/>
        <w:keepLines w:val="0"/>
        <w:pageBreakBefore w:val="0"/>
        <w:widowControl/>
        <w:kinsoku/>
        <w:wordWrap/>
        <w:overflowPunct/>
        <w:topLinePunct w:val="0"/>
        <w:autoSpaceDE/>
        <w:autoSpaceDN/>
        <w:bidi w:val="0"/>
        <w:adjustRightInd/>
        <w:snapToGrid/>
        <w:spacing w:line="360" w:lineRule="auto"/>
        <w:textAlignment w:val="auto"/>
        <w:rPr>
          <w:rFonts w:eastAsia="仿宋"/>
          <w:highlight w:val="none"/>
        </w:rPr>
      </w:pPr>
      <w:r>
        <w:rPr>
          <w:rFonts w:hint="eastAsia" w:eastAsia="仿宋"/>
          <w:highlight w:val="none"/>
        </w:rPr>
        <w:t>质量保证范围包括乙方承担的本项目一切工作和合同约定的其他工作。</w:t>
      </w:r>
    </w:p>
    <w:p w14:paraId="5CEE4F48">
      <w:pPr>
        <w:spacing w:line="360" w:lineRule="auto"/>
        <w:rPr>
          <w:rFonts w:eastAsia="仿宋"/>
          <w:highlight w:val="none"/>
        </w:rPr>
      </w:pPr>
      <w:r>
        <w:rPr>
          <w:rFonts w:hint="eastAsia" w:eastAsia="仿宋"/>
          <w:highlight w:val="none"/>
        </w:rPr>
        <w:t>8</w:t>
      </w:r>
      <w:r>
        <w:rPr>
          <w:rFonts w:eastAsia="仿宋"/>
          <w:highlight w:val="none"/>
        </w:rPr>
        <w:t>.2</w:t>
      </w:r>
      <w:r>
        <w:rPr>
          <w:rFonts w:hint="eastAsia" w:eastAsia="仿宋"/>
          <w:highlight w:val="none"/>
          <w:lang w:val="en-US" w:eastAsia="zh-CN"/>
        </w:rPr>
        <w:t xml:space="preserve"> </w:t>
      </w:r>
      <w:r>
        <w:rPr>
          <w:rFonts w:hint="eastAsia" w:eastAsia="仿宋"/>
          <w:highlight w:val="none"/>
        </w:rPr>
        <w:t>质量保证期限</w:t>
      </w:r>
    </w:p>
    <w:p w14:paraId="3CA964A3">
      <w:pPr>
        <w:spacing w:line="360" w:lineRule="auto"/>
        <w:rPr>
          <w:rFonts w:eastAsia="仿宋"/>
          <w:highlight w:val="none"/>
        </w:rPr>
      </w:pPr>
      <w:r>
        <w:rPr>
          <w:rFonts w:hint="eastAsia" w:eastAsia="仿宋"/>
          <w:highlight w:val="none"/>
        </w:rPr>
        <w:t>乙方对本项目承担质量保证责任的期限为</w:t>
      </w:r>
      <w:r>
        <w:rPr>
          <w:rFonts w:hint="eastAsia" w:ascii="宋体" w:hAnsi="宋体" w:eastAsia="宋体" w:cs="宋体"/>
          <w:highlight w:val="none"/>
          <w:u w:val="single"/>
          <w:lang w:val="en-US" w:eastAsia="zh-CN"/>
        </w:rPr>
        <w:t>1</w:t>
      </w:r>
      <w:r>
        <w:rPr>
          <w:rFonts w:hint="eastAsia" w:ascii="宋体" w:hAnsi="宋体" w:eastAsia="宋体" w:cs="宋体"/>
          <w:highlight w:val="none"/>
          <w:u w:val="single"/>
        </w:rPr>
        <w:t>年</w:t>
      </w:r>
      <w:r>
        <w:rPr>
          <w:rFonts w:eastAsia="仿宋"/>
          <w:highlight w:val="none"/>
        </w:rPr>
        <w:t>，</w:t>
      </w:r>
      <w:r>
        <w:rPr>
          <w:rFonts w:hint="eastAsia" w:eastAsia="仿宋"/>
          <w:highlight w:val="none"/>
        </w:rPr>
        <w:t>从验收合格之日起计算。</w:t>
      </w:r>
    </w:p>
    <w:p w14:paraId="10D4A0D2">
      <w:pPr>
        <w:spacing w:line="360" w:lineRule="auto"/>
        <w:rPr>
          <w:rFonts w:eastAsia="仿宋"/>
          <w:highlight w:val="none"/>
        </w:rPr>
      </w:pPr>
      <w:r>
        <w:rPr>
          <w:rFonts w:hint="eastAsia" w:eastAsia="仿宋"/>
          <w:highlight w:val="none"/>
        </w:rPr>
        <w:t>8</w:t>
      </w:r>
      <w:r>
        <w:rPr>
          <w:rFonts w:eastAsia="仿宋"/>
          <w:highlight w:val="none"/>
        </w:rPr>
        <w:t>.3</w:t>
      </w:r>
      <w:r>
        <w:rPr>
          <w:rFonts w:hint="eastAsia" w:eastAsia="仿宋"/>
          <w:highlight w:val="none"/>
          <w:lang w:val="en-US" w:eastAsia="zh-CN"/>
        </w:rPr>
        <w:t xml:space="preserve"> </w:t>
      </w:r>
      <w:r>
        <w:rPr>
          <w:rFonts w:hint="eastAsia" w:eastAsia="仿宋"/>
          <w:highlight w:val="none"/>
        </w:rPr>
        <w:t>质量保证责任承担</w:t>
      </w:r>
    </w:p>
    <w:p w14:paraId="661B6560">
      <w:pPr>
        <w:spacing w:line="360" w:lineRule="auto"/>
        <w:rPr>
          <w:rFonts w:eastAsia="仿宋"/>
          <w:highlight w:val="none"/>
        </w:rPr>
      </w:pPr>
      <w:r>
        <w:rPr>
          <w:rFonts w:eastAsia="仿宋"/>
          <w:highlight w:val="none"/>
        </w:rPr>
        <w:t>1）</w:t>
      </w:r>
      <w:r>
        <w:rPr>
          <w:rFonts w:hint="eastAsia" w:eastAsia="仿宋"/>
          <w:highlight w:val="none"/>
        </w:rPr>
        <w:t>属于保证范围和内容的项目，甲方在保证期间内发现本项目维修改造工作有缺陷，可要求乙方立即修复，乙方必须在收到甲方的通知后立即派人员到现场免费修复。如乙方拖延修复，甲方可自行组织修复，由此产生的一切费用和损失由乙方承担。在质量保证期内，由于乙方的原因造成的维修费用损失和甲方的损失由乙方承担，且不能抵扣质量保证金。</w:t>
      </w:r>
    </w:p>
    <w:p w14:paraId="4AFA0C8F">
      <w:pPr>
        <w:spacing w:line="360" w:lineRule="auto"/>
        <w:rPr>
          <w:rFonts w:eastAsia="仿宋"/>
          <w:highlight w:val="none"/>
        </w:rPr>
      </w:pPr>
      <w:r>
        <w:rPr>
          <w:rFonts w:eastAsia="仿宋"/>
          <w:highlight w:val="none"/>
        </w:rPr>
        <w:t>2</w:t>
      </w:r>
      <w:r>
        <w:rPr>
          <w:rFonts w:hint="eastAsia" w:eastAsia="仿宋"/>
          <w:highlight w:val="none"/>
        </w:rPr>
        <w:t>）发生须紧急抢修的事</w:t>
      </w:r>
      <w:r>
        <w:rPr>
          <w:rFonts w:hint="eastAsia" w:eastAsia="仿宋"/>
          <w:highlight w:val="none"/>
        </w:rPr>
        <w:t>故时，乙方接到通知后，应立即到达事故现场抢修。非乙方作业质量引起的事故，抢修费用由甲方承担（属于合同工作范围的在该合同项下支付）。</w:t>
      </w:r>
    </w:p>
    <w:p w14:paraId="706DBF66">
      <w:pPr>
        <w:spacing w:line="360" w:lineRule="auto"/>
        <w:rPr>
          <w:rFonts w:eastAsia="仿宋"/>
          <w:highlight w:val="none"/>
        </w:rPr>
      </w:pPr>
      <w:r>
        <w:rPr>
          <w:rFonts w:eastAsia="仿宋"/>
          <w:highlight w:val="none"/>
        </w:rPr>
        <w:t>3</w:t>
      </w:r>
      <w:r>
        <w:rPr>
          <w:rFonts w:hint="eastAsia" w:eastAsia="仿宋"/>
          <w:highlight w:val="none"/>
        </w:rPr>
        <w:t>）在国家规定的合理使用期限内，因乙方作业质量原因致使本项目在合理使用期限内造成人身伤亡和财产损害的，由乙方承担损害赔偿责任。</w:t>
      </w:r>
    </w:p>
    <w:p w14:paraId="7CAAA652">
      <w:pPr>
        <w:spacing w:line="360" w:lineRule="auto"/>
        <w:rPr>
          <w:rFonts w:eastAsia="仿宋"/>
          <w:b/>
          <w:highlight w:val="none"/>
        </w:rPr>
      </w:pPr>
      <w:r>
        <w:rPr>
          <w:rFonts w:hint="eastAsia" w:eastAsia="仿宋"/>
          <w:b/>
          <w:highlight w:val="none"/>
        </w:rPr>
        <w:t>九、履约担保</w:t>
      </w:r>
    </w:p>
    <w:p w14:paraId="702A23F7">
      <w:pPr>
        <w:spacing w:line="360" w:lineRule="auto"/>
        <w:rPr>
          <w:rFonts w:eastAsia="仿宋"/>
          <w:highlight w:val="none"/>
        </w:rPr>
      </w:pPr>
      <w:r>
        <w:rPr>
          <w:rFonts w:hint="eastAsia" w:eastAsia="仿宋"/>
          <w:highlight w:val="none"/>
        </w:rPr>
        <w:t>9</w:t>
      </w:r>
      <w:r>
        <w:rPr>
          <w:rFonts w:eastAsia="仿宋"/>
          <w:highlight w:val="none"/>
        </w:rPr>
        <w:t>.1</w:t>
      </w:r>
      <w:bookmarkStart w:id="84" w:name="_Toc198693812"/>
      <w:bookmarkStart w:id="85" w:name="_Toc198694697"/>
      <w:r>
        <w:rPr>
          <w:rFonts w:hint="eastAsia" w:eastAsia="仿宋"/>
          <w:highlight w:val="none"/>
          <w:lang w:val="en-US" w:eastAsia="zh-CN"/>
        </w:rPr>
        <w:t xml:space="preserve"> </w:t>
      </w:r>
      <w:r>
        <w:rPr>
          <w:rFonts w:hint="eastAsia" w:eastAsia="仿宋"/>
          <w:highlight w:val="none"/>
        </w:rPr>
        <w:t>履约担保</w:t>
      </w:r>
    </w:p>
    <w:p w14:paraId="03EB424E">
      <w:pPr>
        <w:spacing w:line="360" w:lineRule="auto"/>
        <w:rPr>
          <w:rFonts w:eastAsia="仿宋" w:cs="Times New Roman (正文 CS 字体)"/>
          <w:highlight w:val="none"/>
        </w:rPr>
      </w:pPr>
      <w:r>
        <w:rPr>
          <w:rFonts w:hint="eastAsia" w:eastAsia="仿宋" w:cs="Times New Roman (正文 CS 字体)"/>
          <w:highlight w:val="none"/>
        </w:rPr>
        <w:t>1</w:t>
      </w:r>
      <w:r>
        <w:rPr>
          <w:rFonts w:eastAsia="仿宋" w:cs="Times New Roman (正文 CS 字体)"/>
          <w:highlight w:val="none"/>
        </w:rPr>
        <w:t>.在本合同签订时，乙方应向甲方提交履约保证金，本项目履约保证金的金额为合同总价款</w:t>
      </w:r>
      <w:r>
        <w:rPr>
          <w:rFonts w:hint="eastAsia" w:eastAsia="仿宋" w:cs="Times New Roman (正文 CS 字体)"/>
          <w:highlight w:val="none"/>
          <w:u w:val="single"/>
          <w:lang w:val="en-US" w:eastAsia="zh-CN"/>
        </w:rPr>
        <w:t>10</w:t>
      </w:r>
      <w:r>
        <w:rPr>
          <w:rFonts w:eastAsia="仿宋" w:cs="Times New Roman (正文 CS 字体)"/>
          <w:highlight w:val="none"/>
          <w:u w:val="single"/>
        </w:rPr>
        <w:t>%</w:t>
      </w:r>
      <w:r>
        <w:rPr>
          <w:rFonts w:eastAsia="仿宋" w:cs="Times New Roman (正文 CS 字体)"/>
          <w:highlight w:val="none"/>
        </w:rPr>
        <w:t>。</w:t>
      </w:r>
    </w:p>
    <w:p w14:paraId="13F07B54">
      <w:pPr>
        <w:spacing w:line="360" w:lineRule="auto"/>
        <w:rPr>
          <w:rFonts w:eastAsia="仿宋" w:cs="Times New Roman (正文 CS 字体)"/>
          <w:highlight w:val="none"/>
        </w:rPr>
      </w:pPr>
      <w:r>
        <w:rPr>
          <w:rFonts w:eastAsia="仿宋" w:cs="Times New Roman (正文 CS 字体)"/>
          <w:highlight w:val="none"/>
        </w:rPr>
        <w:t>2.履约保证金由甲方持有，甲方有权在该保证金内扣除任何乙方应付而未付之任何款项</w:t>
      </w:r>
      <w:r>
        <w:rPr>
          <w:rFonts w:hint="eastAsia" w:eastAsia="仿宋" w:cs="Times New Roman (正文 CS 字体)"/>
          <w:highlight w:val="none"/>
        </w:rPr>
        <w:t>（包括但不限</w:t>
      </w:r>
      <w:r>
        <w:rPr>
          <w:rFonts w:hint="eastAsia" w:eastAsia="仿宋" w:cs="Times New Roman (正文 CS 字体)"/>
          <w:highlight w:val="none"/>
        </w:rPr>
        <w:t>于合同约定的乙方应支付款项、甲方垫付的其他费用等），及任何因乙方在不遵守或不履行本</w:t>
      </w:r>
      <w:r>
        <w:rPr>
          <w:rFonts w:hint="eastAsia" w:eastAsia="仿宋" w:cs="Times New Roman (正文 CS 字体)"/>
          <w:highlight w:val="none"/>
          <w:lang w:eastAsia="zh-CN"/>
        </w:rPr>
        <w:t>合同</w:t>
      </w:r>
      <w:r>
        <w:rPr>
          <w:rFonts w:hint="eastAsia" w:eastAsia="仿宋" w:cs="Times New Roman (正文 CS 字体)"/>
          <w:highlight w:val="none"/>
        </w:rPr>
        <w:t>条款之任何部分而导致的任何费用支出、违约金、损失或损害赔偿金。</w:t>
      </w:r>
      <w:r>
        <w:rPr>
          <w:rFonts w:eastAsia="仿宋" w:cs="Times New Roman (正文 CS 字体)"/>
          <w:highlight w:val="none"/>
        </w:rPr>
        <w:t>如甲方根据</w:t>
      </w:r>
      <w:r>
        <w:rPr>
          <w:rFonts w:hint="eastAsia" w:eastAsia="仿宋" w:cs="Times New Roman (正文 CS 字体)"/>
          <w:highlight w:val="none"/>
        </w:rPr>
        <w:t>上述</w:t>
      </w:r>
      <w:r>
        <w:rPr>
          <w:rFonts w:eastAsia="仿宋" w:cs="Times New Roman (正文 CS 字体)"/>
          <w:highlight w:val="none"/>
        </w:rPr>
        <w:t>情况扣除保证金，乙方必须在扣款后七个工作日内，补足相等于该扣除款额的履约保证金，以保证合同履行期间履约保证金的完整。如履约保证金尚不能弥补甲方的损失，甲方有权另行向乙方主张赔偿。</w:t>
      </w:r>
    </w:p>
    <w:p w14:paraId="06A7B3F3">
      <w:pPr>
        <w:spacing w:line="360" w:lineRule="auto"/>
        <w:ind w:firstLine="105" w:firstLineChars="50"/>
        <w:rPr>
          <w:rFonts w:eastAsia="仿宋" w:cs="Times New Roman (正文 CS 字体)"/>
          <w:highlight w:val="none"/>
        </w:rPr>
      </w:pPr>
      <w:r>
        <w:rPr>
          <w:rFonts w:hint="eastAsia" w:eastAsia="仿宋" w:cs="Times New Roman (正文 CS 字体)"/>
          <w:highlight w:val="none"/>
        </w:rPr>
        <w:t>（采用履约保证金的方式时选用）</w:t>
      </w:r>
    </w:p>
    <w:p w14:paraId="2659DB8A">
      <w:pPr>
        <w:spacing w:line="360" w:lineRule="auto"/>
        <w:rPr>
          <w:rFonts w:eastAsia="仿宋" w:cs="Times New Roman (正文 CS 字体)"/>
          <w:b/>
          <w:highlight w:val="none"/>
        </w:rPr>
      </w:pPr>
      <w:r>
        <w:rPr>
          <w:rFonts w:hint="eastAsia" w:eastAsia="仿宋" w:cs="Times New Roman (正文 CS 字体)"/>
          <w:b/>
          <w:highlight w:val="none"/>
        </w:rPr>
        <w:t>或</w:t>
      </w:r>
    </w:p>
    <w:p w14:paraId="40F0A449">
      <w:pPr>
        <w:spacing w:line="360" w:lineRule="auto"/>
        <w:rPr>
          <w:rFonts w:eastAsia="仿宋" w:cs="Times New Roman (正文 CS 字体)"/>
          <w:highlight w:val="none"/>
        </w:rPr>
      </w:pPr>
      <w:r>
        <w:rPr>
          <w:rFonts w:eastAsia="仿宋" w:cs="Times New Roman (正文 CS 字体)"/>
          <w:highlight w:val="none"/>
        </w:rPr>
        <w:t>1.在本合同签订时，乙方应</w:t>
      </w:r>
      <w:r>
        <w:rPr>
          <w:rFonts w:hint="eastAsia" w:eastAsia="仿宋" w:cs="Times New Roman (正文 CS 字体)"/>
          <w:highlight w:val="none"/>
        </w:rPr>
        <w:t>提交经甲方认可的银行履约保函，保函金</w:t>
      </w:r>
      <w:r>
        <w:rPr>
          <w:rFonts w:eastAsia="仿宋" w:cs="Times New Roman (正文 CS 字体)"/>
          <w:highlight w:val="none"/>
        </w:rPr>
        <w:t>额为合同总价款</w:t>
      </w:r>
      <w:r>
        <w:rPr>
          <w:rFonts w:hint="eastAsia" w:eastAsia="仿宋" w:cs="Times New Roman (正文 CS 字体)"/>
          <w:highlight w:val="none"/>
          <w:u w:val="single"/>
          <w:lang w:val="en-US" w:eastAsia="zh-CN"/>
        </w:rPr>
        <w:t>10</w:t>
      </w:r>
      <w:r>
        <w:rPr>
          <w:rFonts w:eastAsia="仿宋" w:cs="Times New Roman (正文 CS 字体)"/>
          <w:highlight w:val="none"/>
          <w:u w:val="single"/>
        </w:rPr>
        <w:t>%</w:t>
      </w:r>
      <w:r>
        <w:rPr>
          <w:rFonts w:eastAsia="仿宋" w:cs="Times New Roman (正文 CS 字体)"/>
          <w:highlight w:val="none"/>
        </w:rPr>
        <w:t>。</w:t>
      </w:r>
    </w:p>
    <w:p w14:paraId="4F0155FF">
      <w:pPr>
        <w:spacing w:line="360" w:lineRule="auto"/>
        <w:rPr>
          <w:rFonts w:eastAsia="仿宋" w:cs="Times New Roman (正文 CS 字体)"/>
          <w:highlight w:val="none"/>
        </w:rPr>
      </w:pPr>
      <w:r>
        <w:rPr>
          <w:rFonts w:hint="eastAsia" w:eastAsia="仿宋" w:cs="Times New Roman (正文 CS 字体)"/>
          <w:highlight w:val="none"/>
        </w:rPr>
        <w:t>2</w:t>
      </w:r>
      <w:r>
        <w:rPr>
          <w:rFonts w:eastAsia="仿宋" w:cs="Times New Roman (正文 CS 字体)"/>
          <w:highlight w:val="none"/>
        </w:rPr>
        <w:t>.甲方有权在履约保函内提取任何乙方应付而未付之任何款项</w:t>
      </w:r>
      <w:bookmarkStart w:id="86" w:name="_Hlk18247249"/>
      <w:r>
        <w:rPr>
          <w:rFonts w:hint="eastAsia" w:eastAsia="仿宋" w:cs="Times New Roman (正文 CS 字体)"/>
          <w:highlight w:val="none"/>
        </w:rPr>
        <w:t>（包括但不限于合同约定的乙方应支付款项、甲方垫付的其他费用等），</w:t>
      </w:r>
      <w:bookmarkStart w:id="87" w:name="_Hlk17966884"/>
      <w:r>
        <w:rPr>
          <w:rFonts w:hint="eastAsia" w:eastAsia="仿宋" w:cs="Times New Roman (正文 CS 字体)"/>
          <w:highlight w:val="none"/>
        </w:rPr>
        <w:t>及任何因乙方在不遵守或不履行本</w:t>
      </w:r>
      <w:r>
        <w:rPr>
          <w:rFonts w:hint="eastAsia" w:eastAsia="仿宋" w:cs="Times New Roman (正文 CS 字体)"/>
          <w:highlight w:val="none"/>
          <w:lang w:eastAsia="zh-CN"/>
        </w:rPr>
        <w:t>合同</w:t>
      </w:r>
      <w:r>
        <w:rPr>
          <w:rFonts w:hint="eastAsia" w:eastAsia="仿宋" w:cs="Times New Roman (正文 CS 字体)"/>
          <w:highlight w:val="none"/>
        </w:rPr>
        <w:t>条款之任何部分而导致的任何费用支出、违约金、损失或损害赔偿金。</w:t>
      </w:r>
      <w:bookmarkEnd w:id="86"/>
      <w:bookmarkEnd w:id="87"/>
      <w:r>
        <w:rPr>
          <w:rFonts w:eastAsia="仿宋" w:cs="Times New Roman (正文 CS 字体)"/>
          <w:highlight w:val="none"/>
        </w:rPr>
        <w:t>如甲方根据上述情况提取保函金额，乙方必须在该项提取发生之日起七个工作日内，补足至原履约保函金额</w:t>
      </w:r>
      <w:r>
        <w:rPr>
          <w:rFonts w:hint="eastAsia" w:eastAsia="仿宋" w:cs="Times New Roman (正文 CS 字体)"/>
          <w:highlight w:val="none"/>
        </w:rPr>
        <w:t>即元</w:t>
      </w:r>
      <w:r>
        <w:rPr>
          <w:rFonts w:eastAsia="仿宋" w:cs="Times New Roman (正文 CS 字体)"/>
          <w:highlight w:val="none"/>
        </w:rPr>
        <w:t>整，以保证合同履行期间履约保函的完整。如履约保函金额全部提取尚不能弥补甲方的损失，甲方有权另行向乙方主张赔偿。</w:t>
      </w:r>
      <w:r>
        <w:rPr>
          <w:rFonts w:hint="eastAsia" w:eastAsia="仿宋" w:cs="Times New Roman (正文 CS 字体)"/>
          <w:highlight w:val="none"/>
        </w:rPr>
        <w:t>（采用履约保函的方式时选用）</w:t>
      </w:r>
    </w:p>
    <w:p w14:paraId="19B7ADA3">
      <w:pPr>
        <w:spacing w:line="360" w:lineRule="auto"/>
        <w:rPr>
          <w:rFonts w:eastAsia="仿宋" w:cs="Times New Roman (正文 CS 字体)"/>
          <w:highlight w:val="none"/>
        </w:rPr>
      </w:pPr>
      <w:r>
        <w:rPr>
          <w:rFonts w:eastAsia="仿宋" w:cs="Times New Roman (正文 CS 字体)"/>
          <w:highlight w:val="none"/>
        </w:rPr>
        <w:t>3</w:t>
      </w:r>
      <w:r>
        <w:rPr>
          <w:rFonts w:hint="eastAsia" w:eastAsia="仿宋" w:cs="Times New Roman (正文 CS 字体)"/>
          <w:highlight w:val="none"/>
        </w:rPr>
        <w:t>.</w:t>
      </w:r>
      <w:r>
        <w:rPr>
          <w:rFonts w:eastAsia="仿宋" w:cs="Times New Roman (正文 CS 字体)"/>
          <w:highlight w:val="none"/>
        </w:rPr>
        <w:t>履约担保的有效期</w:t>
      </w:r>
      <w:r>
        <w:rPr>
          <w:rFonts w:hint="eastAsia" w:eastAsia="仿宋" w:cs="Times New Roman (正文 CS 字体)"/>
          <w:highlight w:val="none"/>
        </w:rPr>
        <w:t>（采用履约保函的方式时选用）</w:t>
      </w:r>
    </w:p>
    <w:p w14:paraId="6DB9DEE7">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eastAsia="仿宋" w:cs="Times New Roman (正文 CS 字体)"/>
          <w:highlight w:val="none"/>
        </w:rPr>
      </w:pPr>
      <w:r>
        <w:rPr>
          <w:rFonts w:eastAsia="仿宋" w:cs="Times New Roman (正文 CS 字体)"/>
          <w:highlight w:val="none"/>
        </w:rPr>
        <w:t>乙方应承诺提交的履约保函在本合同履行期间内有效，若因变更指令或索赔等原因致使前述日期延后，则乙方应无条件顺延履约保函的有效期。若银行出具的履约保函记载的有效期先于前述日期到期的，乙方应在履约保函到期前无条件到银行顺延履约保函的有效期或按照原保函格式提供新保函，并应在履约保函到期前30日将银行出具的顺延履约保函的正式文书或符合本合同要求的新保函提供给甲方，由此发生的费用包含在合同价款中。</w:t>
      </w:r>
    </w:p>
    <w:p w14:paraId="2DEA6A2F">
      <w:pPr>
        <w:spacing w:line="360" w:lineRule="auto"/>
        <w:rPr>
          <w:rFonts w:eastAsia="仿宋" w:cs="Times New Roman (正文 CS 字体)"/>
          <w:highlight w:val="none"/>
        </w:rPr>
      </w:pPr>
      <w:r>
        <w:rPr>
          <w:rFonts w:hint="eastAsia" w:eastAsia="仿宋" w:cs="Times New Roman (正文 CS 字体)"/>
          <w:highlight w:val="none"/>
          <w:lang w:val="en-US" w:eastAsia="zh-CN"/>
        </w:rPr>
        <w:t xml:space="preserve">9.2 </w:t>
      </w:r>
      <w:r>
        <w:rPr>
          <w:rFonts w:hint="eastAsia" w:eastAsia="仿宋" w:cs="Times New Roman (正文 CS 字体)"/>
          <w:highlight w:val="none"/>
        </w:rPr>
        <w:t>履约担保</w:t>
      </w:r>
      <w:r>
        <w:rPr>
          <w:rFonts w:eastAsia="仿宋" w:cs="Times New Roman (正文 CS 字体)"/>
          <w:highlight w:val="none"/>
        </w:rPr>
        <w:t>的</w:t>
      </w:r>
      <w:r>
        <w:rPr>
          <w:rFonts w:hint="eastAsia" w:eastAsia="仿宋" w:cs="Times New Roman (正文 CS 字体)"/>
          <w:highlight w:val="none"/>
        </w:rPr>
        <w:t>退</w:t>
      </w:r>
      <w:r>
        <w:rPr>
          <w:rFonts w:eastAsia="仿宋" w:cs="Times New Roman (正文 CS 字体)"/>
          <w:highlight w:val="none"/>
        </w:rPr>
        <w:t>还</w:t>
      </w:r>
    </w:p>
    <w:bookmarkEnd w:id="84"/>
    <w:bookmarkEnd w:id="85"/>
    <w:p w14:paraId="2C0241D9">
      <w:pPr>
        <w:spacing w:line="360" w:lineRule="auto"/>
        <w:ind w:firstLine="420" w:firstLineChars="200"/>
        <w:rPr>
          <w:rFonts w:eastAsia="仿宋" w:cs="Times New Roman (正文 CS 字体)"/>
          <w:highlight w:val="none"/>
        </w:rPr>
      </w:pPr>
      <w:r>
        <w:rPr>
          <w:rFonts w:hint="eastAsia" w:eastAsia="仿宋" w:cs="Times New Roman (正文 CS 字体)"/>
          <w:highlight w:val="none"/>
          <w:lang w:val="en-US" w:eastAsia="zh-CN"/>
        </w:rPr>
        <w:t xml:space="preserve">乙方在本合同约定的服务期限届满并经甲方验收合格后30日内办理履约保证金（或履约保函）退还手续。 </w:t>
      </w:r>
    </w:p>
    <w:p w14:paraId="22A2AF58">
      <w:pPr>
        <w:spacing w:line="360" w:lineRule="auto"/>
        <w:rPr>
          <w:rFonts w:eastAsia="仿宋"/>
          <w:b/>
          <w:highlight w:val="none"/>
        </w:rPr>
      </w:pPr>
      <w:r>
        <w:rPr>
          <w:rFonts w:hint="eastAsia" w:eastAsia="仿宋"/>
          <w:b/>
          <w:highlight w:val="none"/>
        </w:rPr>
        <w:t>十、违约责任</w:t>
      </w:r>
    </w:p>
    <w:p w14:paraId="32217B45">
      <w:pPr>
        <w:spacing w:line="360" w:lineRule="auto"/>
        <w:rPr>
          <w:rFonts w:eastAsia="仿宋"/>
          <w:highlight w:val="none"/>
        </w:rPr>
      </w:pPr>
      <w:r>
        <w:rPr>
          <w:rFonts w:hint="eastAsia" w:eastAsia="仿宋"/>
          <w:highlight w:val="none"/>
        </w:rPr>
        <w:t>10</w:t>
      </w:r>
      <w:r>
        <w:rPr>
          <w:rFonts w:eastAsia="仿宋"/>
          <w:highlight w:val="none"/>
        </w:rPr>
        <w:t>.1</w:t>
      </w:r>
      <w:r>
        <w:rPr>
          <w:rFonts w:hint="eastAsia" w:eastAsia="仿宋"/>
          <w:highlight w:val="none"/>
          <w:lang w:val="en-US" w:eastAsia="zh-CN"/>
        </w:rPr>
        <w:t xml:space="preserve"> </w:t>
      </w:r>
      <w:r>
        <w:rPr>
          <w:rFonts w:hint="eastAsia" w:eastAsia="仿宋"/>
          <w:highlight w:val="none"/>
        </w:rPr>
        <w:t>在合同履行中，乙方不按照甲方的管理规定以及现场检查人员的施工管理要求进行施工的，每发现一次应向甲方支付1000元作为违约金，如同时给甲方造成损失的，乙方还应承担赔偿责任。</w:t>
      </w:r>
    </w:p>
    <w:p w14:paraId="308393AE">
      <w:pPr>
        <w:spacing w:line="360" w:lineRule="auto"/>
        <w:rPr>
          <w:rFonts w:hint="eastAsia" w:eastAsia="仿宋"/>
          <w:highlight w:val="none"/>
        </w:rPr>
      </w:pPr>
      <w:r>
        <w:rPr>
          <w:rFonts w:eastAsia="仿宋"/>
          <w:highlight w:val="none"/>
        </w:rPr>
        <w:t>10.2</w:t>
      </w:r>
      <w:r>
        <w:rPr>
          <w:rFonts w:hint="eastAsia" w:eastAsia="仿宋"/>
          <w:highlight w:val="none"/>
          <w:lang w:val="en-US" w:eastAsia="zh-CN"/>
        </w:rPr>
        <w:t xml:space="preserve"> </w:t>
      </w:r>
      <w:r>
        <w:rPr>
          <w:rFonts w:hint="eastAsia" w:eastAsia="仿宋"/>
          <w:highlight w:val="none"/>
        </w:rPr>
        <w:t>违反本合同第</w:t>
      </w:r>
      <w:r>
        <w:rPr>
          <w:rFonts w:eastAsia="仿宋"/>
          <w:highlight w:val="none"/>
        </w:rPr>
        <w:t>6.9</w:t>
      </w:r>
      <w:r>
        <w:rPr>
          <w:rFonts w:hint="eastAsia" w:eastAsia="仿宋"/>
          <w:highlight w:val="none"/>
        </w:rPr>
        <w:t>条规定，每发</w:t>
      </w:r>
      <w:r>
        <w:rPr>
          <w:rFonts w:hint="eastAsia" w:eastAsia="仿宋"/>
          <w:highlight w:val="none"/>
          <w:lang w:val="en-US" w:eastAsia="zh-CN"/>
        </w:rPr>
        <w:t>生一次</w:t>
      </w:r>
      <w:r>
        <w:rPr>
          <w:rFonts w:hint="eastAsia" w:eastAsia="仿宋"/>
          <w:highlight w:val="none"/>
        </w:rPr>
        <w:t>应向甲方支付</w:t>
      </w:r>
      <w:r>
        <w:rPr>
          <w:rFonts w:eastAsia="仿宋"/>
          <w:highlight w:val="none"/>
        </w:rPr>
        <w:t>1000</w:t>
      </w:r>
      <w:r>
        <w:rPr>
          <w:rFonts w:hint="eastAsia" w:eastAsia="仿宋"/>
          <w:highlight w:val="none"/>
        </w:rPr>
        <w:t>元作为违约金，如同时给甲方造成损失的，乙方还应承担赔偿责任。</w:t>
      </w:r>
    </w:p>
    <w:p w14:paraId="4A817B87">
      <w:pPr>
        <w:spacing w:line="360" w:lineRule="auto"/>
        <w:rPr>
          <w:rFonts w:eastAsia="仿宋"/>
          <w:highlight w:val="none"/>
        </w:rPr>
      </w:pPr>
      <w:r>
        <w:rPr>
          <w:rFonts w:hint="eastAsia" w:eastAsia="仿宋"/>
          <w:highlight w:val="none"/>
        </w:rPr>
        <w:t>10</w:t>
      </w:r>
      <w:r>
        <w:rPr>
          <w:rFonts w:eastAsia="仿宋"/>
          <w:highlight w:val="none"/>
        </w:rPr>
        <w:t>.</w:t>
      </w:r>
      <w:r>
        <w:rPr>
          <w:rFonts w:hint="eastAsia" w:eastAsia="仿宋"/>
          <w:highlight w:val="none"/>
        </w:rPr>
        <w:t>3</w:t>
      </w:r>
      <w:r>
        <w:rPr>
          <w:rFonts w:hint="eastAsia" w:eastAsia="仿宋"/>
          <w:highlight w:val="none"/>
          <w:lang w:val="en-US" w:eastAsia="zh-CN"/>
        </w:rPr>
        <w:t xml:space="preserve"> </w:t>
      </w:r>
      <w:r>
        <w:rPr>
          <w:rFonts w:hint="eastAsia" w:eastAsia="仿宋"/>
          <w:highlight w:val="none"/>
        </w:rPr>
        <w:t>乙方未能按照甲方审查确认的施工图纸或做法说明进行施工而造成的工程量变更，乙方不得提出费用增加的要求，甲方也不需为此支付额外的费用。</w:t>
      </w:r>
    </w:p>
    <w:p w14:paraId="5C873073">
      <w:pPr>
        <w:spacing w:line="360" w:lineRule="auto"/>
        <w:rPr>
          <w:rFonts w:eastAsia="仿宋"/>
          <w:highlight w:val="none"/>
        </w:rPr>
      </w:pPr>
      <w:r>
        <w:rPr>
          <w:rFonts w:hint="eastAsia" w:eastAsia="仿宋"/>
          <w:highlight w:val="none"/>
        </w:rPr>
        <w:t>10</w:t>
      </w:r>
      <w:r>
        <w:rPr>
          <w:rFonts w:eastAsia="仿宋"/>
          <w:highlight w:val="none"/>
        </w:rPr>
        <w:t>.</w:t>
      </w:r>
      <w:r>
        <w:rPr>
          <w:rFonts w:hint="eastAsia" w:eastAsia="仿宋"/>
          <w:highlight w:val="none"/>
        </w:rPr>
        <w:t>4</w:t>
      </w:r>
      <w:r>
        <w:rPr>
          <w:rFonts w:hint="eastAsia" w:eastAsia="仿宋"/>
          <w:highlight w:val="none"/>
          <w:lang w:val="en-US" w:eastAsia="zh-CN"/>
        </w:rPr>
        <w:t xml:space="preserve"> </w:t>
      </w:r>
      <w:r>
        <w:rPr>
          <w:rFonts w:hint="eastAsia" w:eastAsia="仿宋"/>
          <w:highlight w:val="none"/>
        </w:rPr>
        <w:t>由于乙方原因造成工程质量不合格或设计不符合双方约定的，乙方应按合同价款的</w:t>
      </w:r>
      <w:r>
        <w:rPr>
          <w:rFonts w:hint="eastAsia" w:eastAsia="仿宋"/>
          <w:highlight w:val="none"/>
          <w:u w:val="single"/>
        </w:rPr>
        <w:t>10%</w:t>
      </w:r>
      <w:r>
        <w:rPr>
          <w:rFonts w:hint="eastAsia" w:eastAsia="仿宋"/>
          <w:highlight w:val="none"/>
        </w:rPr>
        <w:t>向甲方支付违约金，并负责在本合同规定工期内返工至约定的质量标准要求，若违约金不足以弥补甲方的损失，乙方应足额赔偿甲方的损失。</w:t>
      </w:r>
    </w:p>
    <w:p w14:paraId="09CA3538">
      <w:pPr>
        <w:spacing w:line="360" w:lineRule="auto"/>
        <w:rPr>
          <w:rFonts w:eastAsia="仿宋"/>
          <w:highlight w:val="none"/>
        </w:rPr>
      </w:pPr>
      <w:r>
        <w:rPr>
          <w:rFonts w:hint="eastAsia" w:eastAsia="仿宋"/>
          <w:highlight w:val="none"/>
        </w:rPr>
        <w:t>10</w:t>
      </w:r>
      <w:r>
        <w:rPr>
          <w:rFonts w:eastAsia="仿宋"/>
          <w:highlight w:val="none"/>
        </w:rPr>
        <w:t>.</w:t>
      </w:r>
      <w:r>
        <w:rPr>
          <w:rFonts w:hint="eastAsia" w:eastAsia="仿宋"/>
          <w:highlight w:val="none"/>
        </w:rPr>
        <w:t>5</w:t>
      </w:r>
      <w:r>
        <w:rPr>
          <w:rFonts w:hint="eastAsia" w:eastAsia="仿宋"/>
          <w:highlight w:val="none"/>
          <w:lang w:val="en-US" w:eastAsia="zh-CN"/>
        </w:rPr>
        <w:t xml:space="preserve"> </w:t>
      </w:r>
      <w:r>
        <w:rPr>
          <w:rFonts w:hint="eastAsia" w:eastAsia="仿宋"/>
          <w:highlight w:val="none"/>
        </w:rPr>
        <w:t>乙方未能在规定日期内竣工验收并交付甲方使用的，每逾期一日，乙方须按合同价款的</w:t>
      </w:r>
      <w:r>
        <w:rPr>
          <w:rFonts w:hint="eastAsia" w:eastAsia="仿宋"/>
          <w:highlight w:val="none"/>
          <w:u w:val="single"/>
        </w:rPr>
        <w:t>0.5%</w:t>
      </w:r>
      <w:r>
        <w:rPr>
          <w:rFonts w:hint="eastAsia" w:eastAsia="仿宋"/>
          <w:highlight w:val="none"/>
        </w:rPr>
        <w:t>向甲方支付违约金。</w:t>
      </w:r>
    </w:p>
    <w:p w14:paraId="06CE7E5C">
      <w:pPr>
        <w:spacing w:line="360" w:lineRule="auto"/>
        <w:rPr>
          <w:rFonts w:eastAsia="仿宋"/>
          <w:highlight w:val="none"/>
        </w:rPr>
      </w:pPr>
      <w:r>
        <w:rPr>
          <w:rFonts w:hint="eastAsia" w:eastAsia="仿宋"/>
          <w:highlight w:val="none"/>
        </w:rPr>
        <w:t>10</w:t>
      </w:r>
      <w:r>
        <w:rPr>
          <w:rFonts w:eastAsia="仿宋"/>
          <w:highlight w:val="none"/>
        </w:rPr>
        <w:t>.</w:t>
      </w:r>
      <w:r>
        <w:rPr>
          <w:rFonts w:hint="eastAsia" w:eastAsia="仿宋"/>
          <w:highlight w:val="none"/>
        </w:rPr>
        <w:t>6</w:t>
      </w:r>
      <w:r>
        <w:rPr>
          <w:rFonts w:hint="eastAsia" w:eastAsia="仿宋"/>
          <w:highlight w:val="none"/>
          <w:lang w:val="en-US" w:eastAsia="zh-CN"/>
        </w:rPr>
        <w:t xml:space="preserve"> </w:t>
      </w:r>
      <w:r>
        <w:rPr>
          <w:rFonts w:hint="eastAsia" w:eastAsia="仿宋"/>
          <w:highlight w:val="none"/>
        </w:rPr>
        <w:t>乙方发生下列情形之一，甲方有权解除本合同</w:t>
      </w:r>
      <w:r>
        <w:rPr>
          <w:rFonts w:hint="eastAsia" w:eastAsia="仿宋"/>
          <w:highlight w:val="none"/>
          <w:lang w:val="en-US" w:eastAsia="zh-CN"/>
        </w:rPr>
        <w:t>并不予退还履约保证金，</w:t>
      </w:r>
      <w:r>
        <w:rPr>
          <w:rFonts w:hint="eastAsia" w:eastAsia="仿宋"/>
          <w:highlight w:val="none"/>
        </w:rPr>
        <w:t>甲方因合同解除而遭受损失的，乙方</w:t>
      </w:r>
      <w:r>
        <w:rPr>
          <w:rFonts w:hint="eastAsia" w:eastAsia="仿宋"/>
          <w:highlight w:val="none"/>
          <w:lang w:val="en-US" w:eastAsia="zh-CN"/>
        </w:rPr>
        <w:t>还</w:t>
      </w:r>
      <w:r>
        <w:rPr>
          <w:rFonts w:hint="eastAsia" w:eastAsia="仿宋"/>
          <w:highlight w:val="none"/>
        </w:rPr>
        <w:t>应承担赔偿责任：</w:t>
      </w:r>
    </w:p>
    <w:p w14:paraId="5F3FBCD4">
      <w:pPr>
        <w:spacing w:line="360" w:lineRule="auto"/>
        <w:rPr>
          <w:rFonts w:eastAsia="仿宋"/>
          <w:highlight w:val="none"/>
        </w:rPr>
      </w:pPr>
      <w:r>
        <w:rPr>
          <w:rFonts w:hint="eastAsia" w:eastAsia="仿宋"/>
          <w:highlight w:val="none"/>
        </w:rPr>
        <w:t>1）因乙方未能按照本合同规定，导致工程开工延误</w:t>
      </w:r>
      <w:r>
        <w:rPr>
          <w:rFonts w:hint="eastAsia" w:eastAsia="仿宋"/>
          <w:highlight w:val="none"/>
          <w:u w:val="single"/>
        </w:rPr>
        <w:t>20日</w:t>
      </w:r>
      <w:r>
        <w:rPr>
          <w:rFonts w:hint="eastAsia" w:eastAsia="仿宋"/>
          <w:highlight w:val="none"/>
        </w:rPr>
        <w:t>以上；</w:t>
      </w:r>
    </w:p>
    <w:p w14:paraId="57CC1CE5">
      <w:pPr>
        <w:spacing w:line="360" w:lineRule="auto"/>
        <w:rPr>
          <w:rFonts w:eastAsia="仿宋"/>
          <w:highlight w:val="none"/>
        </w:rPr>
      </w:pPr>
      <w:r>
        <w:rPr>
          <w:rFonts w:hint="eastAsia" w:eastAsia="仿宋"/>
          <w:highlight w:val="none"/>
        </w:rPr>
        <w:t>2）因乙方原因导致工程未能在本合同约定的期限内完工，且工期延误</w:t>
      </w:r>
      <w:r>
        <w:rPr>
          <w:rFonts w:hint="eastAsia" w:eastAsia="仿宋"/>
          <w:highlight w:val="none"/>
          <w:u w:val="single"/>
        </w:rPr>
        <w:t>30日</w:t>
      </w:r>
      <w:r>
        <w:rPr>
          <w:rFonts w:hint="eastAsia" w:eastAsia="仿宋"/>
          <w:highlight w:val="none"/>
        </w:rPr>
        <w:t>以上；</w:t>
      </w:r>
    </w:p>
    <w:p w14:paraId="581A71E4">
      <w:pPr>
        <w:spacing w:line="360" w:lineRule="auto"/>
        <w:rPr>
          <w:rFonts w:eastAsia="仿宋"/>
          <w:highlight w:val="none"/>
        </w:rPr>
      </w:pPr>
      <w:r>
        <w:rPr>
          <w:rFonts w:hint="eastAsia" w:eastAsia="仿宋"/>
          <w:highlight w:val="none"/>
        </w:rPr>
        <w:t>3）乙方违反本合同第六条的规定，导致发生安全事故的；</w:t>
      </w:r>
    </w:p>
    <w:p w14:paraId="377EB593">
      <w:pPr>
        <w:spacing w:line="360" w:lineRule="auto"/>
        <w:rPr>
          <w:rFonts w:eastAsia="仿宋"/>
          <w:highlight w:val="none"/>
        </w:rPr>
      </w:pPr>
      <w:r>
        <w:rPr>
          <w:rFonts w:hint="eastAsia" w:eastAsia="仿宋"/>
          <w:highlight w:val="none"/>
        </w:rPr>
        <w:t>4）乙方违反本合同项下的其他义务，并且在甲方发出违约通知后</w:t>
      </w:r>
      <w:r>
        <w:rPr>
          <w:rFonts w:hint="eastAsia" w:eastAsia="仿宋"/>
          <w:highlight w:val="none"/>
          <w:u w:val="single"/>
        </w:rPr>
        <w:t>10</w:t>
      </w:r>
      <w:r>
        <w:rPr>
          <w:rFonts w:hint="eastAsia" w:eastAsia="仿宋"/>
          <w:highlight w:val="none"/>
        </w:rPr>
        <w:t>天内或在违约通知限定的期限内仍未纠正，或纠正后仍不符合本合同的约定或甲方要求。</w:t>
      </w:r>
    </w:p>
    <w:p w14:paraId="46F65E24">
      <w:pPr>
        <w:spacing w:line="360" w:lineRule="auto"/>
        <w:rPr>
          <w:rFonts w:eastAsia="仿宋"/>
          <w:highlight w:val="none"/>
        </w:rPr>
      </w:pPr>
      <w:r>
        <w:rPr>
          <w:rFonts w:hint="eastAsia" w:eastAsia="仿宋"/>
          <w:highlight w:val="none"/>
        </w:rPr>
        <w:t>10</w:t>
      </w:r>
      <w:r>
        <w:rPr>
          <w:rFonts w:eastAsia="仿宋"/>
          <w:highlight w:val="none"/>
        </w:rPr>
        <w:t>.</w:t>
      </w:r>
      <w:r>
        <w:rPr>
          <w:rFonts w:hint="eastAsia" w:eastAsia="仿宋"/>
          <w:highlight w:val="none"/>
        </w:rPr>
        <w:t>7</w:t>
      </w:r>
      <w:r>
        <w:rPr>
          <w:rFonts w:hint="eastAsia" w:eastAsia="仿宋"/>
          <w:highlight w:val="none"/>
          <w:lang w:val="en-US" w:eastAsia="zh-CN"/>
        </w:rPr>
        <w:t xml:space="preserve"> </w:t>
      </w:r>
      <w:r>
        <w:rPr>
          <w:rFonts w:hint="eastAsia" w:eastAsia="仿宋"/>
          <w:highlight w:val="none"/>
        </w:rPr>
        <w:t>在合同履行期间，擅自解除合同方，应按合同总金额的20％作为违约金付给</w:t>
      </w:r>
      <w:r>
        <w:rPr>
          <w:rFonts w:hint="eastAsia" w:eastAsia="仿宋"/>
          <w:highlight w:val="none"/>
          <w:lang w:val="en-US" w:eastAsia="zh-CN"/>
        </w:rPr>
        <w:t>守约</w:t>
      </w:r>
      <w:r>
        <w:rPr>
          <w:rFonts w:hint="eastAsia" w:eastAsia="仿宋"/>
          <w:highlight w:val="none"/>
        </w:rPr>
        <w:t>方。因擅自解除合同，使对方造成的实际损失超过违约金的，责任方应足额赔偿另一方损失。</w:t>
      </w:r>
    </w:p>
    <w:p w14:paraId="26ED1767">
      <w:pPr>
        <w:pageBreakBefore w:val="0"/>
        <w:kinsoku/>
        <w:wordWrap/>
        <w:overflowPunct/>
        <w:topLinePunct w:val="0"/>
        <w:bidi w:val="0"/>
        <w:snapToGrid/>
        <w:spacing w:line="360" w:lineRule="auto"/>
        <w:textAlignment w:val="auto"/>
        <w:rPr>
          <w:rFonts w:hint="eastAsia" w:eastAsia="仿宋"/>
          <w:highlight w:val="none"/>
        </w:rPr>
      </w:pPr>
      <w:r>
        <w:rPr>
          <w:rFonts w:hint="eastAsia" w:eastAsia="仿宋"/>
          <w:highlight w:val="none"/>
        </w:rPr>
        <w:t>10</w:t>
      </w:r>
      <w:r>
        <w:rPr>
          <w:rFonts w:eastAsia="仿宋"/>
          <w:highlight w:val="none"/>
        </w:rPr>
        <w:t>.</w:t>
      </w:r>
      <w:r>
        <w:rPr>
          <w:rFonts w:hint="eastAsia" w:eastAsia="仿宋"/>
          <w:highlight w:val="none"/>
        </w:rPr>
        <w:t>8</w:t>
      </w:r>
      <w:r>
        <w:rPr>
          <w:rFonts w:hint="eastAsia" w:eastAsia="仿宋"/>
          <w:highlight w:val="none"/>
          <w:lang w:val="en-US" w:eastAsia="zh-CN"/>
        </w:rPr>
        <w:t xml:space="preserve"> </w:t>
      </w:r>
      <w:r>
        <w:rPr>
          <w:rFonts w:hint="eastAsia" w:ascii="仿宋" w:hAnsi="仿宋" w:eastAsia="仿宋" w:cs="仿宋"/>
          <w:sz w:val="24"/>
          <w:szCs w:val="24"/>
          <w:highlight w:val="none"/>
          <w:lang w:eastAsia="zh-CN"/>
        </w:rPr>
        <w:t>本合同所称不可抗力事件指合同当事人不能预见、不能避免、不能克服的客观情况，包括但不限于地震、</w:t>
      </w:r>
      <w:r>
        <w:rPr>
          <w:rFonts w:hint="eastAsia" w:ascii="仿宋" w:hAnsi="仿宋" w:eastAsia="仿宋" w:cs="仿宋"/>
          <w:sz w:val="24"/>
          <w:szCs w:val="24"/>
          <w:highlight w:val="none"/>
          <w:lang w:val="en-US" w:eastAsia="zh-CN"/>
        </w:rPr>
        <w:t>火灾、</w:t>
      </w:r>
      <w:r>
        <w:rPr>
          <w:rFonts w:hint="eastAsia" w:ascii="仿宋" w:hAnsi="仿宋" w:eastAsia="仿宋" w:cs="仿宋"/>
          <w:sz w:val="24"/>
          <w:szCs w:val="24"/>
          <w:highlight w:val="none"/>
          <w:lang w:eastAsia="zh-CN"/>
        </w:rPr>
        <w:t>水灾、雷击、雪灾等天灾，战争、恐怖袭击、内乱、</w:t>
      </w:r>
      <w:r>
        <w:rPr>
          <w:rFonts w:hint="eastAsia" w:ascii="仿宋" w:hAnsi="仿宋" w:eastAsia="仿宋" w:cs="仿宋"/>
          <w:sz w:val="24"/>
          <w:szCs w:val="24"/>
          <w:highlight w:val="none"/>
          <w:lang w:val="en-US" w:eastAsia="zh-CN"/>
        </w:rPr>
        <w:t>疫情等</w:t>
      </w:r>
      <w:r>
        <w:rPr>
          <w:rFonts w:hint="eastAsia" w:ascii="仿宋" w:hAnsi="仿宋" w:eastAsia="仿宋" w:cs="仿宋"/>
          <w:sz w:val="24"/>
          <w:szCs w:val="24"/>
          <w:highlight w:val="none"/>
          <w:lang w:eastAsia="zh-CN"/>
        </w:rPr>
        <w:t>严重威胁安全或健康的情形。</w:t>
      </w:r>
      <w:r>
        <w:rPr>
          <w:rFonts w:hint="eastAsia" w:eastAsia="仿宋"/>
          <w:highlight w:val="none"/>
        </w:rPr>
        <w:t>因不可抗力使本合同的履行受到影响的，受不可抗力影响方应于该事由发生后</w:t>
      </w:r>
      <w:r>
        <w:rPr>
          <w:rFonts w:hint="eastAsia" w:eastAsia="仿宋"/>
          <w:highlight w:val="none"/>
          <w:u w:val="single"/>
        </w:rPr>
        <w:t>10</w:t>
      </w:r>
      <w:r>
        <w:rPr>
          <w:rFonts w:hint="eastAsia" w:eastAsia="仿宋"/>
          <w:highlight w:val="none"/>
        </w:rPr>
        <w:t>日内通知对方并提供相关证明。双方可根据受不可抗力影响的程度决定全部或部分免除本合同项下义务或解除本合同。因不可抗力导致的合同义务减免或合同终止，双方均不承担责任。</w:t>
      </w:r>
    </w:p>
    <w:p w14:paraId="03D2E371">
      <w:pPr>
        <w:spacing w:line="360" w:lineRule="auto"/>
        <w:rPr>
          <w:rFonts w:hint="eastAsia" w:eastAsia="仿宋"/>
          <w:b/>
          <w:highlight w:val="none"/>
          <w:lang w:eastAsia="zh-CN"/>
        </w:rPr>
      </w:pPr>
      <w:bookmarkStart w:id="88" w:name="_Toc424651548"/>
      <w:r>
        <w:rPr>
          <w:rFonts w:hint="eastAsia" w:eastAsia="仿宋"/>
          <w:b/>
          <w:highlight w:val="none"/>
          <w:lang w:val="en-US" w:eastAsia="zh-CN"/>
        </w:rPr>
        <w:t>十一、</w:t>
      </w:r>
      <w:r>
        <w:rPr>
          <w:rFonts w:hint="eastAsia" w:eastAsia="仿宋"/>
          <w:b/>
          <w:highlight w:val="none"/>
          <w:lang w:eastAsia="zh-CN"/>
        </w:rPr>
        <w:t>通知</w:t>
      </w:r>
      <w:bookmarkEnd w:id="88"/>
    </w:p>
    <w:p w14:paraId="705DF8D7">
      <w:pPr>
        <w:spacing w:line="360" w:lineRule="auto"/>
        <w:rPr>
          <w:rFonts w:hint="eastAsia" w:eastAsia="仿宋"/>
          <w:b w:val="0"/>
          <w:bCs/>
          <w:highlight w:val="none"/>
          <w:lang w:eastAsia="zh-CN"/>
        </w:rPr>
      </w:pPr>
      <w:r>
        <w:rPr>
          <w:rFonts w:hint="eastAsia" w:eastAsia="仿宋"/>
          <w:b w:val="0"/>
          <w:bCs/>
          <w:highlight w:val="none"/>
          <w:lang w:val="en-US" w:eastAsia="zh-CN"/>
        </w:rPr>
        <w:t xml:space="preserve">11.1 </w:t>
      </w:r>
      <w:r>
        <w:rPr>
          <w:rFonts w:hint="eastAsia" w:eastAsia="仿宋"/>
          <w:b w:val="0"/>
          <w:bCs/>
          <w:highlight w:val="none"/>
          <w:lang w:eastAsia="zh-CN"/>
        </w:rPr>
        <w:t>任何与本合同有关的通知应以书面形式做出，由本合同一方以专人递送、邮递方式发出。通知以专人递送，于递交时视为送达；以邮递方式发出，于邮件寄出后的第3个工作日视为送达。任何通知一经送达即行生效。</w:t>
      </w:r>
    </w:p>
    <w:p w14:paraId="25ABBDB6">
      <w:pPr>
        <w:spacing w:line="360" w:lineRule="auto"/>
        <w:rPr>
          <w:rFonts w:hint="eastAsia" w:eastAsia="仿宋"/>
          <w:b w:val="0"/>
          <w:bCs/>
          <w:highlight w:val="none"/>
          <w:lang w:eastAsia="zh-CN"/>
        </w:rPr>
      </w:pPr>
      <w:r>
        <w:rPr>
          <w:rFonts w:hint="eastAsia" w:eastAsia="仿宋"/>
          <w:b w:val="0"/>
          <w:bCs/>
          <w:highlight w:val="none"/>
          <w:lang w:eastAsia="zh-CN"/>
        </w:rPr>
        <w:t>各方的联络及通讯方法以各方的下列信息为准：</w:t>
      </w:r>
    </w:p>
    <w:p w14:paraId="7E86F170">
      <w:pPr>
        <w:spacing w:line="360" w:lineRule="auto"/>
        <w:rPr>
          <w:rFonts w:hint="eastAsia" w:eastAsia="仿宋"/>
          <w:b w:val="0"/>
          <w:bCs/>
          <w:highlight w:val="none"/>
          <w:lang w:val="en-US" w:eastAsia="zh-CN"/>
        </w:rPr>
      </w:pPr>
      <w:r>
        <w:rPr>
          <w:rFonts w:hint="eastAsia" w:eastAsia="仿宋"/>
          <w:b w:val="0"/>
          <w:bCs/>
          <w:highlight w:val="none"/>
          <w:lang w:val="en-US" w:eastAsia="zh-CN"/>
        </w:rPr>
        <w:t xml:space="preserve">甲方： </w:t>
      </w:r>
    </w:p>
    <w:p w14:paraId="20BDD487">
      <w:pPr>
        <w:spacing w:line="360" w:lineRule="auto"/>
        <w:rPr>
          <w:rFonts w:hint="eastAsia" w:eastAsia="仿宋"/>
          <w:b w:val="0"/>
          <w:bCs/>
          <w:highlight w:val="none"/>
          <w:lang w:val="en-US" w:eastAsia="zh-CN"/>
        </w:rPr>
      </w:pPr>
      <w:r>
        <w:rPr>
          <w:rFonts w:hint="eastAsia" w:eastAsia="仿宋"/>
          <w:b w:val="0"/>
          <w:bCs/>
          <w:highlight w:val="none"/>
          <w:lang w:val="en-US" w:eastAsia="zh-CN"/>
        </w:rPr>
        <w:t>地址：</w:t>
      </w:r>
    </w:p>
    <w:p w14:paraId="40352DA1">
      <w:pPr>
        <w:spacing w:line="360" w:lineRule="auto"/>
        <w:rPr>
          <w:rFonts w:hint="eastAsia" w:eastAsia="仿宋"/>
          <w:b w:val="0"/>
          <w:bCs/>
          <w:highlight w:val="none"/>
          <w:lang w:eastAsia="zh-CN"/>
        </w:rPr>
      </w:pPr>
      <w:r>
        <w:rPr>
          <w:rFonts w:hint="eastAsia" w:eastAsia="仿宋"/>
          <w:b w:val="0"/>
          <w:bCs/>
          <w:highlight w:val="none"/>
          <w:lang w:val="en-US" w:eastAsia="zh-CN"/>
        </w:rPr>
        <w:t>电话：</w:t>
      </w:r>
    </w:p>
    <w:p w14:paraId="3C608947">
      <w:pPr>
        <w:spacing w:line="360" w:lineRule="auto"/>
        <w:rPr>
          <w:rFonts w:hint="eastAsia" w:eastAsia="仿宋"/>
          <w:b w:val="0"/>
          <w:bCs/>
          <w:highlight w:val="none"/>
          <w:lang w:eastAsia="zh-CN"/>
        </w:rPr>
      </w:pPr>
      <w:r>
        <w:rPr>
          <w:rFonts w:hint="eastAsia" w:eastAsia="仿宋"/>
          <w:b w:val="0"/>
          <w:bCs/>
          <w:highlight w:val="none"/>
          <w:lang w:eastAsia="zh-CN"/>
        </w:rPr>
        <w:t>收件人：_____________________</w:t>
      </w:r>
    </w:p>
    <w:p w14:paraId="30211E70">
      <w:pPr>
        <w:spacing w:line="360" w:lineRule="auto"/>
        <w:rPr>
          <w:rFonts w:hint="eastAsia" w:eastAsia="仿宋"/>
          <w:b w:val="0"/>
          <w:bCs/>
          <w:highlight w:val="none"/>
          <w:lang w:eastAsia="zh-CN"/>
        </w:rPr>
      </w:pPr>
      <w:r>
        <w:rPr>
          <w:rFonts w:hint="eastAsia" w:eastAsia="仿宋"/>
          <w:b w:val="0"/>
          <w:bCs/>
          <w:highlight w:val="none"/>
          <w:lang w:eastAsia="zh-CN"/>
        </w:rPr>
        <w:t>联系人：_____________________</w:t>
      </w:r>
    </w:p>
    <w:p w14:paraId="5D70738B">
      <w:pPr>
        <w:spacing w:line="360" w:lineRule="auto"/>
        <w:rPr>
          <w:rFonts w:hint="eastAsia" w:eastAsia="仿宋"/>
          <w:b w:val="0"/>
          <w:bCs/>
          <w:highlight w:val="none"/>
          <w:lang w:eastAsia="zh-CN"/>
        </w:rPr>
      </w:pPr>
    </w:p>
    <w:p w14:paraId="743D5C09">
      <w:pPr>
        <w:spacing w:line="360" w:lineRule="auto"/>
        <w:rPr>
          <w:rFonts w:hint="eastAsia" w:eastAsia="仿宋"/>
          <w:b w:val="0"/>
          <w:bCs/>
          <w:highlight w:val="none"/>
          <w:lang w:eastAsia="zh-CN"/>
        </w:rPr>
      </w:pPr>
      <w:r>
        <w:rPr>
          <w:rFonts w:hint="eastAsia" w:eastAsia="仿宋"/>
          <w:b w:val="0"/>
          <w:bCs/>
          <w:highlight w:val="none"/>
          <w:lang w:eastAsia="zh-CN"/>
        </w:rPr>
        <w:t>乙方：</w:t>
      </w:r>
    </w:p>
    <w:p w14:paraId="5DC89FF7">
      <w:pPr>
        <w:spacing w:line="360" w:lineRule="auto"/>
        <w:rPr>
          <w:rFonts w:hint="eastAsia" w:eastAsia="仿宋"/>
          <w:b w:val="0"/>
          <w:bCs/>
          <w:highlight w:val="none"/>
          <w:lang w:eastAsia="zh-CN"/>
        </w:rPr>
      </w:pPr>
      <w:r>
        <w:rPr>
          <w:rFonts w:hint="eastAsia" w:eastAsia="仿宋"/>
          <w:b w:val="0"/>
          <w:bCs/>
          <w:highlight w:val="none"/>
          <w:lang w:eastAsia="zh-CN"/>
        </w:rPr>
        <w:t>地址：_____________________</w:t>
      </w:r>
    </w:p>
    <w:p w14:paraId="573A37F1">
      <w:pPr>
        <w:spacing w:line="360" w:lineRule="auto"/>
        <w:rPr>
          <w:rFonts w:hint="eastAsia" w:eastAsia="仿宋"/>
          <w:b w:val="0"/>
          <w:bCs/>
          <w:highlight w:val="none"/>
          <w:lang w:eastAsia="zh-CN"/>
        </w:rPr>
      </w:pPr>
      <w:r>
        <w:rPr>
          <w:rFonts w:hint="eastAsia" w:eastAsia="仿宋"/>
          <w:b w:val="0"/>
          <w:bCs/>
          <w:highlight w:val="none"/>
          <w:lang w:eastAsia="zh-CN"/>
        </w:rPr>
        <w:t>电话：_____________________</w:t>
      </w:r>
    </w:p>
    <w:p w14:paraId="75D5F75A">
      <w:pPr>
        <w:spacing w:line="360" w:lineRule="auto"/>
        <w:rPr>
          <w:rFonts w:hint="eastAsia" w:eastAsia="仿宋"/>
          <w:b w:val="0"/>
          <w:bCs/>
          <w:highlight w:val="none"/>
          <w:lang w:eastAsia="zh-CN"/>
        </w:rPr>
      </w:pPr>
      <w:r>
        <w:rPr>
          <w:rFonts w:hint="eastAsia" w:eastAsia="仿宋"/>
          <w:b w:val="0"/>
          <w:bCs/>
          <w:highlight w:val="none"/>
          <w:lang w:eastAsia="zh-CN"/>
        </w:rPr>
        <w:t>收件人：____________________</w:t>
      </w:r>
    </w:p>
    <w:p w14:paraId="6FC567FA">
      <w:pPr>
        <w:spacing w:line="360" w:lineRule="auto"/>
        <w:rPr>
          <w:rFonts w:hint="eastAsia" w:eastAsia="仿宋"/>
          <w:b w:val="0"/>
          <w:bCs/>
          <w:highlight w:val="none"/>
          <w:lang w:eastAsia="zh-CN"/>
        </w:rPr>
      </w:pPr>
      <w:r>
        <w:rPr>
          <w:rFonts w:hint="eastAsia" w:eastAsia="仿宋"/>
          <w:b w:val="0"/>
          <w:bCs/>
          <w:highlight w:val="none"/>
          <w:lang w:eastAsia="zh-CN"/>
        </w:rPr>
        <w:t>联系人：__________________</w:t>
      </w:r>
    </w:p>
    <w:p w14:paraId="127EBB1F">
      <w:pPr>
        <w:spacing w:line="360" w:lineRule="auto"/>
        <w:rPr>
          <w:rFonts w:hint="eastAsia" w:eastAsia="仿宋"/>
          <w:b w:val="0"/>
          <w:bCs/>
          <w:highlight w:val="none"/>
          <w:lang w:val="en-US" w:eastAsia="zh-CN"/>
        </w:rPr>
      </w:pPr>
      <w:r>
        <w:rPr>
          <w:rFonts w:hint="eastAsia" w:eastAsia="仿宋"/>
          <w:b w:val="0"/>
          <w:bCs/>
          <w:highlight w:val="none"/>
          <w:lang w:val="en-US" w:eastAsia="zh-CN"/>
        </w:rPr>
        <w:t xml:space="preserve">11.2 一方变更名称、地址、联系人或联系方式的，应当在变更后三日内及时书面通知对方，对方实际收到变更通知前的送达仍为有效送达。变更方未及时通知，对方按照变更前的信息进行送达的仍视为有效送达，因此产生的不利后果由变更方承担。 </w:t>
      </w:r>
    </w:p>
    <w:p w14:paraId="71179729">
      <w:pPr>
        <w:spacing w:line="360" w:lineRule="auto"/>
        <w:rPr>
          <w:rFonts w:hint="eastAsia" w:eastAsia="仿宋"/>
          <w:b w:val="0"/>
          <w:bCs/>
          <w:highlight w:val="none"/>
        </w:rPr>
      </w:pPr>
      <w:r>
        <w:rPr>
          <w:rFonts w:hint="eastAsia" w:eastAsia="仿宋"/>
          <w:b w:val="0"/>
          <w:bCs/>
          <w:highlight w:val="none"/>
          <w:lang w:val="en-US" w:eastAsia="zh-CN"/>
        </w:rPr>
        <w:t>11.3 本条款为独立条款，不受协议整体或其他条款的效力的影响，始终有效。</w:t>
      </w:r>
    </w:p>
    <w:p w14:paraId="5821E501">
      <w:pPr>
        <w:spacing w:line="360" w:lineRule="auto"/>
        <w:rPr>
          <w:rFonts w:eastAsia="仿宋"/>
          <w:b/>
          <w:highlight w:val="none"/>
        </w:rPr>
      </w:pPr>
      <w:r>
        <w:rPr>
          <w:rFonts w:hint="eastAsia" w:eastAsia="仿宋"/>
          <w:b/>
          <w:highlight w:val="none"/>
        </w:rPr>
        <w:t>十</w:t>
      </w:r>
      <w:r>
        <w:rPr>
          <w:rFonts w:hint="eastAsia" w:eastAsia="仿宋"/>
          <w:b/>
          <w:highlight w:val="none"/>
          <w:lang w:val="en-US" w:eastAsia="zh-CN"/>
        </w:rPr>
        <w:t>二</w:t>
      </w:r>
      <w:r>
        <w:rPr>
          <w:rFonts w:hint="eastAsia" w:eastAsia="仿宋"/>
          <w:b/>
          <w:highlight w:val="none"/>
        </w:rPr>
        <w:t>、争议解决</w:t>
      </w:r>
    </w:p>
    <w:p w14:paraId="0A93F26D">
      <w:pPr>
        <w:spacing w:line="360" w:lineRule="auto"/>
        <w:ind w:firstLine="420" w:firstLineChars="200"/>
        <w:rPr>
          <w:rFonts w:hint="eastAsia" w:eastAsia="仿宋"/>
          <w:b/>
          <w:highlight w:val="none"/>
          <w:lang w:val="en-US" w:eastAsia="zh-CN"/>
        </w:rPr>
      </w:pPr>
      <w:r>
        <w:rPr>
          <w:rFonts w:hint="eastAsia" w:eastAsia="仿宋"/>
          <w:highlight w:val="none"/>
        </w:rPr>
        <w:t>因履行合同所发生的或与本合同有关的一切争议，双方应通过友好协商解决。如果双方协商不成，任何一方可向</w:t>
      </w:r>
      <w:r>
        <w:rPr>
          <w:rFonts w:hint="eastAsia" w:eastAsia="仿宋"/>
          <w:highlight w:val="none"/>
          <w:lang w:val="en-US" w:eastAsia="zh-CN"/>
        </w:rPr>
        <w:t>甲方</w:t>
      </w:r>
      <w:r>
        <w:rPr>
          <w:rFonts w:hint="eastAsia" w:eastAsia="仿宋"/>
          <w:highlight w:val="none"/>
        </w:rPr>
        <w:t>所在地有管辖权的人民法院起诉。</w:t>
      </w:r>
    </w:p>
    <w:p w14:paraId="34F2CA80">
      <w:pPr>
        <w:spacing w:line="360" w:lineRule="auto"/>
        <w:rPr>
          <w:rFonts w:hint="default" w:eastAsia="仿宋"/>
          <w:b/>
          <w:highlight w:val="none"/>
          <w:lang w:val="en-US" w:eastAsia="zh-CN"/>
        </w:rPr>
      </w:pPr>
      <w:r>
        <w:rPr>
          <w:rFonts w:hint="eastAsia" w:eastAsia="仿宋"/>
          <w:b/>
          <w:highlight w:val="none"/>
          <w:lang w:val="en-US" w:eastAsia="zh-CN"/>
        </w:rPr>
        <w:t>十三、廉洁规范条款</w:t>
      </w:r>
    </w:p>
    <w:p w14:paraId="395FE2DD">
      <w:pPr>
        <w:spacing w:line="360" w:lineRule="auto"/>
        <w:ind w:firstLine="420" w:firstLineChars="200"/>
        <w:rPr>
          <w:rFonts w:hint="eastAsia" w:eastAsia="仿宋"/>
          <w:highlight w:val="none"/>
          <w:lang w:val="zh-CN"/>
        </w:rPr>
      </w:pPr>
      <w:r>
        <w:rPr>
          <w:rFonts w:hint="eastAsia" w:eastAsia="仿宋"/>
          <w:highlight w:val="none"/>
          <w:lang w:val="en-US" w:eastAsia="zh-CN"/>
        </w:rPr>
        <w:t>合同各方</w:t>
      </w:r>
      <w:r>
        <w:rPr>
          <w:rFonts w:hint="eastAsia" w:eastAsia="仿宋"/>
          <w:highlight w:val="none"/>
        </w:rPr>
        <w:t>承诺：在</w:t>
      </w:r>
      <w:r>
        <w:rPr>
          <w:rFonts w:hint="eastAsia" w:eastAsia="仿宋"/>
          <w:highlight w:val="none"/>
          <w:lang w:val="en-US" w:eastAsia="zh-CN"/>
        </w:rPr>
        <w:t>本项目实施</w:t>
      </w:r>
      <w:r>
        <w:rPr>
          <w:rFonts w:hint="eastAsia" w:eastAsia="仿宋"/>
          <w:highlight w:val="none"/>
        </w:rPr>
        <w:t>中均将严格遵守商业廉洁规范，不得直接、间接或变相向其他方公司及其员工、顾问及其亲朋好友提供任何形式的不正当利益，包括但不限于回扣、佣金、礼金、物品、有价证券、信用卡、购物卡/券、宴请、消费性娱乐活动、旅游活动，不得承诺未来兑现某种利益等形式，并将要求员工履行廉洁义务。任何一方违反廉洁条款都将视为该方根本违约，守约方可以解除本</w:t>
      </w:r>
      <w:r>
        <w:rPr>
          <w:rFonts w:hint="eastAsia" w:eastAsia="仿宋"/>
          <w:highlight w:val="none"/>
          <w:lang w:eastAsia="zh-CN"/>
        </w:rPr>
        <w:t>合同，</w:t>
      </w:r>
      <w:r>
        <w:rPr>
          <w:rFonts w:hint="eastAsia" w:ascii="仿宋" w:hAnsi="仿宋" w:eastAsia="仿宋" w:cs="仿宋"/>
          <w:color w:val="000000"/>
          <w:sz w:val="24"/>
          <w:highlight w:val="none"/>
          <w:lang w:val="en-US" w:eastAsia="zh-CN"/>
        </w:rPr>
        <w:t>甲方解除本合同的，有权不予退还乙方履约保证金</w:t>
      </w:r>
      <w:r>
        <w:rPr>
          <w:rFonts w:hint="eastAsia" w:eastAsia="仿宋"/>
          <w:highlight w:val="none"/>
        </w:rPr>
        <w:t>。</w:t>
      </w:r>
    </w:p>
    <w:p w14:paraId="5F5EB6C0">
      <w:pPr>
        <w:spacing w:line="360" w:lineRule="auto"/>
        <w:rPr>
          <w:rFonts w:eastAsia="仿宋"/>
          <w:b/>
          <w:highlight w:val="none"/>
        </w:rPr>
      </w:pPr>
      <w:r>
        <w:rPr>
          <w:rFonts w:hint="eastAsia" w:eastAsia="仿宋"/>
          <w:b/>
          <w:highlight w:val="none"/>
        </w:rPr>
        <w:t>十</w:t>
      </w:r>
      <w:r>
        <w:rPr>
          <w:rFonts w:hint="eastAsia" w:eastAsia="仿宋"/>
          <w:b/>
          <w:highlight w:val="none"/>
          <w:lang w:val="en-US" w:eastAsia="zh-CN"/>
        </w:rPr>
        <w:t>四</w:t>
      </w:r>
      <w:r>
        <w:rPr>
          <w:rFonts w:hint="eastAsia" w:eastAsia="仿宋"/>
          <w:b/>
          <w:highlight w:val="none"/>
        </w:rPr>
        <w:t>、附则</w:t>
      </w:r>
    </w:p>
    <w:p w14:paraId="21516AD2">
      <w:pPr>
        <w:spacing w:line="360" w:lineRule="auto"/>
        <w:rPr>
          <w:rFonts w:eastAsia="仿宋"/>
          <w:highlight w:val="none"/>
        </w:rPr>
      </w:pPr>
      <w:r>
        <w:rPr>
          <w:rFonts w:eastAsia="仿宋"/>
          <w:highlight w:val="none"/>
        </w:rPr>
        <w:t>1</w:t>
      </w:r>
      <w:r>
        <w:rPr>
          <w:rFonts w:hint="eastAsia" w:eastAsia="仿宋"/>
          <w:highlight w:val="none"/>
          <w:lang w:val="en-US" w:eastAsia="zh-CN"/>
        </w:rPr>
        <w:t>4</w:t>
      </w:r>
      <w:r>
        <w:rPr>
          <w:rFonts w:eastAsia="仿宋"/>
          <w:highlight w:val="none"/>
        </w:rPr>
        <w:t xml:space="preserve">.1 </w:t>
      </w:r>
      <w:bookmarkStart w:id="89" w:name="_Toc478650037"/>
      <w:r>
        <w:rPr>
          <w:rFonts w:hint="eastAsia" w:eastAsia="仿宋"/>
          <w:highlight w:val="none"/>
        </w:rPr>
        <w:t>本合同经甲、乙双方法定代表人或授权代表人签</w:t>
      </w:r>
      <w:r>
        <w:rPr>
          <w:rFonts w:hint="eastAsia" w:eastAsia="仿宋"/>
          <w:highlight w:val="none"/>
        </w:rPr>
        <w:t>名</w:t>
      </w:r>
      <w:r>
        <w:rPr>
          <w:rFonts w:hint="eastAsia" w:eastAsia="仿宋"/>
          <w:highlight w:val="none"/>
          <w:lang w:val="en-US" w:eastAsia="zh-CN"/>
        </w:rPr>
        <w:t>（如为授权代表签名，乙方需提交法定代表人授权委托书</w:t>
      </w:r>
      <w:r>
        <w:rPr>
          <w:rFonts w:hint="eastAsia" w:eastAsia="仿宋"/>
          <w:highlight w:val="none"/>
          <w:lang w:eastAsia="zh-CN"/>
        </w:rPr>
        <w:t>）</w:t>
      </w:r>
      <w:r>
        <w:rPr>
          <w:rFonts w:hint="eastAsia" w:eastAsia="仿宋"/>
          <w:highlight w:val="none"/>
        </w:rPr>
        <w:t>并加盖单位公章或者合同专用章后生效。</w:t>
      </w:r>
      <w:r>
        <w:rPr>
          <w:rFonts w:eastAsia="仿宋"/>
          <w:highlight w:val="none"/>
        </w:rPr>
        <w:t>未尽事宜，双方根据需要，经协商可另外签订补充</w:t>
      </w:r>
      <w:r>
        <w:rPr>
          <w:rFonts w:hint="eastAsia" w:eastAsia="仿宋"/>
          <w:highlight w:val="none"/>
          <w:lang w:eastAsia="zh-CN"/>
        </w:rPr>
        <w:t>合同</w:t>
      </w:r>
      <w:r>
        <w:rPr>
          <w:rFonts w:eastAsia="仿宋"/>
          <w:highlight w:val="none"/>
        </w:rPr>
        <w:t>。</w:t>
      </w:r>
      <w:bookmarkEnd w:id="89"/>
    </w:p>
    <w:p w14:paraId="0A67CA98">
      <w:pPr>
        <w:spacing w:line="360" w:lineRule="auto"/>
        <w:rPr>
          <w:rFonts w:eastAsia="仿宋"/>
          <w:highlight w:val="none"/>
        </w:rPr>
      </w:pPr>
      <w:r>
        <w:rPr>
          <w:rFonts w:eastAsia="仿宋"/>
          <w:highlight w:val="none"/>
        </w:rPr>
        <w:t>1</w:t>
      </w:r>
      <w:r>
        <w:rPr>
          <w:rFonts w:hint="eastAsia" w:eastAsia="仿宋"/>
          <w:highlight w:val="none"/>
          <w:lang w:val="en-US" w:eastAsia="zh-CN"/>
        </w:rPr>
        <w:t>4</w:t>
      </w:r>
      <w:r>
        <w:rPr>
          <w:rFonts w:eastAsia="仿宋"/>
          <w:highlight w:val="none"/>
        </w:rPr>
        <w:t>.2 本合同一式</w:t>
      </w:r>
      <w:r>
        <w:rPr>
          <w:rFonts w:eastAsia="仿宋"/>
          <w:highlight w:val="none"/>
          <w:u w:val="single"/>
        </w:rPr>
        <w:t>9</w:t>
      </w:r>
      <w:r>
        <w:rPr>
          <w:rFonts w:eastAsia="仿宋"/>
          <w:highlight w:val="none"/>
        </w:rPr>
        <w:t>份，其中正本</w:t>
      </w:r>
      <w:r>
        <w:rPr>
          <w:rFonts w:eastAsia="仿宋"/>
          <w:highlight w:val="none"/>
          <w:u w:val="single"/>
        </w:rPr>
        <w:t>3</w:t>
      </w:r>
      <w:r>
        <w:rPr>
          <w:rFonts w:eastAsia="仿宋"/>
          <w:highlight w:val="none"/>
        </w:rPr>
        <w:t>份，甲方执</w:t>
      </w:r>
      <w:r>
        <w:rPr>
          <w:rFonts w:eastAsia="仿宋"/>
          <w:highlight w:val="none"/>
          <w:u w:val="single"/>
        </w:rPr>
        <w:t>1</w:t>
      </w:r>
      <w:r>
        <w:rPr>
          <w:rFonts w:eastAsia="仿宋"/>
          <w:highlight w:val="none"/>
        </w:rPr>
        <w:t>份，乙方执</w:t>
      </w:r>
      <w:r>
        <w:rPr>
          <w:rFonts w:eastAsia="仿宋"/>
          <w:highlight w:val="none"/>
          <w:u w:val="single"/>
        </w:rPr>
        <w:t>2</w:t>
      </w:r>
      <w:r>
        <w:rPr>
          <w:rFonts w:eastAsia="仿宋"/>
          <w:highlight w:val="none"/>
        </w:rPr>
        <w:t>份；副本</w:t>
      </w:r>
      <w:r>
        <w:rPr>
          <w:rFonts w:eastAsia="仿宋"/>
          <w:highlight w:val="none"/>
          <w:u w:val="single"/>
        </w:rPr>
        <w:t>6</w:t>
      </w:r>
      <w:r>
        <w:rPr>
          <w:rFonts w:eastAsia="仿宋"/>
          <w:highlight w:val="none"/>
        </w:rPr>
        <w:t>份，甲方执</w:t>
      </w:r>
      <w:r>
        <w:rPr>
          <w:rFonts w:eastAsia="仿宋"/>
          <w:highlight w:val="none"/>
          <w:u w:val="single"/>
        </w:rPr>
        <w:t>4</w:t>
      </w:r>
      <w:r>
        <w:rPr>
          <w:rFonts w:eastAsia="仿宋"/>
          <w:highlight w:val="none"/>
        </w:rPr>
        <w:t>份，乙方执</w:t>
      </w:r>
      <w:r>
        <w:rPr>
          <w:rFonts w:eastAsia="仿宋"/>
          <w:highlight w:val="none"/>
          <w:u w:val="single"/>
        </w:rPr>
        <w:t>2</w:t>
      </w:r>
      <w:r>
        <w:rPr>
          <w:rFonts w:eastAsia="仿宋"/>
          <w:highlight w:val="none"/>
        </w:rPr>
        <w:t>份；</w:t>
      </w:r>
      <w:r>
        <w:rPr>
          <w:rFonts w:hint="eastAsia" w:eastAsia="仿宋"/>
          <w:highlight w:val="none"/>
        </w:rPr>
        <w:t>正本和副本</w:t>
      </w:r>
      <w:r>
        <w:rPr>
          <w:rFonts w:eastAsia="仿宋"/>
          <w:highlight w:val="none"/>
        </w:rPr>
        <w:t>具有同等的法律效力</w:t>
      </w:r>
      <w:r>
        <w:rPr>
          <w:rFonts w:hint="eastAsia" w:eastAsia="仿宋"/>
          <w:highlight w:val="none"/>
        </w:rPr>
        <w:t>，如有互相矛盾之处，以正本为准。</w:t>
      </w:r>
    </w:p>
    <w:p w14:paraId="681D6EC2">
      <w:pPr>
        <w:spacing w:line="360" w:lineRule="auto"/>
        <w:rPr>
          <w:rFonts w:eastAsia="仿宋"/>
          <w:highlight w:val="none"/>
        </w:rPr>
      </w:pPr>
      <w:r>
        <w:rPr>
          <w:rFonts w:hint="eastAsia" w:eastAsia="仿宋"/>
          <w:highlight w:val="none"/>
        </w:rPr>
        <w:t>1</w:t>
      </w:r>
      <w:r>
        <w:rPr>
          <w:rFonts w:hint="eastAsia" w:eastAsia="仿宋"/>
          <w:highlight w:val="none"/>
          <w:lang w:val="en-US" w:eastAsia="zh-CN"/>
        </w:rPr>
        <w:t>4</w:t>
      </w:r>
      <w:r>
        <w:rPr>
          <w:rFonts w:hint="eastAsia" w:eastAsia="仿宋"/>
          <w:highlight w:val="none"/>
        </w:rPr>
        <w:t>.3</w:t>
      </w:r>
      <w:r>
        <w:rPr>
          <w:rFonts w:hint="eastAsia" w:eastAsia="仿宋"/>
          <w:highlight w:val="none"/>
          <w:lang w:val="en-US" w:eastAsia="zh-CN"/>
        </w:rPr>
        <w:t xml:space="preserve"> </w:t>
      </w:r>
      <w:r>
        <w:rPr>
          <w:rFonts w:hint="eastAsia" w:eastAsia="仿宋"/>
          <w:highlight w:val="none"/>
        </w:rPr>
        <w:t>本合同的附件内容作为合同的组成部分，与本合同具有同等法律效力。</w:t>
      </w:r>
    </w:p>
    <w:p w14:paraId="3B7996CC">
      <w:pPr>
        <w:spacing w:line="360" w:lineRule="auto"/>
        <w:rPr>
          <w:rFonts w:eastAsia="仿宋"/>
          <w:b/>
          <w:bCs/>
          <w:highlight w:val="none"/>
        </w:rPr>
      </w:pPr>
      <w:r>
        <w:rPr>
          <w:rFonts w:hint="eastAsia" w:eastAsia="仿宋"/>
          <w:b/>
          <w:bCs/>
          <w:highlight w:val="none"/>
        </w:rPr>
        <w:t>十</w:t>
      </w:r>
      <w:r>
        <w:rPr>
          <w:rFonts w:hint="eastAsia" w:eastAsia="仿宋"/>
          <w:b/>
          <w:bCs/>
          <w:highlight w:val="none"/>
          <w:lang w:val="en-US" w:eastAsia="zh-CN"/>
        </w:rPr>
        <w:t>五</w:t>
      </w:r>
      <w:r>
        <w:rPr>
          <w:rFonts w:hint="eastAsia" w:eastAsia="仿宋"/>
          <w:b/>
          <w:bCs/>
          <w:highlight w:val="none"/>
        </w:rPr>
        <w:t>、合同附件</w:t>
      </w:r>
    </w:p>
    <w:p w14:paraId="3AB7E9DF">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附件一：</w:t>
      </w:r>
      <w:r>
        <w:rPr>
          <w:rFonts w:hint="eastAsia" w:ascii="仿宋" w:hAnsi="仿宋" w:eastAsia="仿宋" w:cs="仿宋"/>
          <w:sz w:val="21"/>
          <w:szCs w:val="21"/>
          <w:highlight w:val="none"/>
          <w:lang w:val="en-US" w:eastAsia="zh-CN"/>
        </w:rPr>
        <w:t>用户</w:t>
      </w:r>
      <w:r>
        <w:rPr>
          <w:rFonts w:hint="eastAsia" w:ascii="仿宋" w:hAnsi="仿宋" w:eastAsia="仿宋" w:cs="仿宋"/>
          <w:sz w:val="21"/>
          <w:szCs w:val="21"/>
          <w:highlight w:val="none"/>
        </w:rPr>
        <w:t>需求书</w:t>
      </w:r>
    </w:p>
    <w:p w14:paraId="1E055B59">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附件二：价格明细表</w:t>
      </w:r>
    </w:p>
    <w:p w14:paraId="3FB2AA6E">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附件三：项目组成员</w:t>
      </w:r>
    </w:p>
    <w:p w14:paraId="0CCAA860">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附件四：拟投入设备一览表</w:t>
      </w:r>
    </w:p>
    <w:p w14:paraId="7DB29068">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附件五：乙方技术方案及承诺（</w:t>
      </w:r>
      <w:r>
        <w:rPr>
          <w:rFonts w:hint="eastAsia" w:ascii="仿宋" w:hAnsi="仿宋" w:eastAsia="仿宋" w:cs="仿宋"/>
          <w:sz w:val="21"/>
          <w:szCs w:val="21"/>
          <w:highlight w:val="none"/>
          <w:lang w:val="en-US" w:eastAsia="zh-CN"/>
        </w:rPr>
        <w:t>或</w:t>
      </w:r>
      <w:r>
        <w:rPr>
          <w:rFonts w:hint="eastAsia" w:ascii="仿宋" w:hAnsi="仿宋" w:eastAsia="仿宋" w:cs="仿宋"/>
          <w:sz w:val="21"/>
          <w:szCs w:val="21"/>
          <w:highlight w:val="none"/>
        </w:rPr>
        <w:t>授权书）</w:t>
      </w:r>
    </w:p>
    <w:p w14:paraId="74EC129F">
      <w:pPr>
        <w:spacing w:line="360" w:lineRule="auto"/>
        <w:ind w:firstLine="420" w:firstLineChars="20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附件六：法定代表人授权书及法定代表人身份证复印件</w:t>
      </w:r>
    </w:p>
    <w:p w14:paraId="41E59E0E">
      <w:pPr>
        <w:spacing w:line="360" w:lineRule="auto"/>
        <w:ind w:firstLine="420" w:firstLineChars="20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附件七：履约保证金收据/履约保函复印件</w:t>
      </w:r>
    </w:p>
    <w:p w14:paraId="71B0CFF2">
      <w:pPr>
        <w:spacing w:line="360" w:lineRule="auto"/>
        <w:ind w:firstLine="420" w:firstLineChars="200"/>
        <w:rPr>
          <w:rFonts w:ascii="Arial" w:hAnsi="Arial" w:cs="宋体"/>
          <w:sz w:val="24"/>
          <w:highlight w:val="none"/>
        </w:rPr>
      </w:pPr>
      <w:r>
        <w:rPr>
          <w:rFonts w:hint="eastAsia" w:ascii="仿宋" w:hAnsi="仿宋" w:eastAsia="仿宋" w:cs="仿宋"/>
          <w:sz w:val="21"/>
          <w:szCs w:val="21"/>
          <w:highlight w:val="none"/>
          <w:lang w:val="en-US" w:eastAsia="zh-CN"/>
        </w:rPr>
        <w:t>附件八：中标通知书/成交通知书复印件</w:t>
      </w:r>
    </w:p>
    <w:p w14:paraId="48551250">
      <w:pPr>
        <w:rPr>
          <w:rFonts w:hint="eastAsia" w:hAnsi="宋体"/>
          <w:b/>
          <w:sz w:val="24"/>
          <w:szCs w:val="24"/>
          <w:highlight w:val="none"/>
        </w:rPr>
      </w:pPr>
    </w:p>
    <w:p w14:paraId="1BFC7788">
      <w:pPr>
        <w:pStyle w:val="13"/>
        <w:spacing w:line="360" w:lineRule="exact"/>
        <w:jc w:val="center"/>
        <w:rPr>
          <w:rFonts w:hint="eastAsia" w:hAnsi="宋体"/>
          <w:b/>
          <w:sz w:val="24"/>
          <w:szCs w:val="24"/>
          <w:highlight w:val="none"/>
        </w:rPr>
      </w:pPr>
    </w:p>
    <w:p w14:paraId="4D86F8F5">
      <w:pPr>
        <w:pStyle w:val="13"/>
        <w:spacing w:line="360" w:lineRule="exact"/>
        <w:jc w:val="center"/>
        <w:rPr>
          <w:rFonts w:hAnsi="宋体"/>
          <w:b/>
          <w:sz w:val="24"/>
          <w:szCs w:val="24"/>
          <w:highlight w:val="none"/>
        </w:rPr>
      </w:pPr>
      <w:r>
        <w:rPr>
          <w:rFonts w:hint="eastAsia" w:hAnsi="宋体"/>
          <w:b/>
          <w:sz w:val="24"/>
          <w:szCs w:val="24"/>
          <w:highlight w:val="none"/>
        </w:rPr>
        <w:t>（此页无正文，为合同签署页）</w:t>
      </w:r>
    </w:p>
    <w:p w14:paraId="61A8A274">
      <w:pPr>
        <w:pStyle w:val="13"/>
        <w:jc w:val="left"/>
        <w:rPr>
          <w:rFonts w:hAnsi="宋体"/>
          <w:b/>
          <w:sz w:val="24"/>
          <w:szCs w:val="24"/>
          <w:highlight w:val="none"/>
        </w:rPr>
      </w:pPr>
    </w:p>
    <w:p w14:paraId="382424A2">
      <w:pPr>
        <w:pStyle w:val="13"/>
        <w:jc w:val="left"/>
        <w:rPr>
          <w:rFonts w:hAnsi="宋体"/>
          <w:b/>
          <w:sz w:val="24"/>
          <w:szCs w:val="24"/>
          <w:highlight w:val="none"/>
        </w:rPr>
      </w:pPr>
      <w:r>
        <w:rPr>
          <w:b/>
          <w:highlight w:val="none"/>
        </w:rPr>
        <mc:AlternateContent>
          <mc:Choice Requires="wps">
            <w:drawing>
              <wp:anchor distT="0" distB="0" distL="114300" distR="114300" simplePos="0" relativeHeight="251660288" behindDoc="0" locked="0" layoutInCell="1" allowOverlap="1">
                <wp:simplePos x="0" y="0"/>
                <wp:positionH relativeFrom="column">
                  <wp:posOffset>3055620</wp:posOffset>
                </wp:positionH>
                <wp:positionV relativeFrom="paragraph">
                  <wp:posOffset>18415</wp:posOffset>
                </wp:positionV>
                <wp:extent cx="2828925" cy="4015740"/>
                <wp:effectExtent l="0" t="0" r="9525" b="3810"/>
                <wp:wrapNone/>
                <wp:docPr id="8" name="文本框 8"/>
                <wp:cNvGraphicFramePr/>
                <a:graphic xmlns:a="http://schemas.openxmlformats.org/drawingml/2006/main">
                  <a:graphicData uri="http://schemas.microsoft.com/office/word/2010/wordprocessingShape">
                    <wps:wsp>
                      <wps:cNvSpPr txBox="1"/>
                      <wps:spPr>
                        <a:xfrm>
                          <a:off x="0" y="0"/>
                          <a:ext cx="2828925" cy="3643630"/>
                        </a:xfrm>
                        <a:prstGeom prst="rect">
                          <a:avLst/>
                        </a:prstGeom>
                        <a:solidFill>
                          <a:srgbClr val="FFFFFF"/>
                        </a:solidFill>
                        <a:ln>
                          <a:noFill/>
                        </a:ln>
                        <a:effectLst/>
                      </wps:spPr>
                      <wps:txbx>
                        <w:txbxContent>
                          <w:p w14:paraId="711626A6">
                            <w:pPr>
                              <w:ind w:left="14" w:hanging="14" w:hangingChars="6"/>
                              <w:rPr>
                                <w:rFonts w:ascii="宋体" w:hAnsi="宋体"/>
                                <w:b/>
                                <w:sz w:val="24"/>
                              </w:rPr>
                            </w:pPr>
                            <w:r>
                              <w:rPr>
                                <w:rFonts w:hint="eastAsia" w:ascii="宋体" w:hAnsi="宋体"/>
                                <w:b/>
                                <w:sz w:val="24"/>
                              </w:rPr>
                              <w:t>乙方：</w:t>
                            </w:r>
                            <w:r>
                              <w:rPr>
                                <w:rFonts w:ascii="宋体" w:hAnsi="宋体"/>
                                <w:b/>
                                <w:sz w:val="24"/>
                              </w:rPr>
                              <w:t>（盖章）</w:t>
                            </w:r>
                          </w:p>
                          <w:p w14:paraId="43CC8E57">
                            <w:pPr>
                              <w:pStyle w:val="11"/>
                              <w:tabs>
                                <w:tab w:val="left" w:pos="180"/>
                              </w:tabs>
                              <w:rPr>
                                <w:rFonts w:hAnsi="宋体"/>
                                <w:b/>
                                <w:color w:val="auto"/>
                                <w:kern w:val="2"/>
                                <w:sz w:val="24"/>
                                <w:szCs w:val="24"/>
                              </w:rPr>
                            </w:pPr>
                          </w:p>
                          <w:p w14:paraId="5704F75C">
                            <w:pPr>
                              <w:pStyle w:val="11"/>
                              <w:tabs>
                                <w:tab w:val="left" w:pos="180"/>
                              </w:tabs>
                              <w:rPr>
                                <w:rFonts w:hAnsi="宋体"/>
                                <w:b/>
                                <w:color w:val="auto"/>
                                <w:kern w:val="2"/>
                                <w:sz w:val="24"/>
                                <w:szCs w:val="24"/>
                              </w:rPr>
                            </w:pPr>
                          </w:p>
                          <w:p w14:paraId="4765B22F">
                            <w:pPr>
                              <w:pStyle w:val="11"/>
                              <w:tabs>
                                <w:tab w:val="left" w:pos="180"/>
                              </w:tabs>
                              <w:rPr>
                                <w:rFonts w:hAnsi="宋体"/>
                                <w:b/>
                                <w:color w:val="auto"/>
                                <w:kern w:val="2"/>
                                <w:sz w:val="24"/>
                                <w:szCs w:val="24"/>
                              </w:rPr>
                            </w:pPr>
                          </w:p>
                          <w:p w14:paraId="02AD0269">
                            <w:pPr>
                              <w:pStyle w:val="11"/>
                              <w:tabs>
                                <w:tab w:val="left" w:pos="180"/>
                              </w:tabs>
                              <w:rPr>
                                <w:rFonts w:hAnsi="宋体"/>
                                <w:b/>
                                <w:color w:val="auto"/>
                                <w:kern w:val="2"/>
                                <w:sz w:val="24"/>
                                <w:szCs w:val="24"/>
                              </w:rPr>
                            </w:pPr>
                            <w:r>
                              <w:rPr>
                                <w:rFonts w:hint="eastAsia" w:hAnsi="宋体"/>
                                <w:b/>
                                <w:color w:val="auto"/>
                                <w:kern w:val="2"/>
                                <w:sz w:val="24"/>
                                <w:szCs w:val="24"/>
                              </w:rPr>
                              <w:t>地址：</w:t>
                            </w:r>
                          </w:p>
                          <w:p w14:paraId="68EE164F">
                            <w:pPr>
                              <w:pStyle w:val="11"/>
                              <w:tabs>
                                <w:tab w:val="left" w:pos="180"/>
                              </w:tabs>
                              <w:rPr>
                                <w:rFonts w:hAnsi="宋体"/>
                                <w:b/>
                                <w:color w:val="auto"/>
                                <w:kern w:val="2"/>
                                <w:sz w:val="24"/>
                                <w:szCs w:val="24"/>
                              </w:rPr>
                            </w:pPr>
                          </w:p>
                          <w:p w14:paraId="7B673EF5">
                            <w:pPr>
                              <w:pStyle w:val="11"/>
                              <w:tabs>
                                <w:tab w:val="left" w:pos="180"/>
                              </w:tabs>
                              <w:rPr>
                                <w:rFonts w:hAnsi="宋体"/>
                                <w:b/>
                                <w:color w:val="auto"/>
                                <w:kern w:val="2"/>
                                <w:sz w:val="24"/>
                                <w:szCs w:val="24"/>
                              </w:rPr>
                            </w:pPr>
                            <w:r>
                              <w:rPr>
                                <w:rFonts w:hint="eastAsia" w:hAnsi="宋体"/>
                                <w:b/>
                                <w:color w:val="auto"/>
                                <w:kern w:val="2"/>
                                <w:sz w:val="24"/>
                                <w:szCs w:val="24"/>
                              </w:rPr>
                              <w:t>法人（或授权）代表：</w:t>
                            </w:r>
                          </w:p>
                          <w:p w14:paraId="2EF24AB5">
                            <w:pPr>
                              <w:rPr>
                                <w:rFonts w:ascii="宋体" w:hAnsi="宋体"/>
                                <w:b/>
                                <w:sz w:val="24"/>
                              </w:rPr>
                            </w:pPr>
                            <w:r>
                              <w:rPr>
                                <w:rFonts w:ascii="宋体" w:hAnsi="宋体"/>
                                <w:b/>
                                <w:sz w:val="24"/>
                              </w:rPr>
                              <w:t>（签</w:t>
                            </w:r>
                            <w:r>
                              <w:rPr>
                                <w:rFonts w:hint="eastAsia" w:ascii="宋体" w:hAnsi="宋体"/>
                                <w:b/>
                                <w:sz w:val="24"/>
                              </w:rPr>
                              <w:t>名</w:t>
                            </w:r>
                            <w:r>
                              <w:rPr>
                                <w:rFonts w:ascii="宋体" w:hAnsi="宋体"/>
                                <w:b/>
                                <w:sz w:val="24"/>
                              </w:rPr>
                              <w:t>）</w:t>
                            </w:r>
                          </w:p>
                          <w:p w14:paraId="06681A1A">
                            <w:pPr>
                              <w:rPr>
                                <w:rFonts w:ascii="宋体" w:hAnsi="宋体"/>
                                <w:b/>
                                <w:sz w:val="24"/>
                                <w:szCs w:val="20"/>
                              </w:rPr>
                            </w:pPr>
                          </w:p>
                          <w:p w14:paraId="0A5647DD">
                            <w:pPr>
                              <w:rPr>
                                <w:rFonts w:ascii="宋体" w:hAnsi="宋体"/>
                                <w:b/>
                                <w:sz w:val="24"/>
                                <w:szCs w:val="20"/>
                              </w:rPr>
                            </w:pPr>
                          </w:p>
                          <w:p w14:paraId="45ED59E1">
                            <w:r>
                              <w:rPr>
                                <w:rFonts w:hint="eastAsia" w:ascii="宋体" w:hAnsi="宋体"/>
                                <w:b/>
                                <w:sz w:val="24"/>
                                <w:szCs w:val="20"/>
                              </w:rPr>
                              <w:t>日期:      年   月   日</w:t>
                            </w:r>
                          </w:p>
                        </w:txbxContent>
                      </wps:txbx>
                      <wps:bodyPr upright="1"/>
                    </wps:wsp>
                  </a:graphicData>
                </a:graphic>
              </wp:anchor>
            </w:drawing>
          </mc:Choice>
          <mc:Fallback>
            <w:pict>
              <v:shape id="_x0000_s1026" o:spid="_x0000_s1026" o:spt="202" type="#_x0000_t202" style="position:absolute;left:0pt;margin-left:240.6pt;margin-top:1.45pt;height:316.2pt;width:222.75pt;z-index:251660288;mso-width-relative:page;mso-height-relative:page;" fillcolor="#FFFFFF" filled="t" stroked="f" coordsize="21600,21600" o:gfxdata="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KvVRCjYAAAACQEAAA8AAAAAAAAAAQAgAAAAIgAAAGRycy9k&#10;b3ducmV2LnhtbFBLAQIUABQAAAAIAIdO4kCUI0ylyQEAAIYDAAAOAAAAAAAAAAEAIAAAACcBAABk&#10;cnMvZTJvRG9jLnhtbFBLBQYAAAAABgAGAFkBAABiBQAAAAA=&#10;">
                <v:fill on="t" focussize="0,0"/>
                <v:stroke on="f"/>
                <v:imagedata o:title=""/>
                <o:lock v:ext="edit" aspectratio="f"/>
                <v:textbox>
                  <w:txbxContent>
                    <w:p w14:paraId="711626A6">
                      <w:pPr>
                        <w:ind w:left="14" w:hanging="14" w:hangingChars="6"/>
                        <w:rPr>
                          <w:rFonts w:ascii="宋体" w:hAnsi="宋体"/>
                          <w:b/>
                          <w:sz w:val="24"/>
                        </w:rPr>
                      </w:pPr>
                      <w:r>
                        <w:rPr>
                          <w:rFonts w:hint="eastAsia" w:ascii="宋体" w:hAnsi="宋体"/>
                          <w:b/>
                          <w:sz w:val="24"/>
                        </w:rPr>
                        <w:t>乙方：</w:t>
                      </w:r>
                      <w:r>
                        <w:rPr>
                          <w:rFonts w:ascii="宋体" w:hAnsi="宋体"/>
                          <w:b/>
                          <w:sz w:val="24"/>
                        </w:rPr>
                        <w:t>（盖章）</w:t>
                      </w:r>
                    </w:p>
                    <w:p w14:paraId="43CC8E57">
                      <w:pPr>
                        <w:pStyle w:val="11"/>
                        <w:tabs>
                          <w:tab w:val="left" w:pos="180"/>
                        </w:tabs>
                        <w:rPr>
                          <w:rFonts w:hAnsi="宋体"/>
                          <w:b/>
                          <w:color w:val="auto"/>
                          <w:kern w:val="2"/>
                          <w:sz w:val="24"/>
                          <w:szCs w:val="24"/>
                        </w:rPr>
                      </w:pPr>
                    </w:p>
                    <w:p w14:paraId="5704F75C">
                      <w:pPr>
                        <w:pStyle w:val="11"/>
                        <w:tabs>
                          <w:tab w:val="left" w:pos="180"/>
                        </w:tabs>
                        <w:rPr>
                          <w:rFonts w:hAnsi="宋体"/>
                          <w:b/>
                          <w:color w:val="auto"/>
                          <w:kern w:val="2"/>
                          <w:sz w:val="24"/>
                          <w:szCs w:val="24"/>
                        </w:rPr>
                      </w:pPr>
                    </w:p>
                    <w:p w14:paraId="4765B22F">
                      <w:pPr>
                        <w:pStyle w:val="11"/>
                        <w:tabs>
                          <w:tab w:val="left" w:pos="180"/>
                        </w:tabs>
                        <w:rPr>
                          <w:rFonts w:hAnsi="宋体"/>
                          <w:b/>
                          <w:color w:val="auto"/>
                          <w:kern w:val="2"/>
                          <w:sz w:val="24"/>
                          <w:szCs w:val="24"/>
                        </w:rPr>
                      </w:pPr>
                    </w:p>
                    <w:p w14:paraId="02AD0269">
                      <w:pPr>
                        <w:pStyle w:val="11"/>
                        <w:tabs>
                          <w:tab w:val="left" w:pos="180"/>
                        </w:tabs>
                        <w:rPr>
                          <w:rFonts w:hAnsi="宋体"/>
                          <w:b/>
                          <w:color w:val="auto"/>
                          <w:kern w:val="2"/>
                          <w:sz w:val="24"/>
                          <w:szCs w:val="24"/>
                        </w:rPr>
                      </w:pPr>
                      <w:r>
                        <w:rPr>
                          <w:rFonts w:hint="eastAsia" w:hAnsi="宋体"/>
                          <w:b/>
                          <w:color w:val="auto"/>
                          <w:kern w:val="2"/>
                          <w:sz w:val="24"/>
                          <w:szCs w:val="24"/>
                        </w:rPr>
                        <w:t>地址：</w:t>
                      </w:r>
                    </w:p>
                    <w:p w14:paraId="68EE164F">
                      <w:pPr>
                        <w:pStyle w:val="11"/>
                        <w:tabs>
                          <w:tab w:val="left" w:pos="180"/>
                        </w:tabs>
                        <w:rPr>
                          <w:rFonts w:hAnsi="宋体"/>
                          <w:b/>
                          <w:color w:val="auto"/>
                          <w:kern w:val="2"/>
                          <w:sz w:val="24"/>
                          <w:szCs w:val="24"/>
                        </w:rPr>
                      </w:pPr>
                    </w:p>
                    <w:p w14:paraId="7B673EF5">
                      <w:pPr>
                        <w:pStyle w:val="11"/>
                        <w:tabs>
                          <w:tab w:val="left" w:pos="180"/>
                        </w:tabs>
                        <w:rPr>
                          <w:rFonts w:hAnsi="宋体"/>
                          <w:b/>
                          <w:color w:val="auto"/>
                          <w:kern w:val="2"/>
                          <w:sz w:val="24"/>
                          <w:szCs w:val="24"/>
                        </w:rPr>
                      </w:pPr>
                      <w:r>
                        <w:rPr>
                          <w:rFonts w:hint="eastAsia" w:hAnsi="宋体"/>
                          <w:b/>
                          <w:color w:val="auto"/>
                          <w:kern w:val="2"/>
                          <w:sz w:val="24"/>
                          <w:szCs w:val="24"/>
                        </w:rPr>
                        <w:t>法人（或授权）代表：</w:t>
                      </w:r>
                    </w:p>
                    <w:p w14:paraId="2EF24AB5">
                      <w:pPr>
                        <w:rPr>
                          <w:rFonts w:ascii="宋体" w:hAnsi="宋体"/>
                          <w:b/>
                          <w:sz w:val="24"/>
                        </w:rPr>
                      </w:pPr>
                      <w:r>
                        <w:rPr>
                          <w:rFonts w:ascii="宋体" w:hAnsi="宋体"/>
                          <w:b/>
                          <w:sz w:val="24"/>
                        </w:rPr>
                        <w:t>（签</w:t>
                      </w:r>
                      <w:r>
                        <w:rPr>
                          <w:rFonts w:hint="eastAsia" w:ascii="宋体" w:hAnsi="宋体"/>
                          <w:b/>
                          <w:sz w:val="24"/>
                        </w:rPr>
                        <w:t>名</w:t>
                      </w:r>
                      <w:r>
                        <w:rPr>
                          <w:rFonts w:ascii="宋体" w:hAnsi="宋体"/>
                          <w:b/>
                          <w:sz w:val="24"/>
                        </w:rPr>
                        <w:t>）</w:t>
                      </w:r>
                    </w:p>
                    <w:p w14:paraId="06681A1A">
                      <w:pPr>
                        <w:rPr>
                          <w:rFonts w:ascii="宋体" w:hAnsi="宋体"/>
                          <w:b/>
                          <w:sz w:val="24"/>
                          <w:szCs w:val="20"/>
                        </w:rPr>
                      </w:pPr>
                    </w:p>
                    <w:p w14:paraId="0A5647DD">
                      <w:pPr>
                        <w:rPr>
                          <w:rFonts w:ascii="宋体" w:hAnsi="宋体"/>
                          <w:b/>
                          <w:sz w:val="24"/>
                          <w:szCs w:val="20"/>
                        </w:rPr>
                      </w:pPr>
                    </w:p>
                    <w:p w14:paraId="45ED59E1">
                      <w:r>
                        <w:rPr>
                          <w:rFonts w:hint="eastAsia" w:ascii="宋体" w:hAnsi="宋体"/>
                          <w:b/>
                          <w:sz w:val="24"/>
                          <w:szCs w:val="20"/>
                        </w:rPr>
                        <w:t>日期:      年   月   日</w:t>
                      </w:r>
                    </w:p>
                  </w:txbxContent>
                </v:textbox>
              </v:shape>
            </w:pict>
          </mc:Fallback>
        </mc:AlternateContent>
      </w:r>
      <w:r>
        <w:rPr>
          <w:b/>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2857500" cy="3975100"/>
                <wp:effectExtent l="0" t="0" r="0" b="6350"/>
                <wp:wrapNone/>
                <wp:docPr id="5" name="文本框 5"/>
                <wp:cNvGraphicFramePr/>
                <a:graphic xmlns:a="http://schemas.openxmlformats.org/drawingml/2006/main">
                  <a:graphicData uri="http://schemas.microsoft.com/office/word/2010/wordprocessingShape">
                    <wps:wsp>
                      <wps:cNvSpPr txBox="1"/>
                      <wps:spPr>
                        <a:xfrm>
                          <a:off x="0" y="0"/>
                          <a:ext cx="2857500" cy="3975100"/>
                        </a:xfrm>
                        <a:prstGeom prst="rect">
                          <a:avLst/>
                        </a:prstGeom>
                        <a:solidFill>
                          <a:srgbClr val="FFFFFF"/>
                        </a:solidFill>
                        <a:ln>
                          <a:noFill/>
                        </a:ln>
                        <a:effectLst/>
                      </wps:spPr>
                      <wps:txbx>
                        <w:txbxContent>
                          <w:p w14:paraId="0A854F5A"/>
                        </w:txbxContent>
                      </wps:txbx>
                      <wps:bodyPr upright="1"/>
                    </wps:wsp>
                  </a:graphicData>
                </a:graphic>
              </wp:anchor>
            </w:drawing>
          </mc:Choice>
          <mc:Fallback>
            <w:pict>
              <v:shape id="_x0000_s1026" o:spid="_x0000_s1026" o:spt="202" type="#_x0000_t202" style="position:absolute;left:0pt;margin-left:0pt;margin-top:0.05pt;height:313pt;width:225pt;z-index:251659264;mso-width-relative:page;mso-height-relative:page;" fillcolor="#FFFFFF" filled="t" stroked="f" coordsize="21600,21600" o:gfxdata="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gyeLTAAAABQEAAA8AAAAAAAAAAQAgAAAAIgAAAGRycy9kb3ducmV2Lnht&#10;bFBLAQIUABQAAAAIAIdO4kAuVJpLxQEAAIYDAAAOAAAAAAAAAAEAIAAAACIBAABkcnMvZTJvRG9j&#10;LnhtbFBLBQYAAAAABgAGAFkBAABZBQAAAAA=&#10;">
                <v:fill on="t" focussize="0,0"/>
                <v:stroke on="f"/>
                <v:imagedata o:title=""/>
                <o:lock v:ext="edit" aspectratio="f"/>
                <v:textbox>
                  <w:txbxContent>
                    <w:p w14:paraId="0A854F5A"/>
                  </w:txbxContent>
                </v:textbox>
              </v:shape>
            </w:pict>
          </mc:Fallback>
        </mc:AlternateContent>
      </w:r>
      <w:r>
        <w:rPr>
          <w:b/>
          <w:highlight w:val="none"/>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635</wp:posOffset>
                </wp:positionV>
                <wp:extent cx="2857500" cy="3975100"/>
                <wp:effectExtent l="0" t="0" r="0" b="6350"/>
                <wp:wrapNone/>
                <wp:docPr id="12" name="文本框 12"/>
                <wp:cNvGraphicFramePr/>
                <a:graphic xmlns:a="http://schemas.openxmlformats.org/drawingml/2006/main">
                  <a:graphicData uri="http://schemas.microsoft.com/office/word/2010/wordprocessingShape">
                    <wps:wsp>
                      <wps:cNvSpPr txBox="1"/>
                      <wps:spPr>
                        <a:xfrm>
                          <a:off x="0" y="0"/>
                          <a:ext cx="2857500" cy="3975100"/>
                        </a:xfrm>
                        <a:prstGeom prst="rect">
                          <a:avLst/>
                        </a:prstGeom>
                        <a:solidFill>
                          <a:srgbClr val="FFFFFF"/>
                        </a:solidFill>
                        <a:ln>
                          <a:noFill/>
                        </a:ln>
                        <a:effectLst/>
                      </wps:spPr>
                      <wps:txbx>
                        <w:txbxContent>
                          <w:p w14:paraId="71EB1585">
                            <w:pPr>
                              <w:spacing w:line="360" w:lineRule="auto"/>
                              <w:rPr>
                                <w:rFonts w:hint="eastAsia" w:ascii="宋体" w:hAnsi="宋体" w:eastAsia="宋体"/>
                                <w:b/>
                                <w:sz w:val="24"/>
                                <w:lang w:eastAsia="zh-CN"/>
                              </w:rPr>
                            </w:pPr>
                            <w:r>
                              <w:rPr>
                                <w:rFonts w:hint="eastAsia" w:ascii="宋体" w:hAnsi="宋体"/>
                                <w:b/>
                                <w:sz w:val="24"/>
                              </w:rPr>
                              <w:t>甲</w:t>
                            </w:r>
                            <w:r>
                              <w:rPr>
                                <w:rFonts w:ascii="宋体" w:hAnsi="宋体"/>
                                <w:b/>
                                <w:sz w:val="24"/>
                              </w:rPr>
                              <w:t>方：</w:t>
                            </w:r>
                          </w:p>
                          <w:p w14:paraId="1648B6BF">
                            <w:pPr>
                              <w:spacing w:line="360" w:lineRule="auto"/>
                              <w:ind w:left="14" w:hanging="14" w:hangingChars="6"/>
                              <w:rPr>
                                <w:rFonts w:ascii="宋体" w:hAnsi="宋体"/>
                                <w:b/>
                                <w:sz w:val="24"/>
                              </w:rPr>
                            </w:pPr>
                            <w:r>
                              <w:rPr>
                                <w:rFonts w:ascii="宋体" w:hAnsi="宋体"/>
                                <w:b/>
                                <w:sz w:val="24"/>
                              </w:rPr>
                              <w:t>（盖章）</w:t>
                            </w:r>
                          </w:p>
                          <w:p w14:paraId="58562E31">
                            <w:pPr>
                              <w:spacing w:line="360" w:lineRule="auto"/>
                              <w:ind w:left="14" w:hanging="14" w:hangingChars="6"/>
                              <w:rPr>
                                <w:rFonts w:ascii="宋体" w:hAnsi="宋体"/>
                                <w:b/>
                                <w:sz w:val="24"/>
                              </w:rPr>
                            </w:pPr>
                          </w:p>
                          <w:p w14:paraId="33646B62">
                            <w:pPr>
                              <w:spacing w:line="360" w:lineRule="auto"/>
                              <w:ind w:left="14" w:hanging="14" w:hangingChars="6"/>
                              <w:rPr>
                                <w:rFonts w:ascii="宋体" w:hAnsi="宋体"/>
                                <w:b/>
                                <w:sz w:val="24"/>
                              </w:rPr>
                            </w:pPr>
                            <w:r>
                              <w:rPr>
                                <w:rFonts w:ascii="宋体" w:hAnsi="宋体"/>
                                <w:b/>
                                <w:sz w:val="24"/>
                              </w:rPr>
                              <w:t>地址：</w:t>
                            </w:r>
                          </w:p>
                          <w:p w14:paraId="20F3CFD0">
                            <w:pPr>
                              <w:spacing w:line="360" w:lineRule="auto"/>
                              <w:ind w:left="14" w:hanging="14" w:hangingChars="6"/>
                              <w:rPr>
                                <w:rFonts w:ascii="宋体" w:hAnsi="宋体"/>
                                <w:b/>
                                <w:sz w:val="24"/>
                              </w:rPr>
                            </w:pPr>
                          </w:p>
                          <w:p w14:paraId="6FE7A7D8">
                            <w:pPr>
                              <w:spacing w:line="360" w:lineRule="auto"/>
                              <w:ind w:left="14" w:hanging="14" w:hangingChars="6"/>
                              <w:rPr>
                                <w:rFonts w:ascii="宋体" w:hAnsi="宋体"/>
                                <w:b/>
                                <w:sz w:val="24"/>
                              </w:rPr>
                            </w:pPr>
                            <w:r>
                              <w:rPr>
                                <w:rFonts w:ascii="宋体" w:hAnsi="宋体"/>
                                <w:b/>
                                <w:sz w:val="24"/>
                              </w:rPr>
                              <w:t>法人（或授权）代表：</w:t>
                            </w:r>
                          </w:p>
                          <w:p w14:paraId="5E44EF3F">
                            <w:pPr>
                              <w:spacing w:line="360" w:lineRule="auto"/>
                              <w:ind w:left="14" w:hanging="14" w:hangingChars="6"/>
                              <w:rPr>
                                <w:rFonts w:ascii="宋体" w:hAnsi="宋体"/>
                                <w:b/>
                                <w:sz w:val="24"/>
                              </w:rPr>
                            </w:pPr>
                            <w:r>
                              <w:rPr>
                                <w:rFonts w:ascii="宋体" w:hAnsi="宋体"/>
                                <w:b/>
                                <w:sz w:val="24"/>
                              </w:rPr>
                              <w:t>（签</w:t>
                            </w:r>
                            <w:r>
                              <w:rPr>
                                <w:rFonts w:hint="eastAsia" w:ascii="宋体" w:hAnsi="宋体"/>
                                <w:b/>
                                <w:sz w:val="24"/>
                              </w:rPr>
                              <w:t>名</w:t>
                            </w:r>
                            <w:r>
                              <w:rPr>
                                <w:rFonts w:ascii="宋体" w:hAnsi="宋体"/>
                                <w:b/>
                                <w:sz w:val="24"/>
                              </w:rPr>
                              <w:t>）</w:t>
                            </w:r>
                          </w:p>
                          <w:p w14:paraId="6C51E269">
                            <w:pPr>
                              <w:spacing w:line="360" w:lineRule="auto"/>
                              <w:ind w:left="14" w:hanging="14" w:hangingChars="6"/>
                              <w:rPr>
                                <w:rFonts w:ascii="宋体" w:hAnsi="宋体"/>
                                <w:b/>
                                <w:sz w:val="24"/>
                              </w:rPr>
                            </w:pPr>
                          </w:p>
                          <w:p w14:paraId="3AA49C60">
                            <w:pPr>
                              <w:spacing w:line="360" w:lineRule="auto"/>
                              <w:ind w:left="14" w:hanging="14" w:hangingChars="6"/>
                              <w:rPr>
                                <w:rFonts w:ascii="宋体" w:hAnsi="宋体"/>
                                <w:b/>
                                <w:sz w:val="24"/>
                              </w:rPr>
                            </w:pPr>
                            <w:r>
                              <w:rPr>
                                <w:rFonts w:ascii="宋体" w:hAnsi="宋体"/>
                                <w:b/>
                                <w:sz w:val="24"/>
                              </w:rPr>
                              <w:t>日期:      年   月   日</w:t>
                            </w:r>
                          </w:p>
                        </w:txbxContent>
                      </wps:txbx>
                      <wps:bodyPr upright="1"/>
                    </wps:wsp>
                  </a:graphicData>
                </a:graphic>
              </wp:anchor>
            </w:drawing>
          </mc:Choice>
          <mc:Fallback>
            <w:pict>
              <v:shape id="_x0000_s1026" o:spid="_x0000_s1026" o:spt="202" type="#_x0000_t202" style="position:absolute;left:0pt;margin-left:0pt;margin-top:0.05pt;height:313pt;width:225pt;z-index:251661312;mso-width-relative:page;mso-height-relative:page;" fillcolor="#FFFFFF" filled="t" stroked="f" coordsize="21600,21600" o:gfxdata="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P4Mni0wAAAAUBAAAPAAAAAAAAAAEAIAAAACIAAABkcnMvZG93bnJldi54&#10;bWxQSwECFAAUAAAACACHTuJAVoF4rMYBAACIAwAADgAAAAAAAAABACAAAAAiAQAAZHJzL2Uyb0Rv&#10;Yy54bWxQSwUGAAAAAAYABgBZAQAAWgUAAAAA&#10;">
                <v:fill on="t" focussize="0,0"/>
                <v:stroke on="f"/>
                <v:imagedata o:title=""/>
                <o:lock v:ext="edit" aspectratio="f"/>
                <v:textbox>
                  <w:txbxContent>
                    <w:p w14:paraId="71EB1585">
                      <w:pPr>
                        <w:spacing w:line="360" w:lineRule="auto"/>
                        <w:rPr>
                          <w:rFonts w:hint="eastAsia" w:ascii="宋体" w:hAnsi="宋体" w:eastAsia="宋体"/>
                          <w:b/>
                          <w:sz w:val="24"/>
                          <w:lang w:eastAsia="zh-CN"/>
                        </w:rPr>
                      </w:pPr>
                      <w:r>
                        <w:rPr>
                          <w:rFonts w:hint="eastAsia" w:ascii="宋体" w:hAnsi="宋体"/>
                          <w:b/>
                          <w:sz w:val="24"/>
                        </w:rPr>
                        <w:t>甲</w:t>
                      </w:r>
                      <w:r>
                        <w:rPr>
                          <w:rFonts w:ascii="宋体" w:hAnsi="宋体"/>
                          <w:b/>
                          <w:sz w:val="24"/>
                        </w:rPr>
                        <w:t>方：</w:t>
                      </w:r>
                    </w:p>
                    <w:p w14:paraId="1648B6BF">
                      <w:pPr>
                        <w:spacing w:line="360" w:lineRule="auto"/>
                        <w:ind w:left="14" w:hanging="14" w:hangingChars="6"/>
                        <w:rPr>
                          <w:rFonts w:ascii="宋体" w:hAnsi="宋体"/>
                          <w:b/>
                          <w:sz w:val="24"/>
                        </w:rPr>
                      </w:pPr>
                      <w:r>
                        <w:rPr>
                          <w:rFonts w:ascii="宋体" w:hAnsi="宋体"/>
                          <w:b/>
                          <w:sz w:val="24"/>
                        </w:rPr>
                        <w:t>（盖章）</w:t>
                      </w:r>
                    </w:p>
                    <w:p w14:paraId="58562E31">
                      <w:pPr>
                        <w:spacing w:line="360" w:lineRule="auto"/>
                        <w:ind w:left="14" w:hanging="14" w:hangingChars="6"/>
                        <w:rPr>
                          <w:rFonts w:ascii="宋体" w:hAnsi="宋体"/>
                          <w:b/>
                          <w:sz w:val="24"/>
                        </w:rPr>
                      </w:pPr>
                    </w:p>
                    <w:p w14:paraId="33646B62">
                      <w:pPr>
                        <w:spacing w:line="360" w:lineRule="auto"/>
                        <w:ind w:left="14" w:hanging="14" w:hangingChars="6"/>
                        <w:rPr>
                          <w:rFonts w:ascii="宋体" w:hAnsi="宋体"/>
                          <w:b/>
                          <w:sz w:val="24"/>
                        </w:rPr>
                      </w:pPr>
                      <w:r>
                        <w:rPr>
                          <w:rFonts w:ascii="宋体" w:hAnsi="宋体"/>
                          <w:b/>
                          <w:sz w:val="24"/>
                        </w:rPr>
                        <w:t>地址：</w:t>
                      </w:r>
                    </w:p>
                    <w:p w14:paraId="20F3CFD0">
                      <w:pPr>
                        <w:spacing w:line="360" w:lineRule="auto"/>
                        <w:ind w:left="14" w:hanging="14" w:hangingChars="6"/>
                        <w:rPr>
                          <w:rFonts w:ascii="宋体" w:hAnsi="宋体"/>
                          <w:b/>
                          <w:sz w:val="24"/>
                        </w:rPr>
                      </w:pPr>
                    </w:p>
                    <w:p w14:paraId="6FE7A7D8">
                      <w:pPr>
                        <w:spacing w:line="360" w:lineRule="auto"/>
                        <w:ind w:left="14" w:hanging="14" w:hangingChars="6"/>
                        <w:rPr>
                          <w:rFonts w:ascii="宋体" w:hAnsi="宋体"/>
                          <w:b/>
                          <w:sz w:val="24"/>
                        </w:rPr>
                      </w:pPr>
                      <w:r>
                        <w:rPr>
                          <w:rFonts w:ascii="宋体" w:hAnsi="宋体"/>
                          <w:b/>
                          <w:sz w:val="24"/>
                        </w:rPr>
                        <w:t>法人（或授权）代表：</w:t>
                      </w:r>
                    </w:p>
                    <w:p w14:paraId="5E44EF3F">
                      <w:pPr>
                        <w:spacing w:line="360" w:lineRule="auto"/>
                        <w:ind w:left="14" w:hanging="14" w:hangingChars="6"/>
                        <w:rPr>
                          <w:rFonts w:ascii="宋体" w:hAnsi="宋体"/>
                          <w:b/>
                          <w:sz w:val="24"/>
                        </w:rPr>
                      </w:pPr>
                      <w:r>
                        <w:rPr>
                          <w:rFonts w:ascii="宋体" w:hAnsi="宋体"/>
                          <w:b/>
                          <w:sz w:val="24"/>
                        </w:rPr>
                        <w:t>（签</w:t>
                      </w:r>
                      <w:r>
                        <w:rPr>
                          <w:rFonts w:hint="eastAsia" w:ascii="宋体" w:hAnsi="宋体"/>
                          <w:b/>
                          <w:sz w:val="24"/>
                        </w:rPr>
                        <w:t>名</w:t>
                      </w:r>
                      <w:r>
                        <w:rPr>
                          <w:rFonts w:ascii="宋体" w:hAnsi="宋体"/>
                          <w:b/>
                          <w:sz w:val="24"/>
                        </w:rPr>
                        <w:t>）</w:t>
                      </w:r>
                    </w:p>
                    <w:p w14:paraId="6C51E269">
                      <w:pPr>
                        <w:spacing w:line="360" w:lineRule="auto"/>
                        <w:ind w:left="14" w:hanging="14" w:hangingChars="6"/>
                        <w:rPr>
                          <w:rFonts w:ascii="宋体" w:hAnsi="宋体"/>
                          <w:b/>
                          <w:sz w:val="24"/>
                        </w:rPr>
                      </w:pPr>
                    </w:p>
                    <w:p w14:paraId="3AA49C60">
                      <w:pPr>
                        <w:spacing w:line="360" w:lineRule="auto"/>
                        <w:ind w:left="14" w:hanging="14" w:hangingChars="6"/>
                        <w:rPr>
                          <w:rFonts w:ascii="宋体" w:hAnsi="宋体"/>
                          <w:b/>
                          <w:sz w:val="24"/>
                        </w:rPr>
                      </w:pPr>
                      <w:r>
                        <w:rPr>
                          <w:rFonts w:ascii="宋体" w:hAnsi="宋体"/>
                          <w:b/>
                          <w:sz w:val="24"/>
                        </w:rPr>
                        <w:t>日期:      年   月   日</w:t>
                      </w:r>
                    </w:p>
                  </w:txbxContent>
                </v:textbox>
              </v:shape>
            </w:pict>
          </mc:Fallback>
        </mc:AlternateContent>
      </w:r>
    </w:p>
    <w:p w14:paraId="1DC2D81A">
      <w:pPr>
        <w:pStyle w:val="13"/>
        <w:jc w:val="left"/>
        <w:rPr>
          <w:rFonts w:hAnsi="宋体"/>
          <w:b/>
          <w:sz w:val="24"/>
          <w:szCs w:val="24"/>
          <w:highlight w:val="none"/>
        </w:rPr>
      </w:pPr>
    </w:p>
    <w:p w14:paraId="5A774302">
      <w:pPr>
        <w:pStyle w:val="13"/>
        <w:jc w:val="left"/>
        <w:rPr>
          <w:rFonts w:hAnsi="宋体"/>
          <w:b/>
          <w:sz w:val="24"/>
          <w:szCs w:val="24"/>
          <w:highlight w:val="none"/>
        </w:rPr>
      </w:pPr>
    </w:p>
    <w:p w14:paraId="7A1E1CCA">
      <w:pPr>
        <w:pStyle w:val="13"/>
        <w:spacing w:line="360" w:lineRule="auto"/>
        <w:jc w:val="left"/>
        <w:rPr>
          <w:rFonts w:hAnsi="宋体"/>
          <w:b/>
          <w:sz w:val="24"/>
          <w:szCs w:val="24"/>
          <w:highlight w:val="none"/>
        </w:rPr>
      </w:pPr>
    </w:p>
    <w:p w14:paraId="7B1903DC">
      <w:pPr>
        <w:pStyle w:val="13"/>
        <w:spacing w:line="360" w:lineRule="auto"/>
        <w:jc w:val="left"/>
        <w:rPr>
          <w:rFonts w:hAnsi="宋体"/>
          <w:b/>
          <w:sz w:val="24"/>
          <w:szCs w:val="24"/>
          <w:highlight w:val="none"/>
        </w:rPr>
      </w:pPr>
    </w:p>
    <w:p w14:paraId="30F2110F">
      <w:pPr>
        <w:pStyle w:val="13"/>
        <w:spacing w:line="360" w:lineRule="auto"/>
        <w:rPr>
          <w:rFonts w:hAnsi="宋体" w:cs="Arial"/>
          <w:sz w:val="24"/>
          <w:highlight w:val="none"/>
        </w:rPr>
      </w:pPr>
    </w:p>
    <w:p w14:paraId="04C0108E">
      <w:pPr>
        <w:pStyle w:val="13"/>
        <w:spacing w:line="360" w:lineRule="auto"/>
        <w:rPr>
          <w:highlight w:val="none"/>
        </w:rPr>
        <w:sectPr>
          <w:footerReference r:id="rId3" w:type="default"/>
          <w:pgSz w:w="11906" w:h="16838"/>
          <w:pgMar w:top="1440" w:right="1247" w:bottom="1440" w:left="1247" w:header="851" w:footer="992" w:gutter="0"/>
          <w:pgNumType w:fmt="decimal" w:start="1"/>
          <w:cols w:space="720" w:num="1"/>
          <w:docGrid w:type="linesAndChars" w:linePitch="312" w:charSpace="0"/>
        </w:sectPr>
      </w:pPr>
    </w:p>
    <w:p w14:paraId="3EA9E6F0">
      <w:pPr>
        <w:rPr>
          <w:rFonts w:hint="eastAsia" w:ascii="宋体" w:hAnsi="宋体" w:eastAsia="宋体" w:cs="宋体"/>
          <w:color w:val="auto"/>
          <w:kern w:val="2"/>
          <w:sz w:val="28"/>
          <w:szCs w:val="28"/>
          <w:highlight w:val="none"/>
          <w:u w:color="auto"/>
          <w:lang w:val="en-US" w:eastAsia="zh-CN" w:bidi="ar"/>
        </w:rPr>
      </w:pPr>
    </w:p>
    <w:p w14:paraId="6DBDE402">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kern w:val="2"/>
          <w:sz w:val="28"/>
          <w:szCs w:val="28"/>
          <w:highlight w:val="none"/>
          <w:u w:color="auto"/>
          <w:lang w:val="en-US" w:eastAsia="zh-CN" w:bidi="ar"/>
        </w:rPr>
      </w:pPr>
      <w:r>
        <w:rPr>
          <w:rFonts w:hint="eastAsia" w:ascii="宋体" w:hAnsi="宋体" w:eastAsia="宋体" w:cs="宋体"/>
          <w:color w:val="auto"/>
          <w:kern w:val="2"/>
          <w:sz w:val="28"/>
          <w:szCs w:val="28"/>
          <w:highlight w:val="none"/>
          <w:u w:color="auto"/>
          <w:lang w:val="en-US" w:eastAsia="zh-CN" w:bidi="ar"/>
        </w:rPr>
        <w:t>第七章 投标文件格式</w:t>
      </w:r>
    </w:p>
    <w:p w14:paraId="559917C0">
      <w:pPr>
        <w:keepNext w:val="0"/>
        <w:keepLines w:val="0"/>
        <w:widowControl/>
        <w:suppressLineNumbers w:val="0"/>
        <w:spacing w:before="0" w:beforeAutospacing="0" w:after="0" w:afterAutospacing="0" w:line="357" w:lineRule="atLeast"/>
        <w:ind w:left="0" w:right="0"/>
        <w:jc w:val="center"/>
        <w:rPr>
          <w:rFonts w:hint="eastAsia" w:ascii="宋体" w:hAnsi="Times New Roman" w:eastAsia="宋体" w:cs="宋体"/>
          <w:b/>
          <w:bCs/>
          <w:sz w:val="28"/>
          <w:szCs w:val="28"/>
          <w:highlight w:val="none"/>
          <w:lang w:val="en-US"/>
        </w:rPr>
      </w:pPr>
    </w:p>
    <w:p w14:paraId="37C94678">
      <w:pPr>
        <w:keepNext w:val="0"/>
        <w:keepLines w:val="0"/>
        <w:widowControl/>
        <w:suppressLineNumbers w:val="0"/>
        <w:spacing w:before="0" w:beforeAutospacing="0" w:after="0" w:afterAutospacing="0" w:line="357" w:lineRule="atLeast"/>
        <w:ind w:left="0" w:right="0"/>
        <w:jc w:val="both"/>
        <w:rPr>
          <w:rFonts w:hint="eastAsia" w:ascii="黑体" w:hAnsi="宋体" w:eastAsia="黑体" w:cs="黑体"/>
          <w:sz w:val="20"/>
          <w:szCs w:val="20"/>
          <w:highlight w:val="none"/>
          <w:lang w:val="en-US"/>
        </w:rPr>
      </w:pPr>
    </w:p>
    <w:p w14:paraId="4BA9F3DE">
      <w:pPr>
        <w:keepNext w:val="0"/>
        <w:keepLines w:val="0"/>
        <w:widowControl/>
        <w:suppressLineNumbers w:val="0"/>
        <w:spacing w:before="0" w:beforeAutospacing="0" w:after="0" w:afterAutospacing="0" w:line="357" w:lineRule="atLeast"/>
        <w:ind w:left="0" w:right="0"/>
        <w:jc w:val="both"/>
        <w:rPr>
          <w:rFonts w:hint="eastAsia" w:ascii="黑体" w:hAnsi="宋体" w:eastAsia="黑体" w:cs="黑体"/>
          <w:sz w:val="20"/>
          <w:szCs w:val="20"/>
          <w:highlight w:val="none"/>
          <w:lang w:val="en-US"/>
        </w:rPr>
      </w:pPr>
      <w:bookmarkStart w:id="90" w:name="_Toc21573"/>
      <w:bookmarkEnd w:id="90"/>
    </w:p>
    <w:p w14:paraId="246666FC">
      <w:pPr>
        <w:keepNext w:val="0"/>
        <w:keepLines w:val="0"/>
        <w:widowControl/>
        <w:suppressLineNumbers w:val="0"/>
        <w:spacing w:before="0" w:beforeAutospacing="0" w:after="0" w:afterAutospacing="0" w:line="357" w:lineRule="atLeast"/>
        <w:ind w:left="0" w:right="0"/>
        <w:jc w:val="center"/>
        <w:outlineLvl w:val="1"/>
        <w:rPr>
          <w:rFonts w:hint="eastAsia" w:ascii="宋体" w:hAnsi="宋体" w:eastAsia="宋体" w:cs="宋体"/>
          <w:b/>
          <w:bCs w:val="0"/>
          <w:sz w:val="44"/>
          <w:szCs w:val="44"/>
          <w:highlight w:val="none"/>
          <w:lang w:val="en-US"/>
        </w:rPr>
      </w:pPr>
      <w:bookmarkStart w:id="91" w:name="_Toc128_WPSOffice_Level1"/>
      <w:r>
        <w:rPr>
          <w:rFonts w:hint="eastAsia" w:ascii="宋体" w:hAnsi="宋体" w:eastAsia="宋体" w:cs="宋体"/>
          <w:b/>
          <w:bCs w:val="0"/>
          <w:color w:val="000000"/>
          <w:kern w:val="0"/>
          <w:sz w:val="44"/>
          <w:szCs w:val="44"/>
          <w:highlight w:val="none"/>
          <w:u w:color="000000"/>
          <w:lang w:val="en-US" w:eastAsia="zh-CN" w:bidi="ar"/>
        </w:rPr>
        <w:t>投 标 文 件</w:t>
      </w:r>
      <w:bookmarkEnd w:id="91"/>
    </w:p>
    <w:p w14:paraId="6EECEAA5">
      <w:pPr>
        <w:keepNext w:val="0"/>
        <w:keepLines w:val="0"/>
        <w:widowControl/>
        <w:suppressLineNumbers w:val="0"/>
        <w:spacing w:before="0" w:beforeAutospacing="0" w:after="0" w:afterAutospacing="0" w:line="357" w:lineRule="atLeast"/>
        <w:ind w:left="0" w:right="0"/>
        <w:jc w:val="center"/>
        <w:rPr>
          <w:rFonts w:hint="eastAsia" w:ascii="黑体" w:hAnsi="宋体" w:eastAsia="黑体" w:cs="黑体"/>
          <w:sz w:val="44"/>
          <w:szCs w:val="44"/>
          <w:highlight w:val="none"/>
          <w:lang w:val="en-US"/>
        </w:rPr>
      </w:pPr>
      <w:bookmarkStart w:id="92" w:name="_Toc19336_WPSOffice_Level2"/>
      <w:bookmarkEnd w:id="92"/>
      <w:r>
        <w:rPr>
          <w:rFonts w:hint="eastAsia" w:ascii="黑体" w:hAnsi="宋体" w:eastAsia="黑体" w:cs="黑体"/>
          <w:color w:val="000000"/>
          <w:kern w:val="0"/>
          <w:sz w:val="44"/>
          <w:szCs w:val="44"/>
          <w:highlight w:val="none"/>
          <w:u w:color="000000"/>
          <w:lang w:val="en-US" w:eastAsia="zh-CN" w:bidi="ar"/>
        </w:rPr>
        <w:t xml:space="preserve"> </w:t>
      </w:r>
    </w:p>
    <w:p w14:paraId="0E77BCFD">
      <w:pPr>
        <w:keepNext w:val="0"/>
        <w:keepLines w:val="0"/>
        <w:widowControl/>
        <w:suppressLineNumbers w:val="0"/>
        <w:spacing w:before="0" w:beforeAutospacing="0" w:after="0" w:afterAutospacing="0" w:line="357" w:lineRule="atLeast"/>
        <w:ind w:left="0" w:right="0" w:firstLine="3000" w:firstLineChars="1000"/>
        <w:jc w:val="both"/>
        <w:rPr>
          <w:rFonts w:hint="eastAsia" w:ascii="宋体" w:hAnsi="宋体" w:eastAsia="宋体" w:cs="宋体"/>
          <w:sz w:val="30"/>
          <w:szCs w:val="30"/>
          <w:highlight w:val="none"/>
          <w:lang w:val="en-US"/>
        </w:rPr>
      </w:pPr>
      <w:bookmarkStart w:id="93" w:name="_Toc7180_WPSOffice_Level3"/>
      <w:bookmarkEnd w:id="93"/>
      <w:r>
        <w:rPr>
          <w:rFonts w:hint="eastAsia" w:ascii="宋体" w:hAnsi="宋体" w:eastAsia="宋体" w:cs="宋体"/>
          <w:color w:val="000000"/>
          <w:kern w:val="0"/>
          <w:sz w:val="30"/>
          <w:szCs w:val="30"/>
          <w:highlight w:val="none"/>
          <w:u w:color="000000"/>
          <w:lang w:val="en-US" w:eastAsia="zh-CN" w:bidi="ar"/>
        </w:rPr>
        <w:t>项目名称：</w:t>
      </w:r>
    </w:p>
    <w:p w14:paraId="62BD0264">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5BEB12CC">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69E1BC79">
      <w:pPr>
        <w:pStyle w:val="6"/>
        <w:widowControl/>
        <w:spacing w:before="0" w:beforeAutospacing="0" w:after="120" w:afterAutospacing="0"/>
        <w:ind w:leftChars="200" w:right="0" w:firstLine="560"/>
        <w:rPr>
          <w:sz w:val="28"/>
          <w:szCs w:val="28"/>
          <w:highlight w:val="none"/>
          <w:lang w:val="en-US"/>
        </w:rPr>
      </w:pPr>
      <w:r>
        <w:rPr>
          <w:sz w:val="28"/>
          <w:szCs w:val="28"/>
          <w:highlight w:val="none"/>
          <w:lang w:val="en-US"/>
        </w:rPr>
        <w:t xml:space="preserve"> </w:t>
      </w:r>
    </w:p>
    <w:p w14:paraId="68E6B8DF">
      <w:pPr>
        <w:rPr>
          <w:sz w:val="28"/>
          <w:szCs w:val="28"/>
          <w:highlight w:val="none"/>
          <w:lang w:val="en-US"/>
        </w:rPr>
      </w:pPr>
    </w:p>
    <w:p w14:paraId="477EA443">
      <w:pPr>
        <w:rPr>
          <w:sz w:val="28"/>
          <w:szCs w:val="28"/>
          <w:highlight w:val="none"/>
          <w:lang w:val="en-US"/>
        </w:rPr>
      </w:pPr>
    </w:p>
    <w:p w14:paraId="76134514">
      <w:pPr>
        <w:pStyle w:val="18"/>
        <w:widowControl/>
        <w:rPr>
          <w:highlight w:val="none"/>
          <w:lang w:val="en-US"/>
        </w:rPr>
      </w:pPr>
      <w:r>
        <w:rPr>
          <w:highlight w:val="none"/>
          <w:lang w:val="en-US"/>
        </w:rPr>
        <w:t xml:space="preserve"> </w:t>
      </w:r>
    </w:p>
    <w:p w14:paraId="5477395E">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0770C057">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u w:val="single"/>
          <w:lang w:val="en-US"/>
        </w:rPr>
      </w:pPr>
      <w:r>
        <w:rPr>
          <w:rFonts w:hint="eastAsia" w:ascii="宋体" w:hAnsi="宋体" w:eastAsia="宋体" w:cs="宋体"/>
          <w:color w:val="000000"/>
          <w:kern w:val="0"/>
          <w:sz w:val="32"/>
          <w:szCs w:val="32"/>
          <w:highlight w:val="none"/>
          <w:u w:color="000000"/>
          <w:lang w:val="en-US" w:eastAsia="zh-CN" w:bidi="ar"/>
        </w:rPr>
        <w:t>投标人：</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（盖单位章）</w:t>
      </w:r>
    </w:p>
    <w:p w14:paraId="1D8010EB">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lang w:val="en-US"/>
        </w:rPr>
      </w:pPr>
      <w:r>
        <w:rPr>
          <w:rFonts w:hint="eastAsia" w:ascii="宋体" w:hAnsi="宋体" w:eastAsia="宋体" w:cs="宋体"/>
          <w:color w:val="000000"/>
          <w:kern w:val="0"/>
          <w:sz w:val="32"/>
          <w:szCs w:val="32"/>
          <w:highlight w:val="none"/>
          <w:u w:color="000000"/>
          <w:lang w:val="en-US" w:eastAsia="zh-CN" w:bidi="ar"/>
        </w:rPr>
        <w:t xml:space="preserve"> </w:t>
      </w:r>
    </w:p>
    <w:p w14:paraId="705AFAD3">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000000"/>
          <w:kern w:val="0"/>
          <w:sz w:val="32"/>
          <w:szCs w:val="32"/>
          <w:highlight w:val="none"/>
          <w:u w:color="000000"/>
          <w:lang w:val="en-US" w:eastAsia="zh-CN" w:bidi="ar"/>
        </w:rPr>
      </w:pPr>
      <w:r>
        <w:rPr>
          <w:rFonts w:hint="eastAsia" w:ascii="宋体" w:hAnsi="宋体" w:eastAsia="宋体" w:cs="宋体"/>
          <w:color w:val="000000"/>
          <w:kern w:val="0"/>
          <w:sz w:val="32"/>
          <w:szCs w:val="32"/>
          <w:highlight w:val="none"/>
          <w:u w:color="000000"/>
          <w:lang w:val="en-US" w:eastAsia="zh-CN" w:bidi="ar"/>
        </w:rPr>
        <w:t>法定代表人或授权委托人：</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（签字或盖章）</w:t>
      </w:r>
    </w:p>
    <w:p w14:paraId="6D24C94F">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000000"/>
          <w:kern w:val="0"/>
          <w:sz w:val="32"/>
          <w:szCs w:val="32"/>
          <w:highlight w:val="none"/>
          <w:u w:color="000000"/>
          <w:lang w:val="en-US" w:eastAsia="zh-CN" w:bidi="ar"/>
        </w:rPr>
      </w:pPr>
    </w:p>
    <w:p w14:paraId="6EC873CE">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lang w:val="en-US"/>
        </w:rPr>
      </w:pP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年</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月</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日</w:t>
      </w:r>
    </w:p>
    <w:p w14:paraId="2511EEA3">
      <w:pPr>
        <w:keepNext w:val="0"/>
        <w:keepLines w:val="0"/>
        <w:widowControl/>
        <w:suppressLineNumbers w:val="0"/>
        <w:spacing w:before="0" w:beforeAutospacing="0" w:after="0" w:afterAutospacing="0" w:line="640" w:lineRule="exact"/>
        <w:ind w:left="0" w:right="0"/>
        <w:jc w:val="center"/>
        <w:rPr>
          <w:rFonts w:hint="eastAsia" w:ascii="宋体" w:hAnsi="宋体" w:eastAsia="宋体" w:cs="宋体"/>
          <w:b/>
          <w:bCs w:val="0"/>
          <w:sz w:val="44"/>
          <w:szCs w:val="44"/>
          <w:highlight w:val="none"/>
          <w:lang w:val="en-US"/>
        </w:rPr>
      </w:pPr>
      <w:r>
        <w:rPr>
          <w:rFonts w:hint="default" w:ascii="Times New Roman" w:hAnsi="Times New Roman" w:eastAsia="宋体" w:cs="Times New Roman"/>
          <w:b/>
          <w:bCs w:val="0"/>
          <w:color w:val="000000"/>
          <w:kern w:val="0"/>
          <w:sz w:val="44"/>
          <w:szCs w:val="44"/>
          <w:highlight w:val="none"/>
          <w:lang w:val="en-US" w:eastAsia="zh-CN" w:bidi="ar"/>
        </w:rPr>
        <w:br w:type="page"/>
      </w:r>
      <w:bookmarkStart w:id="94" w:name="_Toc14710_WPSOffice_Level1"/>
      <w:bookmarkEnd w:id="94"/>
      <w:r>
        <w:rPr>
          <w:rFonts w:hint="eastAsia" w:ascii="宋体" w:hAnsi="宋体" w:eastAsia="宋体" w:cs="宋体"/>
          <w:b/>
          <w:bCs w:val="0"/>
          <w:color w:val="000000"/>
          <w:kern w:val="0"/>
          <w:sz w:val="44"/>
          <w:szCs w:val="44"/>
          <w:highlight w:val="none"/>
          <w:u w:color="000000"/>
          <w:lang w:val="en-US" w:eastAsia="zh-CN" w:bidi="ar"/>
        </w:rPr>
        <w:t>目   录</w:t>
      </w:r>
    </w:p>
    <w:p w14:paraId="161FF9A7">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 xml:space="preserve"> </w:t>
      </w:r>
    </w:p>
    <w:p w14:paraId="332B2548">
      <w:pPr>
        <w:keepNext w:val="0"/>
        <w:keepLines w:val="0"/>
        <w:widowControl/>
        <w:suppressLineNumbers w:val="0"/>
        <w:spacing w:before="0" w:beforeAutospacing="0" w:after="0" w:afterAutospacing="0" w:line="400" w:lineRule="exact"/>
        <w:ind w:left="0" w:right="0" w:firstLine="562" w:firstLineChars="200"/>
        <w:jc w:val="both"/>
        <w:rPr>
          <w:rFonts w:hint="eastAsia" w:ascii="宋体" w:hAnsi="宋体" w:eastAsia="宋体" w:cs="宋体"/>
          <w:b/>
          <w:bCs w:val="0"/>
          <w:sz w:val="28"/>
          <w:szCs w:val="28"/>
          <w:highlight w:val="none"/>
          <w:lang w:val="en-US"/>
        </w:rPr>
      </w:pPr>
      <w:r>
        <w:rPr>
          <w:rFonts w:hint="eastAsia" w:ascii="宋体" w:hAnsi="宋体" w:eastAsia="宋体" w:cs="宋体"/>
          <w:b/>
          <w:bCs w:val="0"/>
          <w:color w:val="000000"/>
          <w:kern w:val="0"/>
          <w:sz w:val="28"/>
          <w:szCs w:val="28"/>
          <w:highlight w:val="none"/>
          <w:u w:color="000000"/>
          <w:lang w:val="en-US" w:eastAsia="zh-CN" w:bidi="ar"/>
        </w:rPr>
        <w:t xml:space="preserve"> </w:t>
      </w:r>
    </w:p>
    <w:p w14:paraId="66AE26FA">
      <w:pPr>
        <w:spacing w:line="360" w:lineRule="auto"/>
        <w:ind w:firstLine="420" w:firstLineChars="200"/>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（1）法人代表人身份证明及其有效身份证（或法人代表授权委托书及其有效身份证）（格式见附件）；</w:t>
      </w:r>
    </w:p>
    <w:p w14:paraId="329AADE8">
      <w:pPr>
        <w:spacing w:line="360" w:lineRule="auto"/>
        <w:ind w:firstLine="420" w:firstLineChars="200"/>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rPr>
        <w:t>（2）投标人有效的营业执照、税务登记证、组织机构代码证（或三合一证书）</w:t>
      </w:r>
      <w:r>
        <w:rPr>
          <w:rFonts w:hint="eastAsia" w:ascii="宋体" w:hAnsi="Times New Roman" w:eastAsia="宋体" w:cs="Times New Roman"/>
          <w:color w:val="auto"/>
          <w:szCs w:val="21"/>
          <w:highlight w:val="none"/>
          <w:lang w:eastAsia="zh-CN"/>
        </w:rPr>
        <w:t>；</w:t>
      </w:r>
    </w:p>
    <w:p w14:paraId="73951022">
      <w:pPr>
        <w:spacing w:line="360" w:lineRule="auto"/>
        <w:ind w:firstLine="420" w:firstLineChars="200"/>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w:t>
      </w:r>
      <w:r>
        <w:rPr>
          <w:rFonts w:hint="eastAsia" w:ascii="宋体" w:hAnsi="Times New Roman" w:eastAsia="宋体" w:cs="Times New Roman"/>
          <w:color w:val="auto"/>
          <w:szCs w:val="21"/>
          <w:highlight w:val="none"/>
          <w:lang w:val="en-US" w:eastAsia="zh-CN"/>
        </w:rPr>
        <w:t>3）</w:t>
      </w:r>
      <w:r>
        <w:rPr>
          <w:rFonts w:hint="eastAsia" w:ascii="宋体" w:hAnsi="Times New Roman" w:eastAsia="宋体" w:cs="Times New Roman"/>
          <w:color w:val="auto"/>
          <w:szCs w:val="21"/>
          <w:highlight w:val="none"/>
        </w:rPr>
        <w:t>诚信投标承诺书（格式见附件）</w:t>
      </w:r>
      <w:r>
        <w:rPr>
          <w:rFonts w:hint="eastAsia" w:ascii="宋体" w:hAnsi="Times New Roman" w:eastAsia="宋体" w:cs="Times New Roman"/>
          <w:color w:val="auto"/>
          <w:szCs w:val="21"/>
          <w:highlight w:val="none"/>
          <w:lang w:eastAsia="zh-CN"/>
        </w:rPr>
        <w:t>；</w:t>
      </w:r>
    </w:p>
    <w:p w14:paraId="5B87188B">
      <w:pPr>
        <w:spacing w:line="360" w:lineRule="auto"/>
        <w:ind w:firstLine="420" w:firstLineChars="200"/>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（4）</w:t>
      </w:r>
      <w:r>
        <w:rPr>
          <w:rFonts w:hint="eastAsia" w:ascii="宋体" w:hAnsi="Times New Roman" w:eastAsia="宋体" w:cs="Times New Roman"/>
          <w:color w:val="auto"/>
          <w:szCs w:val="21"/>
          <w:highlight w:val="none"/>
        </w:rPr>
        <w:t>服务承诺：是否响应招标文件要求的书面说明和服务承诺书（格式见附件）</w:t>
      </w:r>
      <w:r>
        <w:rPr>
          <w:rFonts w:hint="eastAsia" w:ascii="宋体" w:hAnsi="Times New Roman" w:eastAsia="宋体" w:cs="Times New Roman"/>
          <w:color w:val="auto"/>
          <w:szCs w:val="21"/>
          <w:highlight w:val="none"/>
          <w:lang w:eastAsia="zh-CN"/>
        </w:rPr>
        <w:t>；</w:t>
      </w:r>
    </w:p>
    <w:p w14:paraId="41D3EAF7">
      <w:pPr>
        <w:spacing w:line="360" w:lineRule="auto"/>
        <w:ind w:firstLine="420" w:firstLineChars="200"/>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（5）开标一览表（格式见附件）；</w:t>
      </w:r>
    </w:p>
    <w:p w14:paraId="3EAF57FF">
      <w:pPr>
        <w:spacing w:line="360" w:lineRule="auto"/>
        <w:ind w:firstLine="420" w:firstLineChars="200"/>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（6）投标函（格式见附件）；</w:t>
      </w:r>
    </w:p>
    <w:p w14:paraId="42951A5B">
      <w:pPr>
        <w:spacing w:line="360" w:lineRule="auto"/>
        <w:ind w:firstLine="420" w:firstLineChars="200"/>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eastAsia="zh-CN"/>
        </w:rPr>
        <w:t>（</w:t>
      </w:r>
      <w:r>
        <w:rPr>
          <w:rFonts w:hint="eastAsia" w:ascii="宋体" w:hAnsi="Times New Roman" w:eastAsia="宋体" w:cs="Times New Roman"/>
          <w:color w:val="auto"/>
          <w:szCs w:val="21"/>
          <w:highlight w:val="none"/>
          <w:lang w:val="en-US" w:eastAsia="zh-CN"/>
        </w:rPr>
        <w:t>7）</w:t>
      </w:r>
      <w:r>
        <w:rPr>
          <w:rFonts w:hint="eastAsia" w:ascii="宋体" w:hAnsi="Times New Roman" w:eastAsia="宋体" w:cs="Times New Roman"/>
          <w:color w:val="auto"/>
          <w:szCs w:val="21"/>
          <w:highlight w:val="none"/>
        </w:rPr>
        <w:t>投标人认为需要提供的其他证明材料。</w:t>
      </w:r>
    </w:p>
    <w:p w14:paraId="02B3DBDA">
      <w:pPr>
        <w:keepNext w:val="0"/>
        <w:keepLines w:val="0"/>
        <w:widowControl/>
        <w:suppressLineNumbers w:val="0"/>
        <w:autoSpaceDE w:val="0"/>
        <w:autoSpaceDN/>
        <w:spacing w:before="0" w:beforeAutospacing="0" w:after="0" w:afterAutospacing="0" w:line="480" w:lineRule="auto"/>
        <w:ind w:left="720" w:right="0"/>
        <w:jc w:val="center"/>
        <w:rPr>
          <w:rFonts w:hint="eastAsia" w:ascii="宋体" w:hAnsi="宋体" w:eastAsia="宋体" w:cs="宋体"/>
          <w:b/>
          <w:bCs w:val="0"/>
          <w:sz w:val="28"/>
          <w:szCs w:val="28"/>
          <w:highlight w:val="none"/>
          <w:lang w:val="en-US"/>
        </w:rPr>
      </w:pPr>
      <w:r>
        <w:rPr>
          <w:rFonts w:hint="eastAsia" w:ascii="宋体" w:hAnsi="宋体" w:eastAsia="宋体" w:cs="宋体"/>
          <w:b/>
          <w:bCs w:val="0"/>
          <w:color w:val="000000"/>
          <w:kern w:val="0"/>
          <w:sz w:val="28"/>
          <w:szCs w:val="28"/>
          <w:highlight w:val="none"/>
          <w:u w:color="000000"/>
          <w:lang w:val="en-US" w:eastAsia="zh-CN" w:bidi="ar"/>
        </w:rPr>
        <w:t xml:space="preserve"> </w:t>
      </w:r>
    </w:p>
    <w:p w14:paraId="5762840B">
      <w:pPr>
        <w:keepNext w:val="0"/>
        <w:keepLines w:val="0"/>
        <w:widowControl/>
        <w:suppressLineNumbers w:val="0"/>
        <w:autoSpaceDE w:val="0"/>
        <w:autoSpaceDN/>
        <w:spacing w:before="0" w:beforeAutospacing="0" w:after="0" w:afterAutospacing="0" w:line="480" w:lineRule="auto"/>
        <w:ind w:left="720" w:right="0"/>
        <w:jc w:val="center"/>
        <w:rPr>
          <w:rFonts w:hint="eastAsia" w:ascii="宋体" w:hAnsi="宋体" w:eastAsia="宋体" w:cs="宋体"/>
          <w:b/>
          <w:bCs w:val="0"/>
          <w:sz w:val="28"/>
          <w:szCs w:val="28"/>
          <w:highlight w:val="none"/>
          <w:lang w:val="en-US"/>
        </w:rPr>
      </w:pPr>
      <w:r>
        <w:rPr>
          <w:rFonts w:hint="eastAsia" w:ascii="宋体" w:hAnsi="宋体" w:eastAsia="宋体" w:cs="宋体"/>
          <w:b/>
          <w:bCs w:val="0"/>
          <w:color w:val="000000"/>
          <w:kern w:val="0"/>
          <w:sz w:val="28"/>
          <w:szCs w:val="28"/>
          <w:highlight w:val="none"/>
          <w:u w:color="000000"/>
          <w:lang w:val="en-US" w:eastAsia="zh-CN" w:bidi="ar"/>
        </w:rPr>
        <w:t xml:space="preserve"> </w:t>
      </w:r>
    </w:p>
    <w:p w14:paraId="465587F2">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val="0"/>
          <w:sz w:val="28"/>
          <w:szCs w:val="28"/>
          <w:highlight w:val="none"/>
          <w:lang w:val="en-US"/>
        </w:rPr>
      </w:pPr>
      <w:r>
        <w:rPr>
          <w:rFonts w:hint="default" w:ascii="Times New Roman" w:hAnsi="Times New Roman" w:eastAsia="宋体" w:cs="Times New Roman"/>
          <w:b/>
          <w:bCs w:val="0"/>
          <w:color w:val="000000"/>
          <w:kern w:val="0"/>
          <w:sz w:val="28"/>
          <w:szCs w:val="28"/>
          <w:highlight w:val="none"/>
          <w:lang w:val="en-US" w:eastAsia="zh-CN" w:bidi="ar"/>
        </w:rPr>
        <w:br w:type="page"/>
      </w:r>
      <w:r>
        <w:rPr>
          <w:rFonts w:hint="eastAsia" w:ascii="宋体" w:hAnsi="宋体" w:eastAsia="宋体" w:cs="宋体"/>
          <w:b/>
          <w:bCs w:val="0"/>
          <w:color w:val="000000"/>
          <w:kern w:val="0"/>
          <w:sz w:val="28"/>
          <w:szCs w:val="28"/>
          <w:highlight w:val="none"/>
          <w:u w:color="000000"/>
          <w:lang w:val="en-US" w:eastAsia="zh-CN" w:bidi="ar"/>
        </w:rPr>
        <w:t>附件</w:t>
      </w:r>
      <w:r>
        <w:rPr>
          <w:rFonts w:hint="default" w:ascii="Times New Roman" w:hAnsi="Times New Roman" w:eastAsia="宋体" w:cs="Times New Roman"/>
          <w:b/>
          <w:bCs w:val="0"/>
          <w:color w:val="000000"/>
          <w:kern w:val="0"/>
          <w:sz w:val="28"/>
          <w:szCs w:val="28"/>
          <w:highlight w:val="none"/>
          <w:u w:color="000000"/>
          <w:lang w:val="en-US" w:eastAsia="zh-CN" w:bidi="ar"/>
        </w:rPr>
        <w:t>1</w:t>
      </w:r>
    </w:p>
    <w:p w14:paraId="3E809E94">
      <w:pPr>
        <w:pStyle w:val="38"/>
        <w:keepNext w:val="0"/>
        <w:keepLines w:val="0"/>
        <w:pageBreakBefore w:val="0"/>
        <w:kinsoku/>
        <w:overflowPunct/>
        <w:topLinePunct w:val="0"/>
        <w:autoSpaceDE/>
        <w:autoSpaceDN/>
        <w:bidi w:val="0"/>
        <w:adjustRightInd/>
        <w:snapToGrid/>
        <w:spacing w:before="312" w:beforeLines="100" w:after="312" w:afterLines="100" w:line="400" w:lineRule="exact"/>
        <w:ind w:firstLine="180" w:firstLineChars="75"/>
        <w:rPr>
          <w:rFonts w:hint="eastAsia" w:ascii="宋体"/>
          <w:b/>
          <w:color w:val="auto"/>
          <w:sz w:val="24"/>
          <w:szCs w:val="24"/>
          <w:highlight w:val="none"/>
        </w:rPr>
      </w:pPr>
      <w:r>
        <w:rPr>
          <w:rFonts w:hint="eastAsia" w:ascii="宋体"/>
          <w:color w:val="auto"/>
          <w:sz w:val="24"/>
          <w:szCs w:val="24"/>
          <w:highlight w:val="none"/>
        </w:rPr>
        <w:t>1.法定代表人身份证明</w:t>
      </w:r>
    </w:p>
    <w:p w14:paraId="67B29470">
      <w:pPr>
        <w:keepNext w:val="0"/>
        <w:keepLines w:val="0"/>
        <w:pageBreakBefore w:val="0"/>
        <w:kinsoku/>
        <w:overflowPunct/>
        <w:topLinePunct w:val="0"/>
        <w:autoSpaceDE/>
        <w:autoSpaceDN/>
        <w:bidi w:val="0"/>
        <w:adjustRightInd/>
        <w:snapToGrid/>
        <w:spacing w:line="400" w:lineRule="exact"/>
        <w:rPr>
          <w:rFonts w:hint="eastAsia" w:ascii="宋体"/>
          <w:sz w:val="24"/>
          <w:highlight w:val="none"/>
        </w:rPr>
      </w:pPr>
      <w:r>
        <w:rPr>
          <w:rFonts w:hint="eastAsia" w:ascii="宋体"/>
          <w:sz w:val="24"/>
          <w:highlight w:val="none"/>
        </w:rPr>
        <w:t>投标人名称：</w:t>
      </w:r>
      <w:r>
        <w:rPr>
          <w:rFonts w:hint="eastAsia" w:ascii="宋体"/>
          <w:sz w:val="24"/>
          <w:highlight w:val="none"/>
          <w:u w:val="single"/>
        </w:rPr>
        <w:t xml:space="preserve">                                </w:t>
      </w:r>
      <w:r>
        <w:rPr>
          <w:rFonts w:hint="eastAsia" w:ascii="宋体"/>
          <w:sz w:val="24"/>
          <w:highlight w:val="none"/>
        </w:rPr>
        <w:t xml:space="preserve"> </w:t>
      </w:r>
    </w:p>
    <w:p w14:paraId="69A2B6F7">
      <w:pPr>
        <w:keepNext w:val="0"/>
        <w:keepLines w:val="0"/>
        <w:pageBreakBefore w:val="0"/>
        <w:kinsoku/>
        <w:overflowPunct/>
        <w:topLinePunct w:val="0"/>
        <w:autoSpaceDE/>
        <w:autoSpaceDN/>
        <w:bidi w:val="0"/>
        <w:adjustRightInd/>
        <w:snapToGrid/>
        <w:spacing w:line="400" w:lineRule="exact"/>
        <w:rPr>
          <w:rFonts w:hint="eastAsia" w:ascii="宋体"/>
          <w:sz w:val="24"/>
          <w:highlight w:val="none"/>
        </w:rPr>
      </w:pPr>
      <w:r>
        <w:rPr>
          <w:rFonts w:hint="eastAsia" w:ascii="宋体"/>
          <w:sz w:val="24"/>
          <w:highlight w:val="none"/>
        </w:rPr>
        <w:t xml:space="preserve">单位性质： </w:t>
      </w:r>
      <w:r>
        <w:rPr>
          <w:rFonts w:hint="eastAsia" w:ascii="宋体"/>
          <w:sz w:val="24"/>
          <w:highlight w:val="none"/>
          <w:u w:val="single"/>
        </w:rPr>
        <w:t xml:space="preserve">                                  </w:t>
      </w:r>
      <w:r>
        <w:rPr>
          <w:rFonts w:hint="eastAsia" w:ascii="宋体"/>
          <w:sz w:val="24"/>
          <w:highlight w:val="none"/>
        </w:rPr>
        <w:t xml:space="preserve"> </w:t>
      </w:r>
    </w:p>
    <w:p w14:paraId="6DB79AD1">
      <w:pPr>
        <w:keepNext w:val="0"/>
        <w:keepLines w:val="0"/>
        <w:pageBreakBefore w:val="0"/>
        <w:kinsoku/>
        <w:overflowPunct/>
        <w:topLinePunct w:val="0"/>
        <w:autoSpaceDE/>
        <w:autoSpaceDN/>
        <w:bidi w:val="0"/>
        <w:adjustRightInd/>
        <w:snapToGrid/>
        <w:spacing w:line="400" w:lineRule="exact"/>
        <w:rPr>
          <w:rFonts w:hint="eastAsia" w:ascii="宋体"/>
          <w:sz w:val="24"/>
          <w:highlight w:val="none"/>
        </w:rPr>
      </w:pPr>
      <w:r>
        <w:rPr>
          <w:rFonts w:hint="eastAsia" w:ascii="宋体"/>
          <w:sz w:val="24"/>
          <w:highlight w:val="none"/>
        </w:rPr>
        <w:t>地    址：</w:t>
      </w:r>
      <w:r>
        <w:rPr>
          <w:rFonts w:hint="eastAsia" w:ascii="宋体"/>
          <w:sz w:val="24"/>
          <w:highlight w:val="none"/>
          <w:u w:val="single"/>
        </w:rPr>
        <w:t xml:space="preserve">                                   </w:t>
      </w:r>
      <w:r>
        <w:rPr>
          <w:rFonts w:hint="eastAsia" w:ascii="宋体"/>
          <w:sz w:val="24"/>
          <w:highlight w:val="none"/>
        </w:rPr>
        <w:t xml:space="preserve"> </w:t>
      </w:r>
    </w:p>
    <w:p w14:paraId="0022CFFA">
      <w:pPr>
        <w:keepNext w:val="0"/>
        <w:keepLines w:val="0"/>
        <w:pageBreakBefore w:val="0"/>
        <w:kinsoku/>
        <w:overflowPunct/>
        <w:topLinePunct w:val="0"/>
        <w:autoSpaceDE/>
        <w:autoSpaceDN/>
        <w:bidi w:val="0"/>
        <w:adjustRightInd/>
        <w:snapToGrid/>
        <w:spacing w:line="400" w:lineRule="exact"/>
        <w:rPr>
          <w:rFonts w:hint="eastAsia" w:ascii="宋体"/>
          <w:sz w:val="24"/>
          <w:highlight w:val="none"/>
        </w:rPr>
      </w:pPr>
      <w:r>
        <w:rPr>
          <w:rFonts w:hint="eastAsia" w:ascii="宋体"/>
          <w:sz w:val="24"/>
          <w:highlight w:val="none"/>
        </w:rPr>
        <w:t>成立时间：</w:t>
      </w:r>
      <w:r>
        <w:rPr>
          <w:rFonts w:hint="eastAsia" w:ascii="宋体"/>
          <w:sz w:val="24"/>
          <w:highlight w:val="none"/>
          <w:u w:val="single"/>
        </w:rPr>
        <w:t xml:space="preserve">        </w:t>
      </w:r>
      <w:r>
        <w:rPr>
          <w:rFonts w:hint="eastAsia" w:ascii="宋体"/>
          <w:sz w:val="24"/>
          <w:highlight w:val="none"/>
        </w:rPr>
        <w:t>年</w:t>
      </w:r>
      <w:r>
        <w:rPr>
          <w:rFonts w:hint="eastAsia" w:ascii="宋体"/>
          <w:sz w:val="24"/>
          <w:highlight w:val="none"/>
          <w:u w:val="single"/>
        </w:rPr>
        <w:t xml:space="preserve">       </w:t>
      </w:r>
      <w:r>
        <w:rPr>
          <w:rFonts w:hint="eastAsia" w:ascii="宋体"/>
          <w:sz w:val="24"/>
          <w:highlight w:val="none"/>
        </w:rPr>
        <w:t>月</w:t>
      </w:r>
      <w:r>
        <w:rPr>
          <w:rFonts w:hint="eastAsia" w:ascii="宋体"/>
          <w:sz w:val="24"/>
          <w:highlight w:val="none"/>
          <w:u w:val="single"/>
        </w:rPr>
        <w:t xml:space="preserve">        </w:t>
      </w:r>
      <w:r>
        <w:rPr>
          <w:rFonts w:hint="eastAsia" w:ascii="宋体"/>
          <w:sz w:val="24"/>
          <w:highlight w:val="none"/>
        </w:rPr>
        <w:t>日</w:t>
      </w:r>
    </w:p>
    <w:p w14:paraId="5A8A989C">
      <w:pPr>
        <w:keepNext w:val="0"/>
        <w:keepLines w:val="0"/>
        <w:pageBreakBefore w:val="0"/>
        <w:kinsoku/>
        <w:overflowPunct/>
        <w:topLinePunct w:val="0"/>
        <w:autoSpaceDE/>
        <w:autoSpaceDN/>
        <w:bidi w:val="0"/>
        <w:adjustRightInd/>
        <w:snapToGrid/>
        <w:spacing w:line="400" w:lineRule="exact"/>
        <w:rPr>
          <w:rFonts w:hint="eastAsia" w:ascii="宋体"/>
          <w:sz w:val="24"/>
          <w:highlight w:val="none"/>
        </w:rPr>
      </w:pPr>
      <w:r>
        <w:rPr>
          <w:rFonts w:hint="eastAsia" w:ascii="宋体"/>
          <w:sz w:val="24"/>
          <w:highlight w:val="none"/>
        </w:rPr>
        <w:t>经营期限：</w:t>
      </w:r>
      <w:r>
        <w:rPr>
          <w:rFonts w:hint="eastAsia" w:ascii="宋体"/>
          <w:sz w:val="24"/>
          <w:highlight w:val="none"/>
          <w:u w:val="single"/>
        </w:rPr>
        <w:t xml:space="preserve">                                </w:t>
      </w:r>
      <w:r>
        <w:rPr>
          <w:rFonts w:hint="eastAsia" w:ascii="宋体"/>
          <w:sz w:val="24"/>
          <w:highlight w:val="none"/>
        </w:rPr>
        <w:t xml:space="preserve"> </w:t>
      </w:r>
    </w:p>
    <w:p w14:paraId="23BBAC49">
      <w:pPr>
        <w:keepNext w:val="0"/>
        <w:keepLines w:val="0"/>
        <w:pageBreakBefore w:val="0"/>
        <w:kinsoku/>
        <w:overflowPunct/>
        <w:topLinePunct w:val="0"/>
        <w:autoSpaceDE/>
        <w:autoSpaceDN/>
        <w:bidi w:val="0"/>
        <w:adjustRightInd/>
        <w:snapToGrid/>
        <w:spacing w:line="400" w:lineRule="exact"/>
        <w:rPr>
          <w:rFonts w:hint="eastAsia" w:ascii="宋体"/>
          <w:sz w:val="24"/>
          <w:highlight w:val="none"/>
        </w:rPr>
      </w:pPr>
      <w:r>
        <w:rPr>
          <w:rFonts w:hint="eastAsia" w:ascii="宋体" w:hAnsi="Times New Roman" w:eastAsia="宋体" w:cs="Times New Roman"/>
          <w:sz w:val="24"/>
          <w:highlight w:val="none"/>
        </w:rPr>
        <w:t>姓</w:t>
      </w:r>
      <w:r>
        <w:rPr>
          <w:rFonts w:hint="eastAsia" w:ascii="宋体" w:hAnsi="Times New Roman" w:eastAsia="宋体" w:cs="Times New Roman"/>
          <w:sz w:val="24"/>
          <w:highlight w:val="none"/>
          <w:lang w:val="en-US" w:eastAsia="zh-CN"/>
        </w:rPr>
        <w:t xml:space="preserve">   </w:t>
      </w:r>
      <w:r>
        <w:rPr>
          <w:rFonts w:hint="eastAsia" w:ascii="宋体" w:hAnsi="Times New Roman" w:eastAsia="宋体" w:cs="Times New Roman"/>
          <w:sz w:val="24"/>
          <w:highlight w:val="none"/>
        </w:rPr>
        <w:t>名：</w:t>
      </w:r>
      <w:r>
        <w:rPr>
          <w:rFonts w:hint="eastAsia" w:ascii="宋体"/>
          <w:sz w:val="24"/>
          <w:highlight w:val="none"/>
          <w:u w:val="single"/>
        </w:rPr>
        <w:t xml:space="preserve">          </w:t>
      </w:r>
      <w:r>
        <w:rPr>
          <w:rFonts w:hint="eastAsia" w:ascii="宋体" w:hAnsi="Times New Roman" w:eastAsia="宋体" w:cs="Times New Roman"/>
          <w:sz w:val="24"/>
          <w:highlight w:val="none"/>
        </w:rPr>
        <w:t>身份证号码：</w:t>
      </w:r>
      <w:r>
        <w:rPr>
          <w:rFonts w:hint="eastAsia" w:ascii="宋体" w:hAnsi="Times New Roman" w:eastAsia="宋体" w:cs="Times New Roman"/>
          <w:sz w:val="24"/>
          <w:highlight w:val="none"/>
          <w:u w:val="single"/>
        </w:rPr>
        <w:t xml:space="preserve">             </w:t>
      </w:r>
      <w:r>
        <w:rPr>
          <w:rFonts w:hint="eastAsia" w:ascii="宋体"/>
          <w:sz w:val="24"/>
          <w:highlight w:val="none"/>
        </w:rPr>
        <w:t>性别：</w:t>
      </w:r>
      <w:r>
        <w:rPr>
          <w:rFonts w:hint="eastAsia" w:ascii="宋体"/>
          <w:sz w:val="24"/>
          <w:highlight w:val="none"/>
          <w:u w:val="single"/>
        </w:rPr>
        <w:t xml:space="preserve">        </w:t>
      </w:r>
      <w:r>
        <w:rPr>
          <w:rFonts w:hint="eastAsia" w:ascii="宋体"/>
          <w:sz w:val="24"/>
          <w:highlight w:val="none"/>
        </w:rPr>
        <w:t>年龄：</w:t>
      </w:r>
      <w:r>
        <w:rPr>
          <w:rFonts w:hint="eastAsia" w:ascii="宋体"/>
          <w:sz w:val="24"/>
          <w:highlight w:val="none"/>
          <w:u w:val="single"/>
        </w:rPr>
        <w:t xml:space="preserve">       </w:t>
      </w:r>
      <w:r>
        <w:rPr>
          <w:rFonts w:hint="eastAsia" w:ascii="宋体"/>
          <w:sz w:val="24"/>
          <w:highlight w:val="none"/>
        </w:rPr>
        <w:t>职务：</w:t>
      </w:r>
      <w:r>
        <w:rPr>
          <w:rFonts w:hint="eastAsia" w:ascii="宋体"/>
          <w:sz w:val="24"/>
          <w:highlight w:val="none"/>
          <w:u w:val="single"/>
        </w:rPr>
        <w:t xml:space="preserve">       </w:t>
      </w:r>
      <w:r>
        <w:rPr>
          <w:rFonts w:hint="eastAsia" w:ascii="宋体"/>
          <w:sz w:val="24"/>
          <w:highlight w:val="none"/>
          <w:lang w:eastAsia="zh-CN"/>
        </w:rPr>
        <w:t>，</w:t>
      </w:r>
      <w:r>
        <w:rPr>
          <w:rFonts w:hint="eastAsia" w:ascii="宋体"/>
          <w:sz w:val="24"/>
          <w:highlight w:val="none"/>
        </w:rPr>
        <w:t>系</w:t>
      </w:r>
      <w:r>
        <w:rPr>
          <w:rFonts w:hint="eastAsia" w:ascii="宋体"/>
          <w:sz w:val="24"/>
          <w:highlight w:val="none"/>
          <w:u w:val="single"/>
        </w:rPr>
        <w:t xml:space="preserve">                                </w:t>
      </w:r>
      <w:r>
        <w:rPr>
          <w:rFonts w:hint="eastAsia" w:ascii="宋体"/>
          <w:sz w:val="24"/>
          <w:highlight w:val="none"/>
        </w:rPr>
        <w:t>（投标人名称）的法定代表人。</w:t>
      </w:r>
    </w:p>
    <w:p w14:paraId="4AD26A31">
      <w:pPr>
        <w:keepNext w:val="0"/>
        <w:keepLines w:val="0"/>
        <w:pageBreakBefore w:val="0"/>
        <w:kinsoku/>
        <w:overflowPunct/>
        <w:topLinePunct w:val="0"/>
        <w:autoSpaceDE/>
        <w:autoSpaceDN/>
        <w:bidi w:val="0"/>
        <w:adjustRightInd/>
        <w:snapToGrid/>
        <w:spacing w:line="400" w:lineRule="exact"/>
        <w:rPr>
          <w:rFonts w:hint="eastAsia" w:ascii="宋体"/>
          <w:sz w:val="24"/>
          <w:highlight w:val="none"/>
        </w:rPr>
      </w:pPr>
      <w:r>
        <w:rPr>
          <w:rFonts w:hint="eastAsia" w:ascii="宋体"/>
          <w:sz w:val="24"/>
          <w:highlight w:val="none"/>
        </w:rPr>
        <w:t>特此证明。</w:t>
      </w:r>
    </w:p>
    <w:p w14:paraId="1E5E1AB8">
      <w:pPr>
        <w:keepNext w:val="0"/>
        <w:keepLines w:val="0"/>
        <w:pageBreakBefore w:val="0"/>
        <w:kinsoku/>
        <w:overflowPunct/>
        <w:topLinePunct w:val="0"/>
        <w:autoSpaceDE/>
        <w:autoSpaceDN/>
        <w:bidi w:val="0"/>
        <w:adjustRightInd/>
        <w:snapToGrid/>
        <w:spacing w:line="400" w:lineRule="exact"/>
        <w:ind w:firstLine="4440" w:firstLineChars="1850"/>
        <w:rPr>
          <w:rFonts w:hint="eastAsia" w:ascii="宋体"/>
          <w:sz w:val="24"/>
          <w:highlight w:val="none"/>
        </w:rPr>
      </w:pPr>
      <w:r>
        <w:rPr>
          <w:rFonts w:hint="eastAsia" w:ascii="宋体"/>
          <w:sz w:val="24"/>
          <w:highlight w:val="none"/>
        </w:rPr>
        <w:t>投标人：</w:t>
      </w:r>
      <w:r>
        <w:rPr>
          <w:rFonts w:hint="eastAsia" w:ascii="宋体"/>
          <w:sz w:val="24"/>
          <w:highlight w:val="none"/>
          <w:u w:val="single"/>
        </w:rPr>
        <w:t xml:space="preserve">                 </w:t>
      </w:r>
      <w:r>
        <w:rPr>
          <w:rFonts w:hint="eastAsia" w:ascii="宋体"/>
          <w:sz w:val="24"/>
          <w:highlight w:val="none"/>
        </w:rPr>
        <w:t>（</w:t>
      </w:r>
      <w:r>
        <w:rPr>
          <w:rFonts w:hint="eastAsia" w:ascii="宋体"/>
          <w:sz w:val="24"/>
          <w:highlight w:val="none"/>
          <w:lang w:val="en-US" w:eastAsia="zh-CN"/>
        </w:rPr>
        <w:t>盖</w:t>
      </w:r>
      <w:r>
        <w:rPr>
          <w:rFonts w:hint="eastAsia" w:ascii="宋体"/>
          <w:sz w:val="24"/>
          <w:highlight w:val="none"/>
        </w:rPr>
        <w:t>章）</w:t>
      </w:r>
    </w:p>
    <w:p w14:paraId="6F039E07">
      <w:pPr>
        <w:keepNext w:val="0"/>
        <w:keepLines w:val="0"/>
        <w:pageBreakBefore w:val="0"/>
        <w:kinsoku/>
        <w:wordWrap w:val="0"/>
        <w:overflowPunct/>
        <w:topLinePunct w:val="0"/>
        <w:autoSpaceDE/>
        <w:autoSpaceDN/>
        <w:bidi w:val="0"/>
        <w:adjustRightInd/>
        <w:snapToGrid/>
        <w:spacing w:line="400" w:lineRule="exact"/>
        <w:jc w:val="right"/>
        <w:rPr>
          <w:rFonts w:hint="eastAsia"/>
          <w:highlight w:val="none"/>
        </w:rPr>
      </w:pPr>
      <w:r>
        <w:rPr>
          <w:rFonts w:hint="eastAsia" w:ascii="宋体"/>
          <w:sz w:val="24"/>
          <w:highlight w:val="none"/>
        </w:rPr>
        <w:t xml:space="preserve">                                        </w:t>
      </w:r>
      <w:r>
        <w:rPr>
          <w:rFonts w:hint="eastAsia" w:ascii="宋体"/>
          <w:sz w:val="24"/>
          <w:highlight w:val="none"/>
          <w:u w:val="single"/>
        </w:rPr>
        <w:t xml:space="preserve">       </w:t>
      </w:r>
      <w:r>
        <w:rPr>
          <w:rFonts w:hint="eastAsia" w:ascii="宋体"/>
          <w:sz w:val="24"/>
          <w:highlight w:val="none"/>
        </w:rPr>
        <w:t xml:space="preserve">年 </w:t>
      </w:r>
      <w:r>
        <w:rPr>
          <w:rFonts w:hint="eastAsia" w:ascii="宋体"/>
          <w:sz w:val="24"/>
          <w:highlight w:val="none"/>
          <w:u w:val="single"/>
        </w:rPr>
        <w:t xml:space="preserve">    </w:t>
      </w:r>
      <w:r>
        <w:rPr>
          <w:rFonts w:hint="eastAsia" w:ascii="宋体"/>
          <w:sz w:val="24"/>
          <w:highlight w:val="none"/>
        </w:rPr>
        <w:t>月</w:t>
      </w:r>
      <w:r>
        <w:rPr>
          <w:rFonts w:hint="eastAsia" w:ascii="宋体"/>
          <w:sz w:val="24"/>
          <w:highlight w:val="none"/>
          <w:u w:val="single"/>
        </w:rPr>
        <w:t xml:space="preserve">     </w:t>
      </w:r>
      <w:r>
        <w:rPr>
          <w:rFonts w:hint="eastAsia" w:ascii="宋体"/>
          <w:sz w:val="24"/>
          <w:highlight w:val="none"/>
        </w:rPr>
        <w:t xml:space="preserve">日  </w:t>
      </w:r>
    </w:p>
    <w:p w14:paraId="10A76931">
      <w:pPr>
        <w:keepNext w:val="0"/>
        <w:keepLines w:val="0"/>
        <w:pageBreakBefore w:val="0"/>
        <w:widowControl w:val="0"/>
        <w:kinsoku/>
        <w:wordWrap/>
        <w:overflowPunct/>
        <w:topLinePunct w:val="0"/>
        <w:autoSpaceDE/>
        <w:autoSpaceDN/>
        <w:bidi w:val="0"/>
        <w:adjustRightInd/>
        <w:snapToGrid/>
        <w:spacing w:before="312" w:beforeLines="100" w:after="312" w:afterLines="100" w:line="400" w:lineRule="exact"/>
        <w:ind w:firstLine="3654" w:firstLineChars="1305"/>
        <w:textAlignment w:val="auto"/>
        <w:rPr>
          <w:rFonts w:hint="eastAsia" w:ascii="宋体"/>
          <w:color w:val="auto"/>
          <w:sz w:val="28"/>
          <w:szCs w:val="28"/>
          <w:highlight w:val="none"/>
        </w:rPr>
      </w:pPr>
      <w:r>
        <w:rPr>
          <w:rFonts w:hint="eastAsia" w:ascii="宋体"/>
          <w:color w:val="auto"/>
          <w:sz w:val="28"/>
          <w:szCs w:val="28"/>
          <w:highlight w:val="none"/>
        </w:rPr>
        <w:t>2.授权委托书</w:t>
      </w:r>
    </w:p>
    <w:p w14:paraId="0F754A1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（投标人）的法定代表人，现委托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”(项目名称、编号）</w:t>
      </w:r>
      <w:r>
        <w:rPr>
          <w:rFonts w:hint="eastAsia" w:ascii="宋体"/>
          <w:color w:val="auto"/>
          <w:sz w:val="24"/>
          <w:highlight w:val="none"/>
          <w:lang w:val="en-US" w:eastAsia="zh-CN"/>
        </w:rPr>
        <w:t>投</w:t>
      </w:r>
      <w:r>
        <w:rPr>
          <w:rFonts w:hint="eastAsia" w:ascii="宋体"/>
          <w:color w:val="auto"/>
          <w:sz w:val="24"/>
          <w:highlight w:val="none"/>
        </w:rPr>
        <w:t>标文件，全权处理与该项目投标、评审答疑、签订合同以及与合同执行有关的一切事务，其法律后果由我方承担。</w:t>
      </w:r>
    </w:p>
    <w:p w14:paraId="3FB938A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color w:val="auto"/>
          <w:sz w:val="24"/>
          <w:highlight w:val="none"/>
        </w:rPr>
      </w:pPr>
      <w:r>
        <w:rPr>
          <w:rFonts w:hint="eastAsia" w:ascii="宋体"/>
          <w:color w:val="auto"/>
          <w:sz w:val="24"/>
          <w:highlight w:val="none"/>
        </w:rPr>
        <w:t>委托期限：</w:t>
      </w:r>
      <w:r>
        <w:rPr>
          <w:rFonts w:hint="eastAsia" w:ascii="宋体" w:cs="宋体"/>
          <w:color w:val="000000"/>
          <w:sz w:val="28"/>
          <w:szCs w:val="28"/>
          <w:highlight w:val="none"/>
          <w:u w:val="single"/>
        </w:rPr>
        <w:t xml:space="preserve">          </w:t>
      </w:r>
      <w:r>
        <w:rPr>
          <w:rFonts w:hint="eastAsia" w:ascii="宋体" w:cs="宋体"/>
          <w:color w:val="000000"/>
          <w:sz w:val="28"/>
          <w:szCs w:val="28"/>
          <w:highlight w:val="none"/>
        </w:rPr>
        <w:t>。</w:t>
      </w:r>
      <w:r>
        <w:rPr>
          <w:rFonts w:hint="eastAsia" w:ascii="宋体"/>
          <w:color w:val="000000"/>
          <w:sz w:val="28"/>
          <w:szCs w:val="28"/>
          <w:highlight w:val="none"/>
        </w:rPr>
        <w:t xml:space="preserve">   </w:t>
      </w:r>
      <w:r>
        <w:rPr>
          <w:rFonts w:hint="eastAsia" w:ascii="宋体"/>
          <w:color w:val="auto"/>
          <w:sz w:val="24"/>
          <w:highlight w:val="none"/>
        </w:rPr>
        <w:t xml:space="preserve">                                </w:t>
      </w:r>
    </w:p>
    <w:p w14:paraId="4D3B2CF9">
      <w:pPr>
        <w:keepNext w:val="0"/>
        <w:keepLines w:val="0"/>
        <w:widowControl/>
        <w:suppressLineNumbers w:val="0"/>
        <w:spacing w:before="0" w:beforeAutospacing="0" w:after="0" w:afterAutospacing="0" w:line="357" w:lineRule="atLeast"/>
        <w:ind w:left="0" w:right="0" w:firstLine="480" w:firstLineChars="20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4"/>
          <w:szCs w:val="24"/>
          <w:highlight w:val="none"/>
          <w:u w:color="000000"/>
          <w:lang w:val="en-US" w:eastAsia="zh-CN" w:bidi="ar"/>
        </w:rPr>
        <w:t>代理人无转委托权，特此委托。</w:t>
      </w:r>
    </w:p>
    <w:p w14:paraId="7F90624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Times New Roman" w:eastAsia="宋体" w:cs="Times New Roman"/>
          <w:color w:val="auto"/>
          <w:sz w:val="24"/>
          <w:highlight w:val="none"/>
        </w:rPr>
      </w:pPr>
      <w:r>
        <w:rPr>
          <w:rFonts w:hint="eastAsia" w:ascii="宋体"/>
          <w:color w:val="auto"/>
          <w:sz w:val="24"/>
          <w:highlight w:val="none"/>
        </w:rPr>
        <w:t>附：</w:t>
      </w:r>
      <w:r>
        <w:rPr>
          <w:rFonts w:hint="eastAsia" w:ascii="宋体" w:hAnsi="Times New Roman" w:eastAsia="宋体" w:cs="Times New Roman"/>
          <w:color w:val="auto"/>
          <w:sz w:val="24"/>
          <w:highlight w:val="none"/>
        </w:rPr>
        <w:t>委托</w:t>
      </w:r>
      <w:r>
        <w:rPr>
          <w:rFonts w:hint="eastAsia" w:ascii="宋体" w:hAnsi="Times New Roman" w:eastAsia="宋体" w:cs="Times New Roman"/>
          <w:color w:val="auto"/>
          <w:sz w:val="24"/>
          <w:highlight w:val="none"/>
          <w:lang w:val="en-US" w:eastAsia="zh-CN"/>
        </w:rPr>
        <w:t>代理</w:t>
      </w:r>
      <w:r>
        <w:rPr>
          <w:rFonts w:hint="eastAsia" w:ascii="宋体" w:hAnsi="Times New Roman" w:eastAsia="宋体" w:cs="Times New Roman"/>
          <w:color w:val="auto"/>
          <w:sz w:val="24"/>
          <w:highlight w:val="none"/>
        </w:rPr>
        <w:t>人有效身份证扫描件</w:t>
      </w:r>
    </w:p>
    <w:p w14:paraId="0A935B70">
      <w:pPr>
        <w:keepNext w:val="0"/>
        <w:keepLines w:val="0"/>
        <w:pageBreakBefore w:val="0"/>
        <w:widowControl w:val="0"/>
        <w:kinsoku/>
        <w:wordWrap/>
        <w:overflowPunct/>
        <w:topLinePunct w:val="0"/>
        <w:autoSpaceDE/>
        <w:autoSpaceDN/>
        <w:bidi w:val="0"/>
        <w:adjustRightInd/>
        <w:snapToGrid/>
        <w:spacing w:line="400" w:lineRule="exact"/>
        <w:ind w:firstLine="960" w:firstLineChars="400"/>
        <w:textAlignment w:val="auto"/>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法定代表人有效身份证扫描件</w:t>
      </w:r>
    </w:p>
    <w:p w14:paraId="70F6CD56">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b/>
          <w:bCs w:val="0"/>
          <w:sz w:val="24"/>
          <w:szCs w:val="24"/>
          <w:highlight w:val="none"/>
          <w:lang w:val="en-US"/>
        </w:rPr>
      </w:pPr>
    </w:p>
    <w:p w14:paraId="7667E0E7">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r>
        <w:rPr>
          <w:rFonts w:hint="eastAsia" w:ascii="宋体" w:hAnsi="宋体" w:eastAsia="宋体" w:cs="宋体"/>
          <w:color w:val="000000"/>
          <w:kern w:val="0"/>
          <w:sz w:val="21"/>
          <w:szCs w:val="21"/>
          <w:highlight w:val="none"/>
          <w:u w:color="000000"/>
          <w:lang w:val="en-US" w:eastAsia="zh-CN" w:bidi="ar"/>
        </w:rPr>
        <w:t xml:space="preserve"> </w:t>
      </w:r>
    </w:p>
    <w:p w14:paraId="7E111A4B">
      <w:pPr>
        <w:keepNext w:val="0"/>
        <w:keepLines w:val="0"/>
        <w:widowControl/>
        <w:suppressLineNumbers w:val="0"/>
        <w:spacing w:before="0" w:beforeAutospacing="0" w:after="0" w:afterAutospacing="0" w:line="357" w:lineRule="atLeast"/>
        <w:ind w:left="0" w:right="0" w:firstLine="2520" w:firstLineChars="1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投标人（盖单位章）：</w:t>
      </w:r>
    </w:p>
    <w:p w14:paraId="7FBC2353">
      <w:pPr>
        <w:keepNext w:val="0"/>
        <w:keepLines w:val="0"/>
        <w:widowControl/>
        <w:suppressLineNumbers w:val="0"/>
        <w:spacing w:before="0" w:beforeAutospacing="0" w:after="0" w:afterAutospacing="0" w:line="480" w:lineRule="exact"/>
        <w:ind w:left="0" w:right="0" w:firstLine="1995" w:firstLineChars="95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法定代表人（身份证号码）：           （签字或盖章）</w:t>
      </w:r>
    </w:p>
    <w:p w14:paraId="57F72B99">
      <w:pPr>
        <w:keepNext w:val="0"/>
        <w:keepLines w:val="0"/>
        <w:widowControl/>
        <w:suppressLineNumbers w:val="0"/>
        <w:spacing w:before="0" w:beforeAutospacing="0" w:after="0" w:afterAutospacing="0" w:line="480" w:lineRule="exact"/>
        <w:ind w:left="0" w:right="0" w:firstLine="1995" w:firstLineChars="95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委托代理人（身份证号码）：           （签字或盖章）</w:t>
      </w:r>
    </w:p>
    <w:p w14:paraId="6015DCCD">
      <w:pPr>
        <w:keepNext w:val="0"/>
        <w:keepLines w:val="0"/>
        <w:widowControl/>
        <w:suppressLineNumbers w:val="0"/>
        <w:spacing w:before="0" w:beforeAutospacing="0" w:after="0" w:afterAutospacing="0" w:line="480" w:lineRule="exact"/>
        <w:ind w:left="0" w:right="0" w:firstLine="2467" w:firstLineChars="117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 xml:space="preserve">  年    月    日</w:t>
      </w:r>
    </w:p>
    <w:p w14:paraId="78550558">
      <w:pPr>
        <w:spacing w:line="360" w:lineRule="exact"/>
        <w:ind w:firstLine="413" w:firstLineChars="147"/>
        <w:jc w:val="left"/>
        <w:rPr>
          <w:rFonts w:hint="eastAsia" w:ascii="宋体" w:hAnsi="宋体" w:eastAsia="宋体" w:cs="宋体"/>
          <w:b/>
          <w:bCs w:val="0"/>
          <w:color w:val="000000"/>
          <w:kern w:val="0"/>
          <w:sz w:val="28"/>
          <w:szCs w:val="28"/>
          <w:highlight w:val="none"/>
          <w:u w:color="000000"/>
          <w:lang w:val="en-US" w:eastAsia="zh-CN" w:bidi="ar"/>
        </w:rPr>
      </w:pPr>
    </w:p>
    <w:p w14:paraId="71D34958">
      <w:pPr>
        <w:spacing w:line="360" w:lineRule="exact"/>
        <w:ind w:firstLine="413" w:firstLineChars="147"/>
        <w:jc w:val="left"/>
        <w:rPr>
          <w:rFonts w:hint="eastAsia" w:ascii="宋体" w:hAnsi="宋体" w:eastAsia="宋体" w:cs="宋体"/>
          <w:b/>
          <w:bCs w:val="0"/>
          <w:color w:val="000000"/>
          <w:kern w:val="0"/>
          <w:sz w:val="28"/>
          <w:szCs w:val="28"/>
          <w:highlight w:val="none"/>
          <w:u w:color="000000"/>
          <w:lang w:val="en-US" w:eastAsia="zh-CN" w:bidi="ar"/>
        </w:rPr>
      </w:pPr>
    </w:p>
    <w:p w14:paraId="36E3B59D">
      <w:pPr>
        <w:spacing w:line="360" w:lineRule="exact"/>
        <w:ind w:firstLine="413" w:firstLineChars="147"/>
        <w:jc w:val="left"/>
        <w:rPr>
          <w:rFonts w:hint="eastAsia" w:ascii="宋体" w:hAnsi="宋体" w:eastAsia="宋体" w:cs="宋体"/>
          <w:b/>
          <w:bCs w:val="0"/>
          <w:color w:val="000000"/>
          <w:kern w:val="0"/>
          <w:sz w:val="28"/>
          <w:szCs w:val="28"/>
          <w:highlight w:val="none"/>
          <w:u w:color="000000"/>
          <w:lang w:val="en-US" w:eastAsia="zh-CN" w:bidi="ar"/>
        </w:rPr>
      </w:pPr>
    </w:p>
    <w:p w14:paraId="170C226D">
      <w:pPr>
        <w:spacing w:line="360" w:lineRule="exact"/>
        <w:ind w:firstLine="413" w:firstLineChars="147"/>
        <w:jc w:val="left"/>
        <w:rPr>
          <w:rFonts w:hint="eastAsia" w:ascii="宋体" w:hAnsi="宋体" w:eastAsia="宋体" w:cs="宋体"/>
          <w:b/>
          <w:bCs w:val="0"/>
          <w:color w:val="000000"/>
          <w:kern w:val="0"/>
          <w:sz w:val="28"/>
          <w:szCs w:val="28"/>
          <w:highlight w:val="none"/>
          <w:u w:color="000000"/>
          <w:lang w:val="en-US" w:eastAsia="zh-CN" w:bidi="ar"/>
        </w:rPr>
      </w:pPr>
      <w:r>
        <w:rPr>
          <w:rFonts w:hint="eastAsia" w:ascii="宋体" w:hAnsi="宋体" w:eastAsia="宋体" w:cs="宋体"/>
          <w:b/>
          <w:bCs w:val="0"/>
          <w:color w:val="000000"/>
          <w:kern w:val="0"/>
          <w:sz w:val="28"/>
          <w:szCs w:val="28"/>
          <w:highlight w:val="none"/>
          <w:u w:color="000000"/>
          <w:lang w:val="en-US" w:eastAsia="zh-CN" w:bidi="ar"/>
        </w:rPr>
        <w:t>附件</w:t>
      </w:r>
      <w:r>
        <w:rPr>
          <w:rFonts w:hint="default" w:ascii="Calibri" w:hAnsi="Calibri" w:eastAsia="宋体" w:cs="Calibri"/>
          <w:b/>
          <w:bCs w:val="0"/>
          <w:color w:val="000000"/>
          <w:kern w:val="0"/>
          <w:sz w:val="28"/>
          <w:szCs w:val="28"/>
          <w:highlight w:val="none"/>
          <w:u w:color="000000"/>
          <w:lang w:val="en-US" w:eastAsia="zh-CN" w:bidi="ar"/>
        </w:rPr>
        <w:t>2</w:t>
      </w:r>
    </w:p>
    <w:p w14:paraId="3496123B">
      <w:pPr>
        <w:spacing w:line="360" w:lineRule="exact"/>
        <w:ind w:firstLine="413" w:firstLineChars="147"/>
        <w:jc w:val="center"/>
        <w:rPr>
          <w:rFonts w:hint="default" w:ascii="Calibri" w:hAnsi="Calibri" w:cs="Times New Roman"/>
          <w:b/>
          <w:bCs w:val="0"/>
          <w:sz w:val="28"/>
          <w:szCs w:val="28"/>
          <w:highlight w:val="none"/>
          <w:lang w:val="en-US"/>
        </w:rPr>
      </w:pPr>
      <w:r>
        <w:rPr>
          <w:rFonts w:hint="eastAsia"/>
          <w:b/>
          <w:sz w:val="28"/>
          <w:szCs w:val="28"/>
          <w:highlight w:val="none"/>
        </w:rPr>
        <w:t>诚信投标承诺书</w:t>
      </w:r>
    </w:p>
    <w:p w14:paraId="4ACABA96">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szCs w:val="21"/>
          <w:highlight w:val="none"/>
        </w:rPr>
      </w:pPr>
      <w:bookmarkStart w:id="95" w:name="_Toc425084385"/>
      <w:bookmarkStart w:id="96" w:name="_Toc451384148"/>
      <w:r>
        <w:rPr>
          <w:rFonts w:hint="eastAsia" w:ascii="宋体" w:hAnsi="宋体"/>
          <w:color w:val="000000"/>
          <w:szCs w:val="21"/>
          <w:highlight w:val="none"/>
        </w:rPr>
        <w:t>一、将遵循公</w:t>
      </w:r>
      <w:bookmarkStart w:id="97" w:name="_Toc506107356"/>
      <w:bookmarkStart w:id="98" w:name="_Toc503196197"/>
      <w:bookmarkStart w:id="99" w:name="_Toc26598"/>
      <w:r>
        <w:rPr>
          <w:rFonts w:hint="eastAsia" w:ascii="宋体" w:hAnsi="宋体"/>
          <w:color w:val="000000"/>
          <w:szCs w:val="21"/>
          <w:highlight w:val="none"/>
        </w:rPr>
        <w:t>开、公正和诚实信用</w:t>
      </w:r>
      <w:bookmarkEnd w:id="97"/>
      <w:bookmarkEnd w:id="98"/>
      <w:r>
        <w:rPr>
          <w:rFonts w:hint="eastAsia" w:ascii="宋体" w:hAnsi="宋体"/>
          <w:color w:val="000000"/>
          <w:szCs w:val="21"/>
          <w:highlight w:val="none"/>
        </w:rPr>
        <w:t>的</w:t>
      </w:r>
      <w:bookmarkEnd w:id="99"/>
      <w:r>
        <w:rPr>
          <w:rFonts w:hint="eastAsia" w:ascii="宋体" w:hAnsi="宋体"/>
          <w:color w:val="000000"/>
          <w:szCs w:val="21"/>
          <w:highlight w:val="none"/>
        </w:rPr>
        <w:t>原则自愿参加</w:t>
      </w:r>
      <w:r>
        <w:rPr>
          <w:rFonts w:hint="eastAsia" w:ascii="宋体" w:hAnsi="宋体"/>
          <w:color w:val="000000"/>
          <w:szCs w:val="21"/>
          <w:highlight w:val="none"/>
          <w:u w:val="single"/>
        </w:rPr>
        <w:t xml:space="preserve">                     （项目名称）</w:t>
      </w:r>
      <w:r>
        <w:rPr>
          <w:rFonts w:hint="eastAsia" w:ascii="宋体" w:hAnsi="宋体"/>
          <w:color w:val="000000"/>
          <w:szCs w:val="21"/>
          <w:highlight w:val="none"/>
        </w:rPr>
        <w:t>项目的投标；</w:t>
      </w:r>
    </w:p>
    <w:p w14:paraId="09C0E718">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二、所提供的一切材料都是真实、合法的；</w:t>
      </w:r>
    </w:p>
    <w:p w14:paraId="04D29232">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三、不出借、转让资质证书，不让他人挂靠投标，不以他人名义投标或者以其他方式弄虚作假，骗取中标；</w:t>
      </w:r>
    </w:p>
    <w:p w14:paraId="591DA1B7">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四、不与其他投标人相互串通投标报价，不排挤其他投标人的公平竞争、损害招标人的合法权益；</w:t>
      </w:r>
      <w:bookmarkStart w:id="103" w:name="_GoBack"/>
      <w:bookmarkEnd w:id="103"/>
    </w:p>
    <w:p w14:paraId="0D29816F">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olor w:val="000000"/>
          <w:szCs w:val="21"/>
          <w:highlight w:val="none"/>
        </w:rPr>
      </w:pPr>
      <w:r>
        <w:rPr>
          <w:rFonts w:hint="eastAsia" w:ascii="宋体" w:hAnsi="宋体"/>
          <w:color w:val="000000"/>
          <w:szCs w:val="21"/>
          <w:highlight w:val="none"/>
        </w:rPr>
        <w:t>五、不与招标人、招标代理机构或其他投标人串通投标，损害国家利益、社会公共利益或者他人的合法权益；</w:t>
      </w:r>
    </w:p>
    <w:p w14:paraId="3CBCD0F0">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olor w:val="000000"/>
          <w:szCs w:val="21"/>
          <w:highlight w:val="none"/>
          <w:lang w:eastAsia="zh-CN"/>
        </w:rPr>
      </w:pPr>
      <w:r>
        <w:rPr>
          <w:rFonts w:hint="eastAsia" w:ascii="宋体" w:hAnsi="宋体"/>
          <w:color w:val="000000"/>
          <w:szCs w:val="21"/>
          <w:highlight w:val="none"/>
        </w:rPr>
        <w:t>六、</w:t>
      </w:r>
      <w:r>
        <w:rPr>
          <w:rFonts w:hint="eastAsia" w:ascii="宋体" w:hAnsi="宋体"/>
          <w:color w:val="000000"/>
          <w:szCs w:val="21"/>
          <w:highlight w:val="none"/>
          <w:u w:val="single"/>
        </w:rPr>
        <w:t xml:space="preserve">              </w:t>
      </w:r>
      <w:r>
        <w:rPr>
          <w:rFonts w:hint="eastAsia" w:ascii="宋体" w:hAnsi="宋体"/>
          <w:color w:val="000000"/>
          <w:szCs w:val="21"/>
          <w:highlight w:val="none"/>
          <w:u w:val="single"/>
          <w:lang w:val="en-US" w:eastAsia="zh-CN"/>
        </w:rPr>
        <w:t xml:space="preserve">  </w:t>
      </w:r>
      <w:r>
        <w:rPr>
          <w:rFonts w:hint="eastAsia" w:ascii="宋体" w:hAnsi="宋体"/>
          <w:color w:val="000000"/>
          <w:szCs w:val="21"/>
          <w:highlight w:val="none"/>
        </w:rPr>
        <w:t>没有下列情形：</w:t>
      </w:r>
      <w:bookmarkStart w:id="100" w:name="OLE_LINK134"/>
      <w:bookmarkStart w:id="101" w:name="OLE_LINK133"/>
      <w:r>
        <w:rPr>
          <w:rFonts w:hint="eastAsia" w:ascii="宋体" w:hAnsi="宋体"/>
          <w:color w:val="000000"/>
          <w:szCs w:val="21"/>
          <w:highlight w:val="none"/>
        </w:rPr>
        <w:t>①被列入“信用中国”网站“失信被执行人”的</w:t>
      </w:r>
      <w:r>
        <w:rPr>
          <w:rFonts w:hint="eastAsia" w:ascii="宋体" w:hAnsi="宋体"/>
          <w:color w:val="000000"/>
          <w:szCs w:val="21"/>
          <w:highlight w:val="none"/>
          <w:lang w:eastAsia="zh-CN"/>
        </w:rPr>
        <w:t>；</w:t>
      </w:r>
      <w:r>
        <w:rPr>
          <w:rFonts w:hint="eastAsia" w:ascii="宋体" w:hAnsi="宋体"/>
          <w:color w:val="000000"/>
          <w:szCs w:val="21"/>
          <w:highlight w:val="none"/>
        </w:rPr>
        <w:t>②被列入“信用中国”网站“重大税收违法失信主体”的；③被列入“信用中国”网站“拖欠农民工工资失信联合惩戒对象名单”的；④被列入“信用中国”网站“严重失信主体名单”的；⑤在“信用中国”网站上披露的仍在公示期的严重失信行为的</w:t>
      </w:r>
      <w:r>
        <w:rPr>
          <w:rFonts w:hint="eastAsia" w:ascii="宋体" w:hAnsi="宋体"/>
          <w:color w:val="000000"/>
          <w:szCs w:val="21"/>
          <w:highlight w:val="none"/>
          <w:lang w:eastAsia="zh-CN"/>
        </w:rPr>
        <w:t>；</w:t>
      </w:r>
      <w:r>
        <w:rPr>
          <w:rFonts w:hint="eastAsia" w:ascii="宋体" w:hAnsi="宋体"/>
          <w:color w:val="000000"/>
          <w:szCs w:val="21"/>
          <w:highlight w:val="none"/>
        </w:rPr>
        <w:t>⑥被列入国家企业信用信息公示系统网站“经营异常名录”或者“严重违法失信名单”的。⑦前三年有行贿犯罪行为的单位和个人</w:t>
      </w:r>
      <w:bookmarkEnd w:id="100"/>
      <w:bookmarkEnd w:id="101"/>
      <w:r>
        <w:rPr>
          <w:rFonts w:hint="eastAsia" w:ascii="宋体" w:hAnsi="宋体"/>
          <w:color w:val="000000"/>
          <w:szCs w:val="21"/>
          <w:highlight w:val="none"/>
          <w:lang w:eastAsia="zh-CN"/>
        </w:rPr>
        <w:t>。</w:t>
      </w:r>
    </w:p>
    <w:p w14:paraId="7C8CCB5E">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lang w:val="en-US" w:eastAsia="zh-CN"/>
        </w:rPr>
        <w:t>七</w:t>
      </w:r>
      <w:r>
        <w:rPr>
          <w:rFonts w:hint="eastAsia" w:ascii="宋体" w:hAnsi="宋体"/>
          <w:color w:val="000000"/>
          <w:szCs w:val="21"/>
          <w:highlight w:val="none"/>
        </w:rPr>
        <w:t>、保证中标后不转包及使用挂靠</w:t>
      </w:r>
      <w:r>
        <w:rPr>
          <w:rFonts w:hint="eastAsia" w:ascii="宋体" w:hAnsi="宋体"/>
          <w:color w:val="000000"/>
          <w:szCs w:val="21"/>
          <w:highlight w:val="none"/>
          <w:lang w:val="en-US" w:eastAsia="zh-CN"/>
        </w:rPr>
        <w:t>服务</w:t>
      </w:r>
      <w:r>
        <w:rPr>
          <w:rFonts w:hint="eastAsia" w:ascii="宋体" w:hAnsi="宋体"/>
          <w:color w:val="000000"/>
          <w:szCs w:val="21"/>
          <w:highlight w:val="none"/>
        </w:rPr>
        <w:t>队伍，若有分包征得</w:t>
      </w:r>
      <w:r>
        <w:rPr>
          <w:rFonts w:hint="eastAsia" w:ascii="宋体" w:hAnsi="宋体"/>
          <w:color w:val="000000"/>
          <w:szCs w:val="21"/>
          <w:highlight w:val="none"/>
          <w:lang w:val="en-US" w:eastAsia="zh-CN"/>
        </w:rPr>
        <w:t>招标人</w:t>
      </w:r>
      <w:r>
        <w:rPr>
          <w:rFonts w:hint="eastAsia" w:ascii="宋体" w:hAnsi="宋体"/>
          <w:color w:val="000000"/>
          <w:szCs w:val="21"/>
          <w:highlight w:val="none"/>
        </w:rPr>
        <w:t>同意；</w:t>
      </w:r>
    </w:p>
    <w:p w14:paraId="35409891">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lang w:val="en-US" w:eastAsia="zh-CN"/>
        </w:rPr>
        <w:t>八</w:t>
      </w:r>
      <w:r>
        <w:rPr>
          <w:rFonts w:hint="eastAsia" w:ascii="宋体" w:hAnsi="宋体"/>
          <w:color w:val="000000"/>
          <w:szCs w:val="21"/>
          <w:highlight w:val="none"/>
        </w:rPr>
        <w:t>、保证中标之后，按照投标文件承诺派驻管理人员及投入机械设备，如有违反，同意接受建设单位违约处罚；</w:t>
      </w:r>
    </w:p>
    <w:p w14:paraId="1A2FDD9F">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lang w:val="en-US" w:eastAsia="zh-CN"/>
        </w:rPr>
        <w:t>九</w:t>
      </w:r>
      <w:r>
        <w:rPr>
          <w:rFonts w:hint="eastAsia" w:ascii="宋体" w:hAnsi="宋体"/>
          <w:color w:val="000000"/>
          <w:szCs w:val="21"/>
          <w:highlight w:val="none"/>
        </w:rPr>
        <w:t>、保证企业及所属相关人员在本次投标中无行贿等犯罪行为；</w:t>
      </w:r>
    </w:p>
    <w:p w14:paraId="35844E24">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Theme="minorEastAsia"/>
          <w:color w:val="000000"/>
          <w:szCs w:val="21"/>
          <w:highlight w:val="none"/>
          <w:lang w:eastAsia="zh-CN"/>
        </w:rPr>
      </w:pPr>
      <w:r>
        <w:rPr>
          <w:rFonts w:hint="eastAsia" w:ascii="宋体" w:hAnsi="宋体"/>
          <w:color w:val="000000"/>
          <w:szCs w:val="21"/>
          <w:highlight w:val="none"/>
        </w:rPr>
        <w:t>十、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r>
        <w:rPr>
          <w:rFonts w:hint="eastAsia" w:ascii="宋体" w:hAnsi="宋体"/>
          <w:color w:val="000000"/>
          <w:szCs w:val="21"/>
          <w:highlight w:val="none"/>
          <w:lang w:eastAsia="zh-CN"/>
        </w:rPr>
        <w:t>。</w:t>
      </w:r>
    </w:p>
    <w:p w14:paraId="7C1A34D7">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 xml:space="preserve"> 以上内容我已仔细阅读，本公司若有违反承诺内容的行为，自愿接受取消投标或者中标资格、记入不良行为记录等有关处理，愿意承担法律责任，给招标人造成损失的，承担赔偿责任。</w:t>
      </w:r>
    </w:p>
    <w:p w14:paraId="121038A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 </w:t>
      </w:r>
    </w:p>
    <w:p w14:paraId="71751A03">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开户银行：                          基本账户：</w:t>
      </w:r>
    </w:p>
    <w:p w14:paraId="53D57FDE">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投标单位（签章或盖章）：          法定代表人（签字或签章）：</w:t>
      </w:r>
    </w:p>
    <w:p w14:paraId="5EA53B68">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szCs w:val="21"/>
          <w:highlight w:val="none"/>
        </w:rPr>
      </w:pPr>
    </w:p>
    <w:p w14:paraId="654BAEA8">
      <w:pPr>
        <w:keepNext w:val="0"/>
        <w:keepLines w:val="0"/>
        <w:pageBreakBefore w:val="0"/>
        <w:widowControl w:val="0"/>
        <w:kinsoku/>
        <w:wordWrap/>
        <w:overflowPunct/>
        <w:topLinePunct w:val="0"/>
        <w:autoSpaceDE/>
        <w:autoSpaceDN/>
        <w:bidi w:val="0"/>
        <w:spacing w:line="400" w:lineRule="exact"/>
        <w:jc w:val="right"/>
        <w:textAlignment w:val="auto"/>
        <w:rPr>
          <w:rFonts w:hint="eastAsia" w:ascii="仿宋_GB2312" w:eastAsia="仿宋_GB2312"/>
          <w:sz w:val="32"/>
          <w:szCs w:val="32"/>
          <w:highlight w:val="none"/>
        </w:rPr>
      </w:pPr>
      <w:r>
        <w:rPr>
          <w:rFonts w:hint="eastAsia" w:ascii="宋体" w:hAnsi="宋体"/>
          <w:szCs w:val="21"/>
          <w:highlight w:val="none"/>
        </w:rPr>
        <w:t>日期：</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rPr>
        <w:t>日</w:t>
      </w:r>
    </w:p>
    <w:p w14:paraId="760D4728">
      <w:pPr>
        <w:pageBreakBefore w:val="0"/>
        <w:widowControl w:val="0"/>
        <w:kinsoku/>
        <w:wordWrap/>
        <w:overflowPunct/>
        <w:topLinePunct w:val="0"/>
        <w:autoSpaceDE/>
        <w:autoSpaceDN/>
        <w:bidi w:val="0"/>
        <w:spacing w:line="300" w:lineRule="exact"/>
        <w:textAlignment w:val="auto"/>
        <w:rPr>
          <w:rFonts w:hint="eastAsia" w:ascii="宋体" w:hAnsi="宋体" w:eastAsia="宋体" w:cs="宋体"/>
          <w:b/>
          <w:bCs w:val="0"/>
          <w:color w:val="000000"/>
          <w:kern w:val="0"/>
          <w:sz w:val="28"/>
          <w:szCs w:val="28"/>
          <w:highlight w:val="none"/>
          <w:u w:color="000000"/>
          <w:lang w:val="en-US" w:eastAsia="zh-CN" w:bidi="ar"/>
        </w:rPr>
      </w:pPr>
      <w:r>
        <w:rPr>
          <w:rFonts w:hint="eastAsia" w:ascii="宋体" w:hAnsi="宋体" w:eastAsia="宋体" w:cs="宋体"/>
          <w:b/>
          <w:bCs w:val="0"/>
          <w:color w:val="000000"/>
          <w:kern w:val="0"/>
          <w:sz w:val="28"/>
          <w:szCs w:val="28"/>
          <w:highlight w:val="none"/>
          <w:u w:color="000000"/>
          <w:lang w:val="en-US" w:eastAsia="zh-CN" w:bidi="ar"/>
        </w:rPr>
        <w:br w:type="page"/>
      </w:r>
    </w:p>
    <w:p w14:paraId="5F7E9732">
      <w:pPr>
        <w:pageBreakBefore w:val="0"/>
        <w:widowControl w:val="0"/>
        <w:kinsoku/>
        <w:wordWrap/>
        <w:overflowPunct/>
        <w:topLinePunct w:val="0"/>
        <w:autoSpaceDE/>
        <w:autoSpaceDN/>
        <w:bidi w:val="0"/>
        <w:spacing w:line="300" w:lineRule="exact"/>
        <w:ind w:firstLine="413" w:firstLineChars="147"/>
        <w:jc w:val="left"/>
        <w:textAlignment w:val="auto"/>
        <w:rPr>
          <w:rFonts w:hint="eastAsia" w:ascii="宋体" w:hAnsi="宋体" w:eastAsia="宋体" w:cs="宋体"/>
          <w:b/>
          <w:bCs w:val="0"/>
          <w:color w:val="000000"/>
          <w:kern w:val="0"/>
          <w:sz w:val="28"/>
          <w:szCs w:val="28"/>
          <w:highlight w:val="none"/>
          <w:u w:color="000000"/>
          <w:lang w:val="en-US" w:eastAsia="zh-CN" w:bidi="ar"/>
        </w:rPr>
      </w:pPr>
      <w:r>
        <w:rPr>
          <w:rFonts w:hint="eastAsia" w:ascii="宋体" w:hAnsi="宋体" w:eastAsia="宋体" w:cs="宋体"/>
          <w:b/>
          <w:bCs w:val="0"/>
          <w:color w:val="000000"/>
          <w:kern w:val="0"/>
          <w:sz w:val="28"/>
          <w:szCs w:val="28"/>
          <w:highlight w:val="none"/>
          <w:u w:color="000000"/>
          <w:lang w:val="en-US" w:eastAsia="zh-CN" w:bidi="ar"/>
        </w:rPr>
        <w:t>附件</w:t>
      </w:r>
      <w:r>
        <w:rPr>
          <w:rFonts w:hint="eastAsia" w:ascii="Calibri" w:hAnsi="Calibri" w:eastAsia="宋体" w:cs="Calibri"/>
          <w:b/>
          <w:bCs w:val="0"/>
          <w:color w:val="000000"/>
          <w:kern w:val="0"/>
          <w:sz w:val="28"/>
          <w:szCs w:val="28"/>
          <w:highlight w:val="none"/>
          <w:u w:color="000000"/>
          <w:lang w:val="en-US" w:eastAsia="zh-CN" w:bidi="ar"/>
        </w:rPr>
        <w:t>3</w:t>
      </w:r>
    </w:p>
    <w:p w14:paraId="3B262F83">
      <w:pPr>
        <w:keepNext/>
        <w:keepLines/>
        <w:pageBreakBefore w:val="0"/>
        <w:widowControl w:val="0"/>
        <w:kinsoku/>
        <w:wordWrap/>
        <w:overflowPunct/>
        <w:topLinePunct w:val="0"/>
        <w:autoSpaceDE/>
        <w:autoSpaceDN/>
        <w:bidi w:val="0"/>
        <w:adjustRightInd/>
        <w:snapToGrid/>
        <w:spacing w:line="300" w:lineRule="exact"/>
        <w:jc w:val="center"/>
        <w:textAlignment w:val="auto"/>
        <w:outlineLvl w:val="2"/>
        <w:rPr>
          <w:rFonts w:hint="eastAsia"/>
          <w:b/>
          <w:bCs/>
          <w:sz w:val="28"/>
          <w:szCs w:val="28"/>
          <w:highlight w:val="none"/>
          <w:lang w:eastAsia="zh-CN"/>
        </w:rPr>
      </w:pPr>
    </w:p>
    <w:p w14:paraId="02E3582A">
      <w:pPr>
        <w:keepNext/>
        <w:keepLines/>
        <w:pageBreakBefore w:val="0"/>
        <w:widowControl w:val="0"/>
        <w:kinsoku/>
        <w:wordWrap/>
        <w:overflowPunct/>
        <w:topLinePunct w:val="0"/>
        <w:autoSpaceDE/>
        <w:autoSpaceDN/>
        <w:bidi w:val="0"/>
        <w:adjustRightInd/>
        <w:snapToGrid/>
        <w:spacing w:line="360" w:lineRule="auto"/>
        <w:jc w:val="center"/>
        <w:textAlignment w:val="auto"/>
        <w:outlineLvl w:val="2"/>
        <w:rPr>
          <w:b/>
          <w:bCs/>
          <w:sz w:val="28"/>
          <w:szCs w:val="28"/>
          <w:highlight w:val="none"/>
        </w:rPr>
      </w:pPr>
      <w:r>
        <w:rPr>
          <w:rFonts w:hint="eastAsia"/>
          <w:b/>
          <w:bCs/>
          <w:sz w:val="28"/>
          <w:szCs w:val="28"/>
          <w:highlight w:val="none"/>
        </w:rPr>
        <w:t>服务承诺书</w:t>
      </w:r>
    </w:p>
    <w:p w14:paraId="43CC56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color w:val="000000"/>
          <w:sz w:val="24"/>
          <w:highlight w:val="none"/>
        </w:rPr>
      </w:pPr>
      <w:r>
        <w:rPr>
          <w:rFonts w:hint="eastAsia" w:ascii="宋体" w:hAnsi="宋体"/>
          <w:color w:val="000000"/>
          <w:sz w:val="24"/>
          <w:highlight w:val="none"/>
        </w:rPr>
        <w:t>致：</w:t>
      </w:r>
      <w:r>
        <w:rPr>
          <w:rFonts w:hint="eastAsia" w:ascii="宋体" w:hAnsi="宋体"/>
          <w:color w:val="000000"/>
          <w:sz w:val="24"/>
          <w:highlight w:val="none"/>
          <w:u w:val="single"/>
        </w:rPr>
        <w:t xml:space="preserve">          （招标人）     ：</w:t>
      </w:r>
    </w:p>
    <w:p w14:paraId="2729E5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olor w:val="000000"/>
          <w:sz w:val="24"/>
          <w:highlight w:val="none"/>
          <w:lang w:val="en-US" w:eastAsia="zh-CN"/>
        </w:rPr>
      </w:pPr>
      <w:r>
        <w:rPr>
          <w:rFonts w:hint="eastAsia" w:ascii="宋体" w:hAnsi="宋体"/>
          <w:color w:val="000000"/>
          <w:sz w:val="24"/>
          <w:highlight w:val="none"/>
          <w:lang w:val="en-US" w:eastAsia="zh-CN"/>
        </w:rPr>
        <w:t>本承诺声明：（投标人名称）对本招标文件所有要求完全响应，若有幸中标将严格按照以上承诺进行服务且提供不少于1年的质保期。若发现有偏离且不能按招标人要求调整的，招标人有权终止合同重新招标，我方承担因此产生的所有经济及工期责任。</w:t>
      </w:r>
    </w:p>
    <w:p w14:paraId="5692EB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特此声明。</w:t>
      </w:r>
    </w:p>
    <w:p w14:paraId="7E75DDF1">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000000"/>
          <w:sz w:val="24"/>
          <w:highlight w:val="none"/>
        </w:rPr>
      </w:pPr>
      <w:r>
        <w:rPr>
          <w:rFonts w:hint="eastAsia" w:ascii="宋体" w:hAnsi="宋体"/>
          <w:color w:val="000000"/>
          <w:sz w:val="24"/>
          <w:highlight w:val="none"/>
        </w:rPr>
        <w:t> </w:t>
      </w:r>
    </w:p>
    <w:p w14:paraId="101BEA8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000000"/>
          <w:sz w:val="24"/>
          <w:highlight w:val="none"/>
        </w:rPr>
      </w:pPr>
      <w:r>
        <w:rPr>
          <w:rFonts w:hint="eastAsia" w:ascii="宋体" w:hAnsi="宋体"/>
          <w:color w:val="000000"/>
          <w:sz w:val="24"/>
          <w:highlight w:val="none"/>
        </w:rPr>
        <w:t xml:space="preserve">                                    法定代表人：</w:t>
      </w:r>
      <w:r>
        <w:rPr>
          <w:rFonts w:hint="eastAsia" w:ascii="宋体" w:hAnsi="宋体"/>
          <w:color w:val="000000"/>
          <w:sz w:val="24"/>
          <w:highlight w:val="none"/>
          <w:u w:val="single"/>
        </w:rPr>
        <w:t xml:space="preserve">          （签字或签章）       </w:t>
      </w:r>
    </w:p>
    <w:p w14:paraId="33F52DD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000000"/>
          <w:sz w:val="24"/>
          <w:highlight w:val="none"/>
          <w:u w:val="single"/>
        </w:rPr>
      </w:pPr>
      <w:r>
        <w:rPr>
          <w:rFonts w:hint="eastAsia" w:ascii="宋体" w:hAnsi="宋体"/>
          <w:color w:val="000000"/>
          <w:sz w:val="24"/>
          <w:highlight w:val="none"/>
        </w:rPr>
        <w:t xml:space="preserve">                                     </w:t>
      </w:r>
    </w:p>
    <w:p w14:paraId="3BAF78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000000"/>
          <w:sz w:val="24"/>
          <w:highlight w:val="none"/>
          <w:u w:val="single"/>
        </w:rPr>
      </w:pPr>
      <w:r>
        <w:rPr>
          <w:rFonts w:hint="eastAsia" w:ascii="宋体" w:hAnsi="宋体"/>
          <w:color w:val="000000"/>
          <w:sz w:val="24"/>
          <w:highlight w:val="none"/>
        </w:rPr>
        <w:t xml:space="preserve">                                    投标单位名称：</w:t>
      </w:r>
      <w:r>
        <w:rPr>
          <w:rFonts w:hint="eastAsia" w:ascii="宋体" w:hAnsi="宋体"/>
          <w:color w:val="000000"/>
          <w:sz w:val="24"/>
          <w:highlight w:val="none"/>
          <w:u w:val="single"/>
        </w:rPr>
        <w:t xml:space="preserve">        （盖章）    </w:t>
      </w:r>
    </w:p>
    <w:p w14:paraId="22D42F3A">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ascii="宋体" w:hAnsi="宋体"/>
          <w:color w:val="000000"/>
          <w:sz w:val="24"/>
          <w:highlight w:val="none"/>
        </w:rPr>
      </w:pPr>
    </w:p>
    <w:p w14:paraId="180FA262">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ascii="宋体" w:hAnsi="宋体"/>
          <w:color w:val="000000"/>
          <w:sz w:val="24"/>
          <w:highlight w:val="none"/>
          <w:u w:val="single"/>
        </w:rPr>
      </w:pPr>
      <w:r>
        <w:rPr>
          <w:rFonts w:hint="eastAsia" w:ascii="宋体" w:hAnsi="宋体"/>
          <w:color w:val="000000"/>
          <w:sz w:val="24"/>
          <w:highlight w:val="none"/>
        </w:rPr>
        <w:t>日    期：</w:t>
      </w:r>
      <w:r>
        <w:rPr>
          <w:rFonts w:hint="eastAsia" w:ascii="宋体" w:hAnsi="宋体"/>
          <w:color w:val="000000"/>
          <w:sz w:val="24"/>
          <w:highlight w:val="none"/>
          <w:u w:val="single"/>
        </w:rPr>
        <w:t xml:space="preserve">                      </w:t>
      </w:r>
    </w:p>
    <w:p w14:paraId="3AFB0F11">
      <w:pPr>
        <w:spacing w:line="400" w:lineRule="exact"/>
        <w:ind w:firstLine="482" w:firstLineChars="200"/>
        <w:rPr>
          <w:rFonts w:ascii="宋体" w:hAnsi="宋体"/>
          <w:b/>
          <w:color w:val="000000"/>
          <w:sz w:val="24"/>
          <w:highlight w:val="none"/>
        </w:rPr>
      </w:pPr>
    </w:p>
    <w:bookmarkEnd w:id="95"/>
    <w:bookmarkEnd w:id="96"/>
    <w:p w14:paraId="45610A89">
      <w:pPr>
        <w:keepNext w:val="0"/>
        <w:keepLines w:val="0"/>
        <w:widowControl/>
        <w:suppressLineNumbers w:val="0"/>
        <w:spacing w:before="0" w:beforeAutospacing="0" w:after="0" w:afterAutospacing="0" w:line="357" w:lineRule="atLeast"/>
        <w:ind w:left="0" w:right="0"/>
        <w:jc w:val="both"/>
        <w:rPr>
          <w:rFonts w:hint="eastAsia" w:ascii="黑体" w:hAnsi="宋体" w:eastAsia="黑体" w:cs="黑体"/>
          <w:sz w:val="20"/>
          <w:szCs w:val="20"/>
          <w:highlight w:val="none"/>
          <w:lang w:val="en-US"/>
        </w:rPr>
      </w:pPr>
      <w:r>
        <w:rPr>
          <w:rFonts w:hint="eastAsia" w:ascii="宋体" w:hAnsi="宋体"/>
          <w:b/>
          <w:color w:val="auto"/>
          <w:sz w:val="30"/>
          <w:szCs w:val="30"/>
          <w:highlight w:val="none"/>
          <w:lang w:val="en-US" w:eastAsia="zh-CN"/>
        </w:rPr>
        <w:br w:type="page"/>
      </w:r>
    </w:p>
    <w:p w14:paraId="5F9AA834">
      <w:pPr>
        <w:jc w:val="left"/>
        <w:rPr>
          <w:rFonts w:hint="default" w:ascii="宋体" w:hAnsi="宋体" w:eastAsia="宋体" w:cs="宋体"/>
          <w:b/>
          <w:bCs w:val="0"/>
          <w:color w:val="000000"/>
          <w:kern w:val="0"/>
          <w:sz w:val="28"/>
          <w:szCs w:val="28"/>
          <w:highlight w:val="none"/>
          <w:u w:color="000000"/>
          <w:lang w:val="en-US" w:eastAsia="zh-CN" w:bidi="ar"/>
        </w:rPr>
      </w:pPr>
      <w:r>
        <w:rPr>
          <w:rFonts w:hint="eastAsia" w:ascii="宋体" w:hAnsi="宋体" w:eastAsia="宋体" w:cs="宋体"/>
          <w:b/>
          <w:bCs w:val="0"/>
          <w:color w:val="000000"/>
          <w:kern w:val="0"/>
          <w:sz w:val="28"/>
          <w:szCs w:val="28"/>
          <w:highlight w:val="none"/>
          <w:u w:color="000000"/>
          <w:lang w:val="en-US" w:eastAsia="zh-CN" w:bidi="ar"/>
        </w:rPr>
        <w:t>附件4</w:t>
      </w:r>
    </w:p>
    <w:p w14:paraId="28C025CC">
      <w:pPr>
        <w:keepNext w:val="0"/>
        <w:keepLines w:val="0"/>
        <w:widowControl/>
        <w:suppressLineNumbers w:val="0"/>
        <w:spacing w:before="0" w:beforeAutospacing="0" w:after="0" w:afterAutospacing="0" w:line="360" w:lineRule="exact"/>
        <w:ind w:left="0" w:right="0" w:firstLine="531" w:firstLineChars="147"/>
        <w:jc w:val="center"/>
        <w:rPr>
          <w:rFonts w:hint="eastAsia" w:ascii="宋体" w:hAnsi="宋体" w:eastAsia="宋体" w:cs="宋体"/>
          <w:b/>
          <w:bCs w:val="0"/>
          <w:sz w:val="36"/>
          <w:szCs w:val="36"/>
          <w:highlight w:val="none"/>
          <w:lang w:val="en-US"/>
        </w:rPr>
      </w:pPr>
      <w:r>
        <w:rPr>
          <w:rFonts w:hint="eastAsia" w:ascii="宋体" w:hAnsi="宋体" w:eastAsia="宋体" w:cs="宋体"/>
          <w:b/>
          <w:bCs w:val="0"/>
          <w:color w:val="000000"/>
          <w:kern w:val="0"/>
          <w:sz w:val="36"/>
          <w:szCs w:val="36"/>
          <w:highlight w:val="none"/>
          <w:u w:color="000000"/>
          <w:lang w:val="en-US" w:eastAsia="zh-CN" w:bidi="ar"/>
        </w:rPr>
        <w:t>开标一览表</w:t>
      </w:r>
    </w:p>
    <w:p w14:paraId="5151B3D5">
      <w:pPr>
        <w:keepNext w:val="0"/>
        <w:keepLines w:val="0"/>
        <w:widowControl/>
        <w:suppressLineNumbers w:val="0"/>
        <w:spacing w:before="0" w:beforeAutospacing="0" w:after="0" w:afterAutospacing="0" w:line="360" w:lineRule="exact"/>
        <w:ind w:left="0" w:right="0" w:firstLine="354" w:firstLineChars="147"/>
        <w:jc w:val="both"/>
        <w:rPr>
          <w:rFonts w:hint="eastAsia" w:ascii="宋体" w:hAnsi="宋体" w:eastAsia="宋体" w:cs="宋体"/>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 xml:space="preserve"> </w:t>
      </w:r>
    </w:p>
    <w:tbl>
      <w:tblPr>
        <w:tblStyle w:val="23"/>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03"/>
        <w:gridCol w:w="7797"/>
      </w:tblGrid>
      <w:tr w14:paraId="0FFEFC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23" w:hRule="atLeast"/>
        </w:trPr>
        <w:tc>
          <w:tcPr>
            <w:tcW w:w="1803" w:type="dxa"/>
            <w:tcBorders>
              <w:top w:val="single" w:color="auto" w:sz="12" w:space="0"/>
              <w:left w:val="single" w:color="auto" w:sz="12" w:space="0"/>
              <w:bottom w:val="single" w:color="auto" w:sz="12" w:space="0"/>
              <w:right w:val="single" w:color="auto" w:sz="12" w:space="0"/>
            </w:tcBorders>
            <w:shd w:val="clear" w:color="auto" w:fill="auto"/>
            <w:vAlign w:val="center"/>
          </w:tcPr>
          <w:p w14:paraId="796D442E">
            <w:pPr>
              <w:keepNext w:val="0"/>
              <w:keepLines w:val="0"/>
              <w:widowControl/>
              <w:suppressLineNumbers w:val="0"/>
              <w:spacing w:before="0" w:beforeAutospacing="0" w:after="0" w:afterAutospacing="0" w:line="460" w:lineRule="exact"/>
              <w:ind w:left="0" w:right="0"/>
              <w:jc w:val="center"/>
              <w:rPr>
                <w:rFonts w:hint="eastAsia" w:ascii="宋体" w:hAnsi="宋体" w:eastAsia="宋体" w:cs="宋体"/>
                <w:kern w:val="2"/>
                <w:sz w:val="24"/>
                <w:szCs w:val="24"/>
                <w:highlight w:val="none"/>
                <w:lang w:val="en-US"/>
              </w:rPr>
            </w:pPr>
            <w:r>
              <w:rPr>
                <w:rFonts w:hint="eastAsia" w:ascii="宋体" w:hAnsi="宋体" w:eastAsia="宋体" w:cs="宋体"/>
                <w:color w:val="000000"/>
                <w:kern w:val="2"/>
                <w:sz w:val="24"/>
                <w:szCs w:val="24"/>
                <w:highlight w:val="none"/>
                <w:u w:color="000000"/>
                <w:lang w:val="en-US" w:eastAsia="zh-CN" w:bidi="ar"/>
              </w:rPr>
              <w:t>项目名称</w:t>
            </w:r>
          </w:p>
        </w:tc>
        <w:tc>
          <w:tcPr>
            <w:tcW w:w="7797" w:type="dxa"/>
            <w:tcBorders>
              <w:top w:val="single" w:color="auto" w:sz="12" w:space="0"/>
              <w:left w:val="nil"/>
              <w:bottom w:val="single" w:color="auto" w:sz="12" w:space="0"/>
              <w:right w:val="single" w:color="auto" w:sz="12" w:space="0"/>
            </w:tcBorders>
            <w:shd w:val="clear" w:color="auto" w:fill="auto"/>
            <w:vAlign w:val="center"/>
          </w:tcPr>
          <w:p w14:paraId="29110E2F">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2"/>
                <w:sz w:val="24"/>
                <w:szCs w:val="24"/>
                <w:highlight w:val="none"/>
                <w:lang w:val="en-US"/>
              </w:rPr>
            </w:pPr>
            <w:r>
              <w:rPr>
                <w:rFonts w:hint="default" w:ascii="Times New Roman" w:hAnsi="Times New Roman" w:eastAsia="宋体" w:cs="Times New Roman"/>
                <w:color w:val="000000"/>
                <w:kern w:val="2"/>
                <w:sz w:val="24"/>
                <w:szCs w:val="24"/>
                <w:highlight w:val="none"/>
                <w:u w:color="000000"/>
                <w:lang w:val="en-US" w:eastAsia="zh-CN" w:bidi="ar"/>
              </w:rPr>
              <w:t xml:space="preserve">         </w:t>
            </w:r>
          </w:p>
        </w:tc>
      </w:tr>
      <w:tr w14:paraId="4CC747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46" w:hRule="atLeast"/>
        </w:trPr>
        <w:tc>
          <w:tcPr>
            <w:tcW w:w="1803" w:type="dxa"/>
            <w:tcBorders>
              <w:top w:val="single" w:color="auto" w:sz="4" w:space="0"/>
              <w:left w:val="single" w:color="auto" w:sz="12" w:space="0"/>
              <w:bottom w:val="single" w:color="auto" w:sz="4" w:space="0"/>
              <w:right w:val="single" w:color="auto" w:sz="12" w:space="0"/>
            </w:tcBorders>
            <w:shd w:val="clear" w:color="auto" w:fill="auto"/>
            <w:vAlign w:val="center"/>
          </w:tcPr>
          <w:p w14:paraId="0FA3D833">
            <w:pPr>
              <w:keepNext w:val="0"/>
              <w:keepLines w:val="0"/>
              <w:widowControl/>
              <w:suppressLineNumbers w:val="0"/>
              <w:spacing w:before="0" w:beforeAutospacing="0" w:after="0" w:afterAutospacing="0" w:line="460" w:lineRule="exact"/>
              <w:ind w:left="0" w:right="0" w:firstLine="120" w:firstLineChars="50"/>
              <w:jc w:val="both"/>
              <w:rPr>
                <w:rFonts w:hint="eastAsia" w:ascii="宋体" w:hAnsi="宋体" w:eastAsia="宋体" w:cs="宋体"/>
                <w:kern w:val="2"/>
                <w:sz w:val="24"/>
                <w:szCs w:val="24"/>
                <w:highlight w:val="none"/>
                <w:lang w:val="en-US"/>
              </w:rPr>
            </w:pPr>
            <w:r>
              <w:rPr>
                <w:rFonts w:hint="eastAsia" w:ascii="宋体" w:hAnsi="宋体" w:eastAsia="宋体" w:cs="宋体"/>
                <w:color w:val="000000"/>
                <w:kern w:val="2"/>
                <w:sz w:val="24"/>
                <w:szCs w:val="24"/>
                <w:highlight w:val="none"/>
                <w:u w:color="000000"/>
                <w:lang w:val="en-US" w:eastAsia="zh-CN" w:bidi="ar"/>
              </w:rPr>
              <w:t>投标人名称</w:t>
            </w:r>
          </w:p>
        </w:tc>
        <w:tc>
          <w:tcPr>
            <w:tcW w:w="7797" w:type="dxa"/>
            <w:tcBorders>
              <w:top w:val="single" w:color="auto" w:sz="4" w:space="0"/>
              <w:left w:val="nil"/>
              <w:bottom w:val="single" w:color="auto" w:sz="4" w:space="0"/>
              <w:right w:val="single" w:color="auto" w:sz="12" w:space="0"/>
            </w:tcBorders>
            <w:shd w:val="clear" w:color="auto" w:fill="auto"/>
            <w:vAlign w:val="top"/>
          </w:tcPr>
          <w:p w14:paraId="4EE28A0B">
            <w:pPr>
              <w:pStyle w:val="14"/>
              <w:widowControl/>
              <w:spacing w:line="460" w:lineRule="exact"/>
              <w:ind w:left="86" w:leftChars="41"/>
              <w:rPr>
                <w:rFonts w:hint="eastAsia" w:ascii="宋体" w:hAnsi="Arial" w:eastAsia="宋体" w:cs="宋体"/>
                <w:sz w:val="24"/>
                <w:szCs w:val="24"/>
                <w:highlight w:val="none"/>
                <w:lang w:val="en-US"/>
              </w:rPr>
            </w:pPr>
          </w:p>
        </w:tc>
      </w:tr>
      <w:tr w14:paraId="09FCEB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945" w:hRule="atLeast"/>
        </w:trPr>
        <w:tc>
          <w:tcPr>
            <w:tcW w:w="1803" w:type="dxa"/>
            <w:tcBorders>
              <w:top w:val="single" w:color="auto" w:sz="4" w:space="0"/>
              <w:left w:val="single" w:color="auto" w:sz="12" w:space="0"/>
              <w:bottom w:val="single" w:color="auto" w:sz="12" w:space="0"/>
              <w:right w:val="single" w:color="auto" w:sz="12" w:space="0"/>
            </w:tcBorders>
            <w:shd w:val="clear" w:color="auto" w:fill="auto"/>
            <w:vAlign w:val="center"/>
          </w:tcPr>
          <w:p w14:paraId="3F3B7CB6">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kern w:val="2"/>
                <w:sz w:val="24"/>
                <w:szCs w:val="24"/>
                <w:highlight w:val="none"/>
                <w:lang w:val="en-US"/>
              </w:rPr>
            </w:pPr>
            <w:r>
              <w:rPr>
                <w:rFonts w:hint="eastAsia" w:ascii="宋体" w:hAnsi="宋体" w:eastAsia="宋体" w:cs="宋体"/>
                <w:color w:val="000000"/>
                <w:kern w:val="2"/>
                <w:sz w:val="24"/>
                <w:szCs w:val="24"/>
                <w:highlight w:val="none"/>
                <w:u w:color="000000"/>
                <w:lang w:val="en-US" w:eastAsia="zh-CN" w:bidi="ar"/>
              </w:rPr>
              <w:t>投标报价\工期</w:t>
            </w:r>
          </w:p>
        </w:tc>
        <w:tc>
          <w:tcPr>
            <w:tcW w:w="7797" w:type="dxa"/>
            <w:tcBorders>
              <w:top w:val="single" w:color="auto" w:sz="4" w:space="0"/>
              <w:left w:val="nil"/>
              <w:bottom w:val="single" w:color="auto" w:sz="12" w:space="0"/>
              <w:right w:val="single" w:color="auto" w:sz="12" w:space="0"/>
            </w:tcBorders>
            <w:shd w:val="clear" w:color="auto" w:fill="auto"/>
            <w:vAlign w:val="center"/>
          </w:tcPr>
          <w:p w14:paraId="1B821B93">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kern w:val="2"/>
                <w:sz w:val="24"/>
                <w:szCs w:val="24"/>
                <w:highlight w:val="none"/>
                <w:lang w:val="en-US"/>
              </w:rPr>
            </w:pPr>
            <w:r>
              <w:rPr>
                <w:rFonts w:hint="eastAsia" w:ascii="宋体" w:hAnsi="宋体" w:eastAsia="宋体" w:cs="宋体"/>
                <w:color w:val="000000"/>
                <w:kern w:val="2"/>
                <w:sz w:val="24"/>
                <w:szCs w:val="24"/>
                <w:highlight w:val="none"/>
                <w:u w:color="000000"/>
                <w:lang w:val="en-US" w:eastAsia="zh-CN" w:bidi="ar"/>
              </w:rPr>
              <w:t>投标报价（含税）（大写）：</w:t>
            </w:r>
            <w:r>
              <w:rPr>
                <w:rFonts w:hint="eastAsia" w:ascii="宋体" w:hAnsi="宋体" w:eastAsia="宋体" w:cs="宋体"/>
                <w:color w:val="000000"/>
                <w:kern w:val="2"/>
                <w:sz w:val="24"/>
                <w:szCs w:val="24"/>
                <w:highlight w:val="none"/>
                <w:u w:val="single" w:color="000000"/>
                <w:lang w:val="en-US" w:eastAsia="zh-CN" w:bidi="ar"/>
              </w:rPr>
              <w:t xml:space="preserve">                      </w:t>
            </w:r>
            <w:r>
              <w:rPr>
                <w:rFonts w:hint="eastAsia" w:ascii="宋体" w:hAnsi="宋体" w:eastAsia="宋体" w:cs="宋体"/>
                <w:color w:val="000000"/>
                <w:kern w:val="2"/>
                <w:sz w:val="24"/>
                <w:szCs w:val="24"/>
                <w:highlight w:val="none"/>
                <w:u w:color="000000"/>
                <w:lang w:val="en-US" w:eastAsia="zh-CN" w:bidi="ar"/>
              </w:rPr>
              <w:t>元</w:t>
            </w:r>
          </w:p>
          <w:p w14:paraId="58390941">
            <w:pPr>
              <w:keepNext w:val="0"/>
              <w:keepLines w:val="0"/>
              <w:widowControl/>
              <w:suppressLineNumbers w:val="0"/>
              <w:spacing w:before="0" w:beforeAutospacing="0" w:after="0" w:afterAutospacing="0" w:line="360" w:lineRule="auto"/>
              <w:ind w:left="0" w:right="0" w:firstLine="1920" w:firstLineChars="800"/>
              <w:jc w:val="both"/>
              <w:rPr>
                <w:rFonts w:hint="eastAsia" w:ascii="宋体" w:hAnsi="宋体" w:eastAsia="宋体" w:cs="宋体"/>
                <w:kern w:val="2"/>
                <w:sz w:val="24"/>
                <w:szCs w:val="24"/>
                <w:highlight w:val="none"/>
                <w:lang w:val="en-US"/>
              </w:rPr>
            </w:pPr>
            <w:r>
              <w:rPr>
                <w:rFonts w:hint="eastAsia" w:ascii="宋体" w:hAnsi="宋体" w:eastAsia="宋体" w:cs="宋体"/>
                <w:color w:val="000000"/>
                <w:kern w:val="2"/>
                <w:sz w:val="24"/>
                <w:szCs w:val="24"/>
                <w:highlight w:val="none"/>
                <w:u w:color="000000"/>
                <w:lang w:val="en-US" w:eastAsia="zh-CN" w:bidi="ar"/>
              </w:rPr>
              <w:t>（小写）：</w:t>
            </w:r>
            <w:r>
              <w:rPr>
                <w:rFonts w:hint="eastAsia" w:ascii="宋体" w:hAnsi="宋体" w:eastAsia="宋体" w:cs="宋体"/>
                <w:color w:val="000000"/>
                <w:kern w:val="2"/>
                <w:sz w:val="24"/>
                <w:szCs w:val="24"/>
                <w:highlight w:val="none"/>
                <w:u w:val="single" w:color="000000"/>
                <w:lang w:val="en-US" w:eastAsia="zh-CN" w:bidi="ar"/>
              </w:rPr>
              <w:t xml:space="preserve">                       </w:t>
            </w:r>
            <w:r>
              <w:rPr>
                <w:rFonts w:hint="eastAsia" w:ascii="宋体" w:hAnsi="宋体" w:eastAsia="宋体" w:cs="宋体"/>
                <w:color w:val="000000"/>
                <w:kern w:val="2"/>
                <w:sz w:val="24"/>
                <w:szCs w:val="24"/>
                <w:highlight w:val="none"/>
                <w:u w:color="000000"/>
                <w:lang w:val="en-US" w:eastAsia="zh-CN" w:bidi="ar"/>
              </w:rPr>
              <w:t>元</w:t>
            </w:r>
          </w:p>
          <w:p w14:paraId="0B593EEB">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000000"/>
                <w:kern w:val="2"/>
                <w:sz w:val="24"/>
                <w:szCs w:val="24"/>
                <w:highlight w:val="none"/>
                <w:u w:color="000000"/>
                <w:lang w:val="en-US" w:eastAsia="zh-CN" w:bidi="ar"/>
              </w:rPr>
            </w:pPr>
          </w:p>
          <w:p w14:paraId="4FD08F45">
            <w:pPr>
              <w:keepNext w:val="0"/>
              <w:keepLines w:val="0"/>
              <w:widowControl/>
              <w:suppressLineNumbers w:val="0"/>
              <w:spacing w:before="0" w:beforeAutospacing="0" w:after="0" w:afterAutospacing="0" w:line="360" w:lineRule="auto"/>
              <w:ind w:left="0" w:right="0"/>
              <w:jc w:val="both"/>
              <w:rPr>
                <w:rFonts w:hint="default"/>
                <w:kern w:val="2"/>
                <w:sz w:val="24"/>
                <w:szCs w:val="24"/>
                <w:highlight w:val="none"/>
                <w:lang w:val="en-US"/>
              </w:rPr>
            </w:pPr>
            <w:r>
              <w:rPr>
                <w:rFonts w:hint="eastAsia" w:ascii="宋体" w:hAnsi="宋体" w:eastAsia="宋体" w:cs="宋体"/>
                <w:color w:val="000000"/>
                <w:kern w:val="2"/>
                <w:sz w:val="24"/>
                <w:szCs w:val="24"/>
                <w:highlight w:val="none"/>
                <w:u w:color="000000"/>
                <w:lang w:val="en-US" w:eastAsia="zh-CN" w:bidi="ar"/>
              </w:rPr>
              <w:t>工期：</w:t>
            </w:r>
            <w:r>
              <w:rPr>
                <w:rFonts w:hint="eastAsia" w:ascii="宋体" w:hAnsi="宋体" w:eastAsia="宋体" w:cs="宋体"/>
                <w:color w:val="000000"/>
                <w:kern w:val="2"/>
                <w:sz w:val="24"/>
                <w:szCs w:val="24"/>
                <w:highlight w:val="none"/>
                <w:u w:val="single" w:color="000000"/>
                <w:lang w:val="en-US" w:eastAsia="zh-CN" w:bidi="ar"/>
              </w:rPr>
              <w:t xml:space="preserve">                        </w:t>
            </w:r>
          </w:p>
        </w:tc>
      </w:tr>
    </w:tbl>
    <w:p w14:paraId="35B37C1D">
      <w:pPr>
        <w:keepNext w:val="0"/>
        <w:keepLines w:val="0"/>
        <w:widowControl/>
        <w:suppressLineNumbers w:val="0"/>
        <w:snapToGrid w:val="0"/>
        <w:spacing w:before="0" w:beforeAutospacing="0" w:after="0" w:afterAutospacing="0" w:line="460" w:lineRule="exact"/>
        <w:ind w:left="2940" w:leftChars="1400" w:right="0" w:firstLine="723" w:firstLineChars="300"/>
        <w:jc w:val="both"/>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 xml:space="preserve"> </w:t>
      </w:r>
    </w:p>
    <w:p w14:paraId="5B39EB2D">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法定代表人或授权委托人（签字或盖章）：         投标人（盖章）：</w:t>
      </w:r>
    </w:p>
    <w:p w14:paraId="06282E5B">
      <w:pPr>
        <w:keepNext w:val="0"/>
        <w:keepLines w:val="0"/>
        <w:widowControl/>
        <w:suppressLineNumbers w:val="0"/>
        <w:snapToGrid w:val="0"/>
        <w:spacing w:before="312" w:beforeLines="100" w:beforeAutospacing="0" w:after="312" w:afterLines="100" w:afterAutospacing="0" w:line="360" w:lineRule="auto"/>
        <w:ind w:left="0" w:right="0"/>
        <w:jc w:val="center"/>
        <w:rPr>
          <w:highlight w:val="none"/>
          <w:lang w:val="en-US"/>
        </w:rPr>
      </w:pPr>
      <w:r>
        <w:rPr>
          <w:rFonts w:hint="eastAsia" w:ascii="宋体" w:hAnsi="宋体" w:eastAsia="宋体" w:cs="宋体"/>
          <w:color w:val="000000"/>
          <w:kern w:val="0"/>
          <w:sz w:val="24"/>
          <w:szCs w:val="24"/>
          <w:highlight w:val="none"/>
          <w:u w:color="000000"/>
          <w:lang w:val="en-US" w:eastAsia="zh-CN" w:bidi="ar"/>
        </w:rPr>
        <w:t xml:space="preserve">                                      日  期：    年   月   日 </w:t>
      </w:r>
    </w:p>
    <w:p w14:paraId="6E01043F">
      <w:pPr>
        <w:spacing w:line="360" w:lineRule="auto"/>
        <w:rPr>
          <w:rFonts w:hint="eastAsia" w:ascii="宋体" w:hAnsi="宋体" w:eastAsia="宋体" w:cs="宋体"/>
          <w:b/>
          <w:bCs w:val="0"/>
          <w:color w:val="000000"/>
          <w:kern w:val="0"/>
          <w:sz w:val="30"/>
          <w:szCs w:val="30"/>
          <w:highlight w:val="none"/>
          <w:lang w:val="en-US" w:eastAsia="zh-CN" w:bidi="ar"/>
        </w:rPr>
        <w:sectPr>
          <w:footerReference r:id="rId4" w:type="default"/>
          <w:pgSz w:w="11906" w:h="16838"/>
          <w:pgMar w:top="1440" w:right="1800" w:bottom="1440" w:left="1800" w:header="851" w:footer="992" w:gutter="0"/>
          <w:pgNumType w:fmt="decimal"/>
          <w:cols w:space="425" w:num="1"/>
          <w:docGrid w:type="lines" w:linePitch="312" w:charSpace="0"/>
        </w:sectPr>
      </w:pPr>
    </w:p>
    <w:p w14:paraId="54424D41">
      <w:pPr>
        <w:keepNext w:val="0"/>
        <w:keepLines w:val="0"/>
        <w:widowControl/>
        <w:suppressLineNumbers w:val="0"/>
        <w:spacing w:before="0" w:beforeAutospacing="0" w:after="0" w:afterAutospacing="0" w:line="360" w:lineRule="exact"/>
        <w:ind w:left="0" w:right="0" w:firstLine="443" w:firstLineChars="147"/>
        <w:jc w:val="both"/>
        <w:rPr>
          <w:rFonts w:hint="eastAsia" w:ascii="宋体" w:hAnsi="宋体" w:eastAsia="宋体" w:cs="宋体"/>
          <w:b/>
          <w:bCs w:val="0"/>
          <w:sz w:val="30"/>
          <w:szCs w:val="30"/>
          <w:highlight w:val="none"/>
          <w:lang w:val="en-US"/>
        </w:rPr>
      </w:pPr>
      <w:r>
        <w:rPr>
          <w:rFonts w:hint="eastAsia" w:ascii="宋体" w:hAnsi="宋体" w:eastAsia="宋体" w:cs="宋体"/>
          <w:b/>
          <w:bCs w:val="0"/>
          <w:color w:val="000000"/>
          <w:kern w:val="0"/>
          <w:sz w:val="30"/>
          <w:szCs w:val="30"/>
          <w:highlight w:val="none"/>
          <w:u w:color="000000"/>
          <w:lang w:val="en-US" w:eastAsia="zh-CN" w:bidi="ar"/>
        </w:rPr>
        <w:t>附件5</w:t>
      </w:r>
    </w:p>
    <w:p w14:paraId="7B1CD580">
      <w:pPr>
        <w:keepNext w:val="0"/>
        <w:keepLines w:val="0"/>
        <w:widowControl/>
        <w:suppressLineNumbers w:val="0"/>
        <w:spacing w:before="0" w:beforeAutospacing="0" w:after="0" w:afterAutospacing="0" w:line="360" w:lineRule="exact"/>
        <w:ind w:left="0" w:right="0" w:firstLine="531" w:firstLineChars="147"/>
        <w:jc w:val="center"/>
        <w:rPr>
          <w:rFonts w:hint="eastAsia" w:ascii="宋体" w:hAnsi="宋体" w:eastAsia="宋体" w:cs="宋体"/>
          <w:sz w:val="24"/>
          <w:szCs w:val="24"/>
          <w:highlight w:val="none"/>
          <w:lang w:val="en-US"/>
        </w:rPr>
      </w:pPr>
      <w:r>
        <w:rPr>
          <w:rFonts w:hint="eastAsia" w:ascii="宋体" w:hAnsi="宋体" w:eastAsia="宋体" w:cs="宋体"/>
          <w:b/>
          <w:bCs w:val="0"/>
          <w:color w:val="000000"/>
          <w:kern w:val="0"/>
          <w:sz w:val="36"/>
          <w:szCs w:val="36"/>
          <w:highlight w:val="none"/>
          <w:u w:color="000000"/>
          <w:lang w:val="en-US" w:eastAsia="zh-CN" w:bidi="ar"/>
        </w:rPr>
        <w:t>投  标  函</w:t>
      </w:r>
    </w:p>
    <w:p w14:paraId="28FD246F">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致：</w:t>
      </w:r>
      <w:r>
        <w:rPr>
          <w:rFonts w:hint="eastAsia" w:ascii="宋体" w:hAnsi="宋体" w:eastAsia="宋体" w:cs="宋体"/>
          <w:color w:val="000000"/>
          <w:kern w:val="0"/>
          <w:sz w:val="24"/>
          <w:szCs w:val="24"/>
          <w:highlight w:val="none"/>
          <w:u w:val="single" w:color="000000"/>
          <w:lang w:val="en-US" w:eastAsia="zh-CN" w:bidi="ar"/>
        </w:rPr>
        <w:t xml:space="preserve">       (招标人)       </w:t>
      </w:r>
      <w:r>
        <w:rPr>
          <w:rFonts w:hint="eastAsia" w:ascii="宋体" w:hAnsi="宋体" w:eastAsia="宋体" w:cs="宋体"/>
          <w:color w:val="000000"/>
          <w:kern w:val="0"/>
          <w:sz w:val="24"/>
          <w:szCs w:val="24"/>
          <w:highlight w:val="none"/>
          <w:u w:color="000000"/>
          <w:lang w:val="en-US" w:eastAsia="zh-CN" w:bidi="ar"/>
        </w:rPr>
        <w:t xml:space="preserve"> </w:t>
      </w:r>
    </w:p>
    <w:p w14:paraId="759E66C0">
      <w:pPr>
        <w:keepNext w:val="0"/>
        <w:keepLines w:val="0"/>
        <w:widowControl/>
        <w:suppressLineNumbers w:val="0"/>
        <w:spacing w:before="0" w:beforeAutospacing="0" w:after="0" w:afterAutospacing="0" w:line="44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1.我们决定参加贵单位组织的“</w:t>
      </w:r>
      <w:r>
        <w:rPr>
          <w:rFonts w:hint="eastAsia" w:ascii="宋体" w:hAnsi="宋体" w:eastAsia="宋体" w:cs="宋体"/>
          <w:color w:val="000000"/>
          <w:kern w:val="0"/>
          <w:sz w:val="24"/>
          <w:szCs w:val="24"/>
          <w:highlight w:val="none"/>
          <w:u w:val="single" w:color="000000"/>
          <w:lang w:val="en-US" w:eastAsia="zh-CN" w:bidi="ar"/>
        </w:rPr>
        <w:t xml:space="preserve"> （项目名称）   </w:t>
      </w:r>
      <w:r>
        <w:rPr>
          <w:rFonts w:hint="eastAsia" w:ascii="宋体" w:hAnsi="宋体" w:eastAsia="宋体" w:cs="宋体"/>
          <w:color w:val="0000FF"/>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 xml:space="preserve">”的招标。我方授权 </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(姓名和职务)代表我方</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（投标单位的名称）全权处理本项目投标的有关事宜。</w:t>
      </w:r>
    </w:p>
    <w:p w14:paraId="6F6C2D0D">
      <w:pPr>
        <w:keepNext w:val="0"/>
        <w:keepLines w:val="0"/>
        <w:widowControl/>
        <w:suppressLineNumbers w:val="0"/>
        <w:spacing w:before="0" w:beforeAutospacing="0" w:after="0" w:afterAutospacing="0" w:line="44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2.我方愿意按照招标文件规定的各项要求，向招标人提供本项目的货物与服务，投标报价为人民币（大写）</w:t>
      </w:r>
      <w:r>
        <w:rPr>
          <w:rFonts w:hint="eastAsia" w:ascii="宋体" w:hAnsi="宋体" w:eastAsia="宋体" w:cs="宋体"/>
          <w:color w:val="000000"/>
          <w:kern w:val="0"/>
          <w:sz w:val="24"/>
          <w:szCs w:val="24"/>
          <w:highlight w:val="none"/>
          <w:u w:val="single" w:color="000000"/>
          <w:lang w:val="en-US" w:eastAsia="zh-CN" w:bidi="ar"/>
        </w:rPr>
        <w:t xml:space="preserve">                   （小写）         元</w:t>
      </w:r>
      <w:r>
        <w:rPr>
          <w:rFonts w:hint="eastAsia" w:ascii="宋体" w:hAnsi="宋体" w:eastAsia="宋体" w:cs="宋体"/>
          <w:color w:val="000000"/>
          <w:kern w:val="0"/>
          <w:sz w:val="24"/>
          <w:szCs w:val="24"/>
          <w:highlight w:val="none"/>
          <w:u w:color="000000"/>
          <w:lang w:val="en-US" w:eastAsia="zh-CN" w:bidi="ar"/>
        </w:rPr>
        <w:t>；</w:t>
      </w:r>
      <w:r>
        <w:rPr>
          <w:rFonts w:hint="eastAsia" w:ascii="宋体" w:hAnsi="宋体" w:eastAsia="宋体" w:cs="宋体"/>
          <w:color w:val="000000"/>
          <w:kern w:val="2"/>
          <w:sz w:val="24"/>
          <w:szCs w:val="24"/>
          <w:highlight w:val="none"/>
          <w:u w:color="000000"/>
          <w:lang w:val="en-US" w:eastAsia="zh-CN" w:bidi="ar"/>
        </w:rPr>
        <w:t>工期</w:t>
      </w:r>
      <w:r>
        <w:rPr>
          <w:rFonts w:hint="eastAsia" w:ascii="宋体" w:hAnsi="宋体" w:eastAsia="宋体" w:cs="宋体"/>
          <w:color w:val="000000"/>
          <w:kern w:val="0"/>
          <w:sz w:val="24"/>
          <w:szCs w:val="24"/>
          <w:highlight w:val="none"/>
          <w:u w:color="000000"/>
          <w:lang w:val="en-US" w:eastAsia="zh-CN" w:bidi="ar"/>
        </w:rPr>
        <w:t>：</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w:t>
      </w:r>
    </w:p>
    <w:p w14:paraId="0B76E31F">
      <w:pPr>
        <w:keepNext w:val="0"/>
        <w:keepLines w:val="0"/>
        <w:widowControl/>
        <w:suppressLineNumbers w:val="0"/>
        <w:spacing w:before="0" w:beforeAutospacing="0" w:after="0" w:afterAutospacing="0" w:line="44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3.一旦我方成为合同签字人，我方将严格履行合同规定的责任和义务。</w:t>
      </w:r>
    </w:p>
    <w:p w14:paraId="55DFB67B">
      <w:pPr>
        <w:keepNext w:val="0"/>
        <w:keepLines w:val="0"/>
        <w:widowControl/>
        <w:suppressLineNumbers w:val="0"/>
        <w:spacing w:before="0" w:beforeAutospacing="0" w:after="0" w:afterAutospacing="0" w:line="440" w:lineRule="exact"/>
        <w:ind w:left="0" w:right="0" w:firstLine="480" w:firstLineChars="200"/>
        <w:jc w:val="both"/>
        <w:rPr>
          <w:rFonts w:hint="default"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4.投标有效期：为</w:t>
      </w:r>
      <w:r>
        <w:rPr>
          <w:rFonts w:hint="eastAsia" w:ascii="宋体" w:hAnsi="宋体" w:eastAsia="宋体" w:cs="宋体"/>
          <w:color w:val="000000"/>
          <w:kern w:val="0"/>
          <w:sz w:val="24"/>
          <w:szCs w:val="24"/>
          <w:highlight w:val="none"/>
          <w:u w:val="single" w:color="auto"/>
          <w:lang w:val="en-US" w:eastAsia="zh-CN" w:bidi="ar"/>
        </w:rPr>
        <w:t xml:space="preserve"> 60 </w:t>
      </w:r>
      <w:r>
        <w:rPr>
          <w:rFonts w:hint="eastAsia" w:ascii="宋体" w:hAnsi="宋体" w:eastAsia="宋体" w:cs="宋体"/>
          <w:color w:val="000000"/>
          <w:kern w:val="0"/>
          <w:sz w:val="24"/>
          <w:szCs w:val="24"/>
          <w:highlight w:val="none"/>
          <w:u w:color="000000"/>
          <w:lang w:val="en-US" w:eastAsia="zh-CN" w:bidi="ar"/>
        </w:rPr>
        <w:t>日历天（从投标截止之日算起）。</w:t>
      </w:r>
    </w:p>
    <w:p w14:paraId="5FD9C970">
      <w:pPr>
        <w:keepNext w:val="0"/>
        <w:keepLines w:val="0"/>
        <w:widowControl/>
        <w:suppressLineNumbers w:val="0"/>
        <w:spacing w:before="0" w:beforeAutospacing="0" w:after="0" w:afterAutospacing="0" w:line="44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5.我方愿意提供可能另外要求的、与投标有关的文件资料，并保证我方已提供和将要提供的文件是真实的、准确的。</w:t>
      </w:r>
    </w:p>
    <w:p w14:paraId="1B49AAA5">
      <w:pPr>
        <w:keepNext w:val="0"/>
        <w:keepLines w:val="0"/>
        <w:widowControl/>
        <w:suppressLineNumbers w:val="0"/>
        <w:spacing w:before="0" w:beforeAutospacing="0" w:after="0" w:afterAutospacing="0" w:line="44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6.我单位提供如下通讯地址</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，电子邮箱（地址）：</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，确认本项目相关法律文书均通过提供的以上地址送达，相关文书只要发送至以上电子邮箱（地址）即视为送达，投标人愿意承担一切法律后果。</w:t>
      </w:r>
    </w:p>
    <w:p w14:paraId="58C6553C">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sz w:val="24"/>
          <w:szCs w:val="24"/>
          <w:highlight w:val="none"/>
          <w:lang w:val="en-US"/>
        </w:rPr>
      </w:pPr>
      <w:r>
        <w:rPr>
          <w:rFonts w:hint="default" w:ascii="Times New Roman" w:hAnsi="Times New Roman" w:eastAsia="宋体" w:cs="Times New Roman"/>
          <w:color w:val="000000"/>
          <w:kern w:val="0"/>
          <w:sz w:val="24"/>
          <w:szCs w:val="24"/>
          <w:highlight w:val="none"/>
          <w:u w:color="000000"/>
          <w:lang w:val="en-US" w:eastAsia="zh-CN" w:bidi="ar"/>
        </w:rPr>
        <w:t xml:space="preserve"> </w:t>
      </w:r>
    </w:p>
    <w:p w14:paraId="720350C4">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投标单位名称</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（盖章）</w:t>
      </w:r>
    </w:p>
    <w:p w14:paraId="009180F0">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 xml:space="preserve"> </w:t>
      </w:r>
    </w:p>
    <w:p w14:paraId="6939C051">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sz w:val="24"/>
          <w:szCs w:val="24"/>
          <w:highlight w:val="none"/>
          <w:u w:val="single"/>
          <w:lang w:val="en-US"/>
        </w:rPr>
      </w:pPr>
      <w:r>
        <w:rPr>
          <w:rFonts w:hint="eastAsia" w:ascii="宋体" w:hAnsi="宋体" w:eastAsia="宋体" w:cs="宋体"/>
          <w:color w:val="000000"/>
          <w:kern w:val="0"/>
          <w:sz w:val="24"/>
          <w:szCs w:val="24"/>
          <w:highlight w:val="none"/>
          <w:u w:color="000000"/>
          <w:lang w:val="en-US" w:eastAsia="zh-CN" w:bidi="ar"/>
        </w:rPr>
        <w:t xml:space="preserve"> 投标人法定代表人或授权委托人（签字或盖章）：</w:t>
      </w:r>
      <w:r>
        <w:rPr>
          <w:rFonts w:hint="eastAsia" w:ascii="宋体" w:hAnsi="宋体" w:eastAsia="宋体" w:cs="宋体"/>
          <w:color w:val="000000"/>
          <w:kern w:val="0"/>
          <w:sz w:val="24"/>
          <w:szCs w:val="24"/>
          <w:highlight w:val="none"/>
          <w:u w:val="single" w:color="000000"/>
          <w:lang w:val="en-US" w:eastAsia="zh-CN" w:bidi="ar"/>
        </w:rPr>
        <w:t xml:space="preserve">                  </w:t>
      </w:r>
    </w:p>
    <w:p w14:paraId="6F5AE68F">
      <w:pPr>
        <w:keepNext w:val="0"/>
        <w:keepLines w:val="0"/>
        <w:widowControl/>
        <w:suppressLineNumbers w:val="0"/>
        <w:spacing w:before="0" w:beforeAutospacing="0" w:after="0" w:afterAutospacing="0" w:line="440" w:lineRule="exact"/>
        <w:ind w:left="0" w:right="0" w:firstLine="2520" w:firstLineChars="105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日  期：</w:t>
      </w:r>
      <w:r>
        <w:rPr>
          <w:rFonts w:hint="eastAsia" w:ascii="宋体" w:hAnsi="宋体" w:eastAsia="宋体" w:cs="宋体"/>
          <w:color w:val="000000"/>
          <w:kern w:val="0"/>
          <w:sz w:val="24"/>
          <w:szCs w:val="24"/>
          <w:highlight w:val="none"/>
          <w:u w:val="single" w:color="000000"/>
          <w:lang w:val="en-US" w:eastAsia="zh-CN" w:bidi="ar"/>
        </w:rPr>
        <w:t xml:space="preserve">                   </w:t>
      </w:r>
    </w:p>
    <w:p w14:paraId="309EB380">
      <w:pPr>
        <w:keepNext w:val="0"/>
        <w:keepLines w:val="0"/>
        <w:widowControl/>
        <w:suppressLineNumbers w:val="0"/>
        <w:spacing w:before="0" w:beforeAutospacing="0" w:after="0" w:afterAutospacing="0" w:line="440" w:lineRule="exact"/>
        <w:ind w:left="0" w:right="0" w:firstLine="2520" w:firstLineChars="105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通讯地址：</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 xml:space="preserve">                </w:t>
      </w:r>
    </w:p>
    <w:p w14:paraId="1AC0D13B">
      <w:pPr>
        <w:keepNext w:val="0"/>
        <w:keepLines w:val="0"/>
        <w:widowControl/>
        <w:suppressLineNumbers w:val="0"/>
        <w:spacing w:before="0" w:beforeAutospacing="0" w:after="0" w:afterAutospacing="0" w:line="440" w:lineRule="exact"/>
        <w:ind w:left="0" w:right="0" w:firstLine="2520" w:firstLineChars="105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联系电话：</w:t>
      </w:r>
      <w:r>
        <w:rPr>
          <w:rFonts w:hint="eastAsia" w:ascii="宋体" w:hAnsi="宋体" w:eastAsia="宋体" w:cs="宋体"/>
          <w:color w:val="000000"/>
          <w:kern w:val="0"/>
          <w:sz w:val="24"/>
          <w:szCs w:val="24"/>
          <w:highlight w:val="none"/>
          <w:u w:val="single" w:color="000000"/>
          <w:lang w:val="en-US" w:eastAsia="zh-CN" w:bidi="ar"/>
        </w:rPr>
        <w:t xml:space="preserve">                   </w:t>
      </w:r>
    </w:p>
    <w:p w14:paraId="56E27A99">
      <w:pPr>
        <w:keepNext w:val="0"/>
        <w:keepLines w:val="0"/>
        <w:widowControl/>
        <w:suppressLineNumbers w:val="0"/>
        <w:spacing w:before="0" w:beforeAutospacing="0" w:after="0" w:afterAutospacing="0" w:line="357" w:lineRule="atLeast"/>
        <w:ind w:left="0" w:right="-178" w:rightChars="-85" w:firstLine="2520" w:firstLineChars="1050"/>
        <w:jc w:val="both"/>
        <w:rPr>
          <w:rFonts w:hint="eastAsia" w:ascii="宋体" w:hAnsi="宋体" w:eastAsia="宋体" w:cs="宋体"/>
          <w:sz w:val="24"/>
          <w:szCs w:val="24"/>
          <w:highlight w:val="none"/>
          <w:u w:val="single"/>
          <w:lang w:val="en-US"/>
        </w:rPr>
      </w:pPr>
      <w:r>
        <w:rPr>
          <w:rFonts w:hint="eastAsia" w:ascii="宋体" w:hAnsi="宋体" w:eastAsia="宋体" w:cs="宋体"/>
          <w:color w:val="000000"/>
          <w:kern w:val="0"/>
          <w:sz w:val="24"/>
          <w:szCs w:val="24"/>
          <w:highlight w:val="none"/>
          <w:u w:color="000000"/>
          <w:lang w:val="en-US" w:eastAsia="zh-CN" w:bidi="ar"/>
        </w:rPr>
        <w:t>传   真：</w:t>
      </w:r>
      <w:r>
        <w:rPr>
          <w:rFonts w:hint="eastAsia" w:ascii="宋体" w:hAnsi="宋体" w:eastAsia="宋体" w:cs="宋体"/>
          <w:color w:val="000000"/>
          <w:kern w:val="0"/>
          <w:sz w:val="24"/>
          <w:szCs w:val="24"/>
          <w:highlight w:val="none"/>
          <w:u w:val="single" w:color="000000"/>
          <w:lang w:val="en-US" w:eastAsia="zh-CN" w:bidi="ar"/>
        </w:rPr>
        <w:t xml:space="preserve">                   </w:t>
      </w:r>
    </w:p>
    <w:p w14:paraId="23E2A5ED">
      <w:pPr>
        <w:keepNext w:val="0"/>
        <w:keepLines w:val="0"/>
        <w:widowControl/>
        <w:suppressLineNumbers w:val="0"/>
        <w:spacing w:before="0" w:beforeAutospacing="0" w:after="0" w:afterAutospacing="0" w:line="360" w:lineRule="exact"/>
        <w:ind w:left="0" w:right="0" w:firstLine="413" w:firstLineChars="147"/>
        <w:jc w:val="both"/>
        <w:rPr>
          <w:rFonts w:hint="eastAsia" w:ascii="宋体" w:hAnsi="宋体" w:eastAsia="宋体" w:cs="宋体"/>
          <w:b/>
          <w:bCs w:val="0"/>
          <w:sz w:val="28"/>
          <w:szCs w:val="28"/>
          <w:highlight w:val="none"/>
          <w:lang w:val="en-US"/>
        </w:rPr>
      </w:pPr>
      <w:r>
        <w:rPr>
          <w:rFonts w:hint="eastAsia" w:ascii="宋体" w:hAnsi="宋体" w:eastAsia="宋体" w:cs="宋体"/>
          <w:b/>
          <w:bCs w:val="0"/>
          <w:color w:val="000000"/>
          <w:kern w:val="0"/>
          <w:sz w:val="28"/>
          <w:szCs w:val="28"/>
          <w:highlight w:val="none"/>
          <w:u w:color="000000"/>
          <w:lang w:val="en-US" w:eastAsia="zh-CN" w:bidi="ar"/>
        </w:rPr>
        <w:t xml:space="preserve"> </w:t>
      </w:r>
    </w:p>
    <w:p w14:paraId="75E35018">
      <w:pPr>
        <w:keepNext w:val="0"/>
        <w:keepLines w:val="0"/>
        <w:widowControl/>
        <w:suppressLineNumbers w:val="0"/>
        <w:spacing w:before="0" w:beforeAutospacing="0" w:after="0" w:afterAutospacing="0" w:line="360" w:lineRule="exact"/>
        <w:ind w:left="0" w:right="0" w:firstLine="413" w:firstLineChars="147"/>
        <w:jc w:val="both"/>
        <w:rPr>
          <w:rFonts w:hint="eastAsia" w:ascii="宋体" w:hAnsi="宋体" w:eastAsia="宋体" w:cs="宋体"/>
          <w:b/>
          <w:bCs w:val="0"/>
          <w:sz w:val="28"/>
          <w:szCs w:val="28"/>
          <w:highlight w:val="none"/>
          <w:lang w:val="en-US"/>
        </w:rPr>
      </w:pPr>
      <w:r>
        <w:rPr>
          <w:rFonts w:hint="eastAsia" w:ascii="宋体" w:hAnsi="宋体" w:eastAsia="宋体" w:cs="宋体"/>
          <w:b/>
          <w:bCs w:val="0"/>
          <w:color w:val="000000"/>
          <w:kern w:val="0"/>
          <w:sz w:val="28"/>
          <w:szCs w:val="28"/>
          <w:highlight w:val="none"/>
          <w:u w:color="000000"/>
          <w:lang w:val="en-US" w:eastAsia="zh-CN" w:bidi="ar"/>
        </w:rPr>
        <w:t xml:space="preserve"> </w:t>
      </w:r>
    </w:p>
    <w:p w14:paraId="4F891CCD">
      <w:pPr>
        <w:rPr>
          <w:rFonts w:hint="eastAsia" w:ascii="宋体" w:hAnsi="宋体" w:eastAsia="宋体" w:cs="宋体"/>
          <w:b/>
          <w:bCs w:val="0"/>
          <w:color w:val="000000"/>
          <w:kern w:val="0"/>
          <w:sz w:val="36"/>
          <w:szCs w:val="36"/>
          <w:highlight w:val="none"/>
          <w:u w:color="000000"/>
          <w:lang w:val="en-US" w:eastAsia="zh-CN" w:bidi="ar"/>
        </w:rPr>
      </w:pPr>
      <w:r>
        <w:rPr>
          <w:rFonts w:hint="eastAsia" w:ascii="宋体" w:hAnsi="宋体" w:eastAsia="宋体" w:cs="宋体"/>
          <w:b/>
          <w:bCs w:val="0"/>
          <w:color w:val="000000"/>
          <w:kern w:val="0"/>
          <w:sz w:val="36"/>
          <w:szCs w:val="36"/>
          <w:highlight w:val="none"/>
          <w:u w:color="000000"/>
          <w:lang w:val="en-US" w:eastAsia="zh-CN" w:bidi="ar"/>
        </w:rPr>
        <w:br w:type="page"/>
      </w:r>
    </w:p>
    <w:p w14:paraId="13E76AE2">
      <w:pPr>
        <w:pStyle w:val="21"/>
        <w:widowControl/>
        <w:spacing w:before="0" w:beforeAutospacing="0" w:after="0" w:afterAutospacing="0" w:line="375" w:lineRule="atLeast"/>
        <w:ind w:left="0" w:right="0"/>
        <w:jc w:val="center"/>
        <w:outlineLvl w:val="0"/>
        <w:rPr>
          <w:b/>
          <w:bCs w:val="0"/>
          <w:sz w:val="32"/>
          <w:szCs w:val="32"/>
          <w:highlight w:val="none"/>
          <w:lang w:val="en-US"/>
        </w:rPr>
      </w:pPr>
      <w:bookmarkStart w:id="102" w:name="_Toc6275_WPSOffice_Level1"/>
      <w:bookmarkEnd w:id="102"/>
      <w:r>
        <w:rPr>
          <w:b/>
          <w:bCs w:val="0"/>
          <w:sz w:val="32"/>
          <w:szCs w:val="32"/>
          <w:highlight w:val="none"/>
          <w:lang w:eastAsia="zh-CN"/>
        </w:rPr>
        <w:t>第</w:t>
      </w:r>
      <w:r>
        <w:rPr>
          <w:rFonts w:hint="eastAsia"/>
          <w:b/>
          <w:bCs w:val="0"/>
          <w:sz w:val="32"/>
          <w:szCs w:val="32"/>
          <w:highlight w:val="none"/>
          <w:lang w:val="en-US" w:eastAsia="zh-CN"/>
        </w:rPr>
        <w:t>八</w:t>
      </w:r>
      <w:r>
        <w:rPr>
          <w:b/>
          <w:bCs w:val="0"/>
          <w:sz w:val="32"/>
          <w:szCs w:val="32"/>
          <w:highlight w:val="none"/>
          <w:lang w:eastAsia="zh-CN"/>
        </w:rPr>
        <w:t>章</w:t>
      </w:r>
      <w:r>
        <w:rPr>
          <w:b/>
          <w:bCs w:val="0"/>
          <w:sz w:val="32"/>
          <w:szCs w:val="32"/>
          <w:highlight w:val="none"/>
          <w:lang w:val="en-US"/>
        </w:rPr>
        <w:t xml:space="preserve">   </w:t>
      </w:r>
      <w:r>
        <w:rPr>
          <w:b/>
          <w:bCs w:val="0"/>
          <w:sz w:val="32"/>
          <w:szCs w:val="32"/>
          <w:highlight w:val="none"/>
          <w:lang w:eastAsia="zh-CN"/>
        </w:rPr>
        <w:t>招标人、招标代理机构对本招标文件的确认</w:t>
      </w:r>
    </w:p>
    <w:tbl>
      <w:tblPr>
        <w:tblStyle w:val="23"/>
        <w:tblW w:w="8554" w:type="dxa"/>
        <w:tblInd w:w="2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54"/>
      </w:tblGrid>
      <w:tr w14:paraId="1A3BD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1" w:hRule="atLeast"/>
        </w:trPr>
        <w:tc>
          <w:tcPr>
            <w:tcW w:w="8554" w:type="dxa"/>
            <w:tcBorders>
              <w:top w:val="single" w:color="auto" w:sz="4" w:space="0"/>
              <w:left w:val="single" w:color="auto" w:sz="4" w:space="0"/>
              <w:bottom w:val="single" w:color="auto" w:sz="4" w:space="0"/>
              <w:right w:val="single" w:color="auto" w:sz="4" w:space="0"/>
            </w:tcBorders>
            <w:shd w:val="clear" w:color="auto" w:fill="auto"/>
            <w:vAlign w:val="top"/>
          </w:tcPr>
          <w:p w14:paraId="71D4B232">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kern w:val="2"/>
                <w:sz w:val="28"/>
                <w:szCs w:val="28"/>
                <w:highlight w:val="none"/>
                <w:lang w:val="en-US"/>
              </w:rPr>
            </w:pPr>
          </w:p>
          <w:p w14:paraId="12D21BBF">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我单位对</w:t>
            </w:r>
            <w:r>
              <w:rPr>
                <w:rFonts w:hint="eastAsia" w:ascii="宋体" w:hAnsi="宋体" w:eastAsia="宋体" w:cs="宋体"/>
                <w:color w:val="000000"/>
                <w:kern w:val="2"/>
                <w:sz w:val="28"/>
                <w:szCs w:val="28"/>
                <w:highlight w:val="none"/>
                <w:u w:val="single" w:color="000000"/>
                <w:lang w:val="en-US" w:eastAsia="zh-CN" w:bidi="ar"/>
              </w:rPr>
              <w:t>滁州至南京城际铁路（滁州段）一期管道防寒保温项目</w:t>
            </w:r>
            <w:r>
              <w:rPr>
                <w:rFonts w:hint="eastAsia" w:ascii="宋体" w:hAnsi="宋体" w:eastAsia="宋体" w:cs="宋体"/>
                <w:color w:val="000000"/>
                <w:kern w:val="2"/>
                <w:sz w:val="28"/>
                <w:szCs w:val="28"/>
                <w:highlight w:val="none"/>
                <w:u w:color="000000"/>
                <w:lang w:val="en-US" w:eastAsia="zh-CN" w:bidi="ar"/>
              </w:rPr>
              <w:t>招标文件进行确认。</w:t>
            </w:r>
          </w:p>
          <w:p w14:paraId="06DCC0E1">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 xml:space="preserve">招标人：滁州市滁宁城际铁路开发建设有限公司 </w:t>
            </w:r>
          </w:p>
          <w:p w14:paraId="422F30B2">
            <w:pPr>
              <w:keepNext w:val="0"/>
              <w:keepLines w:val="0"/>
              <w:widowControl/>
              <w:suppressLineNumbers w:val="0"/>
              <w:spacing w:before="0" w:beforeAutospacing="0" w:after="0" w:afterAutospacing="0" w:line="720" w:lineRule="exact"/>
              <w:ind w:left="0" w:right="0" w:firstLine="560" w:firstLineChars="200"/>
              <w:jc w:val="both"/>
              <w:rPr>
                <w:rFonts w:hint="default" w:ascii="宋体" w:hAnsi="宋体" w:eastAsia="宋体" w:cs="宋体"/>
                <w:color w:val="000000"/>
                <w:kern w:val="2"/>
                <w:sz w:val="28"/>
                <w:szCs w:val="28"/>
                <w:highlight w:val="none"/>
                <w:u w:color="000000"/>
                <w:lang w:val="en-US" w:eastAsia="zh-CN" w:bidi="ar"/>
              </w:rPr>
            </w:pPr>
            <w:r>
              <w:rPr>
                <w:rFonts w:hint="eastAsia" w:ascii="宋体" w:hAnsi="宋体" w:eastAsia="宋体" w:cs="宋体"/>
                <w:color w:val="000000"/>
                <w:kern w:val="2"/>
                <w:sz w:val="28"/>
                <w:szCs w:val="28"/>
                <w:highlight w:val="none"/>
                <w:u w:color="000000"/>
                <w:lang w:val="en-US" w:eastAsia="zh-CN" w:bidi="ar"/>
              </w:rPr>
              <w:t>联系人：杨雅辰</w:t>
            </w:r>
          </w:p>
          <w:p w14:paraId="58B0E9E2">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000000"/>
                <w:kern w:val="2"/>
                <w:sz w:val="28"/>
                <w:szCs w:val="28"/>
                <w:highlight w:val="none"/>
                <w:u w:color="000000"/>
                <w:lang w:val="en-US" w:eastAsia="zh-CN" w:bidi="ar"/>
              </w:rPr>
            </w:pPr>
            <w:r>
              <w:rPr>
                <w:rFonts w:hint="eastAsia" w:ascii="宋体" w:hAnsi="宋体" w:eastAsia="宋体" w:cs="宋体"/>
                <w:color w:val="000000"/>
                <w:kern w:val="2"/>
                <w:sz w:val="28"/>
                <w:szCs w:val="28"/>
                <w:highlight w:val="none"/>
                <w:u w:color="000000"/>
                <w:lang w:val="en-US" w:eastAsia="zh-CN" w:bidi="ar"/>
              </w:rPr>
              <w:t>联系电话：13339207910</w:t>
            </w:r>
          </w:p>
          <w:p w14:paraId="113352A3">
            <w:pPr>
              <w:keepNext w:val="0"/>
              <w:keepLines w:val="0"/>
              <w:widowControl/>
              <w:suppressLineNumbers w:val="0"/>
              <w:spacing w:before="0" w:beforeAutospacing="0" w:after="0" w:afterAutospacing="0" w:line="440" w:lineRule="exact"/>
              <w:ind w:left="0" w:right="0" w:firstLine="1680" w:firstLineChars="6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 xml:space="preserve">  </w:t>
            </w:r>
          </w:p>
          <w:p w14:paraId="30212E66">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kern w:val="2"/>
                <w:sz w:val="28"/>
                <w:szCs w:val="28"/>
                <w:highlight w:val="none"/>
                <w:lang w:val="en-US"/>
              </w:rPr>
            </w:pPr>
          </w:p>
          <w:p w14:paraId="4FEF71AD">
            <w:pPr>
              <w:keepNext w:val="0"/>
              <w:keepLines w:val="0"/>
              <w:widowControl/>
              <w:suppressLineNumbers w:val="0"/>
              <w:spacing w:before="0" w:beforeAutospacing="0" w:after="0" w:afterAutospacing="0" w:line="440" w:lineRule="exact"/>
              <w:ind w:left="0" w:right="0" w:firstLine="5320" w:firstLineChars="19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（单位盖章）</w:t>
            </w:r>
          </w:p>
          <w:p w14:paraId="5EC6C013">
            <w:pPr>
              <w:keepNext w:val="0"/>
              <w:keepLines w:val="0"/>
              <w:widowControl/>
              <w:suppressLineNumbers w:val="0"/>
              <w:spacing w:before="0" w:beforeAutospacing="0" w:after="0" w:afterAutospacing="0" w:line="440" w:lineRule="exact"/>
              <w:ind w:left="0" w:right="0" w:firstLine="6300" w:firstLineChars="2250"/>
              <w:jc w:val="both"/>
              <w:rPr>
                <w:rFonts w:hint="eastAsia" w:ascii="宋体" w:hAnsi="宋体" w:eastAsia="宋体" w:cs="宋体"/>
                <w:kern w:val="2"/>
                <w:sz w:val="28"/>
                <w:szCs w:val="28"/>
                <w:highlight w:val="none"/>
                <w:lang w:val="en-US"/>
              </w:rPr>
            </w:pPr>
          </w:p>
          <w:p w14:paraId="52F681E5">
            <w:pPr>
              <w:keepNext w:val="0"/>
              <w:keepLines w:val="0"/>
              <w:widowControl/>
              <w:suppressLineNumbers w:val="0"/>
              <w:spacing w:before="0" w:beforeAutospacing="0" w:after="0" w:afterAutospacing="0" w:line="440" w:lineRule="exact"/>
              <w:ind w:left="0" w:right="0" w:firstLine="5320" w:firstLineChars="19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2026年5月</w:t>
            </w:r>
          </w:p>
          <w:p w14:paraId="56DEE5B6">
            <w:pPr>
              <w:keepNext w:val="0"/>
              <w:keepLines w:val="0"/>
              <w:widowControl/>
              <w:suppressLineNumbers w:val="0"/>
              <w:spacing w:before="0" w:beforeAutospacing="0" w:after="0" w:afterAutospacing="0" w:line="440" w:lineRule="exact"/>
              <w:ind w:left="0" w:right="0" w:firstLine="5600" w:firstLineChars="2000"/>
              <w:jc w:val="both"/>
              <w:rPr>
                <w:rFonts w:hint="eastAsia" w:ascii="宋体" w:hAnsi="宋体" w:eastAsia="宋体" w:cs="宋体"/>
                <w:kern w:val="2"/>
                <w:sz w:val="28"/>
                <w:szCs w:val="28"/>
                <w:highlight w:val="none"/>
                <w:lang w:val="en-US"/>
              </w:rPr>
            </w:pPr>
          </w:p>
        </w:tc>
      </w:tr>
      <w:tr w14:paraId="4A4AF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4" w:hRule="atLeast"/>
        </w:trPr>
        <w:tc>
          <w:tcPr>
            <w:tcW w:w="8554" w:type="dxa"/>
            <w:tcBorders>
              <w:top w:val="single" w:color="auto" w:sz="4" w:space="0"/>
              <w:left w:val="single" w:color="auto" w:sz="4" w:space="0"/>
              <w:bottom w:val="single" w:color="auto" w:sz="4" w:space="0"/>
              <w:right w:val="single" w:color="auto" w:sz="4" w:space="0"/>
            </w:tcBorders>
            <w:shd w:val="clear" w:color="auto" w:fill="auto"/>
            <w:vAlign w:val="top"/>
          </w:tcPr>
          <w:p w14:paraId="23BB3931">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kern w:val="2"/>
                <w:sz w:val="28"/>
                <w:szCs w:val="28"/>
                <w:highlight w:val="none"/>
                <w:lang w:val="en-US"/>
              </w:rPr>
            </w:pPr>
          </w:p>
          <w:p w14:paraId="5FFB4BD4">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招标代理机构：滁州市城投工程咨询管理有限公司</w:t>
            </w:r>
          </w:p>
          <w:p w14:paraId="65F08E38">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经办人：周蓓蕾</w:t>
            </w:r>
          </w:p>
          <w:p w14:paraId="57C79F2F">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电话：0550-3519519、18005505728</w:t>
            </w:r>
          </w:p>
          <w:p w14:paraId="4C067E42">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kern w:val="2"/>
                <w:sz w:val="28"/>
                <w:szCs w:val="28"/>
                <w:highlight w:val="none"/>
                <w:lang w:val="en-US"/>
              </w:rPr>
            </w:pPr>
          </w:p>
          <w:p w14:paraId="445B7223">
            <w:pPr>
              <w:pStyle w:val="6"/>
              <w:widowControl/>
              <w:spacing w:before="0" w:beforeAutospacing="0" w:after="120" w:afterAutospacing="0"/>
              <w:ind w:leftChars="200" w:right="0" w:firstLine="560"/>
              <w:rPr>
                <w:kern w:val="2"/>
                <w:sz w:val="28"/>
                <w:szCs w:val="28"/>
                <w:highlight w:val="none"/>
                <w:lang w:val="en-US"/>
              </w:rPr>
            </w:pPr>
          </w:p>
          <w:p w14:paraId="1F2F0EB5">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kern w:val="2"/>
                <w:highlight w:val="none"/>
                <w:lang w:val="en-US"/>
              </w:rPr>
            </w:pPr>
          </w:p>
          <w:p w14:paraId="72BE766B">
            <w:pPr>
              <w:keepNext w:val="0"/>
              <w:keepLines w:val="0"/>
              <w:widowControl/>
              <w:suppressLineNumbers w:val="0"/>
              <w:spacing w:before="0" w:beforeAutospacing="0" w:after="0" w:afterAutospacing="0" w:line="440" w:lineRule="exact"/>
              <w:ind w:left="0" w:right="0" w:firstLine="5460" w:firstLineChars="195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（单位盖章）</w:t>
            </w:r>
          </w:p>
          <w:p w14:paraId="6828CB58">
            <w:pPr>
              <w:keepNext w:val="0"/>
              <w:keepLines w:val="0"/>
              <w:widowControl/>
              <w:suppressLineNumbers w:val="0"/>
              <w:spacing w:before="0" w:beforeAutospacing="0" w:after="0" w:afterAutospacing="0" w:line="440" w:lineRule="exact"/>
              <w:ind w:left="0" w:right="0" w:firstLine="6300" w:firstLineChars="2250"/>
              <w:jc w:val="both"/>
              <w:rPr>
                <w:rFonts w:hint="eastAsia" w:ascii="宋体" w:hAnsi="宋体" w:eastAsia="宋体" w:cs="宋体"/>
                <w:kern w:val="2"/>
                <w:sz w:val="28"/>
                <w:szCs w:val="28"/>
                <w:highlight w:val="none"/>
                <w:lang w:val="en-US"/>
              </w:rPr>
            </w:pPr>
          </w:p>
          <w:p w14:paraId="0C15B413">
            <w:pPr>
              <w:keepNext w:val="0"/>
              <w:keepLines w:val="0"/>
              <w:widowControl/>
              <w:suppressLineNumbers w:val="0"/>
              <w:spacing w:before="0" w:beforeAutospacing="0" w:after="0" w:afterAutospacing="0" w:line="440" w:lineRule="exact"/>
              <w:ind w:left="0" w:right="0" w:firstLine="5600" w:firstLineChars="2000"/>
              <w:jc w:val="both"/>
              <w:rPr>
                <w:rFonts w:hint="eastAsia" w:ascii="宋体" w:hAnsi="宋体" w:eastAsia="宋体" w:cs="宋体"/>
                <w:color w:val="FF0000"/>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2026年5月</w:t>
            </w:r>
          </w:p>
        </w:tc>
      </w:tr>
    </w:tbl>
    <w:p w14:paraId="7C616BD9">
      <w:pPr>
        <w:rPr>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26D8050-EB28-4697-B5A5-95DE66E1AD3D}"/>
  </w:font>
  <w:font w:name="黑体">
    <w:panose1 w:val="02010609060101010101"/>
    <w:charset w:val="86"/>
    <w:family w:val="auto"/>
    <w:pitch w:val="default"/>
    <w:sig w:usb0="800002BF" w:usb1="38CF7CFA" w:usb2="00000016" w:usb3="00000000" w:csb0="00040001" w:csb1="00000000"/>
    <w:embedRegular r:id="rId2" w:fontKey="{1FA886E9-E1C0-41AB-A5C3-0F3A964FFEA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FA9C3773-7C15-40A2-A9C0-90CEE9B85E1F}"/>
  </w:font>
  <w:font w:name="仿宋_GB2312">
    <w:altName w:val="仿宋"/>
    <w:panose1 w:val="02010609030101010101"/>
    <w:charset w:val="86"/>
    <w:family w:val="auto"/>
    <w:pitch w:val="default"/>
    <w:sig w:usb0="00000000" w:usb1="00000000" w:usb2="00000000" w:usb3="00000000" w:csb0="00040000" w:csb1="00000000"/>
    <w:embedRegular r:id="rId4" w:fontKey="{FD4DDEDE-77EC-4720-814E-04C1DF286A33}"/>
  </w:font>
  <w:font w:name="仿宋">
    <w:panose1 w:val="02010609060101010101"/>
    <w:charset w:val="86"/>
    <w:family w:val="auto"/>
    <w:pitch w:val="default"/>
    <w:sig w:usb0="800002BF" w:usb1="38CF7CFA" w:usb2="00000016" w:usb3="00000000" w:csb0="00040001" w:csb1="00000000"/>
    <w:embedRegular r:id="rId5" w:fontKey="{FDC65F8A-8561-432B-9E93-8AF09675B1EB}"/>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〇.">
    <w:altName w:val="黑体"/>
    <w:panose1 w:val="00000000000000000000"/>
    <w:charset w:val="86"/>
    <w:family w:val="swiss"/>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ˎ̥">
    <w:altName w:val="Times New Roman"/>
    <w:panose1 w:val="00000000000000000000"/>
    <w:charset w:val="00"/>
    <w:family w:val="auto"/>
    <w:pitch w:val="default"/>
    <w:sig w:usb0="00000000" w:usb1="00000000" w:usb2="00000000" w:usb3="00000000" w:csb0="00000000" w:csb1="00000000"/>
  </w:font>
  <w:font w:name="宋体-18030">
    <w:altName w:val="宋体"/>
    <w:panose1 w:val="00000000000000000000"/>
    <w:charset w:val="86"/>
    <w:family w:val="modern"/>
    <w:pitch w:val="default"/>
    <w:sig w:usb0="00000000" w:usb1="00000000" w:usb2="00000010" w:usb3="00000000" w:csb0="00040000" w:csb1="00000000"/>
  </w:font>
  <w:font w:name="方正仿宋_GB18030">
    <w:panose1 w:val="02000000000000000000"/>
    <w:charset w:val="86"/>
    <w:family w:val="auto"/>
    <w:pitch w:val="default"/>
    <w:sig w:usb0="00000001" w:usb1="08000000" w:usb2="00000000" w:usb3="00000000" w:csb0="00040000" w:csb1="00000000"/>
    <w:embedRegular r:id="rId6" w:fontKey="{14B3B1AE-A768-435C-8D37-B7F189F17ACD}"/>
  </w:font>
  <w:font w:name="Times New Roman (正文 CS 字体)">
    <w:altName w:val="宋体"/>
    <w:panose1 w:val="00000000000000000000"/>
    <w:charset w:val="86"/>
    <w:family w:val="roman"/>
    <w:pitch w:val="default"/>
    <w:sig w:usb0="00000000" w:usb1="00000000" w:usb2="00000009" w:usb3="00000000" w:csb0="000001FF" w:csb1="00000000"/>
    <w:embedRegular r:id="rId7" w:fontKey="{1EFD065B-78F9-4799-A9B2-BEF69FFA21A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0ED0A">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B21BD2">
                          <w:pPr>
                            <w:pStyle w:val="1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2B21BD2">
                    <w:pPr>
                      <w:pStyle w:val="1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3AC41">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D53ECB">
                          <w:pPr>
                            <w:pStyle w:val="15"/>
                          </w:pPr>
                          <w:r>
                            <w:t xml:space="preserve">第 </w:t>
                          </w:r>
                          <w:r>
                            <w:fldChar w:fldCharType="begin"/>
                          </w:r>
                          <w:r>
                            <w:instrText xml:space="preserve"> PAGE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67D53ECB">
                    <w:pPr>
                      <w:pStyle w:val="15"/>
                    </w:pPr>
                    <w:r>
                      <w:t xml:space="preserve">第 </w:t>
                    </w:r>
                    <w:r>
                      <w:fldChar w:fldCharType="begin"/>
                    </w:r>
                    <w:r>
                      <w:instrText xml:space="preserve"> PAGE  \* MERGEFORMAT </w:instrText>
                    </w:r>
                    <w:r>
                      <w:fldChar w:fldCharType="separate"/>
                    </w:r>
                    <w:r>
                      <w:t>35</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54F3AC"/>
    <w:multiLevelType w:val="singleLevel"/>
    <w:tmpl w:val="8F54F3AC"/>
    <w:lvl w:ilvl="0" w:tentative="0">
      <w:start w:val="2"/>
      <w:numFmt w:val="chineseCounting"/>
      <w:suff w:val="space"/>
      <w:lvlText w:val="第%1章"/>
      <w:lvlJc w:val="left"/>
      <w:rPr>
        <w:rFonts w:hint="eastAsia"/>
      </w:rPr>
    </w:lvl>
  </w:abstractNum>
  <w:abstractNum w:abstractNumId="1">
    <w:nsid w:val="C46C6862"/>
    <w:multiLevelType w:val="singleLevel"/>
    <w:tmpl w:val="C46C6862"/>
    <w:lvl w:ilvl="0" w:tentative="0">
      <w:start w:val="5"/>
      <w:numFmt w:val="chineseCounting"/>
      <w:suff w:val="space"/>
      <w:lvlText w:val="第%1章"/>
      <w:lvlJc w:val="left"/>
      <w:rPr>
        <w:rFonts w:hint="eastAsia"/>
      </w:rPr>
    </w:lvl>
  </w:abstractNum>
  <w:abstractNum w:abstractNumId="2">
    <w:nsid w:val="F4A311EA"/>
    <w:multiLevelType w:val="singleLevel"/>
    <w:tmpl w:val="F4A311EA"/>
    <w:lvl w:ilvl="0" w:tentative="0">
      <w:start w:val="3"/>
      <w:numFmt w:val="decimal"/>
      <w:suff w:val="nothing"/>
      <w:lvlText w:val="%1．"/>
      <w:lvlJc w:val="left"/>
    </w:lvl>
  </w:abstractNum>
  <w:abstractNum w:abstractNumId="3">
    <w:nsid w:val="2C0E891D"/>
    <w:multiLevelType w:val="multilevel"/>
    <w:tmpl w:val="2C0E891D"/>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44E8B8FD"/>
    <w:multiLevelType w:val="singleLevel"/>
    <w:tmpl w:val="44E8B8FD"/>
    <w:lvl w:ilvl="0" w:tentative="0">
      <w:start w:val="6"/>
      <w:numFmt w:val="chineseCounting"/>
      <w:suff w:val="space"/>
      <w:lvlText w:val="第%1章"/>
      <w:lvlJc w:val="left"/>
      <w:rPr>
        <w:rFonts w:hint="eastAsia"/>
      </w:rPr>
    </w:lvl>
  </w:abstractNum>
  <w:abstractNum w:abstractNumId="5">
    <w:nsid w:val="76057C8D"/>
    <w:multiLevelType w:val="multilevel"/>
    <w:tmpl w:val="76057C8D"/>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440F4D94"/>
    <w:rsid w:val="00950983"/>
    <w:rsid w:val="01D118B5"/>
    <w:rsid w:val="01E872A1"/>
    <w:rsid w:val="032031D0"/>
    <w:rsid w:val="03471A81"/>
    <w:rsid w:val="06D54ED0"/>
    <w:rsid w:val="07092BD6"/>
    <w:rsid w:val="07C425FF"/>
    <w:rsid w:val="0AFF501E"/>
    <w:rsid w:val="0B8C2605"/>
    <w:rsid w:val="0CEF01A1"/>
    <w:rsid w:val="0D4228C9"/>
    <w:rsid w:val="0EBB3464"/>
    <w:rsid w:val="0F5A3543"/>
    <w:rsid w:val="0FC82D5D"/>
    <w:rsid w:val="101C4945"/>
    <w:rsid w:val="11273F56"/>
    <w:rsid w:val="12431559"/>
    <w:rsid w:val="14334ED5"/>
    <w:rsid w:val="147673EE"/>
    <w:rsid w:val="162403C8"/>
    <w:rsid w:val="1A2C0203"/>
    <w:rsid w:val="1B0B6A26"/>
    <w:rsid w:val="1CF617FA"/>
    <w:rsid w:val="1DD7722D"/>
    <w:rsid w:val="1E474369"/>
    <w:rsid w:val="1FBE5586"/>
    <w:rsid w:val="2035457B"/>
    <w:rsid w:val="204506D8"/>
    <w:rsid w:val="20F63292"/>
    <w:rsid w:val="21391D2B"/>
    <w:rsid w:val="21FC6157"/>
    <w:rsid w:val="222D5B93"/>
    <w:rsid w:val="239955A4"/>
    <w:rsid w:val="26855F91"/>
    <w:rsid w:val="271F6EDF"/>
    <w:rsid w:val="27427F5F"/>
    <w:rsid w:val="287E4991"/>
    <w:rsid w:val="28FD1B10"/>
    <w:rsid w:val="2A3C3E9A"/>
    <w:rsid w:val="30F76170"/>
    <w:rsid w:val="32013042"/>
    <w:rsid w:val="323852C9"/>
    <w:rsid w:val="32812567"/>
    <w:rsid w:val="32AB6635"/>
    <w:rsid w:val="39196E3A"/>
    <w:rsid w:val="3D7F110E"/>
    <w:rsid w:val="3D8B68BD"/>
    <w:rsid w:val="3F3A5217"/>
    <w:rsid w:val="3FDC1609"/>
    <w:rsid w:val="40585B1F"/>
    <w:rsid w:val="41C76417"/>
    <w:rsid w:val="42AB7679"/>
    <w:rsid w:val="42F933B2"/>
    <w:rsid w:val="440F4D94"/>
    <w:rsid w:val="44121234"/>
    <w:rsid w:val="447810F2"/>
    <w:rsid w:val="45132EF4"/>
    <w:rsid w:val="45602117"/>
    <w:rsid w:val="46501639"/>
    <w:rsid w:val="474318BA"/>
    <w:rsid w:val="47DC16A5"/>
    <w:rsid w:val="491938C4"/>
    <w:rsid w:val="49560276"/>
    <w:rsid w:val="4B8A2C90"/>
    <w:rsid w:val="4C3857CB"/>
    <w:rsid w:val="4F522371"/>
    <w:rsid w:val="4FA1515E"/>
    <w:rsid w:val="510E11AC"/>
    <w:rsid w:val="5523352E"/>
    <w:rsid w:val="57D3727A"/>
    <w:rsid w:val="5AB972A9"/>
    <w:rsid w:val="5AC41FE9"/>
    <w:rsid w:val="5D2B5019"/>
    <w:rsid w:val="5D322B2E"/>
    <w:rsid w:val="5D7002D3"/>
    <w:rsid w:val="604D11B9"/>
    <w:rsid w:val="62C47C43"/>
    <w:rsid w:val="6509245E"/>
    <w:rsid w:val="666F6CC6"/>
    <w:rsid w:val="668A652A"/>
    <w:rsid w:val="6EA934B6"/>
    <w:rsid w:val="706E041E"/>
    <w:rsid w:val="72A03324"/>
    <w:rsid w:val="72F47281"/>
    <w:rsid w:val="746B63CF"/>
    <w:rsid w:val="746C0AE0"/>
    <w:rsid w:val="74C85615"/>
    <w:rsid w:val="75843174"/>
    <w:rsid w:val="760F0C92"/>
    <w:rsid w:val="76B7003F"/>
    <w:rsid w:val="77730288"/>
    <w:rsid w:val="79757E4E"/>
    <w:rsid w:val="7A2A6204"/>
    <w:rsid w:val="7AF5326F"/>
    <w:rsid w:val="7B583976"/>
    <w:rsid w:val="7D256A57"/>
    <w:rsid w:val="7E8D5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0"/>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34"/>
    <w:semiHidden/>
    <w:unhideWhenUsed/>
    <w:qFormat/>
    <w:uiPriority w:val="0"/>
    <w:pPr>
      <w:keepNext/>
      <w:keepLines/>
      <w:widowControl w:val="0"/>
      <w:suppressLineNumbers w:val="0"/>
      <w:adjustRightInd w:val="0"/>
      <w:spacing w:before="0" w:beforeAutospacing="1" w:after="0" w:afterAutospacing="1" w:line="360" w:lineRule="atLeast"/>
      <w:ind w:left="2740" w:right="0" w:hanging="720"/>
      <w:jc w:val="both"/>
      <w:outlineLvl w:val="1"/>
    </w:pPr>
    <w:rPr>
      <w:rFonts w:hint="default" w:ascii="Times New Roman" w:hAnsi="Times New Roman" w:eastAsia="宋体" w:cs="Times New Roman"/>
      <w:color w:val="auto"/>
      <w:kern w:val="0"/>
      <w:sz w:val="24"/>
      <w:szCs w:val="24"/>
      <w:u w:color="auto"/>
      <w:lang w:val="en-US" w:eastAsia="zh-CN" w:bidi="ar"/>
    </w:rPr>
  </w:style>
  <w:style w:type="paragraph" w:styleId="3">
    <w:name w:val="heading 3"/>
    <w:basedOn w:val="1"/>
    <w:next w:val="1"/>
    <w:qFormat/>
    <w:uiPriority w:val="0"/>
    <w:pPr>
      <w:keepNext/>
      <w:keepLines/>
      <w:outlineLvl w:val="2"/>
    </w:pPr>
    <w:rPr>
      <w:kern w:val="0"/>
      <w:sz w:val="28"/>
      <w:szCs w:val="20"/>
    </w:rPr>
  </w:style>
  <w:style w:type="character" w:default="1" w:styleId="25">
    <w:name w:val="Default Paragraph Font"/>
    <w:semiHidden/>
    <w:qFormat/>
    <w:uiPriority w:val="0"/>
  </w:style>
  <w:style w:type="table" w:default="1" w:styleId="23">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4">
    <w:name w:val="toc 7"/>
    <w:basedOn w:val="1"/>
    <w:next w:val="1"/>
    <w:qFormat/>
    <w:uiPriority w:val="39"/>
    <w:pPr>
      <w:ind w:left="1260"/>
      <w:jc w:val="left"/>
    </w:pPr>
    <w:rPr>
      <w:sz w:val="18"/>
      <w:szCs w:val="18"/>
    </w:rPr>
  </w:style>
  <w:style w:type="paragraph" w:styleId="5">
    <w:name w:val="Normal Indent"/>
    <w:basedOn w:val="1"/>
    <w:next w:val="6"/>
    <w:qFormat/>
    <w:uiPriority w:val="0"/>
    <w:pPr>
      <w:keepNext w:val="0"/>
      <w:keepLines w:val="0"/>
      <w:widowControl w:val="0"/>
      <w:suppressLineNumbers w:val="0"/>
      <w:adjustRightInd w:val="0"/>
      <w:spacing w:before="0" w:beforeAutospacing="0" w:after="0" w:afterAutospacing="0" w:line="360" w:lineRule="atLeast"/>
      <w:ind w:left="0" w:right="0" w:firstLine="482"/>
      <w:jc w:val="both"/>
    </w:pPr>
    <w:rPr>
      <w:rFonts w:hint="default" w:ascii="Times New Roman" w:hAnsi="Times New Roman" w:eastAsia="宋体" w:cs="Times New Roman"/>
      <w:color w:val="auto"/>
      <w:kern w:val="0"/>
      <w:sz w:val="24"/>
      <w:szCs w:val="24"/>
      <w:u w:color="auto"/>
      <w:lang w:val="en-US" w:eastAsia="zh-CN" w:bidi="ar"/>
    </w:rPr>
  </w:style>
  <w:style w:type="paragraph" w:styleId="6">
    <w:name w:val="Body Text First Indent 2"/>
    <w:basedOn w:val="7"/>
    <w:next w:val="1"/>
    <w:link w:val="32"/>
    <w:qFormat/>
    <w:uiPriority w:val="0"/>
    <w:pPr>
      <w:keepNext w:val="0"/>
      <w:keepLines w:val="0"/>
      <w:widowControl/>
      <w:suppressLineNumbers w:val="0"/>
      <w:spacing w:before="0" w:beforeAutospacing="0" w:after="120" w:afterAutospacing="0" w:line="357" w:lineRule="atLeast"/>
      <w:ind w:left="420" w:leftChars="200" w:right="0" w:firstLine="420" w:firstLineChars="200"/>
      <w:jc w:val="both"/>
    </w:pPr>
    <w:rPr>
      <w:rFonts w:hint="default" w:ascii="Times New Roman" w:hAnsi="Times New Roman" w:eastAsia="宋体" w:cs="Times New Roman"/>
      <w:color w:val="000000"/>
      <w:kern w:val="0"/>
      <w:sz w:val="21"/>
      <w:szCs w:val="21"/>
      <w:u w:color="000000"/>
      <w:lang w:val="en-US" w:eastAsia="zh-CN" w:bidi="ar"/>
    </w:rPr>
  </w:style>
  <w:style w:type="paragraph" w:styleId="7">
    <w:name w:val="Body Text Indent"/>
    <w:basedOn w:val="1"/>
    <w:next w:val="8"/>
    <w:link w:val="31"/>
    <w:qFormat/>
    <w:uiPriority w:val="0"/>
    <w:pPr>
      <w:spacing w:after="120" w:afterLines="0" w:afterAutospacing="0"/>
      <w:ind w:left="420" w:leftChars="200"/>
    </w:pPr>
  </w:style>
  <w:style w:type="paragraph" w:styleId="8">
    <w:name w:val="envelope return"/>
    <w:basedOn w:val="1"/>
    <w:next w:val="4"/>
    <w:qFormat/>
    <w:uiPriority w:val="0"/>
    <w:pPr>
      <w:snapToGrid w:val="0"/>
    </w:pPr>
    <w:rPr>
      <w:rFonts w:ascii="Arial" w:hAnsi="Arial"/>
    </w:rPr>
  </w:style>
  <w:style w:type="paragraph" w:styleId="9">
    <w:name w:val="annotation text"/>
    <w:basedOn w:val="1"/>
    <w:qFormat/>
    <w:uiPriority w:val="0"/>
    <w:pPr>
      <w:jc w:val="left"/>
    </w:pPr>
  </w:style>
  <w:style w:type="paragraph" w:styleId="10">
    <w:name w:val="Body Text 3"/>
    <w:basedOn w:val="1"/>
    <w:qFormat/>
    <w:uiPriority w:val="0"/>
    <w:rPr>
      <w:rFonts w:ascii="宋体" w:hAnsi="Calibri" w:eastAsia="宋体" w:cs="Times New Roman"/>
      <w:sz w:val="24"/>
      <w:szCs w:val="20"/>
    </w:rPr>
  </w:style>
  <w:style w:type="paragraph" w:styleId="11">
    <w:name w:val="Body Text"/>
    <w:basedOn w:val="1"/>
    <w:qFormat/>
    <w:uiPriority w:val="0"/>
    <w:pPr>
      <w:widowControl w:val="0"/>
      <w:snapToGrid w:val="0"/>
      <w:spacing w:line="360" w:lineRule="auto"/>
    </w:pPr>
    <w:rPr>
      <w:rFonts w:ascii="Arial" w:hAnsi="Arial" w:eastAsia="仿宋_GB2312"/>
      <w:sz w:val="31"/>
    </w:rPr>
  </w:style>
  <w:style w:type="paragraph" w:styleId="12">
    <w:name w:val="toc 3"/>
    <w:basedOn w:val="1"/>
    <w:next w:val="1"/>
    <w:qFormat/>
    <w:uiPriority w:val="39"/>
    <w:pPr>
      <w:jc w:val="left"/>
    </w:pPr>
    <w:rPr>
      <w:rFonts w:ascii="Calibri" w:hAnsi="Calibri"/>
      <w:smallCaps/>
      <w:sz w:val="22"/>
      <w:szCs w:val="22"/>
    </w:rPr>
  </w:style>
  <w:style w:type="paragraph" w:styleId="13">
    <w:name w:val="Plain Text"/>
    <w:basedOn w:val="1"/>
    <w:link w:val="36"/>
    <w:qFormat/>
    <w:uiPriority w:val="0"/>
    <w:pPr>
      <w:keepNext w:val="0"/>
      <w:keepLines w:val="0"/>
      <w:widowControl w:val="0"/>
      <w:suppressLineNumbers w:val="0"/>
      <w:spacing w:before="0" w:beforeAutospacing="0" w:after="0" w:afterAutospacing="0" w:line="240" w:lineRule="auto"/>
      <w:ind w:left="0" w:right="0"/>
      <w:jc w:val="both"/>
    </w:pPr>
    <w:rPr>
      <w:rFonts w:hint="eastAsia" w:ascii="宋体" w:hAnsi="宋体" w:eastAsia="宋体" w:cs="宋体"/>
      <w:color w:val="auto"/>
      <w:kern w:val="2"/>
      <w:sz w:val="21"/>
      <w:szCs w:val="21"/>
      <w:u w:color="auto"/>
      <w:lang w:val="en-US" w:eastAsia="zh-CN" w:bidi="ar"/>
    </w:rPr>
  </w:style>
  <w:style w:type="paragraph" w:styleId="14">
    <w:name w:val="Date"/>
    <w:basedOn w:val="1"/>
    <w:next w:val="1"/>
    <w:link w:val="33"/>
    <w:qFormat/>
    <w:uiPriority w:val="0"/>
    <w:pPr>
      <w:keepNext w:val="0"/>
      <w:keepLines w:val="0"/>
      <w:widowControl w:val="0"/>
      <w:suppressLineNumbers w:val="0"/>
      <w:spacing w:before="0" w:beforeAutospacing="0" w:after="0" w:afterAutospacing="0" w:line="240" w:lineRule="auto"/>
      <w:ind w:left="0" w:right="0"/>
      <w:jc w:val="both"/>
    </w:pPr>
    <w:rPr>
      <w:rFonts w:hint="default" w:ascii="Arial" w:hAnsi="Arial" w:eastAsia="仿宋_GB2312" w:cs="Arial"/>
      <w:color w:val="000000"/>
      <w:kern w:val="2"/>
      <w:sz w:val="32"/>
      <w:szCs w:val="32"/>
      <w:u w:color="000000"/>
      <w:lang w:val="en-US" w:eastAsia="zh-CN" w:bidi="ar"/>
    </w:rPr>
  </w:style>
  <w:style w:type="paragraph" w:styleId="15">
    <w:name w:val="footer"/>
    <w:basedOn w:val="1"/>
    <w:link w:val="37"/>
    <w:qFormat/>
    <w:uiPriority w:val="0"/>
    <w:pPr>
      <w:tabs>
        <w:tab w:val="center" w:pos="4153"/>
        <w:tab w:val="right" w:pos="8306"/>
      </w:tabs>
      <w:snapToGrid w:val="0"/>
      <w:jc w:val="left"/>
    </w:pPr>
    <w:rPr>
      <w:sz w:val="18"/>
    </w:rPr>
  </w:style>
  <w:style w:type="paragraph" w:styleId="16">
    <w:name w:val="header"/>
    <w:basedOn w:val="1"/>
    <w:link w:val="3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39"/>
    <w:pPr>
      <w:spacing w:before="120" w:after="120"/>
      <w:jc w:val="left"/>
    </w:pPr>
    <w:rPr>
      <w:b/>
      <w:bCs/>
      <w:caps/>
      <w:sz w:val="20"/>
    </w:rPr>
  </w:style>
  <w:style w:type="paragraph" w:styleId="18">
    <w:name w:val="List"/>
    <w:basedOn w:val="1"/>
    <w:qFormat/>
    <w:uiPriority w:val="0"/>
    <w:pPr>
      <w:keepNext w:val="0"/>
      <w:keepLines w:val="0"/>
      <w:widowControl w:val="0"/>
      <w:suppressLineNumbers w:val="0"/>
      <w:spacing w:before="0" w:beforeAutospacing="1" w:after="0" w:afterAutospacing="1" w:line="240" w:lineRule="auto"/>
      <w:ind w:left="420" w:right="0" w:hanging="420"/>
      <w:jc w:val="both"/>
    </w:pPr>
    <w:rPr>
      <w:rFonts w:hint="default" w:ascii="Arial" w:hAnsi="Arial" w:eastAsia="楷体_GB2312" w:cs="Arial"/>
      <w:color w:val="auto"/>
      <w:kern w:val="2"/>
      <w:sz w:val="28"/>
      <w:szCs w:val="28"/>
      <w:u w:color="auto"/>
      <w:lang w:val="en-US" w:eastAsia="zh-CN" w:bidi="ar"/>
    </w:rPr>
  </w:style>
  <w:style w:type="paragraph" w:styleId="19">
    <w:name w:val="footnote text"/>
    <w:basedOn w:val="1"/>
    <w:semiHidden/>
    <w:unhideWhenUsed/>
    <w:qFormat/>
    <w:uiPriority w:val="99"/>
    <w:pPr>
      <w:snapToGrid w:val="0"/>
      <w:jc w:val="left"/>
    </w:pPr>
    <w:rPr>
      <w:sz w:val="18"/>
    </w:rPr>
  </w:style>
  <w:style w:type="paragraph" w:styleId="20">
    <w:name w:val="Body Text 2"/>
    <w:basedOn w:val="1"/>
    <w:qFormat/>
    <w:uiPriority w:val="0"/>
    <w:rPr>
      <w:kern w:val="0"/>
      <w:sz w:val="24"/>
    </w:rPr>
  </w:style>
  <w:style w:type="paragraph" w:styleId="21">
    <w:name w:val="Normal (Web)"/>
    <w:basedOn w:val="1"/>
    <w:qFormat/>
    <w:uiPriority w:val="0"/>
    <w:pPr>
      <w:keepNext w:val="0"/>
      <w:keepLines w:val="0"/>
      <w:widowControl/>
      <w:suppressLineNumbers w:val="0"/>
      <w:spacing w:before="0" w:beforeAutospacing="1" w:after="0" w:afterAutospacing="1" w:line="240" w:lineRule="auto"/>
      <w:ind w:left="0" w:right="0"/>
      <w:jc w:val="left"/>
    </w:pPr>
    <w:rPr>
      <w:rFonts w:hint="eastAsia" w:ascii="宋体" w:hAnsi="宋体" w:eastAsia="宋体" w:cs="宋体"/>
      <w:color w:val="auto"/>
      <w:kern w:val="0"/>
      <w:sz w:val="24"/>
      <w:szCs w:val="24"/>
      <w:u w:color="auto"/>
      <w:lang w:val="en-US" w:eastAsia="zh-CN" w:bidi="ar"/>
    </w:rPr>
  </w:style>
  <w:style w:type="paragraph" w:styleId="22">
    <w:name w:val="Body Text First Indent"/>
    <w:basedOn w:val="11"/>
    <w:qFormat/>
    <w:uiPriority w:val="0"/>
    <w:pPr>
      <w:adjustRightInd/>
      <w:spacing w:after="120" w:line="240" w:lineRule="auto"/>
      <w:ind w:firstLine="420" w:firstLineChars="100"/>
      <w:jc w:val="both"/>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99"/>
  </w:style>
  <w:style w:type="character" w:styleId="27">
    <w:name w:val="Hyperlink"/>
    <w:qFormat/>
    <w:uiPriority w:val="99"/>
    <w:rPr>
      <w:color w:val="0000FF"/>
      <w:u w:val="single"/>
    </w:rPr>
  </w:style>
  <w:style w:type="character" w:styleId="28">
    <w:name w:val="footnote reference"/>
    <w:basedOn w:val="25"/>
    <w:semiHidden/>
    <w:unhideWhenUsed/>
    <w:qFormat/>
    <w:uiPriority w:val="99"/>
    <w:rPr>
      <w:vertAlign w:val="superscript"/>
    </w:rPr>
  </w:style>
  <w:style w:type="paragraph" w:customStyle="1" w:styleId="29">
    <w:name w:val="正文文字 8"/>
    <w:basedOn w:val="1"/>
    <w:next w:val="1"/>
    <w:qFormat/>
    <w:uiPriority w:val="0"/>
    <w:pPr>
      <w:ind w:left="240"/>
    </w:pPr>
    <w:rPr>
      <w:sz w:val="16"/>
    </w:rPr>
  </w:style>
  <w:style w:type="paragraph" w:customStyle="1" w:styleId="30">
    <w:name w:val="Default"/>
    <w:qFormat/>
    <w:uiPriority w:val="0"/>
    <w:pPr>
      <w:widowControl w:val="0"/>
      <w:autoSpaceDE w:val="0"/>
      <w:autoSpaceDN w:val="0"/>
      <w:adjustRightInd w:val="0"/>
    </w:pPr>
    <w:rPr>
      <w:rFonts w:ascii="微软雅黑.〇." w:hAnsi="Calibri" w:eastAsia="微软雅黑.〇." w:cs="微软雅黑.〇."/>
      <w:color w:val="000000"/>
      <w:sz w:val="24"/>
      <w:szCs w:val="24"/>
      <w:lang w:val="en-US" w:eastAsia="zh-CN" w:bidi="ar-SA"/>
    </w:rPr>
  </w:style>
  <w:style w:type="character" w:customStyle="1" w:styleId="31">
    <w:name w:val="正文文本缩进 Char"/>
    <w:basedOn w:val="25"/>
    <w:link w:val="7"/>
    <w:qFormat/>
    <w:uiPriority w:val="0"/>
    <w:rPr>
      <w:rFonts w:hint="default" w:ascii="Times New Roman" w:hAnsi="Times New Roman" w:eastAsia="宋体" w:cs="Times New Roman"/>
      <w:color w:val="000000"/>
      <w:kern w:val="0"/>
      <w:szCs w:val="21"/>
      <w:u w:color="000000"/>
    </w:rPr>
  </w:style>
  <w:style w:type="character" w:customStyle="1" w:styleId="32">
    <w:name w:val="正文首行缩进 2 Char"/>
    <w:basedOn w:val="31"/>
    <w:link w:val="6"/>
    <w:qFormat/>
    <w:uiPriority w:val="0"/>
    <w:rPr>
      <w:rFonts w:hint="default" w:ascii="Times New Roman" w:hAnsi="Times New Roman" w:eastAsia="宋体" w:cs="Times New Roman"/>
      <w:color w:val="000000"/>
      <w:kern w:val="0"/>
      <w:szCs w:val="21"/>
      <w:u w:color="000000"/>
    </w:rPr>
  </w:style>
  <w:style w:type="character" w:customStyle="1" w:styleId="33">
    <w:name w:val="日期 Char"/>
    <w:basedOn w:val="25"/>
    <w:link w:val="14"/>
    <w:qFormat/>
    <w:uiPriority w:val="0"/>
    <w:rPr>
      <w:rFonts w:ascii="Arial" w:hAnsi="Arial" w:eastAsia="仿宋_GB2312" w:cs="Arial"/>
      <w:color w:val="000000"/>
      <w:sz w:val="32"/>
      <w:szCs w:val="32"/>
      <w:u w:color="000000"/>
    </w:rPr>
  </w:style>
  <w:style w:type="character" w:customStyle="1" w:styleId="34">
    <w:name w:val="标题 2 Char"/>
    <w:basedOn w:val="25"/>
    <w:link w:val="2"/>
    <w:qFormat/>
    <w:uiPriority w:val="0"/>
    <w:rPr>
      <w:rFonts w:hint="default" w:ascii="Times New Roman" w:hAnsi="Times New Roman" w:eastAsia="宋体" w:cs="Times New Roman"/>
      <w:kern w:val="0"/>
      <w:sz w:val="24"/>
      <w:szCs w:val="24"/>
    </w:rPr>
  </w:style>
  <w:style w:type="character" w:customStyle="1" w:styleId="35">
    <w:name w:val="页眉 Char"/>
    <w:basedOn w:val="25"/>
    <w:link w:val="16"/>
    <w:qFormat/>
    <w:uiPriority w:val="0"/>
    <w:rPr>
      <w:rFonts w:hint="default" w:ascii="Times New Roman" w:hAnsi="Times New Roman" w:eastAsia="宋体" w:cs="Times New Roman"/>
      <w:color w:val="000000"/>
      <w:kern w:val="0"/>
      <w:sz w:val="18"/>
      <w:szCs w:val="18"/>
      <w:u w:color="000000"/>
    </w:rPr>
  </w:style>
  <w:style w:type="character" w:customStyle="1" w:styleId="36">
    <w:name w:val="纯文本 Char"/>
    <w:basedOn w:val="25"/>
    <w:link w:val="13"/>
    <w:qFormat/>
    <w:uiPriority w:val="0"/>
    <w:rPr>
      <w:rFonts w:hint="eastAsia" w:ascii="宋体" w:hAnsi="宋体" w:eastAsia="宋体" w:cs="宋体"/>
      <w:szCs w:val="21"/>
    </w:rPr>
  </w:style>
  <w:style w:type="character" w:customStyle="1" w:styleId="37">
    <w:name w:val="页脚 Char"/>
    <w:basedOn w:val="25"/>
    <w:link w:val="15"/>
    <w:qFormat/>
    <w:uiPriority w:val="0"/>
    <w:rPr>
      <w:rFonts w:hint="default" w:ascii="Times New Roman" w:hAnsi="Times New Roman" w:eastAsia="宋体" w:cs="Times New Roman"/>
      <w:color w:val="000000"/>
      <w:kern w:val="0"/>
      <w:sz w:val="18"/>
      <w:szCs w:val="18"/>
      <w:u w:color="000000"/>
    </w:rPr>
  </w:style>
  <w:style w:type="paragraph" w:customStyle="1" w:styleId="38">
    <w:name w:val="节标题"/>
    <w:basedOn w:val="1"/>
    <w:next w:val="1"/>
    <w:qFormat/>
    <w:uiPriority w:val="0"/>
    <w:pPr>
      <w:keepNext w:val="0"/>
      <w:keepLines w:val="0"/>
      <w:widowControl/>
      <w:suppressLineNumbers w:val="0"/>
      <w:spacing w:before="0" w:beforeAutospacing="0" w:after="0" w:afterAutospacing="0" w:line="289" w:lineRule="atLeast"/>
      <w:ind w:left="0" w:right="0"/>
      <w:jc w:val="center"/>
    </w:pPr>
    <w:rPr>
      <w:rFonts w:hint="default" w:ascii="Times New Roman" w:hAnsi="Times New Roman" w:eastAsia="宋体" w:cs="Times New Roman"/>
      <w:color w:val="000000"/>
      <w:kern w:val="0"/>
      <w:sz w:val="28"/>
      <w:szCs w:val="28"/>
      <w:u w:color="000000"/>
      <w:lang w:val="en-US" w:eastAsia="zh-CN" w:bidi="ar"/>
    </w:rPr>
  </w:style>
  <w:style w:type="paragraph" w:styleId="39">
    <w:name w:val="List Paragraph"/>
    <w:basedOn w:val="1"/>
    <w:qFormat/>
    <w:uiPriority w:val="0"/>
    <w:pPr>
      <w:widowControl w:val="0"/>
      <w:spacing w:line="240" w:lineRule="auto"/>
      <w:ind w:firstLine="200" w:firstLineChars="200"/>
      <w:textAlignment w:val="auto"/>
    </w:pPr>
    <w:rPr>
      <w:u w:val="none" w:color="000000"/>
    </w:rPr>
  </w:style>
  <w:style w:type="character" w:customStyle="1" w:styleId="40">
    <w:name w:val="NormalCharacter"/>
    <w:link w:val="1"/>
    <w:semiHidden/>
    <w:qFormat/>
    <w:uiPriority w:val="0"/>
    <w:rPr>
      <w:rFonts w:asciiTheme="minorHAnsi" w:hAnsiTheme="minorHAnsi" w:eastAsiaTheme="minorEastAsia" w:cstheme="minorBidi"/>
      <w:kern w:val="2"/>
      <w:sz w:val="21"/>
      <w:szCs w:val="24"/>
      <w:lang w:val="en-US" w:eastAsia="zh-CN" w:bidi="ar-SA"/>
    </w:rPr>
  </w:style>
  <w:style w:type="paragraph" w:customStyle="1" w:styleId="41">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42">
    <w:name w:val="font51"/>
    <w:basedOn w:val="25"/>
    <w:qFormat/>
    <w:uiPriority w:val="0"/>
    <w:rPr>
      <w:rFonts w:hint="eastAsia" w:ascii="宋体" w:hAnsi="宋体" w:eastAsia="宋体" w:cs="宋体"/>
      <w:color w:val="000000"/>
      <w:sz w:val="22"/>
      <w:szCs w:val="22"/>
      <w:u w:val="none"/>
    </w:rPr>
  </w:style>
  <w:style w:type="character" w:customStyle="1" w:styleId="43">
    <w:name w:val="font31"/>
    <w:basedOn w:val="25"/>
    <w:qFormat/>
    <w:uiPriority w:val="0"/>
    <w:rPr>
      <w:rFonts w:hint="default" w:ascii="Times New Roman" w:hAnsi="Times New Roman" w:cs="Times New Roman"/>
      <w:color w:val="000000"/>
      <w:sz w:val="22"/>
      <w:szCs w:val="22"/>
      <w:u w:val="none"/>
    </w:rPr>
  </w:style>
  <w:style w:type="character" w:customStyle="1" w:styleId="44">
    <w:name w:val="font61"/>
    <w:basedOn w:val="25"/>
    <w:qFormat/>
    <w:uiPriority w:val="0"/>
    <w:rPr>
      <w:rFonts w:hint="default" w:ascii="Times New Roman" w:hAnsi="Times New Roman" w:cs="Times New Roman"/>
      <w:color w:val="000000"/>
      <w:sz w:val="21"/>
      <w:szCs w:val="21"/>
      <w:u w:val="none"/>
    </w:rPr>
  </w:style>
  <w:style w:type="character" w:customStyle="1" w:styleId="45">
    <w:name w:val="font71"/>
    <w:basedOn w:val="25"/>
    <w:qFormat/>
    <w:uiPriority w:val="0"/>
    <w:rPr>
      <w:rFonts w:hint="eastAsia" w:ascii="宋体" w:hAnsi="宋体" w:eastAsia="宋体" w:cs="宋体"/>
      <w:color w:val="000000"/>
      <w:sz w:val="21"/>
      <w:szCs w:val="21"/>
      <w:u w:val="none"/>
    </w:rPr>
  </w:style>
  <w:style w:type="character" w:customStyle="1" w:styleId="46">
    <w:name w:val="font01"/>
    <w:basedOn w:val="25"/>
    <w:qFormat/>
    <w:uiPriority w:val="0"/>
    <w:rPr>
      <w:rFonts w:hint="eastAsia" w:ascii="宋体" w:hAnsi="宋体" w:eastAsia="宋体" w:cs="宋体"/>
      <w:color w:val="000000"/>
      <w:sz w:val="22"/>
      <w:szCs w:val="22"/>
      <w:u w:val="none"/>
    </w:rPr>
  </w:style>
  <w:style w:type="character" w:customStyle="1" w:styleId="47">
    <w:name w:val="font11"/>
    <w:basedOn w:val="25"/>
    <w:qFormat/>
    <w:uiPriority w:val="0"/>
    <w:rPr>
      <w:rFonts w:hint="eastAsia" w:ascii="宋体" w:hAnsi="宋体" w:eastAsia="宋体" w:cs="宋体"/>
      <w:color w:val="000000"/>
      <w:sz w:val="21"/>
      <w:szCs w:val="21"/>
      <w:u w:val="none"/>
    </w:rPr>
  </w:style>
  <w:style w:type="character" w:customStyle="1" w:styleId="48">
    <w:name w:val="font41"/>
    <w:basedOn w:val="25"/>
    <w:qFormat/>
    <w:uiPriority w:val="0"/>
    <w:rPr>
      <w:rFonts w:hint="default" w:ascii="Times New Roman" w:hAnsi="Times New Roman" w:cs="Times New Roman"/>
      <w:color w:val="000000"/>
      <w:sz w:val="22"/>
      <w:szCs w:val="22"/>
      <w:u w:val="none"/>
    </w:rPr>
  </w:style>
  <w:style w:type="paragraph" w:customStyle="1" w:styleId="49">
    <w:name w:val="二级标题"/>
    <w:basedOn w:val="1"/>
    <w:next w:val="1"/>
    <w:qFormat/>
    <w:uiPriority w:val="0"/>
    <w:rPr>
      <w:rFonts w:hint="eastAsia" w:eastAsia="楷体"/>
    </w:rPr>
  </w:style>
  <w:style w:type="paragraph" w:customStyle="1" w:styleId="50">
    <w:name w:val="首行缩进"/>
    <w:basedOn w:val="1"/>
    <w:qFormat/>
    <w:uiPriority w:val="0"/>
    <w:pPr>
      <w:ind w:firstLine="480" w:firstLineChars="200"/>
    </w:pPr>
    <w:rPr>
      <w:rFonts w:eastAsia="楷体_GB2312"/>
      <w:lang w:val="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14543</Words>
  <Characters>15625</Characters>
  <Lines>0</Lines>
  <Paragraphs>0</Paragraphs>
  <TotalTime>2</TotalTime>
  <ScaleCrop>false</ScaleCrop>
  <LinksUpToDate>false</LinksUpToDate>
  <CharactersWithSpaces>16105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2021-12-21T01:48:00Z</dcterms:created>
  <dc:creator>傻傻一辈子</dc:creator>
  <cp:lastModifiedBy>傻傻一辈子</cp:lastModifiedBy>
  <cp:lastPrinted>2023-11-23T14:11:00Z</cp:lastPrinted>
  <dcterms:modified xsi:type="dcterms:W3CDTF">2026-05-22T03:35:27Z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6D9A791FE09F4AF69DC46F4A104A7358</vt:lpwstr>
  </property>
  <property fmtid="{D5CDD505-2E9C-101B-9397-08002B2CF9AE}" pid="4" name="KSOTemplateDocerSaveRecord">
    <vt:lpwstr>eyJoZGlkIjoiMTljMDcwYWJmYjExZWQzNTVmZDAzZTYwM2JlMzJmZDYiLCJ1c2VySWQiOiIzODU2Mzk2OTQifQ==</vt:lpwstr>
  </property>
</Properties>
</file>