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color w:val="auto"/>
          <w:kern w:val="0"/>
          <w:sz w:val="44"/>
          <w:szCs w:val="44"/>
          <w:highlight w:val="none"/>
        </w:rPr>
      </w:pPr>
      <w:bookmarkStart w:id="0" w:name="_Toc246996898"/>
      <w:bookmarkStart w:id="1" w:name="_Toc247085669"/>
      <w:bookmarkStart w:id="2" w:name="_Toc506107265"/>
      <w:bookmarkStart w:id="3" w:name="_Toc15058843"/>
      <w:bookmarkStart w:id="4" w:name="_Toc296602400"/>
      <w:bookmarkStart w:id="5" w:name="_Toc461631222"/>
      <w:bookmarkStart w:id="6" w:name="_Toc324404811"/>
      <w:bookmarkStart w:id="7" w:name="OLE_LINK4"/>
      <w:bookmarkStart w:id="8" w:name="OLE_LINK1"/>
      <w:bookmarkStart w:id="9" w:name="OLE_LINK5"/>
      <w:bookmarkStart w:id="10" w:name="OLE_LINK2"/>
      <w:bookmarkStart w:id="11" w:name="OLE_LINK3"/>
    </w:p>
    <w:p w14:paraId="03BEA7F1">
      <w:pPr>
        <w:pStyle w:val="14"/>
        <w:ind w:firstLine="420"/>
        <w:rPr>
          <w:color w:val="auto"/>
          <w:highlight w:val="none"/>
        </w:rPr>
      </w:pPr>
    </w:p>
    <w:p w14:paraId="183E3389">
      <w:pPr>
        <w:pStyle w:val="14"/>
        <w:ind w:left="0" w:leftChars="0" w:firstLine="0" w:firstLineChars="0"/>
        <w:jc w:val="center"/>
        <w:rPr>
          <w:color w:val="auto"/>
          <w:sz w:val="22"/>
          <w:szCs w:val="21"/>
          <w:highlight w:val="none"/>
        </w:rPr>
      </w:pPr>
      <w:r>
        <w:rPr>
          <w:rFonts w:hint="eastAsia" w:hAnsi="宋体" w:cs="宋体"/>
          <w:b/>
          <w:color w:val="auto"/>
          <w:kern w:val="0"/>
          <w:sz w:val="44"/>
          <w:szCs w:val="44"/>
          <w:highlight w:val="none"/>
          <w:lang w:eastAsia="zh-CN"/>
        </w:rPr>
        <w:t>滁宁公司院内绿化提升工程</w:t>
      </w:r>
    </w:p>
    <w:p w14:paraId="1C9996FB">
      <w:pPr>
        <w:jc w:val="center"/>
        <w:rPr>
          <w:rFonts w:ascii="宋体" w:hAnsi="宋体"/>
          <w:color w:val="auto"/>
          <w:sz w:val="96"/>
          <w:szCs w:val="96"/>
          <w:highlight w:val="none"/>
        </w:rPr>
      </w:pPr>
    </w:p>
    <w:p w14:paraId="2A2621CC">
      <w:pPr>
        <w:pStyle w:val="14"/>
        <w:rPr>
          <w:color w:val="auto"/>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691FE4D6">
      <w:pPr>
        <w:spacing w:line="800" w:lineRule="exact"/>
        <w:ind w:firstLine="2100" w:firstLineChars="700"/>
        <w:rPr>
          <w:rFonts w:hint="default" w:ascii="宋体" w:cs="Times New Roman"/>
          <w:color w:val="auto"/>
          <w:sz w:val="30"/>
          <w:szCs w:val="30"/>
          <w:highlight w:val="none"/>
          <w:u w:val="none"/>
          <w:lang w:val="en-US" w:eastAsia="zh-CN"/>
        </w:rPr>
      </w:pPr>
      <w:r>
        <w:rPr>
          <w:rFonts w:hint="eastAsia" w:ascii="宋体" w:cs="Times New Roman"/>
          <w:color w:val="auto"/>
          <w:sz w:val="30"/>
          <w:szCs w:val="30"/>
          <w:highlight w:val="none"/>
          <w:u w:val="none"/>
          <w:lang w:val="en-US" w:eastAsia="zh-CN"/>
        </w:rPr>
        <w:t>项目编号：HXJY1110001053760001001</w:t>
      </w:r>
    </w:p>
    <w:p w14:paraId="7E411827">
      <w:pPr>
        <w:pStyle w:val="14"/>
        <w:rPr>
          <w:color w:val="auto"/>
          <w:highlight w:val="none"/>
        </w:rPr>
      </w:pPr>
    </w:p>
    <w:p w14:paraId="6CF62471">
      <w:pPr>
        <w:rPr>
          <w:color w:val="auto"/>
          <w:highlight w:val="none"/>
        </w:rPr>
      </w:pPr>
    </w:p>
    <w:p w14:paraId="276FE2C2">
      <w:pPr>
        <w:pStyle w:val="14"/>
        <w:rPr>
          <w:color w:val="auto"/>
          <w:highlight w:val="none"/>
        </w:rPr>
      </w:pPr>
    </w:p>
    <w:p w14:paraId="3BD0CE75">
      <w:pPr>
        <w:rPr>
          <w:color w:val="auto"/>
          <w:highlight w:val="none"/>
        </w:rPr>
      </w:pPr>
    </w:p>
    <w:p w14:paraId="31EEA548">
      <w:pPr>
        <w:pStyle w:val="14"/>
        <w:rPr>
          <w:color w:val="auto"/>
          <w:highlight w:val="none"/>
        </w:rPr>
      </w:pPr>
    </w:p>
    <w:p w14:paraId="6EBADFFD">
      <w:pPr>
        <w:rPr>
          <w:color w:val="auto"/>
          <w:highlight w:val="none"/>
        </w:rPr>
      </w:pPr>
    </w:p>
    <w:p w14:paraId="57C971B3">
      <w:pPr>
        <w:pStyle w:val="14"/>
        <w:rPr>
          <w:color w:val="auto"/>
          <w:highlight w:val="none"/>
        </w:rPr>
      </w:pPr>
    </w:p>
    <w:p w14:paraId="00CEC72B">
      <w:pPr>
        <w:rPr>
          <w:color w:val="auto"/>
          <w:highlight w:val="none"/>
        </w:rPr>
      </w:pPr>
    </w:p>
    <w:p w14:paraId="0FB3EFCA">
      <w:pPr>
        <w:pStyle w:val="14"/>
        <w:rPr>
          <w:color w:val="auto"/>
          <w:highlight w:val="none"/>
        </w:rPr>
      </w:pPr>
    </w:p>
    <w:p w14:paraId="34E1CE7D">
      <w:pPr>
        <w:spacing w:line="720" w:lineRule="exact"/>
        <w:rPr>
          <w:b/>
          <w:bCs/>
          <w:color w:val="auto"/>
          <w:sz w:val="28"/>
          <w:szCs w:val="28"/>
          <w:highlight w:val="none"/>
        </w:rPr>
      </w:pPr>
    </w:p>
    <w:p w14:paraId="73A49FE4">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color w:val="auto"/>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color w:val="auto"/>
          <w:sz w:val="30"/>
          <w:szCs w:val="30"/>
          <w:highlight w:val="none"/>
          <w:u w:val="single"/>
          <w:lang w:eastAsia="zh-CN"/>
        </w:rPr>
        <w:t>安徽滁宁高速公路股份有限公司</w:t>
      </w:r>
      <w:r>
        <w:rPr>
          <w:rFonts w:hint="eastAsia" w:ascii="宋体" w:cs="Times New Roman"/>
          <w:color w:val="auto"/>
          <w:sz w:val="30"/>
          <w:szCs w:val="30"/>
          <w:highlight w:val="none"/>
          <w:u w:val="single"/>
          <w:lang w:val="en-US" w:eastAsia="zh-CN"/>
        </w:rPr>
        <w:t xml:space="preserve">  </w:t>
      </w:r>
    </w:p>
    <w:p w14:paraId="2C39D907">
      <w:pPr>
        <w:spacing w:line="800" w:lineRule="exact"/>
        <w:ind w:firstLine="600" w:firstLineChars="200"/>
        <w:rPr>
          <w:bCs/>
          <w:color w:val="auto"/>
          <w:spacing w:val="-20"/>
          <w:sz w:val="30"/>
          <w:szCs w:val="30"/>
          <w:highlight w:val="none"/>
          <w:u w:val="thick"/>
        </w:rPr>
      </w:pPr>
      <w:r>
        <w:rPr>
          <w:rFonts w:hint="eastAsia"/>
          <w:bCs/>
          <w:color w:val="auto"/>
          <w:sz w:val="30"/>
          <w:szCs w:val="30"/>
          <w:highlight w:val="none"/>
        </w:rPr>
        <w:t>招标代理机构：</w:t>
      </w:r>
      <w:r>
        <w:rPr>
          <w:rFonts w:hint="eastAsia" w:ascii="宋体"/>
          <w:color w:val="auto"/>
          <w:sz w:val="30"/>
          <w:szCs w:val="30"/>
          <w:highlight w:val="none"/>
          <w:u w:val="single"/>
        </w:rPr>
        <w:t>滁州市城投工程咨询管理有限公司</w:t>
      </w:r>
    </w:p>
    <w:p w14:paraId="2CFDB883">
      <w:pPr>
        <w:spacing w:before="156" w:beforeLines="50" w:after="156" w:afterLines="50" w:line="700" w:lineRule="exact"/>
        <w:jc w:val="center"/>
        <w:rPr>
          <w:rFonts w:ascii="宋体"/>
          <w:b w:val="0"/>
          <w:bCs/>
          <w:color w:val="auto"/>
          <w:sz w:val="32"/>
          <w:szCs w:val="32"/>
          <w:highlight w:val="none"/>
        </w:rPr>
      </w:pPr>
      <w:r>
        <w:rPr>
          <w:rFonts w:hint="eastAsia" w:ascii="宋体"/>
          <w:b w:val="0"/>
          <w:bCs/>
          <w:color w:val="auto"/>
          <w:sz w:val="32"/>
          <w:szCs w:val="32"/>
          <w:highlight w:val="none"/>
          <w:u w:val="single"/>
          <w:lang w:eastAsia="zh-CN"/>
        </w:rPr>
        <w:t>202</w:t>
      </w:r>
      <w:r>
        <w:rPr>
          <w:rFonts w:hint="eastAsia" w:ascii="宋体"/>
          <w:b w:val="0"/>
          <w:bCs/>
          <w:color w:val="auto"/>
          <w:sz w:val="32"/>
          <w:szCs w:val="32"/>
          <w:highlight w:val="none"/>
          <w:u w:val="single"/>
          <w:lang w:val="en-US" w:eastAsia="zh-CN"/>
        </w:rPr>
        <w:t>6</w:t>
      </w:r>
      <w:r>
        <w:rPr>
          <w:rFonts w:hint="eastAsia" w:ascii="宋体"/>
          <w:b w:val="0"/>
          <w:bCs/>
          <w:color w:val="auto"/>
          <w:sz w:val="32"/>
          <w:szCs w:val="32"/>
          <w:highlight w:val="none"/>
          <w:u w:val="none"/>
          <w:lang w:eastAsia="zh-CN"/>
        </w:rPr>
        <w:t>年</w:t>
      </w:r>
      <w:r>
        <w:rPr>
          <w:rFonts w:hint="eastAsia" w:ascii="宋体"/>
          <w:b w:val="0"/>
          <w:bCs/>
          <w:color w:val="auto"/>
          <w:sz w:val="32"/>
          <w:szCs w:val="32"/>
          <w:highlight w:val="none"/>
          <w:u w:val="single"/>
          <w:lang w:val="en-US" w:eastAsia="zh-CN"/>
        </w:rPr>
        <w:t xml:space="preserve"> 4</w:t>
      </w:r>
      <w:r>
        <w:rPr>
          <w:rFonts w:hint="eastAsia" w:ascii="宋体"/>
          <w:b w:val="0"/>
          <w:bCs/>
          <w:color w:val="auto"/>
          <w:sz w:val="32"/>
          <w:szCs w:val="32"/>
          <w:highlight w:val="none"/>
        </w:rPr>
        <w:t>月</w:t>
      </w:r>
      <w:r>
        <w:rPr>
          <w:rFonts w:hint="eastAsia" w:ascii="宋体"/>
          <w:b w:val="0"/>
          <w:bCs/>
          <w:color w:val="auto"/>
          <w:sz w:val="32"/>
          <w:szCs w:val="32"/>
          <w:highlight w:val="none"/>
          <w:u w:val="single"/>
          <w:lang w:val="en-US" w:eastAsia="zh-CN"/>
        </w:rPr>
        <w:t xml:space="preserve"> 1 </w:t>
      </w:r>
      <w:r>
        <w:rPr>
          <w:rFonts w:hint="eastAsia" w:ascii="宋体"/>
          <w:b w:val="0"/>
          <w:bCs/>
          <w:color w:val="auto"/>
          <w:sz w:val="32"/>
          <w:szCs w:val="32"/>
          <w:highlight w:val="none"/>
        </w:rPr>
        <w:t>日</w:t>
      </w:r>
    </w:p>
    <w:p w14:paraId="0AB791E7">
      <w:pPr>
        <w:jc w:val="center"/>
        <w:rPr>
          <w:color w:val="auto"/>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color w:val="auto"/>
          <w:sz w:val="44"/>
          <w:szCs w:val="44"/>
          <w:highlight w:val="none"/>
        </w:rPr>
      </w:pPr>
    </w:p>
    <w:p w14:paraId="09796EC2">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2" w:name="_Toc152042287"/>
      <w:bookmarkStart w:id="13" w:name="_Toc144974479"/>
      <w:bookmarkStart w:id="14" w:name="_Toc179632527"/>
      <w:bookmarkStart w:id="15" w:name="_Toc152045511"/>
    </w:p>
    <w:p w14:paraId="3C53E9AE">
      <w:pPr>
        <w:pStyle w:val="31"/>
        <w:tabs>
          <w:tab w:val="right" w:leader="dot" w:pos="9460"/>
        </w:tabs>
        <w:rPr>
          <w:rFonts w:ascii="Calibri" w:hAnsi="Calibri"/>
          <w:b w:val="0"/>
          <w:bCs w:val="0"/>
          <w:caps w:val="0"/>
          <w:color w:val="auto"/>
          <w:sz w:val="32"/>
          <w:szCs w:val="22"/>
          <w:highlight w:val="none"/>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"_Toc95223332"</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color w:val="auto"/>
          <w:sz w:val="28"/>
          <w:highlight w:val="none"/>
        </w:rPr>
        <w:t>第一章</w:t>
      </w:r>
      <w:r>
        <w:rPr>
          <w:rStyle w:val="58"/>
          <w:color w:val="auto"/>
          <w:sz w:val="28"/>
          <w:highlight w:val="none"/>
        </w:rPr>
        <w:t xml:space="preserve"> </w:t>
      </w:r>
      <w:r>
        <w:rPr>
          <w:rStyle w:val="58"/>
          <w:rFonts w:hint="eastAsia"/>
          <w:color w:val="auto"/>
          <w:sz w:val="28"/>
          <w:highlight w:val="none"/>
        </w:rPr>
        <w:t>招标公告</w:t>
      </w:r>
      <w:r>
        <w:rPr>
          <w:color w:val="auto"/>
          <w:sz w:val="28"/>
          <w:highlight w:val="none"/>
        </w:rPr>
        <w:tab/>
      </w:r>
      <w:r>
        <w:rPr>
          <w:color w:val="auto"/>
          <w:sz w:val="28"/>
          <w:highlight w:val="none"/>
        </w:rPr>
        <w:fldChar w:fldCharType="begin"/>
      </w:r>
      <w:r>
        <w:rPr>
          <w:color w:val="auto"/>
          <w:sz w:val="28"/>
          <w:highlight w:val="none"/>
        </w:rPr>
        <w:instrText xml:space="preserve"> PAGEREF _Toc95223332 \h </w:instrText>
      </w:r>
      <w:r>
        <w:rPr>
          <w:color w:val="auto"/>
          <w:sz w:val="28"/>
          <w:highlight w:val="none"/>
        </w:rPr>
        <w:fldChar w:fldCharType="separate"/>
      </w:r>
      <w:r>
        <w:rPr>
          <w:color w:val="auto"/>
          <w:sz w:val="28"/>
          <w:highlight w:val="none"/>
        </w:rPr>
        <w:t>1</w:t>
      </w:r>
      <w:r>
        <w:rPr>
          <w:color w:val="auto"/>
          <w:sz w:val="28"/>
          <w:highlight w:val="none"/>
        </w:rPr>
        <w:fldChar w:fldCharType="end"/>
      </w:r>
      <w:r>
        <w:rPr>
          <w:rStyle w:val="58"/>
          <w:color w:val="auto"/>
          <w:sz w:val="28"/>
          <w:highlight w:val="none"/>
        </w:rPr>
        <w:fldChar w:fldCharType="end"/>
      </w:r>
    </w:p>
    <w:p w14:paraId="0460FC51">
      <w:pPr>
        <w:pStyle w:val="31"/>
        <w:tabs>
          <w:tab w:val="right" w:leader="dot" w:pos="9460"/>
        </w:tabs>
        <w:rPr>
          <w:rFonts w:ascii="Calibri" w:hAnsi="Calibri"/>
          <w:b w:val="0"/>
          <w:bCs w:val="0"/>
          <w:caps w:val="0"/>
          <w:color w:val="auto"/>
          <w:sz w:val="32"/>
          <w:szCs w:val="22"/>
          <w:highlight w:val="none"/>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"_Toc95223333"</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color w:val="auto"/>
          <w:sz w:val="28"/>
          <w:highlight w:val="none"/>
        </w:rPr>
        <w:t>第二章</w:t>
      </w:r>
      <w:r>
        <w:rPr>
          <w:rStyle w:val="58"/>
          <w:color w:val="auto"/>
          <w:sz w:val="28"/>
          <w:highlight w:val="none"/>
        </w:rPr>
        <w:t xml:space="preserve"> </w:t>
      </w:r>
      <w:r>
        <w:rPr>
          <w:rStyle w:val="58"/>
          <w:rFonts w:hint="eastAsia"/>
          <w:color w:val="auto"/>
          <w:sz w:val="28"/>
          <w:highlight w:val="none"/>
        </w:rPr>
        <w:t>投标人须知</w:t>
      </w:r>
      <w:r>
        <w:rPr>
          <w:color w:val="auto"/>
          <w:sz w:val="28"/>
          <w:highlight w:val="none"/>
        </w:rPr>
        <w:tab/>
      </w:r>
      <w:r>
        <w:rPr>
          <w:rFonts w:hint="eastAsia"/>
          <w:color w:val="auto"/>
          <w:sz w:val="28"/>
          <w:highlight w:val="none"/>
          <w:lang w:val="en-US" w:eastAsia="zh-CN"/>
        </w:rPr>
        <w:t>4</w:t>
      </w:r>
      <w:r>
        <w:rPr>
          <w:rStyle w:val="58"/>
          <w:color w:val="auto"/>
          <w:sz w:val="28"/>
          <w:highlight w:val="none"/>
        </w:rPr>
        <w:fldChar w:fldCharType="end"/>
      </w:r>
    </w:p>
    <w:p w14:paraId="4117FED1">
      <w:pPr>
        <w:pStyle w:val="31"/>
        <w:tabs>
          <w:tab w:val="right" w:leader="dot" w:pos="9460"/>
        </w:tabs>
        <w:rPr>
          <w:rFonts w:hint="default" w:ascii="Calibri" w:hAnsi="Calibri" w:eastAsia="宋体"/>
          <w:b w:val="0"/>
          <w:bCs w:val="0"/>
          <w:caps w:val="0"/>
          <w:color w:val="auto"/>
          <w:sz w:val="32"/>
          <w:szCs w:val="22"/>
          <w:highlight w:val="none"/>
          <w:lang w:val="en-US" w:eastAsia="zh-CN"/>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"_Toc95223391"</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color w:val="auto"/>
          <w:sz w:val="28"/>
          <w:highlight w:val="none"/>
        </w:rPr>
        <w:t>第三章</w:t>
      </w:r>
      <w:r>
        <w:rPr>
          <w:rStyle w:val="58"/>
          <w:color w:val="auto"/>
          <w:sz w:val="28"/>
          <w:highlight w:val="none"/>
        </w:rPr>
        <w:t xml:space="preserve"> </w:t>
      </w:r>
      <w:r>
        <w:rPr>
          <w:rStyle w:val="58"/>
          <w:rFonts w:hint="eastAsia"/>
          <w:color w:val="auto"/>
          <w:sz w:val="28"/>
          <w:highlight w:val="none"/>
        </w:rPr>
        <w:t>资格审查办法</w:t>
      </w:r>
      <w:r>
        <w:rPr>
          <w:color w:val="auto"/>
          <w:sz w:val="28"/>
          <w:highlight w:val="none"/>
        </w:rPr>
        <w:tab/>
      </w:r>
      <w:r>
        <w:rPr>
          <w:rStyle w:val="58"/>
          <w:color w:val="auto"/>
          <w:sz w:val="28"/>
          <w:highlight w:val="none"/>
        </w:rPr>
        <w:fldChar w:fldCharType="end"/>
      </w:r>
      <w:r>
        <w:rPr>
          <w:rStyle w:val="58"/>
          <w:rFonts w:hint="eastAsia"/>
          <w:color w:val="auto"/>
          <w:sz w:val="28"/>
          <w:highlight w:val="none"/>
          <w:lang w:val="en-US" w:eastAsia="zh-CN"/>
        </w:rPr>
        <w:t>20</w:t>
      </w:r>
    </w:p>
    <w:p w14:paraId="278F67BB">
      <w:pPr>
        <w:pStyle w:val="31"/>
        <w:tabs>
          <w:tab w:val="right" w:leader="dot" w:pos="9460"/>
        </w:tabs>
        <w:rPr>
          <w:rFonts w:hint="eastAsia" w:ascii="Calibri" w:hAnsi="Calibri" w:eastAsia="宋体"/>
          <w:b w:val="0"/>
          <w:bCs w:val="0"/>
          <w:caps w:val="0"/>
          <w:color w:val="auto"/>
          <w:sz w:val="32"/>
          <w:szCs w:val="22"/>
          <w:highlight w:val="none"/>
          <w:lang w:val="en-US" w:eastAsia="zh-CN"/>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"_Toc95223398"</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color w:val="auto"/>
          <w:sz w:val="28"/>
          <w:highlight w:val="none"/>
        </w:rPr>
        <w:t>第四章</w:t>
      </w:r>
      <w:r>
        <w:rPr>
          <w:rStyle w:val="58"/>
          <w:color w:val="auto"/>
          <w:sz w:val="28"/>
          <w:highlight w:val="none"/>
        </w:rPr>
        <w:t xml:space="preserve"> </w:t>
      </w:r>
      <w:r>
        <w:rPr>
          <w:rStyle w:val="58"/>
          <w:rFonts w:hint="eastAsia"/>
          <w:color w:val="auto"/>
          <w:sz w:val="28"/>
          <w:highlight w:val="none"/>
        </w:rPr>
        <w:t>评标办法</w:t>
      </w:r>
      <w:bookmarkStart w:id="16" w:name="_Hlt95225442"/>
      <w:r>
        <w:rPr>
          <w:color w:val="auto"/>
          <w:sz w:val="28"/>
          <w:highlight w:val="none"/>
        </w:rPr>
        <w:tab/>
      </w:r>
      <w:bookmarkEnd w:id="16"/>
      <w:r>
        <w:rPr>
          <w:rFonts w:hint="eastAsia"/>
          <w:color w:val="auto"/>
          <w:sz w:val="28"/>
          <w:highlight w:val="none"/>
          <w:lang w:val="en-US" w:eastAsia="zh-CN"/>
        </w:rPr>
        <w:t>2</w:t>
      </w:r>
      <w:r>
        <w:rPr>
          <w:rStyle w:val="58"/>
          <w:color w:val="auto"/>
          <w:sz w:val="28"/>
          <w:highlight w:val="none"/>
        </w:rPr>
        <w:fldChar w:fldCharType="end"/>
      </w:r>
      <w:r>
        <w:rPr>
          <w:rStyle w:val="58"/>
          <w:rFonts w:hint="eastAsia"/>
          <w:color w:val="auto"/>
          <w:sz w:val="28"/>
          <w:highlight w:val="none"/>
          <w:lang w:val="en-US" w:eastAsia="zh-CN"/>
        </w:rPr>
        <w:t>2</w:t>
      </w:r>
    </w:p>
    <w:p w14:paraId="50BF535A">
      <w:pPr>
        <w:pStyle w:val="31"/>
        <w:tabs>
          <w:tab w:val="right" w:leader="dot" w:pos="9460"/>
        </w:tabs>
        <w:rPr>
          <w:rFonts w:hint="eastAsia" w:ascii="Calibri" w:hAnsi="Calibri" w:eastAsia="宋体"/>
          <w:b w:val="0"/>
          <w:bCs w:val="0"/>
          <w:caps w:val="0"/>
          <w:color w:val="auto"/>
          <w:sz w:val="32"/>
          <w:szCs w:val="22"/>
          <w:highlight w:val="none"/>
          <w:lang w:val="en-US" w:eastAsia="zh-CN"/>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"_Toc95223458"</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color w:val="auto"/>
          <w:sz w:val="28"/>
          <w:highlight w:val="none"/>
        </w:rPr>
        <w:t>第五章</w:t>
      </w:r>
      <w:r>
        <w:rPr>
          <w:rStyle w:val="58"/>
          <w:color w:val="auto"/>
          <w:sz w:val="28"/>
          <w:highlight w:val="none"/>
        </w:rPr>
        <w:t xml:space="preserve"> </w:t>
      </w:r>
      <w:r>
        <w:rPr>
          <w:rStyle w:val="58"/>
          <w:rFonts w:hint="eastAsia"/>
          <w:color w:val="auto"/>
          <w:sz w:val="28"/>
          <w:highlight w:val="none"/>
        </w:rPr>
        <w:t>合同条款及格式</w:t>
      </w:r>
      <w:r>
        <w:rPr>
          <w:color w:val="auto"/>
          <w:sz w:val="28"/>
          <w:highlight w:val="none"/>
        </w:rPr>
        <w:tab/>
      </w:r>
      <w:r>
        <w:rPr>
          <w:rFonts w:hint="eastAsia"/>
          <w:color w:val="auto"/>
          <w:sz w:val="28"/>
          <w:highlight w:val="none"/>
          <w:lang w:val="en-US" w:eastAsia="zh-CN"/>
        </w:rPr>
        <w:t>3</w:t>
      </w:r>
      <w:r>
        <w:rPr>
          <w:rStyle w:val="58"/>
          <w:color w:val="auto"/>
          <w:sz w:val="28"/>
          <w:highlight w:val="none"/>
        </w:rPr>
        <w:fldChar w:fldCharType="end"/>
      </w:r>
      <w:r>
        <w:rPr>
          <w:rStyle w:val="58"/>
          <w:rFonts w:hint="eastAsia"/>
          <w:color w:val="auto"/>
          <w:sz w:val="28"/>
          <w:highlight w:val="none"/>
          <w:lang w:val="en-US" w:eastAsia="zh-CN"/>
        </w:rPr>
        <w:t>3</w:t>
      </w:r>
    </w:p>
    <w:p w14:paraId="2E624EDC">
      <w:pPr>
        <w:pStyle w:val="31"/>
        <w:tabs>
          <w:tab w:val="right" w:leader="dot" w:pos="9460"/>
        </w:tabs>
        <w:rPr>
          <w:rFonts w:hint="eastAsia" w:ascii="Calibri" w:hAnsi="Calibri" w:eastAsia="宋体"/>
          <w:b w:val="0"/>
          <w:bCs w:val="0"/>
          <w:caps w:val="0"/>
          <w:color w:val="auto"/>
          <w:sz w:val="32"/>
          <w:szCs w:val="22"/>
          <w:highlight w:val="none"/>
          <w:lang w:val="en-US" w:eastAsia="zh-CN"/>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"_Toc95223515"</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ascii="宋体" w:hAnsi="宋体" w:cs="宋体"/>
          <w:color w:val="auto"/>
          <w:kern w:val="44"/>
          <w:sz w:val="28"/>
          <w:highlight w:val="none"/>
        </w:rPr>
        <w:t>第六章 工程量清单</w:t>
      </w:r>
      <w:r>
        <w:rPr>
          <w:color w:val="auto"/>
          <w:sz w:val="28"/>
          <w:highlight w:val="none"/>
        </w:rPr>
        <w:tab/>
      </w:r>
      <w:r>
        <w:rPr>
          <w:rFonts w:hint="eastAsia"/>
          <w:color w:val="auto"/>
          <w:sz w:val="28"/>
          <w:highlight w:val="none"/>
          <w:lang w:val="en-US" w:eastAsia="zh-CN"/>
        </w:rPr>
        <w:t>7</w:t>
      </w:r>
      <w:r>
        <w:rPr>
          <w:rStyle w:val="58"/>
          <w:color w:val="auto"/>
          <w:sz w:val="28"/>
          <w:highlight w:val="none"/>
        </w:rPr>
        <w:fldChar w:fldCharType="end"/>
      </w:r>
      <w:r>
        <w:rPr>
          <w:rStyle w:val="58"/>
          <w:rFonts w:hint="eastAsia"/>
          <w:color w:val="auto"/>
          <w:sz w:val="28"/>
          <w:highlight w:val="none"/>
          <w:lang w:val="en-US" w:eastAsia="zh-CN"/>
        </w:rPr>
        <w:t>6</w:t>
      </w:r>
    </w:p>
    <w:p w14:paraId="3DCF61C3">
      <w:pPr>
        <w:pStyle w:val="31"/>
        <w:tabs>
          <w:tab w:val="right" w:leader="dot" w:pos="9460"/>
        </w:tabs>
        <w:rPr>
          <w:rFonts w:hint="eastAsia" w:ascii="Calibri" w:hAnsi="Calibri" w:eastAsia="宋体"/>
          <w:b w:val="0"/>
          <w:bCs w:val="0"/>
          <w:caps w:val="0"/>
          <w:color w:val="auto"/>
          <w:sz w:val="32"/>
          <w:szCs w:val="22"/>
          <w:highlight w:val="none"/>
          <w:lang w:val="en-US" w:eastAsia="zh-CN"/>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"_Toc95223522"</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ascii="宋体" w:hAnsi="宋体" w:cs="宋体"/>
          <w:color w:val="auto"/>
          <w:kern w:val="44"/>
          <w:sz w:val="28"/>
          <w:highlight w:val="none"/>
        </w:rPr>
        <w:t>第七章</w:t>
      </w:r>
      <w:r>
        <w:rPr>
          <w:rStyle w:val="58"/>
          <w:rFonts w:ascii="宋体" w:hAnsi="宋体" w:cs="宋体"/>
          <w:color w:val="auto"/>
          <w:kern w:val="44"/>
          <w:sz w:val="28"/>
          <w:highlight w:val="none"/>
        </w:rPr>
        <w:t xml:space="preserve"> </w:t>
      </w:r>
      <w:r>
        <w:rPr>
          <w:rStyle w:val="58"/>
          <w:rFonts w:hint="eastAsia" w:ascii="宋体" w:hAnsi="宋体" w:cs="宋体"/>
          <w:color w:val="auto"/>
          <w:kern w:val="44"/>
          <w:sz w:val="28"/>
          <w:highlight w:val="none"/>
        </w:rPr>
        <w:t>图</w:t>
      </w:r>
      <w:r>
        <w:rPr>
          <w:rStyle w:val="58"/>
          <w:rFonts w:ascii="宋体" w:hAnsi="宋体" w:cs="宋体"/>
          <w:color w:val="auto"/>
          <w:kern w:val="44"/>
          <w:sz w:val="28"/>
          <w:highlight w:val="none"/>
        </w:rPr>
        <w:t xml:space="preserve">  </w:t>
      </w:r>
      <w:r>
        <w:rPr>
          <w:rStyle w:val="58"/>
          <w:rFonts w:hint="eastAsia" w:ascii="宋体" w:hAnsi="宋体" w:cs="宋体"/>
          <w:color w:val="auto"/>
          <w:kern w:val="44"/>
          <w:sz w:val="28"/>
          <w:highlight w:val="none"/>
        </w:rPr>
        <w:t>纸</w:t>
      </w:r>
      <w:r>
        <w:rPr>
          <w:color w:val="auto"/>
          <w:sz w:val="28"/>
          <w:highlight w:val="none"/>
        </w:rPr>
        <w:tab/>
      </w:r>
      <w:r>
        <w:rPr>
          <w:rFonts w:hint="eastAsia"/>
          <w:color w:val="auto"/>
          <w:sz w:val="28"/>
          <w:highlight w:val="none"/>
          <w:lang w:val="en-US" w:eastAsia="zh-CN"/>
        </w:rPr>
        <w:t>7</w:t>
      </w:r>
      <w:r>
        <w:rPr>
          <w:rStyle w:val="58"/>
          <w:color w:val="auto"/>
          <w:sz w:val="28"/>
          <w:highlight w:val="none"/>
        </w:rPr>
        <w:fldChar w:fldCharType="end"/>
      </w:r>
      <w:r>
        <w:rPr>
          <w:rStyle w:val="58"/>
          <w:rFonts w:hint="eastAsia"/>
          <w:color w:val="auto"/>
          <w:sz w:val="28"/>
          <w:highlight w:val="none"/>
          <w:lang w:val="en-US" w:eastAsia="zh-CN"/>
        </w:rPr>
        <w:t>6</w:t>
      </w:r>
    </w:p>
    <w:p w14:paraId="3AB8456F">
      <w:pPr>
        <w:pStyle w:val="31"/>
        <w:tabs>
          <w:tab w:val="right" w:leader="dot" w:pos="9460"/>
        </w:tabs>
        <w:rPr>
          <w:rFonts w:hint="eastAsia" w:ascii="Calibri" w:hAnsi="Calibri" w:eastAsia="宋体"/>
          <w:b w:val="0"/>
          <w:bCs w:val="0"/>
          <w:caps w:val="0"/>
          <w:color w:val="auto"/>
          <w:sz w:val="32"/>
          <w:szCs w:val="22"/>
          <w:highlight w:val="none"/>
          <w:lang w:val="en-US" w:eastAsia="zh-CN"/>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"_Toc95223525"</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ascii="宋体" w:hAnsi="宋体" w:cs="宋体"/>
          <w:color w:val="auto"/>
          <w:kern w:val="44"/>
          <w:sz w:val="28"/>
          <w:highlight w:val="none"/>
        </w:rPr>
        <w:t>第八章 技术标准和要求</w:t>
      </w:r>
      <w:r>
        <w:rPr>
          <w:color w:val="auto"/>
          <w:sz w:val="28"/>
          <w:highlight w:val="none"/>
        </w:rPr>
        <w:tab/>
      </w:r>
      <w:r>
        <w:rPr>
          <w:rFonts w:hint="eastAsia"/>
          <w:color w:val="auto"/>
          <w:sz w:val="28"/>
          <w:highlight w:val="none"/>
          <w:lang w:val="en-US" w:eastAsia="zh-CN"/>
        </w:rPr>
        <w:t>7</w:t>
      </w:r>
      <w:r>
        <w:rPr>
          <w:rStyle w:val="58"/>
          <w:color w:val="auto"/>
          <w:sz w:val="28"/>
          <w:highlight w:val="none"/>
        </w:rPr>
        <w:fldChar w:fldCharType="end"/>
      </w:r>
      <w:r>
        <w:rPr>
          <w:rStyle w:val="58"/>
          <w:rFonts w:hint="eastAsia"/>
          <w:color w:val="auto"/>
          <w:sz w:val="28"/>
          <w:highlight w:val="none"/>
          <w:lang w:val="en-US" w:eastAsia="zh-CN"/>
        </w:rPr>
        <w:t>7</w:t>
      </w:r>
    </w:p>
    <w:p w14:paraId="7B73DFB9">
      <w:pPr>
        <w:pStyle w:val="31"/>
        <w:tabs>
          <w:tab w:val="right" w:leader="dot" w:pos="9460"/>
        </w:tabs>
        <w:rPr>
          <w:rFonts w:hint="eastAsia" w:ascii="Calibri" w:hAnsi="Calibri" w:eastAsia="宋体"/>
          <w:b w:val="0"/>
          <w:bCs w:val="0"/>
          <w:caps w:val="0"/>
          <w:color w:val="auto"/>
          <w:sz w:val="32"/>
          <w:szCs w:val="22"/>
          <w:highlight w:val="none"/>
          <w:lang w:val="en-US" w:eastAsia="zh-CN"/>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"_Toc95223531"</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color w:val="auto"/>
          <w:sz w:val="28"/>
          <w:highlight w:val="none"/>
        </w:rPr>
        <w:t>第九章 投标文件格式</w:t>
      </w:r>
      <w:r>
        <w:rPr>
          <w:color w:val="auto"/>
          <w:sz w:val="28"/>
          <w:highlight w:val="none"/>
        </w:rPr>
        <w:tab/>
      </w:r>
      <w:r>
        <w:rPr>
          <w:rFonts w:hint="eastAsia"/>
          <w:color w:val="auto"/>
          <w:sz w:val="28"/>
          <w:highlight w:val="none"/>
          <w:lang w:val="en-US" w:eastAsia="zh-CN"/>
        </w:rPr>
        <w:t>8</w:t>
      </w:r>
      <w:r>
        <w:rPr>
          <w:rStyle w:val="58"/>
          <w:color w:val="auto"/>
          <w:sz w:val="28"/>
          <w:highlight w:val="none"/>
        </w:rPr>
        <w:fldChar w:fldCharType="end"/>
      </w:r>
      <w:r>
        <w:rPr>
          <w:rStyle w:val="58"/>
          <w:rFonts w:hint="eastAsia"/>
          <w:color w:val="auto"/>
          <w:sz w:val="28"/>
          <w:highlight w:val="none"/>
          <w:lang w:val="en-US" w:eastAsia="zh-CN"/>
        </w:rPr>
        <w:t>0</w:t>
      </w:r>
    </w:p>
    <w:p w14:paraId="63D8DA84">
      <w:pPr>
        <w:pStyle w:val="31"/>
        <w:tabs>
          <w:tab w:val="right" w:leader="dot" w:pos="9460"/>
        </w:tabs>
        <w:rPr>
          <w:rFonts w:ascii="Calibri" w:hAnsi="Calibri"/>
          <w:b w:val="0"/>
          <w:bCs w:val="0"/>
          <w:caps w:val="0"/>
          <w:color w:val="auto"/>
          <w:sz w:val="32"/>
          <w:szCs w:val="22"/>
          <w:highlight w:val="none"/>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"_Toc95223547"</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eastAsia="黑体"/>
          <w:color w:val="auto"/>
          <w:sz w:val="28"/>
          <w:highlight w:val="none"/>
        </w:rPr>
        <w:t>第十章</w:t>
      </w:r>
      <w:r>
        <w:rPr>
          <w:rStyle w:val="58"/>
          <w:rFonts w:eastAsia="黑体"/>
          <w:color w:val="auto"/>
          <w:sz w:val="28"/>
          <w:highlight w:val="none"/>
        </w:rPr>
        <w:t xml:space="preserve"> </w:t>
      </w:r>
      <w:r>
        <w:rPr>
          <w:rStyle w:val="58"/>
          <w:rFonts w:hint="eastAsia" w:eastAsia="黑体"/>
          <w:color w:val="auto"/>
          <w:sz w:val="28"/>
          <w:highlight w:val="none"/>
        </w:rPr>
        <w:t xml:space="preserve"> 招标人、招标代理机构对本招标文件的确认</w:t>
      </w:r>
      <w:bookmarkStart w:id="17" w:name="_Hlt95223551"/>
      <w:bookmarkStart w:id="18" w:name="_Hlt95223550"/>
      <w:r>
        <w:rPr>
          <w:color w:val="auto"/>
          <w:sz w:val="28"/>
          <w:highlight w:val="none"/>
        </w:rPr>
        <w:tab/>
      </w:r>
      <w:bookmarkEnd w:id="17"/>
      <w:bookmarkEnd w:id="18"/>
      <w:r>
        <w:rPr>
          <w:color w:val="auto"/>
          <w:sz w:val="28"/>
          <w:highlight w:val="none"/>
        </w:rPr>
        <w:fldChar w:fldCharType="begin"/>
      </w:r>
      <w:r>
        <w:rPr>
          <w:color w:val="auto"/>
          <w:sz w:val="28"/>
          <w:highlight w:val="none"/>
        </w:rPr>
        <w:instrText xml:space="preserve"> PAGEREF _Toc95223547 \h </w:instrText>
      </w:r>
      <w:r>
        <w:rPr>
          <w:color w:val="auto"/>
          <w:sz w:val="28"/>
          <w:highlight w:val="none"/>
        </w:rPr>
        <w:fldChar w:fldCharType="separate"/>
      </w:r>
      <w:r>
        <w:rPr>
          <w:rFonts w:hint="eastAsia"/>
          <w:color w:val="auto"/>
          <w:sz w:val="28"/>
          <w:highlight w:val="none"/>
          <w:lang w:val="en-US" w:eastAsia="zh-CN"/>
        </w:rPr>
        <w:t>92</w:t>
      </w:r>
      <w:r>
        <w:rPr>
          <w:color w:val="auto"/>
          <w:sz w:val="28"/>
          <w:highlight w:val="none"/>
        </w:rPr>
        <w:fldChar w:fldCharType="end"/>
      </w:r>
      <w:r>
        <w:rPr>
          <w:rStyle w:val="58"/>
          <w:color w:val="auto"/>
          <w:sz w:val="28"/>
          <w:highlight w:val="none"/>
        </w:rPr>
        <w:fldChar w:fldCharType="end"/>
      </w:r>
    </w:p>
    <w:p w14:paraId="328C7EE3">
      <w:pPr>
        <w:pStyle w:val="31"/>
        <w:tabs>
          <w:tab w:val="right" w:leader="dot" w:pos="9460"/>
        </w:tabs>
        <w:rPr>
          <w:rFonts w:ascii="Calibri" w:hAnsi="Calibri"/>
          <w:b w:val="0"/>
          <w:bCs w:val="0"/>
          <w:caps w:val="0"/>
          <w:color w:val="auto"/>
          <w:sz w:val="32"/>
          <w:szCs w:val="22"/>
          <w:highlight w:val="none"/>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"_Toc95223548"</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ascii="黑体" w:hAnsi="黑体" w:eastAsia="黑体"/>
          <w:color w:val="auto"/>
          <w:sz w:val="28"/>
          <w:highlight w:val="none"/>
        </w:rPr>
        <w:t>附件</w:t>
      </w:r>
      <w:r>
        <w:rPr>
          <w:rStyle w:val="58"/>
          <w:rFonts w:ascii="黑体" w:hAnsi="黑体" w:eastAsia="黑体"/>
          <w:color w:val="auto"/>
          <w:sz w:val="28"/>
          <w:highlight w:val="none"/>
        </w:rPr>
        <w:t xml:space="preserve">1 </w:t>
      </w:r>
      <w:r>
        <w:rPr>
          <w:rStyle w:val="58"/>
          <w:rFonts w:hint="eastAsia" w:ascii="黑体" w:hAnsi="黑体" w:eastAsia="黑体"/>
          <w:color w:val="auto"/>
          <w:sz w:val="28"/>
          <w:highlight w:val="none"/>
        </w:rPr>
        <w:t>关于联合惩戒失信行为加强信用查询管理的通知</w:t>
      </w:r>
      <w:r>
        <w:rPr>
          <w:color w:val="auto"/>
          <w:sz w:val="28"/>
          <w:highlight w:val="none"/>
        </w:rPr>
        <w:tab/>
      </w:r>
      <w:r>
        <w:rPr>
          <w:color w:val="auto"/>
          <w:sz w:val="28"/>
          <w:highlight w:val="none"/>
        </w:rPr>
        <w:fldChar w:fldCharType="begin"/>
      </w:r>
      <w:r>
        <w:rPr>
          <w:color w:val="auto"/>
          <w:sz w:val="28"/>
          <w:highlight w:val="none"/>
        </w:rPr>
        <w:instrText xml:space="preserve"> PAGEREF _Toc95223548 \h </w:instrText>
      </w:r>
      <w:r>
        <w:rPr>
          <w:color w:val="auto"/>
          <w:sz w:val="28"/>
          <w:highlight w:val="none"/>
        </w:rPr>
        <w:fldChar w:fldCharType="separate"/>
      </w:r>
      <w:r>
        <w:rPr>
          <w:rFonts w:hint="eastAsia"/>
          <w:color w:val="auto"/>
          <w:sz w:val="28"/>
          <w:highlight w:val="none"/>
          <w:lang w:val="en-US" w:eastAsia="zh-CN"/>
        </w:rPr>
        <w:t>93</w:t>
      </w:r>
      <w:r>
        <w:rPr>
          <w:color w:val="auto"/>
          <w:sz w:val="28"/>
          <w:highlight w:val="none"/>
        </w:rPr>
        <w:fldChar w:fldCharType="end"/>
      </w:r>
      <w:r>
        <w:rPr>
          <w:rStyle w:val="58"/>
          <w:color w:val="auto"/>
          <w:sz w:val="28"/>
          <w:highlight w:val="none"/>
        </w:rPr>
        <w:fldChar w:fldCharType="end"/>
      </w:r>
    </w:p>
    <w:p w14:paraId="13C7F18B">
      <w:pPr>
        <w:pStyle w:val="31"/>
        <w:tabs>
          <w:tab w:val="right" w:leader="dot" w:pos="9460"/>
        </w:tabs>
        <w:rPr>
          <w:rStyle w:val="58"/>
          <w:rFonts w:hint="eastAsia"/>
          <w:color w:val="auto"/>
          <w:sz w:val="28"/>
          <w:highlight w:val="none"/>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"_Toc95223549"</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ascii="黑体" w:hAnsi="黑体" w:eastAsia="黑体"/>
          <w:color w:val="auto"/>
          <w:sz w:val="28"/>
          <w:highlight w:val="none"/>
        </w:rPr>
        <w:t>附件</w:t>
      </w:r>
      <w:r>
        <w:rPr>
          <w:rStyle w:val="58"/>
          <w:rFonts w:ascii="黑体" w:hAnsi="黑体" w:eastAsia="黑体"/>
          <w:color w:val="auto"/>
          <w:sz w:val="28"/>
          <w:highlight w:val="none"/>
        </w:rPr>
        <w:t xml:space="preserve">2 </w:t>
      </w:r>
      <w:r>
        <w:rPr>
          <w:rStyle w:val="58"/>
          <w:rFonts w:hint="eastAsia" w:ascii="黑体" w:hAnsi="黑体" w:eastAsia="黑体"/>
          <w:color w:val="auto"/>
          <w:sz w:val="28"/>
          <w:highlight w:val="none"/>
        </w:rPr>
        <w:t>“信用中国”查询的严重失信行为类别及判定依据</w:t>
      </w:r>
      <w:r>
        <w:rPr>
          <w:color w:val="auto"/>
          <w:sz w:val="28"/>
          <w:highlight w:val="none"/>
        </w:rPr>
        <w:tab/>
      </w:r>
      <w:r>
        <w:rPr>
          <w:color w:val="auto"/>
          <w:sz w:val="28"/>
          <w:highlight w:val="none"/>
        </w:rPr>
        <w:fldChar w:fldCharType="begin"/>
      </w:r>
      <w:r>
        <w:rPr>
          <w:color w:val="auto"/>
          <w:sz w:val="28"/>
          <w:highlight w:val="none"/>
        </w:rPr>
        <w:instrText xml:space="preserve"> PAGEREF _Toc95223549 \h </w:instrText>
      </w:r>
      <w:r>
        <w:rPr>
          <w:color w:val="auto"/>
          <w:sz w:val="28"/>
          <w:highlight w:val="none"/>
        </w:rPr>
        <w:fldChar w:fldCharType="separate"/>
      </w:r>
      <w:r>
        <w:rPr>
          <w:rFonts w:hint="eastAsia"/>
          <w:color w:val="auto"/>
          <w:sz w:val="28"/>
          <w:highlight w:val="none"/>
          <w:lang w:val="en-US" w:eastAsia="zh-CN"/>
        </w:rPr>
        <w:t>97</w:t>
      </w:r>
      <w:r>
        <w:rPr>
          <w:color w:val="auto"/>
          <w:sz w:val="28"/>
          <w:highlight w:val="none"/>
        </w:rPr>
        <w:fldChar w:fldCharType="end"/>
      </w:r>
      <w:r>
        <w:rPr>
          <w:rStyle w:val="58"/>
          <w:color w:val="auto"/>
          <w:sz w:val="28"/>
          <w:highlight w:val="none"/>
        </w:rPr>
        <w:fldChar w:fldCharType="end"/>
      </w:r>
    </w:p>
    <w:p w14:paraId="5052B2D4">
      <w:pPr>
        <w:pStyle w:val="14"/>
        <w:spacing w:line="700" w:lineRule="exact"/>
        <w:ind w:left="0" w:leftChars="0" w:firstLine="480"/>
        <w:jc w:val="left"/>
        <w:rPr>
          <w:color w:val="auto"/>
          <w:sz w:val="24"/>
          <w:szCs w:val="24"/>
          <w:highlight w:val="none"/>
        </w:rPr>
      </w:pPr>
    </w:p>
    <w:p w14:paraId="3004C8EC">
      <w:pPr>
        <w:pStyle w:val="44"/>
        <w:spacing w:line="700" w:lineRule="exact"/>
        <w:jc w:val="left"/>
        <w:rPr>
          <w:color w:val="auto"/>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4"/>
        <w:spacing w:beforeLines="50" w:afterLines="50" w:line="440" w:lineRule="exact"/>
        <w:rPr>
          <w:rFonts w:hint="eastAsia" w:eastAsia="宋体" w:cs="Times New Roman"/>
          <w:bCs/>
          <w:color w:val="auto"/>
          <w:szCs w:val="32"/>
          <w:highlight w:val="none"/>
        </w:rPr>
      </w:pPr>
      <w:bookmarkStart w:id="19" w:name="_Toc78803320"/>
      <w:bookmarkStart w:id="20" w:name="_Toc152045527"/>
      <w:bookmarkStart w:id="21" w:name="_Toc324404813"/>
      <w:bookmarkStart w:id="22" w:name="_Toc179632544"/>
      <w:bookmarkStart w:id="23" w:name="_Toc246996916"/>
      <w:bookmarkStart w:id="24" w:name="_Toc152042303"/>
      <w:bookmarkStart w:id="25" w:name="_Toc144974495"/>
      <w:bookmarkStart w:id="26" w:name="_Toc35424883"/>
      <w:bookmarkStart w:id="27" w:name="_Toc506107267"/>
      <w:bookmarkStart w:id="28" w:name="_Toc15058844"/>
      <w:bookmarkStart w:id="29" w:name="_Toc35425050"/>
      <w:bookmarkStart w:id="30" w:name="_Toc247085687"/>
      <w:bookmarkStart w:id="31" w:name="_Toc246996173"/>
      <w:r>
        <w:rPr>
          <w:rFonts w:hint="eastAsia" w:eastAsia="宋体" w:cs="Times New Roman"/>
          <w:bCs/>
          <w:color w:val="auto"/>
          <w:szCs w:val="32"/>
          <w:highlight w:val="none"/>
          <w:lang w:val="en-US" w:eastAsia="zh-CN"/>
        </w:rPr>
        <w:t xml:space="preserve">第一章 </w:t>
      </w:r>
      <w:r>
        <w:rPr>
          <w:rFonts w:hint="eastAsia" w:eastAsia="宋体" w:cs="Times New Roman"/>
          <w:bCs/>
          <w:color w:val="auto"/>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1"/>
                <w:sz w:val="21"/>
                <w:szCs w:val="21"/>
                <w:highlight w:val="none"/>
              </w:rPr>
            </w:pPr>
            <w:r>
              <w:rPr>
                <w:rFonts w:hint="eastAsia" w:ascii="宋体" w:hAnsi="宋体" w:cs="宋体"/>
                <w:bCs/>
                <w:color w:val="auto"/>
                <w:kern w:val="1"/>
                <w:sz w:val="21"/>
                <w:szCs w:val="21"/>
                <w:highlight w:val="none"/>
                <w:lang w:eastAsia="zh-CN"/>
              </w:rPr>
              <w:t>滁宁公司院内绿化提升工程</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安徽滁宁高速公路股份有限公司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安徽滁宁高速公路股份有限公司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经评审的最低投标价法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滁宁公司院内绿化提升工程</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14"/>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14:paraId="56AC02AD">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详见工程量清单。</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2618AED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74.60万元。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241300BA">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30个日历天。</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14"/>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hAnsi="宋体" w:cs="宋体"/>
                <w:color w:val="auto"/>
                <w:szCs w:val="21"/>
                <w:highlight w:val="none"/>
                <w:lang w:val="en-US" w:eastAsia="zh-CN"/>
              </w:rPr>
              <w:t>具体见</w:t>
            </w:r>
            <w:r>
              <w:rPr>
                <w:rFonts w:hint="eastAsia" w:ascii="宋体" w:hAnsi="宋体" w:cs="宋体"/>
                <w:color w:val="auto"/>
                <w:szCs w:val="21"/>
                <w:highlight w:val="none"/>
                <w:lang w:val="en-US" w:eastAsia="zh-CN"/>
              </w:rPr>
              <w:t>工程量清单</w:t>
            </w:r>
            <w:r>
              <w:rPr>
                <w:rFonts w:hint="eastAsia" w:hAnsi="宋体" w:cs="宋体"/>
                <w:color w:val="auto"/>
                <w:szCs w:val="21"/>
                <w:highlight w:val="none"/>
                <w:lang w:val="en-US" w:eastAsia="zh-CN"/>
              </w:rPr>
              <w:t>。</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绿化施工</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19D789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投标人具备独立承担民事责任能力且具备相应的实施能力；</w:t>
            </w:r>
          </w:p>
        </w:tc>
      </w:tr>
      <w:tr w14:paraId="07C2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54140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经理</w:t>
            </w: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14:paraId="3830E4B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投标人拟委任项目经理须具备</w:t>
            </w:r>
            <w:r>
              <w:rPr>
                <w:rFonts w:hint="eastAsia" w:ascii="宋体" w:hAnsi="宋体" w:eastAsia="宋体" w:cs="宋体"/>
                <w:color w:val="auto"/>
                <w:sz w:val="21"/>
                <w:szCs w:val="21"/>
                <w:highlight w:val="none"/>
                <w:u w:val="single"/>
                <w:lang w:val="en-US" w:eastAsia="zh-CN"/>
              </w:rPr>
              <w:t>园林绿化相关专业中级及以上技术职称或市政公用工程专业二级（或以上）注册建造师资格</w:t>
            </w:r>
            <w:r>
              <w:rPr>
                <w:rFonts w:hint="eastAsia" w:ascii="宋体" w:hAnsi="宋体" w:eastAsia="宋体" w:cs="宋体"/>
                <w:color w:val="auto"/>
                <w:sz w:val="21"/>
                <w:szCs w:val="21"/>
                <w:highlight w:val="none"/>
                <w:lang w:val="en-US" w:eastAsia="zh-CN"/>
              </w:rPr>
              <w:t>。本项目不接受投标截止时间前六个月内在滁州市区域内办理过项目经理（建造师）变更备案手续的原项目经理（建造师）作为拟任项目经理（建造师）参加投标。</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widowControl/>
              <w:spacing w:line="560" w:lineRule="exact"/>
              <w:jc w:val="center"/>
              <w:rPr>
                <w:rFonts w:hint="eastAsia" w:ascii="宋体" w:hAnsi="宋体" w:eastAsia="宋体" w:cs="宋体"/>
                <w:bCs/>
                <w:snapToGrid w:val="0"/>
                <w:color w:val="auto"/>
                <w:kern w:val="0"/>
                <w:sz w:val="21"/>
                <w:szCs w:val="21"/>
                <w:highlight w:val="none"/>
              </w:rPr>
            </w:pPr>
            <w:r>
              <w:rPr>
                <w:rFonts w:hint="eastAsia" w:ascii="宋体" w:hAnsi="宋体" w:cs="宋体"/>
                <w:color w:val="auto"/>
                <w:kern w:val="0"/>
                <w:szCs w:val="21"/>
                <w:highlight w:val="none"/>
              </w:rPr>
              <w:t>信誉要求</w:t>
            </w:r>
          </w:p>
        </w:tc>
        <w:tc>
          <w:tcPr>
            <w:tcW w:w="7997" w:type="dxa"/>
            <w:noWrap w:val="0"/>
            <w:vAlign w:val="center"/>
          </w:tcPr>
          <w:p w14:paraId="17E249C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1E4DF83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p>
          <w:p w14:paraId="4EE22F7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0E6CFDF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7FA0F6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20745C9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6FB5FA4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72B53E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76EAB5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30A7F05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631C70D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383F88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35AD1CB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42097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2026</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 xml:space="preserve"> 4</w:t>
            </w:r>
            <w:r>
              <w:rPr>
                <w:rFonts w:hint="eastAsia" w:ascii="宋体" w:hAnsi="宋体" w:eastAsia="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 xml:space="preserve"> 1 </w:t>
            </w:r>
            <w:r>
              <w:rPr>
                <w:rFonts w:hint="eastAsia" w:ascii="宋体" w:hAnsi="宋体" w:eastAsia="宋体" w:cs="宋体"/>
                <w:bCs/>
                <w:snapToGrid w:val="0"/>
                <w:color w:val="auto"/>
                <w:kern w:val="0"/>
                <w:szCs w:val="21"/>
                <w:highlight w:val="none"/>
              </w:rPr>
              <w:t>日</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17</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00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分至</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2026</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4</w:t>
            </w:r>
            <w:r>
              <w:rPr>
                <w:rFonts w:hint="eastAsia" w:ascii="宋体" w:hAnsi="宋体" w:eastAsia="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 xml:space="preserve"> 8 </w:t>
            </w:r>
            <w:r>
              <w:rPr>
                <w:rFonts w:hint="eastAsia" w:ascii="宋体" w:hAnsi="宋体" w:eastAsia="宋体" w:cs="宋体"/>
                <w:bCs/>
                <w:snapToGrid w:val="0"/>
                <w:color w:val="auto"/>
                <w:kern w:val="0"/>
                <w:szCs w:val="21"/>
                <w:highlight w:val="none"/>
              </w:rPr>
              <w:t>日</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8</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3</w:t>
            </w:r>
            <w:r>
              <w:rPr>
                <w:rFonts w:hint="eastAsia" w:ascii="宋体" w:hAnsi="宋体" w:eastAsia="宋体" w:cs="宋体"/>
                <w:bCs/>
                <w:snapToGrid w:val="0"/>
                <w:color w:val="auto"/>
                <w:kern w:val="0"/>
                <w:szCs w:val="21"/>
                <w:highlight w:val="none"/>
                <w:u w:val="single"/>
                <w:lang w:val="en-US" w:eastAsia="zh-CN"/>
              </w:rPr>
              <w:t>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获取方式</w:t>
            </w:r>
          </w:p>
        </w:tc>
        <w:tc>
          <w:tcPr>
            <w:tcW w:w="7997" w:type="dxa"/>
            <w:noWrap w:val="0"/>
            <w:vAlign w:val="center"/>
          </w:tcPr>
          <w:p w14:paraId="5AC4F37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请于公告发布之日起从滁州市城投工程咨询管理有限公司官网（https://www.czctgczx.com/）下载</w:t>
            </w:r>
            <w:r>
              <w:rPr>
                <w:rFonts w:hint="eastAsia" w:cs="Times New Roman"/>
                <w:color w:val="auto"/>
                <w:highlight w:val="none"/>
                <w:lang w:val="en-US" w:eastAsia="zh-CN"/>
              </w:rPr>
              <w:t>。</w:t>
            </w:r>
          </w:p>
          <w:p w14:paraId="06D33B5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方式：（1）投标人须登录新点电子交易平台【滁州专区】查询、获取</w:t>
            </w:r>
            <w:r>
              <w:rPr>
                <w:rFonts w:hint="eastAsia" w:cs="Times New Roman"/>
                <w:color w:val="auto"/>
                <w:highlight w:val="none"/>
                <w:lang w:val="en-US" w:eastAsia="zh-CN"/>
              </w:rPr>
              <w:t>招标</w:t>
            </w:r>
            <w:r>
              <w:rPr>
                <w:rFonts w:hint="eastAsia" w:ascii="Times New Roman" w:hAnsi="Times New Roman" w:eastAsia="宋体" w:cs="Times New Roman"/>
                <w:color w:val="auto"/>
                <w:highlight w:val="none"/>
                <w:lang w:val="en-US" w:eastAsia="zh-CN"/>
              </w:rPr>
              <w:t>文件。首次登录办理入库手续，办理入库不收取任何费用。新点电子招投标统一认证平台使用相关问题（如系统登录、信息登记、录入及提交、数字证书关联等）请拨打服务电话：</w:t>
            </w:r>
            <w:r>
              <w:rPr>
                <w:rFonts w:hint="eastAsia" w:cs="Times New Roman"/>
                <w:color w:val="auto"/>
                <w:highlight w:val="none"/>
                <w:lang w:val="en-US" w:eastAsia="zh-CN"/>
              </w:rPr>
              <w:t>0512-58151515</w:t>
            </w:r>
            <w:r>
              <w:rPr>
                <w:rFonts w:hint="eastAsia" w:ascii="Times New Roman" w:hAnsi="Times New Roman" w:eastAsia="宋体" w:cs="Times New Roman"/>
                <w:color w:val="auto"/>
                <w:highlight w:val="none"/>
                <w:lang w:val="en-US" w:eastAsia="zh-CN"/>
              </w:rPr>
              <w:t>（工作日）。  </w:t>
            </w:r>
          </w:p>
          <w:p w14:paraId="1CA3EC4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color w:val="auto"/>
                <w:highlight w:val="none"/>
                <w:lang w:val="en-US" w:eastAsia="zh-CN"/>
              </w:rPr>
              <w:t>（2）投标人登录新点电子交易平台【滁州专区】获取招标文件及其它资料（含澄清和补充说明等）。如在招标文件获取过程中遇到系统问题，请拨打技术支持服务热线 4009280095或者网站首页在线客服。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2026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投标文件递交的方式</w:t>
            </w:r>
          </w:p>
        </w:tc>
        <w:tc>
          <w:tcPr>
            <w:tcW w:w="7997"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48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安徽省招标投标信息网（www.ahtba.org.cn）</w:t>
            </w:r>
          </w:p>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31D7CE2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不要求投标人提交投标保证金。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安徽滁宁高速公路股份有限公司</w:t>
            </w:r>
            <w:r>
              <w:rPr>
                <w:rFonts w:hint="eastAsia" w:ascii="宋体" w:hAnsi="宋体" w:eastAsia="宋体" w:cs="宋体"/>
                <w:color w:val="auto"/>
                <w:kern w:val="0"/>
                <w:sz w:val="21"/>
                <w:szCs w:val="21"/>
                <w:highlight w:val="none"/>
                <w:lang w:eastAsia="zh-CN"/>
              </w:rPr>
              <w:t xml:space="preserve">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安徽省滁州市来安县经济开发区裕安西路188号</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任磊</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18098388675</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王芳</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18955055067</w:t>
            </w:r>
          </w:p>
        </w:tc>
      </w:tr>
    </w:tbl>
    <w:p w14:paraId="0387EAA7">
      <w:pPr>
        <w:jc w:val="left"/>
        <w:rPr>
          <w:color w:val="auto"/>
          <w:highlight w:val="none"/>
        </w:rPr>
      </w:pPr>
    </w:p>
    <w:p w14:paraId="32A53F0D">
      <w:pPr>
        <w:pStyle w:val="44"/>
        <w:spacing w:beforeLines="50" w:afterLines="50" w:line="440" w:lineRule="exact"/>
        <w:rPr>
          <w:bCs/>
          <w:color w:val="auto"/>
          <w:szCs w:val="32"/>
          <w:highlight w:val="none"/>
        </w:rPr>
      </w:pPr>
      <w:bookmarkStart w:id="32" w:name="_Toc78803321"/>
      <w:r>
        <w:rPr>
          <w:rFonts w:hint="eastAsia"/>
          <w:bCs/>
          <w:color w:val="auto"/>
          <w:szCs w:val="32"/>
          <w:highlight w:val="none"/>
        </w:rPr>
        <w:br w:type="page"/>
      </w:r>
      <w:r>
        <w:rPr>
          <w:rFonts w:hint="eastAsia"/>
          <w:bCs/>
          <w:color w:val="auto"/>
          <w:szCs w:val="32"/>
          <w:highlight w:val="none"/>
        </w:rPr>
        <w:t>第</w:t>
      </w:r>
      <w:r>
        <w:rPr>
          <w:rFonts w:hint="eastAsia"/>
          <w:bCs/>
          <w:color w:val="auto"/>
          <w:szCs w:val="32"/>
          <w:highlight w:val="none"/>
          <w:lang w:val="en-US" w:eastAsia="zh-CN"/>
        </w:rPr>
        <w:t>二</w:t>
      </w:r>
      <w:r>
        <w:rPr>
          <w:rFonts w:hint="eastAsia"/>
          <w:bCs/>
          <w:color w:val="auto"/>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color w:val="auto"/>
          <w:sz w:val="28"/>
          <w:szCs w:val="28"/>
          <w:highlight w:val="none"/>
        </w:rPr>
      </w:pPr>
      <w:bookmarkStart w:id="33" w:name="_Toc152042304"/>
      <w:bookmarkStart w:id="34" w:name="_Toc246996174"/>
      <w:bookmarkStart w:id="35" w:name="_Toc35424884"/>
      <w:bookmarkStart w:id="36" w:name="_Toc15058845"/>
      <w:bookmarkStart w:id="37" w:name="_Toc324404814"/>
      <w:bookmarkStart w:id="38" w:name="_Toc35425051"/>
      <w:bookmarkStart w:id="39" w:name="_Toc506107268"/>
      <w:bookmarkStart w:id="40" w:name="_Toc179632545"/>
      <w:bookmarkStart w:id="41" w:name="_Toc152045528"/>
      <w:bookmarkStart w:id="42" w:name="_Toc246996917"/>
      <w:bookmarkStart w:id="43" w:name="_Toc144974496"/>
      <w:bookmarkStart w:id="44" w:name="_Toc247085688"/>
      <w:r>
        <w:rPr>
          <w:rFonts w:hint="eastAsia"/>
          <w:b/>
          <w:bCs/>
          <w:color w:val="auto"/>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bookmarkStart w:id="45" w:name="_Toc246996175"/>
            <w:bookmarkStart w:id="46" w:name="_Toc246996918"/>
            <w:bookmarkStart w:id="47" w:name="_Toc247085689"/>
            <w:bookmarkStart w:id="48" w:name="_Toc179632546"/>
            <w:bookmarkStart w:id="49" w:name="_Toc152042305"/>
            <w:bookmarkStart w:id="50" w:name="_Toc144974497"/>
            <w:bookmarkStart w:id="51" w:name="_Toc324404815"/>
            <w:bookmarkStart w:id="52" w:name="_Toc152045529"/>
            <w:bookmarkStart w:id="53" w:name="_Toc506107269"/>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color w:val="auto"/>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color w:val="auto"/>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color w:val="auto"/>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计划工期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15BB8ED6">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计划工</w:t>
            </w:r>
            <w:r>
              <w:rPr>
                <w:rFonts w:hint="eastAsia" w:ascii="宋体" w:hAnsi="宋体" w:eastAsia="宋体" w:cs="宋体"/>
                <w:b/>
                <w:color w:val="auto"/>
                <w:sz w:val="21"/>
                <w:szCs w:val="21"/>
                <w:highlight w:val="none"/>
                <w:lang w:eastAsia="zh-CN"/>
              </w:rPr>
              <w:t>期：</w:t>
            </w:r>
            <w:r>
              <w:rPr>
                <w:rFonts w:hint="eastAsia" w:ascii="宋体" w:hAnsi="宋体" w:cs="宋体"/>
                <w:b/>
                <w:color w:val="auto"/>
                <w:sz w:val="21"/>
                <w:szCs w:val="21"/>
                <w:highlight w:val="none"/>
                <w:u w:val="single"/>
                <w:lang w:val="en-US" w:eastAsia="zh-CN"/>
              </w:rPr>
              <w:t>30个日历天</w:t>
            </w:r>
            <w:r>
              <w:rPr>
                <w:rFonts w:hint="eastAsia" w:ascii="宋体" w:hAnsi="宋体" w:eastAsia="宋体" w:cs="宋体"/>
                <w:b/>
                <w:color w:val="auto"/>
                <w:sz w:val="21"/>
                <w:szCs w:val="21"/>
                <w:highlight w:val="none"/>
                <w:lang w:eastAsia="zh-CN"/>
              </w:rPr>
              <w:t>。</w:t>
            </w:r>
          </w:p>
          <w:p w14:paraId="385FC43D">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3594D4AC">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w:t>
            </w:r>
            <w:r>
              <w:rPr>
                <w:rFonts w:hint="eastAsia" w:ascii="宋体" w:hAnsi="宋体" w:cs="宋体"/>
                <w:color w:val="auto"/>
                <w:sz w:val="21"/>
                <w:szCs w:val="21"/>
                <w:highlight w:val="none"/>
                <w:lang w:eastAsia="zh-CN"/>
              </w:rPr>
              <w:t>交</w:t>
            </w:r>
            <w:r>
              <w:rPr>
                <w:rFonts w:hint="eastAsia" w:ascii="宋体" w:hAnsi="宋体" w:cs="宋体"/>
                <w:color w:val="auto"/>
                <w:sz w:val="21"/>
                <w:szCs w:val="21"/>
                <w:highlight w:val="none"/>
                <w:lang w:val="en-US" w:eastAsia="zh-CN"/>
              </w:rPr>
              <w:t>竣</w:t>
            </w:r>
            <w:r>
              <w:rPr>
                <w:rFonts w:hint="eastAsia" w:ascii="宋体" w:hAnsi="宋体" w:cs="宋体"/>
                <w:color w:val="auto"/>
                <w:sz w:val="21"/>
                <w:szCs w:val="21"/>
                <w:highlight w:val="none"/>
              </w:rPr>
              <w:t>工日期：双方签订合同时明确</w:t>
            </w:r>
          </w:p>
          <w:p w14:paraId="7365FC3B">
            <w:pPr>
              <w:pageBreakBefore w:val="0"/>
              <w:kinsoku/>
              <w:wordWrap/>
              <w:overflowPunct/>
              <w:autoSpaceDE/>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工期每延误一天，处以</w:t>
            </w:r>
            <w:r>
              <w:rPr>
                <w:rFonts w:hint="eastAsia" w:ascii="宋体" w:hAnsi="宋体" w:cs="宋体"/>
                <w:color w:val="auto"/>
                <w:sz w:val="21"/>
                <w:szCs w:val="21"/>
                <w:highlight w:val="none"/>
                <w:u w:val="single"/>
                <w:lang w:val="en-US" w:eastAsia="zh-CN"/>
              </w:rPr>
              <w:t>3000</w:t>
            </w:r>
            <w:r>
              <w:rPr>
                <w:rFonts w:hint="eastAsia" w:ascii="宋体" w:hAnsi="宋体" w:cs="宋体"/>
                <w:color w:val="auto"/>
                <w:sz w:val="21"/>
                <w:szCs w:val="21"/>
                <w:highlight w:val="none"/>
              </w:rPr>
              <w:t xml:space="preserve">元违约金，工期提前不奖励。 </w:t>
            </w:r>
            <w:r>
              <w:rPr>
                <w:rFonts w:hint="eastAsia" w:ascii="Times New Roman" w:hAnsi="Times New Roman" w:eastAsia="宋体" w:cs="Times New Roman"/>
                <w:color w:val="auto"/>
                <w:highlight w:val="none"/>
                <w:lang w:val="en-US" w:eastAsia="zh-CN"/>
              </w:rPr>
              <w:t xml:space="preserve">  </w:t>
            </w:r>
            <w:r>
              <w:rPr>
                <w:rFonts w:hint="eastAsia" w:ascii="宋体" w:hAnsi="宋体" w:eastAsia="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14"/>
              <w:keepNext w:val="0"/>
              <w:keepLines w:val="0"/>
              <w:pageBreakBefore w:val="0"/>
              <w:kinsoku/>
              <w:wordWrap/>
              <w:overflowPunct/>
              <w:autoSpaceDN/>
              <w:bidi w:val="0"/>
              <w:spacing w:line="400" w:lineRule="exact"/>
              <w:ind w:left="0" w:leftChars="0" w:firstLine="0" w:firstLineChars="0"/>
              <w:jc w:val="left"/>
              <w:textAlignment w:val="auto"/>
              <w:rPr>
                <w:rFonts w:hAnsi="宋体" w:cs="宋体"/>
                <w:color w:val="auto"/>
                <w:szCs w:val="21"/>
                <w:highlight w:val="none"/>
                <w:u w:val="single"/>
              </w:rPr>
            </w:pPr>
            <w:r>
              <w:rPr>
                <w:rFonts w:hint="eastAsia" w:hAnsi="宋体" w:cs="宋体"/>
                <w:color w:val="auto"/>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40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40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kinsoku/>
              <w:wordWrap/>
              <w:overflowPunct/>
              <w:autoSpaceDN/>
              <w:bidi w:val="0"/>
              <w:spacing w:line="400" w:lineRule="exact"/>
              <w:textAlignment w:val="auto"/>
              <w:rPr>
                <w:rFonts w:hAnsi="宋体" w:cs="宋体"/>
                <w:color w:val="auto"/>
                <w:szCs w:val="21"/>
                <w:highlight w:val="none"/>
              </w:rPr>
            </w:pPr>
            <w:r>
              <w:rPr>
                <w:rFonts w:hint="eastAsia" w:ascii="宋体" w:hAnsi="宋体" w:cs="宋体"/>
                <w:color w:val="auto"/>
                <w:kern w:val="0"/>
                <w:szCs w:val="21"/>
                <w:highlight w:val="none"/>
              </w:rPr>
              <w:t>如投标人对招标文件有疑问，</w:t>
            </w:r>
            <w:r>
              <w:rPr>
                <w:rFonts w:hint="eastAsia" w:ascii="宋体" w:hAnsi="宋体" w:eastAsia="宋体" w:cs="宋体"/>
                <w:color w:val="auto"/>
                <w:kern w:val="0"/>
                <w:szCs w:val="21"/>
                <w:highlight w:val="none"/>
              </w:rPr>
              <w:t>请于</w:t>
            </w:r>
            <w:r>
              <w:rPr>
                <w:rFonts w:hint="eastAsia" w:ascii="宋体" w:hAnsi="宋体" w:cs="宋体"/>
                <w:color w:val="auto"/>
                <w:kern w:val="0"/>
                <w:szCs w:val="21"/>
                <w:highlight w:val="none"/>
                <w:lang w:eastAsia="zh-CN"/>
              </w:rPr>
              <w:t>2026</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日17时前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eastAsia="宋体" w:cs="宋体"/>
                <w:b w:val="0"/>
                <w:bCs w:val="0"/>
                <w:color w:val="auto"/>
                <w:kern w:val="2"/>
                <w:sz w:val="21"/>
                <w:szCs w:val="21"/>
                <w:highlight w:val="none"/>
                <w:u w:color="000000"/>
                <w:lang w:val="en-US" w:eastAsia="zh-CN" w:bidi="ar"/>
              </w:rPr>
              <w:t>招标人将在</w:t>
            </w:r>
            <w:r>
              <w:rPr>
                <w:rFonts w:hint="eastAsia" w:ascii="宋体" w:hAnsi="宋体" w:cs="宋体"/>
                <w:b w:val="0"/>
                <w:bCs w:val="0"/>
                <w:color w:val="auto"/>
                <w:kern w:val="2"/>
                <w:sz w:val="21"/>
                <w:szCs w:val="21"/>
                <w:highlight w:val="none"/>
                <w:u w:color="000000"/>
                <w:lang w:val="en-US" w:eastAsia="zh-CN" w:bidi="ar"/>
              </w:rPr>
              <w:t>2026</w:t>
            </w:r>
            <w:r>
              <w:rPr>
                <w:rFonts w:hint="eastAsia" w:ascii="宋体" w:hAnsi="宋体" w:eastAsia="宋体" w:cs="宋体"/>
                <w:b w:val="0"/>
                <w:bCs w:val="0"/>
                <w:color w:val="auto"/>
                <w:kern w:val="2"/>
                <w:sz w:val="21"/>
                <w:szCs w:val="21"/>
                <w:highlight w:val="none"/>
                <w:u w:color="000000"/>
                <w:lang w:val="en-US" w:eastAsia="zh-CN" w:bidi="ar"/>
              </w:rPr>
              <w:t>年</w:t>
            </w:r>
            <w:r>
              <w:rPr>
                <w:rFonts w:hint="eastAsia" w:ascii="宋体" w:hAnsi="宋体" w:cs="宋体"/>
                <w:b w:val="0"/>
                <w:bCs w:val="0"/>
                <w:color w:val="auto"/>
                <w:kern w:val="2"/>
                <w:sz w:val="21"/>
                <w:szCs w:val="21"/>
                <w:highlight w:val="none"/>
                <w:u w:color="000000"/>
                <w:lang w:val="en-US" w:eastAsia="zh-CN" w:bidi="ar"/>
              </w:rPr>
              <w:t>4</w:t>
            </w:r>
            <w:r>
              <w:rPr>
                <w:rFonts w:hint="eastAsia" w:ascii="宋体" w:hAnsi="宋体" w:eastAsia="宋体" w:cs="宋体"/>
                <w:b w:val="0"/>
                <w:bCs w:val="0"/>
                <w:color w:val="auto"/>
                <w:kern w:val="2"/>
                <w:sz w:val="21"/>
                <w:szCs w:val="21"/>
                <w:highlight w:val="none"/>
                <w:u w:color="000000"/>
                <w:lang w:val="en-US" w:eastAsia="zh-CN" w:bidi="ar"/>
              </w:rPr>
              <w:t>月</w:t>
            </w:r>
            <w:r>
              <w:rPr>
                <w:rFonts w:hint="eastAsia" w:ascii="宋体" w:hAnsi="宋体" w:cs="宋体"/>
                <w:b w:val="0"/>
                <w:bCs w:val="0"/>
                <w:color w:val="auto"/>
                <w:kern w:val="2"/>
                <w:sz w:val="21"/>
                <w:szCs w:val="21"/>
                <w:highlight w:val="none"/>
                <w:u w:color="000000"/>
                <w:lang w:val="en-US" w:eastAsia="zh-CN" w:bidi="ar"/>
              </w:rPr>
              <w:t>7</w:t>
            </w:r>
            <w:r>
              <w:rPr>
                <w:rFonts w:hint="eastAsia" w:ascii="宋体" w:hAnsi="宋体" w:eastAsia="宋体" w:cs="宋体"/>
                <w:b w:val="0"/>
                <w:bCs w:val="0"/>
                <w:color w:val="auto"/>
                <w:kern w:val="2"/>
                <w:sz w:val="21"/>
                <w:szCs w:val="21"/>
                <w:highlight w:val="none"/>
                <w:u w:color="000000"/>
                <w:lang w:val="en-US" w:eastAsia="zh-CN" w:bidi="ar"/>
              </w:rPr>
              <w:t>日1</w:t>
            </w:r>
            <w:r>
              <w:rPr>
                <w:rFonts w:hint="eastAsia" w:ascii="宋体" w:hAnsi="宋体" w:cs="宋体"/>
                <w:b w:val="0"/>
                <w:bCs w:val="0"/>
                <w:color w:val="auto"/>
                <w:kern w:val="2"/>
                <w:sz w:val="21"/>
                <w:szCs w:val="21"/>
                <w:highlight w:val="none"/>
                <w:u w:color="000000"/>
                <w:lang w:val="en-US" w:eastAsia="zh-CN" w:bidi="ar"/>
              </w:rPr>
              <w:t>5</w:t>
            </w:r>
            <w:r>
              <w:rPr>
                <w:rFonts w:hint="eastAsia" w:ascii="宋体" w:hAnsi="宋体" w:eastAsia="宋体" w:cs="宋体"/>
                <w:b w:val="0"/>
                <w:bCs w:val="0"/>
                <w:color w:val="auto"/>
                <w:kern w:val="2"/>
                <w:sz w:val="21"/>
                <w:szCs w:val="21"/>
                <w:highlight w:val="none"/>
                <w:u w:color="000000"/>
                <w:lang w:val="en-US" w:eastAsia="zh-CN" w:bidi="ar"/>
              </w:rPr>
              <w:t>时后以澄清公告形式在滁州市城投工程咨询管理有限公司网站（</w:t>
            </w:r>
            <w:r>
              <w:rPr>
                <w:rFonts w:hint="eastAsia" w:ascii="宋体" w:hAnsi="宋体" w:cs="宋体"/>
                <w:b w:val="0"/>
                <w:bCs w:val="0"/>
                <w:color w:val="auto"/>
                <w:kern w:val="2"/>
                <w:sz w:val="21"/>
                <w:szCs w:val="21"/>
                <w:highlight w:val="none"/>
                <w:u w:color="000000"/>
                <w:lang w:val="en-US" w:eastAsia="zh-CN" w:bidi="ar"/>
              </w:rPr>
              <w:t>https://www.czctgczx.com/</w:t>
            </w:r>
            <w:r>
              <w:rPr>
                <w:rFonts w:hint="eastAsia" w:ascii="宋体" w:hAnsi="宋体" w:eastAsia="宋体" w:cs="宋体"/>
                <w:b w:val="0"/>
                <w:bCs w:val="0"/>
                <w:color w:val="auto"/>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400" w:lineRule="exact"/>
              <w:textAlignment w:val="auto"/>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7FFE1B90">
            <w:pPr>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rPr>
              <w:t>有</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公布的最高投标限价</w:t>
            </w:r>
            <w:r>
              <w:rPr>
                <w:rFonts w:hint="eastAsia" w:ascii="宋体" w:hAnsi="宋体" w:eastAsia="宋体" w:cs="宋体"/>
                <w:color w:val="auto"/>
                <w:sz w:val="21"/>
                <w:szCs w:val="21"/>
                <w:highlight w:val="none"/>
                <w:lang w:val="en-US" w:eastAsia="zh-CN"/>
              </w:rPr>
              <w:t>：745977.00元</w:t>
            </w:r>
          </w:p>
          <w:p w14:paraId="62B51156">
            <w:pPr>
              <w:pageBreakBefore w:val="0"/>
              <w:kinsoku/>
              <w:wordWrap/>
              <w:overflowPunct/>
              <w:autoSpaceDE/>
              <w:autoSpaceDN/>
              <w:bidi w:val="0"/>
              <w:adjustRightInd w:val="0"/>
              <w:snapToGrid w:val="0"/>
              <w:spacing w:line="440" w:lineRule="exact"/>
              <w:textAlignment w:val="auto"/>
              <w:rPr>
                <w:rFonts w:hint="default" w:ascii="宋体" w:hAnsi="宋体" w:eastAsia="宋体" w:cs="宋体"/>
                <w:b/>
                <w:color w:val="auto"/>
                <w:szCs w:val="21"/>
                <w:highlight w:val="none"/>
                <w:u w:val="single"/>
                <w:lang w:val="en-US" w:eastAsia="zh-CN"/>
              </w:rPr>
            </w:pPr>
            <w:r>
              <w:rPr>
                <w:rFonts w:hint="eastAsia" w:ascii="宋体" w:hAnsi="宋体" w:eastAsia="宋体" w:cs="宋体"/>
                <w:color w:val="auto"/>
                <w:sz w:val="21"/>
                <w:szCs w:val="21"/>
                <w:highlight w:val="none"/>
                <w:lang w:val="en-US" w:eastAsia="zh-CN"/>
              </w:rPr>
              <w:t>注：投标报价小数点后最多保留两位小数，如填报多位小数的，按小数点后第3位四舍五入修正投标报价。</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投标有效期为</w:t>
            </w: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14"/>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14"/>
              <w:keepNext w:val="0"/>
              <w:keepLines w:val="0"/>
              <w:pageBreakBefore w:val="0"/>
              <w:kinsoku/>
              <w:wordWrap/>
              <w:overflowPunct/>
              <w:autoSpaceDN/>
              <w:bidi w:val="0"/>
              <w:spacing w:line="400" w:lineRule="exact"/>
              <w:ind w:left="0" w:leftChars="0" w:firstLine="0" w:firstLineChars="0"/>
              <w:textAlignment w:val="auto"/>
              <w:rPr>
                <w:color w:val="auto"/>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在 </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F9ADFD6">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4684E983">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color w:val="auto"/>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color w:val="auto"/>
                <w:highlight w:val="none"/>
                <w:lang w:val="en-US" w:eastAsia="zh-CN"/>
              </w:rPr>
              <w:fldChar w:fldCharType="begin"/>
            </w:r>
            <w:r>
              <w:rPr>
                <w:rFonts w:hint="eastAsia" w:ascii="Times New Roman" w:hAnsi="Times New Roman" w:eastAsia="宋体" w:cs="Times New Roman"/>
                <w:color w:val="auto"/>
                <w:highlight w:val="none"/>
                <w:lang w:val="en-US" w:eastAsia="zh-CN"/>
              </w:rPr>
              <w:instrText xml:space="preserve"> HYPERLINK "http://js.etrading.cn/EpointBidOpening/bidopeninghallaction/hall/login）。" </w:instrText>
            </w:r>
            <w:r>
              <w:rPr>
                <w:rFonts w:hint="eastAsia" w:ascii="Times New Roman" w:hAnsi="Times New Roman" w:eastAsia="宋体" w:cs="Times New Roman"/>
                <w:color w:val="auto"/>
                <w:highlight w:val="none"/>
                <w:lang w:val="en-US" w:eastAsia="zh-CN"/>
              </w:rPr>
              <w:fldChar w:fldCharType="separate"/>
            </w:r>
            <w:r>
              <w:rPr>
                <w:rStyle w:val="58"/>
                <w:rFonts w:hint="eastAsia" w:ascii="Times New Roman" w:hAnsi="Times New Roman" w:eastAsia="宋体" w:cs="Times New Roman"/>
                <w:color w:val="auto"/>
                <w:highlight w:val="none"/>
                <w:lang w:val="en-US" w:eastAsia="zh-CN"/>
              </w:rPr>
              <w:t>http://js.etrading.cn/EpointBidOpening/bidopeninghallaction/hall/login）。</w:t>
            </w:r>
            <w:r>
              <w:rPr>
                <w:rFonts w:hint="eastAsia" w:ascii="Times New Roman" w:hAnsi="Times New Roman" w:eastAsia="宋体" w:cs="Times New Roman"/>
                <w:color w:val="auto"/>
                <w:highlight w:val="none"/>
                <w:lang w:val="en-US" w:eastAsia="zh-CN"/>
              </w:rPr>
              <w:fldChar w:fldCharType="end"/>
            </w:r>
          </w:p>
          <w:p w14:paraId="379B966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时</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lang w:val="en-US" w:eastAsia="zh-CN"/>
              </w:rPr>
              <w:t>至</w:t>
            </w:r>
            <w:r>
              <w:rPr>
                <w:rFonts w:hint="eastAsia" w:ascii="宋体" w:hAnsi="宋体" w:eastAsia="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00</w:t>
            </w:r>
            <w:bookmarkStart w:id="999" w:name="_GoBack"/>
            <w:bookmarkEnd w:id="999"/>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解密；未在规定时间内完成解密的，退回其投标文件；如有因系统因系统原因造成的故障，代理机构可申请延迟解密时间。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59FF402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评标委员会构成：</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人，其中招标人代表0人，评标专家</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人。</w:t>
            </w:r>
          </w:p>
          <w:p w14:paraId="1846547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评标专家确定方式：评标专家由招标人在开标前从专家库中随机抽取。</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color w:val="auto"/>
                <w:szCs w:val="21"/>
                <w:highlight w:val="none"/>
              </w:rPr>
            </w:pPr>
            <w:r>
              <w:rPr>
                <w:rFonts w:hint="eastAsia" w:ascii="宋体" w:hAnsi="宋体" w:cs="宋体"/>
                <w:color w:val="auto"/>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29</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57A14FB2">
            <w:pPr>
              <w:keepNext w:val="0"/>
              <w:keepLines w:val="0"/>
              <w:pageBreakBefore w:val="0"/>
              <w:kinsoku/>
              <w:wordWrap/>
              <w:overflowPunct/>
              <w:autoSpaceDE/>
              <w:autoSpaceDN/>
              <w:bidi w:val="0"/>
              <w:spacing w:line="40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履约担保的形式：支持银行转账、银行保函（见索即付无条件保函）、担保保函、商业保险、第三方担保（无条件担保）使用</w:t>
            </w:r>
          </w:p>
          <w:p w14:paraId="64302322">
            <w:pPr>
              <w:keepNext w:val="0"/>
              <w:keepLines w:val="0"/>
              <w:pageBreakBefore w:val="0"/>
              <w:kinsoku/>
              <w:wordWrap/>
              <w:overflowPunct/>
              <w:autoSpaceDE/>
              <w:autoSpaceDN/>
              <w:bidi w:val="0"/>
              <w:spacing w:line="40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eastAsia="宋体" w:cs="宋体"/>
                <w:bCs/>
                <w:color w:val="auto"/>
                <w:szCs w:val="21"/>
                <w:highlight w:val="none"/>
              </w:rPr>
              <w:t>中标合同金额×2%</w:t>
            </w:r>
          </w:p>
          <w:p w14:paraId="4F22EBF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20B8239">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7A8F1231">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6A6E6589">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AD6BAEA">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w:t>
            </w:r>
            <w:r>
              <w:rPr>
                <w:rFonts w:hint="eastAsia" w:ascii="宋体" w:hAnsi="宋体" w:eastAsia="宋体" w:cs="宋体"/>
                <w:color w:val="auto"/>
                <w:sz w:val="21"/>
                <w:szCs w:val="21"/>
                <w:highlight w:val="none"/>
              </w:rPr>
              <w:t>履约保证金有效期满7日内</w:t>
            </w:r>
          </w:p>
          <w:p w14:paraId="1944A55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5A2E52CB">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1、采用银行保函的具体要求:按招标人要求提供</w:t>
            </w:r>
          </w:p>
          <w:p w14:paraId="0404B97A">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2、采用担保保函的具体要求：按招标人要求提供</w:t>
            </w:r>
          </w:p>
          <w:p w14:paraId="75072C65">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3、采用商业保险的具体要求：按招标人要求提供</w:t>
            </w:r>
          </w:p>
          <w:p w14:paraId="3E915FC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4、采用第三方担保的具体要求：按招标人要求提供</w:t>
            </w:r>
          </w:p>
        </w:tc>
      </w:tr>
      <w:tr w14:paraId="35ED23D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0D14238">
            <w:pPr>
              <w:keepNext w:val="0"/>
              <w:keepLines w:val="0"/>
              <w:pageBreakBefore w:val="0"/>
              <w:kinsoku/>
              <w:wordWrap/>
              <w:overflowPunct/>
              <w:autoSpaceDN/>
              <w:bidi w:val="0"/>
              <w:spacing w:line="40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77DE9E">
            <w:pPr>
              <w:adjustRightInd w:val="0"/>
              <w:snapToGrid w:val="0"/>
              <w:spacing w:line="560" w:lineRule="exact"/>
              <w:jc w:val="center"/>
              <w:rPr>
                <w:rFonts w:hint="eastAsia" w:ascii="宋体" w:hAnsi="宋体" w:cs="宋体"/>
                <w:color w:val="auto"/>
                <w:szCs w:val="21"/>
                <w:highlight w:val="none"/>
              </w:rPr>
            </w:pPr>
            <w:r>
              <w:rPr>
                <w:rFonts w:hint="eastAsia"/>
                <w:color w:val="auto"/>
                <w:sz w:val="24"/>
                <w:highlight w:val="none"/>
              </w:rPr>
              <w:t>签订合同</w:t>
            </w:r>
          </w:p>
        </w:tc>
        <w:tc>
          <w:tcPr>
            <w:tcW w:w="7251" w:type="dxa"/>
            <w:tcBorders>
              <w:top w:val="single" w:color="auto" w:sz="4" w:space="0"/>
              <w:left w:val="single" w:color="auto" w:sz="4" w:space="0"/>
              <w:bottom w:val="single" w:color="auto" w:sz="4" w:space="0"/>
              <w:right w:val="single" w:color="auto" w:sz="4" w:space="0"/>
            </w:tcBorders>
            <w:noWrap/>
            <w:vAlign w:val="top"/>
          </w:tcPr>
          <w:p w14:paraId="3C6915AB">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rPr>
              <w:t>中标通知书发出之日起</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D16025C">
            <w:pPr>
              <w:spacing w:line="420" w:lineRule="exact"/>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工程完工</w:t>
            </w:r>
            <w:r>
              <w:rPr>
                <w:rFonts w:hint="eastAsia" w:ascii="宋体" w:hAnsi="宋体" w:cs="宋体"/>
                <w:b/>
                <w:bCs/>
                <w:strike w:val="0"/>
                <w:dstrike w:val="0"/>
                <w:color w:val="auto"/>
                <w:highlight w:val="none"/>
                <w:lang w:val="en-US" w:eastAsia="zh-CN"/>
              </w:rPr>
              <w:t>初</w:t>
            </w:r>
            <w:r>
              <w:rPr>
                <w:rFonts w:hint="eastAsia" w:ascii="宋体" w:hAnsi="宋体" w:eastAsia="宋体" w:cs="宋体"/>
                <w:b/>
                <w:bCs/>
                <w:color w:val="auto"/>
                <w:highlight w:val="none"/>
                <w:lang w:val="en-US" w:eastAsia="zh-CN"/>
              </w:rPr>
              <w:t>验合格后，付至已完合格工程量的</w:t>
            </w:r>
            <w:r>
              <w:rPr>
                <w:rFonts w:hint="eastAsia" w:ascii="宋体" w:hAnsi="宋体" w:cs="宋体"/>
                <w:b/>
                <w:bCs/>
                <w:color w:val="auto"/>
                <w:highlight w:val="none"/>
                <w:lang w:val="en-US" w:eastAsia="zh-CN"/>
              </w:rPr>
              <w:t>70</w:t>
            </w: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一</w:t>
            </w:r>
            <w:r>
              <w:rPr>
                <w:rFonts w:hint="eastAsia" w:ascii="宋体" w:hAnsi="宋体" w:eastAsia="宋体" w:cs="宋体"/>
                <w:b/>
                <w:bCs/>
                <w:color w:val="auto"/>
                <w:highlight w:val="none"/>
                <w:lang w:val="en-US" w:eastAsia="zh-CN"/>
              </w:rPr>
              <w:t>年养护期满，</w:t>
            </w:r>
            <w:r>
              <w:rPr>
                <w:rFonts w:hint="eastAsia" w:ascii="宋体" w:hAnsi="宋体" w:cs="宋体"/>
                <w:b/>
                <w:bCs/>
                <w:color w:val="auto"/>
                <w:highlight w:val="none"/>
                <w:lang w:val="en-US" w:eastAsia="zh-CN"/>
              </w:rPr>
              <w:t>付</w:t>
            </w:r>
            <w:r>
              <w:rPr>
                <w:rFonts w:hint="eastAsia" w:ascii="宋体" w:hAnsi="宋体" w:eastAsia="宋体" w:cs="宋体"/>
                <w:b/>
                <w:bCs/>
                <w:color w:val="auto"/>
                <w:highlight w:val="none"/>
                <w:lang w:val="en-US" w:eastAsia="zh-CN"/>
              </w:rPr>
              <w:t>至已完合格工程量的</w:t>
            </w:r>
            <w:r>
              <w:rPr>
                <w:rFonts w:hint="eastAsia" w:ascii="宋体" w:hAnsi="宋体" w:cs="宋体"/>
                <w:b/>
                <w:bCs/>
                <w:color w:val="auto"/>
                <w:highlight w:val="none"/>
                <w:lang w:val="en-US" w:eastAsia="zh-CN"/>
              </w:rPr>
              <w:t>90</w:t>
            </w: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缺陷期</w:t>
            </w:r>
            <w:r>
              <w:rPr>
                <w:rFonts w:hint="eastAsia" w:ascii="宋体" w:hAnsi="宋体" w:eastAsia="宋体" w:cs="宋体"/>
                <w:b/>
                <w:bCs/>
                <w:color w:val="auto"/>
                <w:highlight w:val="none"/>
                <w:lang w:val="en-US" w:eastAsia="zh-CN"/>
              </w:rPr>
              <w:t>验收合格后一个月内付清余款。绿化成活率：100%。</w:t>
            </w:r>
          </w:p>
          <w:p w14:paraId="6BC924FA">
            <w:pPr>
              <w:pStyle w:val="14"/>
              <w:ind w:left="0" w:leftChars="0" w:firstLine="422" w:firstLineChars="200"/>
              <w:jc w:val="left"/>
              <w:rPr>
                <w:rFonts w:hint="default"/>
                <w:b/>
                <w:bCs/>
                <w:color w:val="auto"/>
                <w:highlight w:val="none"/>
                <w:lang w:val="en-US" w:eastAsia="zh-CN"/>
              </w:rPr>
            </w:pPr>
            <w:r>
              <w:rPr>
                <w:rFonts w:hint="eastAsia"/>
                <w:b/>
                <w:bCs/>
                <w:color w:val="auto"/>
                <w:highlight w:val="none"/>
                <w:lang w:val="en-US" w:eastAsia="zh-CN"/>
              </w:rPr>
              <w:t>工期总日历天数指工程开工至工程完工初验天数。</w:t>
            </w:r>
          </w:p>
          <w:p w14:paraId="3F7994F9">
            <w:pPr>
              <w:pStyle w:val="14"/>
              <w:ind w:left="0" w:leftChars="0" w:firstLine="0" w:firstLineChars="0"/>
              <w:jc w:val="left"/>
              <w:rPr>
                <w:rFonts w:hint="eastAsia"/>
                <w:b/>
                <w:bCs/>
                <w:color w:val="auto"/>
                <w:highlight w:val="none"/>
                <w:lang w:val="en-US" w:eastAsia="zh-CN"/>
              </w:rPr>
            </w:pPr>
            <w:r>
              <w:rPr>
                <w:rFonts w:hint="eastAsia"/>
                <w:color w:val="auto"/>
                <w:highlight w:val="none"/>
                <w:lang w:val="en-US" w:eastAsia="zh-CN"/>
              </w:rPr>
              <w:t>　　</w:t>
            </w:r>
            <w:r>
              <w:rPr>
                <w:rFonts w:hint="eastAsia"/>
                <w:b/>
                <w:bCs/>
                <w:color w:val="auto"/>
                <w:highlight w:val="none"/>
                <w:lang w:val="en-US" w:eastAsia="zh-CN"/>
              </w:rPr>
              <w:t>养护期从完工初验合格之日计算。</w:t>
            </w:r>
          </w:p>
          <w:p w14:paraId="3E188493">
            <w:pPr>
              <w:pageBreakBefore w:val="0"/>
              <w:kinsoku/>
              <w:overflowPunct/>
              <w:topLinePunct w:val="0"/>
              <w:bidi w:val="0"/>
              <w:spacing w:line="480" w:lineRule="exact"/>
              <w:ind w:left="0" w:leftChars="0" w:firstLine="422" w:firstLineChars="200"/>
              <w:jc w:val="left"/>
              <w:rPr>
                <w:rFonts w:hint="eastAsia" w:ascii="Times New Roman" w:eastAsia="宋体"/>
                <w:b/>
                <w:bCs/>
                <w:color w:val="auto"/>
                <w:highlight w:val="none"/>
                <w:lang w:val="en-US" w:eastAsia="zh-CN"/>
              </w:rPr>
            </w:pPr>
            <w:r>
              <w:rPr>
                <w:rFonts w:hint="eastAsia" w:ascii="Times New Roman" w:eastAsia="宋体"/>
                <w:b/>
                <w:bCs/>
                <w:color w:val="auto"/>
                <w:highlight w:val="none"/>
                <w:lang w:val="en-US" w:eastAsia="zh-CN"/>
              </w:rPr>
              <w:t>缺陷期从养护期结束之日起算，缺陷期为一年。</w:t>
            </w:r>
          </w:p>
          <w:p w14:paraId="134B88D3">
            <w:pPr>
              <w:spacing w:line="420" w:lineRule="exact"/>
              <w:ind w:firstLine="422" w:firstLineChars="200"/>
              <w:rPr>
                <w:rFonts w:hint="default" w:eastAsia="宋体"/>
                <w:color w:val="auto"/>
                <w:highlight w:val="none"/>
                <w:lang w:val="en-US" w:eastAsia="zh-CN"/>
              </w:rPr>
            </w:pPr>
            <w:r>
              <w:rPr>
                <w:rFonts w:hint="eastAsia" w:ascii="宋体" w:hAnsi="宋体" w:eastAsia="宋体" w:cs="宋体"/>
                <w:b/>
                <w:bCs/>
                <w:color w:val="auto"/>
                <w:highlight w:val="none"/>
                <w:lang w:val="en-US" w:eastAsia="zh-CN"/>
              </w:rPr>
              <w:t>绿化成活率：100%。</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代理服务具体金</w:t>
            </w:r>
            <w:r>
              <w:rPr>
                <w:rFonts w:hint="eastAsia" w:ascii="宋体" w:hAnsi="宋体" w:eastAsia="宋体" w:cs="宋体"/>
                <w:color w:val="auto"/>
                <w:kern w:val="0"/>
                <w:szCs w:val="21"/>
                <w:highlight w:val="none"/>
              </w:rPr>
              <w:t>额：</w:t>
            </w:r>
            <w:r>
              <w:rPr>
                <w:rFonts w:hint="eastAsia" w:ascii="宋体" w:hAnsi="宋体" w:cs="宋体"/>
                <w:color w:val="auto"/>
                <w:kern w:val="0"/>
                <w:szCs w:val="21"/>
                <w:highlight w:val="none"/>
                <w:lang w:val="en-US" w:eastAsia="zh-CN"/>
              </w:rPr>
              <w:t>3730</w:t>
            </w:r>
            <w:r>
              <w:rPr>
                <w:rFonts w:hint="eastAsia" w:ascii="宋体" w:hAnsi="宋体" w:eastAsia="宋体" w:cs="宋体"/>
                <w:color w:val="auto"/>
                <w:kern w:val="0"/>
                <w:szCs w:val="21"/>
                <w:highlight w:val="none"/>
              </w:rPr>
              <w:t>元</w:t>
            </w:r>
            <w:r>
              <w:rPr>
                <w:rFonts w:hint="eastAsia" w:ascii="宋体" w:hAnsi="宋体" w:eastAsia="宋体" w:cs="宋体"/>
                <w:color w:val="auto"/>
                <w:kern w:val="0"/>
                <w:szCs w:val="21"/>
                <w:highlight w:val="none"/>
                <w:lang w:eastAsia="zh-CN"/>
              </w:rPr>
              <w:t>。</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trHeight w:val="804" w:hRule="atLeast"/>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s="Times New Roman"/>
                <w:color w:val="auto"/>
                <w:sz w:val="21"/>
                <w:szCs w:val="21"/>
                <w:highlight w:val="none"/>
                <w:lang w:val="en-US" w:eastAsia="zh-CN"/>
              </w:rPr>
              <w:t>中标单位。</w:t>
            </w:r>
          </w:p>
        </w:tc>
      </w:tr>
      <w:tr w14:paraId="0533584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C774CFE">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主要材料要求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62A9D2">
            <w:pPr>
              <w:keepNext w:val="0"/>
              <w:keepLines w:val="0"/>
              <w:pageBreakBefore w:val="0"/>
              <w:kinsoku/>
              <w:wordWrap/>
              <w:overflowPunct/>
              <w:autoSpaceDN/>
              <w:bidi w:val="0"/>
              <w:adjustRightInd w:val="0"/>
              <w:snapToGrid w:val="0"/>
              <w:spacing w:line="400" w:lineRule="exact"/>
              <w:textAlignment w:val="auto"/>
              <w:rPr>
                <w:rFonts w:hint="eastAsia"/>
                <w:color w:val="auto"/>
                <w:sz w:val="21"/>
                <w:szCs w:val="21"/>
                <w:highlight w:val="none"/>
              </w:rPr>
            </w:pPr>
            <w:r>
              <w:rPr>
                <w:rFonts w:hint="eastAsia" w:ascii="宋体" w:hAnsi="宋体" w:eastAsia="宋体" w:cs="宋体"/>
                <w:color w:val="auto"/>
                <w:sz w:val="21"/>
                <w:szCs w:val="21"/>
                <w:highlight w:val="none"/>
                <w:lang w:val="en-US"/>
              </w:rPr>
              <w:t>主要材料由中标人自行采购</w:t>
            </w:r>
            <w:r>
              <w:rPr>
                <w:rFonts w:hint="eastAsia" w:ascii="宋体" w:hAnsi="宋体" w:cs="宋体"/>
                <w:color w:val="auto"/>
                <w:sz w:val="21"/>
                <w:szCs w:val="21"/>
                <w:highlight w:val="none"/>
                <w:lang w:val="en-US" w:eastAsia="zh-CN"/>
              </w:rPr>
              <w:t>，报招标人同意后方可采用。</w:t>
            </w:r>
          </w:p>
        </w:tc>
      </w:tr>
      <w:tr w14:paraId="749E41E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2A0DB8A">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03DA450">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、承包人在工程实施过程中的用工行为，必须严格按照《保障农民工工资支付条例》（国务院令 第724号）、《安徽省人民政府办公厅关于全面治理拖欠农民工工资问题的实施意见》（皖政办〔2016〕22号）以及《贯彻落实&lt;工程建设领域农民工工资专用账户管理暂行办法&gt;的通知》（皖人社发〔2022〕5号）、《安徽省工程建设领域农民工工资保证金实施办法》（皖人社发〔2022〕8号）等文件精神的有关规定，依法与招用的农民工签订劳动合同，并按规定及时足额支付工资。</w:t>
            </w:r>
          </w:p>
          <w:p w14:paraId="7FBF0C07">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为切实保障建筑行业农民工工资支付、加快培育新时代建筑产业工人队伍、有效破解拖欠工程款问题，承包人应严格落实安徽省住建厅《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 的通知》（建市规〔2023〕2号）等文件要求。</w:t>
            </w:r>
          </w:p>
          <w:p w14:paraId="4BAC1587">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执行《贯彻落实&lt;工程建设领域农民工工资专用账户管理暂行办法&gt;的通知》（皖人社发〔2022〕5号），其中工资保证金和工资专户由工程建设项目的施工总承包企业（包括直接承包建设单位发包工程的专业承包企业）缴存和开设。若为联合体中标，由联合体中牵头人缴存和开设专户。</w:t>
            </w:r>
          </w:p>
          <w:p w14:paraId="15461FF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、保证保险产品应按《中国银保监会办公厅关于进一步加强和改进财产保险公司产品监管有关问题的通知》执行。</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1D99C1F2">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FCF1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关于招标工程量清单、最高投标限价及投标报价编制特别说明</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8CE8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rPr>
              <w:t>本项目最高投标限价材料、设备价格依据造价管理部门发布的市场价格信息并结合市场实际价格综合考虑编制，投标人应根据招标工程量清单、补遗，并结合企业自身实力理性报价。</w:t>
            </w:r>
          </w:p>
          <w:p w14:paraId="0658B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lang w:val="en-US" w:eastAsia="zh-CN"/>
              </w:rPr>
              <w:t>投标人应结合自行组织踏勘现场情况，核对招标人提供的工程量清单，发现工程量存在项目划分误差、计量单位误差、数量误差、遗漏项目等，必须在网上询问截止时间前向招标人提出疑问，否则招标人可不予答复。</w:t>
            </w:r>
          </w:p>
          <w:p w14:paraId="779520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zh-CN"/>
              </w:rPr>
              <w:t>招标人对疑问应进行核实，确认工程量单项子目误差在±3%（含±3%）以内的，采购人可不予调整工程量，供应商应将其误差考虑在综合单价内；若有遗漏项目或单项子目工程量误差超过±3%的，招标人应进行修正并重新公布准确的工程量清单。</w:t>
            </w:r>
          </w:p>
          <w:p w14:paraId="1F7C0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color w:val="auto"/>
                <w:highlight w:val="none"/>
                <w:lang w:val="en-US" w:eastAsia="zh-CN"/>
              </w:rPr>
            </w:pPr>
            <w:r>
              <w:rPr>
                <w:rFonts w:hint="eastAsia" w:ascii="宋体" w:hAnsi="Times New Roman" w:eastAsia="宋体" w:cs="Times New Roman"/>
                <w:color w:val="auto"/>
                <w:sz w:val="21"/>
                <w:szCs w:val="21"/>
                <w:highlight w:val="none"/>
                <w:lang w:val="en-US" w:eastAsia="zh-CN"/>
              </w:rPr>
              <w:t>4.投标人在规定时间内未对工程量清单提出疑问的，</w:t>
            </w:r>
            <w:r>
              <w:rPr>
                <w:rFonts w:hint="eastAsia" w:ascii="宋体" w:hAnsi="Times New Roman" w:cs="Times New Roman"/>
                <w:color w:val="auto"/>
                <w:sz w:val="21"/>
                <w:szCs w:val="21"/>
                <w:highlight w:val="none"/>
                <w:lang w:val="en-US" w:eastAsia="zh-CN"/>
              </w:rPr>
              <w:t>中标</w:t>
            </w:r>
            <w:r>
              <w:rPr>
                <w:rFonts w:hint="eastAsia" w:ascii="宋体" w:hAnsi="Times New Roman" w:eastAsia="宋体" w:cs="Times New Roman"/>
                <w:color w:val="auto"/>
                <w:sz w:val="21"/>
                <w:szCs w:val="21"/>
                <w:highlight w:val="none"/>
                <w:lang w:val="en-US" w:eastAsia="zh-CN"/>
              </w:rPr>
              <w:t>后，招标人不再对工程量清单的项目和数量进行校对调整。中标人必须按其报价完成招标文件规定范围内的所有工程项目。</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D5DE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1、</w:t>
            </w:r>
            <w:r>
              <w:rPr>
                <w:rFonts w:hint="eastAsia" w:ascii="宋体" w:hAnsi="Times New Roman" w:eastAsia="宋体" w:cs="Times New Roman"/>
                <w:color w:val="auto"/>
                <w:sz w:val="21"/>
                <w:szCs w:val="21"/>
                <w:highlight w:val="none"/>
              </w:rPr>
              <w:t>如本项目招标文件中出现特定性、唯一性品牌的表述，该品牌仅作为参考，施工过程中不具有限定性。</w:t>
            </w:r>
          </w:p>
          <w:p w14:paraId="0D095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rPr>
              <w:t>2、项目经理必须是投标人本单位工作人员，提供虚假资料谋取中标将被依法处罚。</w:t>
            </w:r>
            <w:r>
              <w:rPr>
                <w:rFonts w:hint="eastAsia" w:ascii="宋体" w:hAnsi="Times New Roman" w:eastAsia="宋体" w:cs="Times New Roman"/>
                <w:color w:val="auto"/>
                <w:sz w:val="21"/>
                <w:szCs w:val="21"/>
                <w:highlight w:val="none"/>
              </w:rPr>
              <w:t>投标人对所提交的投标人或拟派项目经理业绩、投标人资质等证明资料承担缔约过失责任和法律责任。若投诉人或举报人对前述资料或证明资料存在争议，进行有效投诉或举报，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被投诉人、被举报人应当主动配合执法机关调查，并在规定的期限内举证，提供有关证明资料的原件；拒不配合执法机构调查，且未在规定期限内举证、提供证明资料原件的，执法机构依法处理。</w:t>
            </w:r>
          </w:p>
          <w:p w14:paraId="6B004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rPr>
              <w:t>3、</w:t>
            </w:r>
            <w:r>
              <w:rPr>
                <w:rFonts w:hint="eastAsia" w:ascii="宋体" w:hAnsi="Times New Roman" w:eastAsia="宋体" w:cs="Times New Roman"/>
                <w:color w:val="auto"/>
                <w:sz w:val="21"/>
                <w:szCs w:val="21"/>
                <w:highlight w:val="none"/>
              </w:rPr>
              <w:t>中标人未履行下述义务的，将依法对中标人追究相关责任：</w:t>
            </w:r>
          </w:p>
          <w:p w14:paraId="2A80F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03557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②合同签订后，中标人存在规定时间内不组织人员进场开工、不履行供货安装义务等情况，招标人有权解除合同，并追究违约责任，同时将相关违约行为报送监管部门处理。</w:t>
            </w:r>
          </w:p>
          <w:p w14:paraId="10AB54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4、</w:t>
            </w:r>
            <w:r>
              <w:rPr>
                <w:rFonts w:hint="eastAsia" w:ascii="宋体" w:hAnsi="Times New Roman" w:eastAsia="宋体" w:cs="Times New Roman"/>
                <w:color w:val="auto"/>
                <w:sz w:val="21"/>
                <w:szCs w:val="21"/>
                <w:highlight w:val="none"/>
                <w:lang w:val="en-US" w:eastAsia="zh-CN"/>
              </w:rPr>
              <w:t>项目经理（建造师）、技术负责人变更需经发包人同意</w:t>
            </w:r>
            <w:r>
              <w:rPr>
                <w:rFonts w:hint="eastAsia" w:ascii="宋体" w:hAnsi="Times New Roman" w:eastAsia="宋体" w:cs="Times New Roman"/>
                <w:color w:val="auto"/>
                <w:sz w:val="21"/>
                <w:szCs w:val="21"/>
                <w:highlight w:val="none"/>
                <w:lang w:val="en-US"/>
              </w:rPr>
              <w:t>。</w:t>
            </w:r>
          </w:p>
          <w:p w14:paraId="2BC39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中标人因下列原因变更项目经理（建造师），须缴纳违约金</w:t>
            </w:r>
            <w:r>
              <w:rPr>
                <w:rFonts w:hint="eastAsia" w:ascii="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lang w:val="en-US" w:eastAsia="zh-CN"/>
              </w:rPr>
              <w:t>万</w:t>
            </w:r>
            <w:r>
              <w:rPr>
                <w:rFonts w:hint="eastAsia" w:ascii="宋体" w:hAnsi="Times New Roman" w:eastAsia="宋体" w:cs="Times New Roman"/>
                <w:color w:val="auto"/>
                <w:sz w:val="21"/>
                <w:szCs w:val="21"/>
                <w:highlight w:val="none"/>
                <w:lang w:val="en-US"/>
              </w:rPr>
              <w:t>元</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17FDB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rPr>
              <w:t>中标人因下列原因变更技术负责人，须缴纳违约金</w:t>
            </w:r>
            <w:r>
              <w:rPr>
                <w:rFonts w:hint="eastAsia" w:ascii="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lang w:val="en-US" w:eastAsia="zh-CN"/>
              </w:rPr>
              <w:t>万</w:t>
            </w:r>
            <w:r>
              <w:rPr>
                <w:rFonts w:hint="eastAsia" w:ascii="宋体" w:hAnsi="Times New Roman" w:eastAsia="宋体" w:cs="Times New Roman"/>
                <w:color w:val="auto"/>
                <w:sz w:val="21"/>
                <w:szCs w:val="21"/>
                <w:highlight w:val="none"/>
                <w:lang w:val="en-US"/>
              </w:rPr>
              <w:t>元</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123A9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rPr>
              <w:t>安全生产</w:t>
            </w:r>
          </w:p>
          <w:p w14:paraId="06074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504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rPr>
              <w:t>②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本项目严禁非法转包，一经发现，招标人依法处理。</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bookmarkStart w:id="54" w:name="_Toc35425053"/>
            <w:bookmarkStart w:id="55" w:name="_Toc78803322"/>
            <w:bookmarkStart w:id="56" w:name="_Toc5813"/>
            <w:bookmarkStart w:id="57" w:name="_Toc35424887"/>
            <w:bookmarkStart w:id="58" w:name="_Toc15058846"/>
            <w:r>
              <w:rPr>
                <w:rFonts w:hint="eastAsia" w:ascii="宋体" w:hAnsi="宋体" w:cs="宋体"/>
                <w:color w:val="auto"/>
                <w:sz w:val="21"/>
                <w:szCs w:val="21"/>
                <w:highlight w:val="none"/>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color w:val="auto"/>
                <w:kern w:val="0"/>
                <w:sz w:val="21"/>
                <w:szCs w:val="21"/>
                <w:highlight w:val="none"/>
                <w:lang w:val="en-US" w:eastAsia="zh-CN" w:bidi="ar-SA"/>
              </w:rPr>
              <w:t>0512-58151515</w:t>
            </w:r>
            <w:r>
              <w:rPr>
                <w:rFonts w:hint="eastAsia" w:ascii="宋体" w:hAnsi="宋体" w:eastAsia="宋体" w:cs="宋体"/>
                <w:color w:val="auto"/>
                <w:kern w:val="0"/>
                <w:sz w:val="21"/>
                <w:szCs w:val="21"/>
                <w:highlight w:val="none"/>
                <w:lang w:val="en-US" w:eastAsia="zh-CN" w:bidi="ar-SA"/>
              </w:rPr>
              <w:t>（工作日）。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9D69F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585086A">
      <w:pPr>
        <w:pStyle w:val="3"/>
        <w:spacing w:beforeLines="50" w:afterLines="50"/>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3"/>
        <w:ind w:firstLine="422" w:firstLineChars="200"/>
        <w:rPr>
          <w:rFonts w:ascii="宋体" w:hAnsi="宋体" w:eastAsia="宋体" w:cs="宋体"/>
          <w:color w:val="auto"/>
          <w:kern w:val="44"/>
          <w:highlight w:val="none"/>
        </w:rPr>
      </w:pPr>
      <w:bookmarkStart w:id="59" w:name="_Toc4678"/>
      <w:bookmarkStart w:id="60" w:name="_Toc179632547"/>
      <w:bookmarkStart w:id="61" w:name="_Toc246996919"/>
      <w:bookmarkStart w:id="62" w:name="_Toc35425054"/>
      <w:bookmarkStart w:id="63" w:name="_Toc15058847"/>
      <w:bookmarkStart w:id="64" w:name="_Toc296602421"/>
      <w:bookmarkStart w:id="65" w:name="_Toc144974498"/>
      <w:bookmarkStart w:id="66" w:name="_Toc324404816"/>
      <w:bookmarkStart w:id="67" w:name="_Toc152045530"/>
      <w:bookmarkStart w:id="68" w:name="_Toc247085690"/>
      <w:bookmarkStart w:id="69" w:name="_Toc35424888"/>
      <w:bookmarkStart w:id="70" w:name="_Toc506107270"/>
      <w:bookmarkStart w:id="71" w:name="_Toc78803323"/>
      <w:bookmarkStart w:id="72" w:name="_Toc152042306"/>
      <w:bookmarkStart w:id="73" w:name="_Toc246996176"/>
      <w:r>
        <w:rPr>
          <w:rFonts w:hint="eastAsia" w:ascii="宋体" w:hAnsi="宋体" w:eastAsia="宋体" w:cs="宋体"/>
          <w:color w:val="auto"/>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5AB354A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7E46A02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77102B8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6CBC327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36B2C8D">
      <w:pPr>
        <w:pStyle w:val="3"/>
        <w:ind w:firstLine="422" w:firstLineChars="200"/>
        <w:rPr>
          <w:rFonts w:ascii="宋体" w:hAnsi="宋体" w:eastAsia="宋体" w:cs="宋体"/>
          <w:color w:val="auto"/>
          <w:highlight w:val="none"/>
        </w:rPr>
      </w:pPr>
      <w:bookmarkStart w:id="74" w:name="_Toc15058848"/>
      <w:bookmarkStart w:id="75" w:name="_Toc179632548"/>
      <w:bookmarkStart w:id="76" w:name="_Toc247085691"/>
      <w:bookmarkStart w:id="77" w:name="_Toc7142"/>
      <w:bookmarkStart w:id="78" w:name="_Toc296602422"/>
      <w:bookmarkStart w:id="79" w:name="_Toc246996920"/>
      <w:bookmarkStart w:id="80" w:name="_Toc78803324"/>
      <w:bookmarkStart w:id="81" w:name="_Toc152045531"/>
      <w:bookmarkStart w:id="82" w:name="_Toc506107271"/>
      <w:bookmarkStart w:id="83" w:name="_Toc144974499"/>
      <w:bookmarkStart w:id="84" w:name="_Toc246996177"/>
      <w:bookmarkStart w:id="85" w:name="_Toc35424889"/>
      <w:bookmarkStart w:id="86" w:name="_Toc152042307"/>
      <w:bookmarkStart w:id="87" w:name="_Toc324404817"/>
      <w:bookmarkStart w:id="88" w:name="_Toc35425055"/>
      <w:r>
        <w:rPr>
          <w:rFonts w:hint="eastAsia" w:ascii="宋体" w:hAnsi="宋体" w:eastAsia="宋体" w:cs="宋体"/>
          <w:color w:val="auto"/>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77419EB9">
      <w:pPr>
        <w:pStyle w:val="3"/>
        <w:ind w:firstLine="422" w:firstLineChars="200"/>
        <w:rPr>
          <w:rFonts w:ascii="宋体" w:hAnsi="宋体" w:eastAsia="宋体" w:cs="宋体"/>
          <w:color w:val="auto"/>
          <w:highlight w:val="none"/>
        </w:rPr>
      </w:pPr>
      <w:bookmarkStart w:id="89" w:name="_Toc246996921"/>
      <w:bookmarkStart w:id="90" w:name="_Toc247085692"/>
      <w:bookmarkStart w:id="91" w:name="_Toc35424890"/>
      <w:bookmarkStart w:id="92" w:name="_Toc15058849"/>
      <w:bookmarkStart w:id="93" w:name="_Toc506107272"/>
      <w:bookmarkStart w:id="94" w:name="_Toc6330"/>
      <w:bookmarkStart w:id="95" w:name="_Toc296602423"/>
      <w:bookmarkStart w:id="96" w:name="_Toc144974500"/>
      <w:bookmarkStart w:id="97" w:name="_Toc246996178"/>
      <w:bookmarkStart w:id="98" w:name="_Toc179632549"/>
      <w:bookmarkStart w:id="99" w:name="_Toc35425056"/>
      <w:bookmarkStart w:id="100" w:name="_Toc78803325"/>
      <w:bookmarkStart w:id="101" w:name="_Toc324404818"/>
      <w:bookmarkStart w:id="102" w:name="_Toc152042308"/>
      <w:bookmarkStart w:id="103" w:name="_Toc152045532"/>
      <w:r>
        <w:rPr>
          <w:rFonts w:hint="eastAsia" w:ascii="宋体" w:hAnsi="宋体" w:eastAsia="宋体" w:cs="宋体"/>
          <w:color w:val="auto"/>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4738494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 本招标项目的监理服务期限：见投标人须知前附表。</w:t>
      </w:r>
    </w:p>
    <w:p w14:paraId="1CB8FAD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26E33D0B">
      <w:pPr>
        <w:pStyle w:val="3"/>
        <w:ind w:firstLine="422" w:firstLineChars="200"/>
        <w:rPr>
          <w:rFonts w:ascii="宋体" w:hAnsi="宋体" w:eastAsia="宋体" w:cs="宋体"/>
          <w:color w:val="auto"/>
          <w:highlight w:val="none"/>
        </w:rPr>
      </w:pPr>
      <w:bookmarkStart w:id="104" w:name="_Toc35424891"/>
      <w:bookmarkStart w:id="105" w:name="_Toc35425057"/>
      <w:bookmarkStart w:id="106" w:name="_Toc247085693"/>
      <w:bookmarkStart w:id="107" w:name="_Toc246996179"/>
      <w:bookmarkStart w:id="108" w:name="_Toc152045534"/>
      <w:bookmarkStart w:id="109" w:name="_Toc15058850"/>
      <w:bookmarkStart w:id="110" w:name="_Toc246996922"/>
      <w:bookmarkStart w:id="111" w:name="_Toc26897"/>
      <w:bookmarkStart w:id="112" w:name="_Toc296602424"/>
      <w:bookmarkStart w:id="113" w:name="_Toc179632551"/>
      <w:bookmarkStart w:id="114" w:name="_Toc324404819"/>
      <w:bookmarkStart w:id="115" w:name="_Toc152042310"/>
      <w:bookmarkStart w:id="116" w:name="_Toc144974502"/>
      <w:bookmarkStart w:id="117" w:name="_Toc78803326"/>
      <w:bookmarkStart w:id="118" w:name="_Toc506107273"/>
      <w:r>
        <w:rPr>
          <w:rFonts w:hint="eastAsia" w:ascii="宋体" w:hAnsi="宋体" w:eastAsia="宋体" w:cs="宋体"/>
          <w:color w:val="auto"/>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投标人应具备承担本项目</w:t>
      </w:r>
      <w:r>
        <w:rPr>
          <w:rFonts w:hint="eastAsia" w:ascii="宋体" w:hAnsi="宋体" w:eastAsia="宋体" w:cs="宋体"/>
          <w:color w:val="auto"/>
          <w:szCs w:val="21"/>
          <w:highlight w:val="none"/>
          <w:lang w:val="en-US" w:eastAsia="zh-CN"/>
        </w:rPr>
        <w:t>施工</w:t>
      </w:r>
      <w:r>
        <w:rPr>
          <w:rFonts w:hint="eastAsia" w:ascii="宋体" w:hAnsi="宋体" w:eastAsia="宋体" w:cs="宋体"/>
          <w:color w:val="auto"/>
          <w:szCs w:val="21"/>
          <w:highlight w:val="none"/>
        </w:rPr>
        <w:t>的资质条件、能力和信誉。</w:t>
      </w:r>
    </w:p>
    <w:p w14:paraId="42CF7408">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）其他要求：见投标人须知前附表。</w:t>
      </w:r>
    </w:p>
    <w:p w14:paraId="66002C8A">
      <w:pPr>
        <w:spacing w:line="440" w:lineRule="exact"/>
        <w:ind w:firstLine="420" w:firstLineChars="200"/>
        <w:jc w:val="left"/>
        <w:rPr>
          <w:rFonts w:hint="eastAsia" w:ascii="宋体" w:hAnsi="宋体" w:eastAsia="宋体" w:cs="宋体"/>
          <w:color w:val="auto"/>
          <w:szCs w:val="21"/>
          <w:highlight w:val="none"/>
        </w:rPr>
      </w:pPr>
      <w:bookmarkStart w:id="119" w:name="_Toc35424892"/>
      <w:bookmarkStart w:id="120" w:name="_Toc35425058"/>
      <w:bookmarkStart w:id="121" w:name="_Toc10179"/>
      <w:bookmarkStart w:id="122" w:name="_Toc144974503"/>
      <w:bookmarkStart w:id="123" w:name="_Toc152042311"/>
      <w:bookmarkStart w:id="124" w:name="_Toc247085694"/>
      <w:bookmarkStart w:id="125" w:name="_Toc15058851"/>
      <w:bookmarkStart w:id="126" w:name="_Toc152045535"/>
      <w:bookmarkStart w:id="127" w:name="_Toc246996180"/>
      <w:bookmarkStart w:id="128" w:name="_Toc78803327"/>
      <w:bookmarkStart w:id="129" w:name="_Toc246996923"/>
      <w:bookmarkStart w:id="130" w:name="_Toc179632552"/>
      <w:bookmarkStart w:id="131" w:name="_Toc506107274"/>
      <w:bookmarkStart w:id="132" w:name="_Toc296602425"/>
      <w:bookmarkStart w:id="133" w:name="_Toc324404820"/>
      <w:r>
        <w:rPr>
          <w:rFonts w:hint="eastAsia" w:ascii="宋体" w:hAnsi="宋体" w:eastAsia="宋体" w:cs="宋体"/>
          <w:color w:val="auto"/>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（5）为本标段前期准备提供设计或咨询服务的法人或其任何附属机构（单位）(工程总承包项目本目不采用)；</w:t>
      </w:r>
    </w:p>
    <w:p w14:paraId="73E24824">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（6）为本标段的监理人；</w:t>
      </w:r>
    </w:p>
    <w:p w14:paraId="43DEC31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（7）为本标段的代建人；</w:t>
      </w:r>
    </w:p>
    <w:p w14:paraId="56536154">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（8）为本标段的招标代理机构；</w:t>
      </w:r>
    </w:p>
    <w:p w14:paraId="3407078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（11）法律法规或投标人须知前附表规定的其他情形。</w:t>
      </w:r>
    </w:p>
    <w:p w14:paraId="4D283291">
      <w:pPr>
        <w:pStyle w:val="3"/>
        <w:ind w:firstLine="422" w:firstLineChars="200"/>
        <w:rPr>
          <w:rFonts w:ascii="宋体" w:hAnsi="宋体" w:eastAsia="宋体" w:cs="宋体"/>
          <w:color w:val="auto"/>
          <w:highlight w:val="none"/>
        </w:rPr>
      </w:pPr>
      <w:r>
        <w:rPr>
          <w:rFonts w:hint="eastAsia" w:ascii="宋体" w:hAnsi="宋体" w:eastAsia="宋体" w:cs="宋体"/>
          <w:color w:val="auto"/>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6B9E8D17">
      <w:pPr>
        <w:pStyle w:val="3"/>
        <w:ind w:firstLine="422" w:firstLineChars="200"/>
        <w:rPr>
          <w:rFonts w:ascii="宋体" w:hAnsi="宋体" w:eastAsia="宋体" w:cs="宋体"/>
          <w:color w:val="auto"/>
          <w:highlight w:val="none"/>
        </w:rPr>
      </w:pPr>
      <w:bookmarkStart w:id="134" w:name="_Toc506107275"/>
      <w:bookmarkStart w:id="135" w:name="_Toc246996181"/>
      <w:bookmarkStart w:id="136" w:name="_Toc144974504"/>
      <w:bookmarkStart w:id="137" w:name="_Toc15058852"/>
      <w:bookmarkStart w:id="138" w:name="_Toc4092"/>
      <w:bookmarkStart w:id="139" w:name="_Toc78803328"/>
      <w:bookmarkStart w:id="140" w:name="_Toc35424893"/>
      <w:bookmarkStart w:id="141" w:name="_Toc152042312"/>
      <w:bookmarkStart w:id="142" w:name="_Toc35425059"/>
      <w:bookmarkStart w:id="143" w:name="_Toc246996924"/>
      <w:bookmarkStart w:id="144" w:name="_Toc296602426"/>
      <w:bookmarkStart w:id="145" w:name="_Toc152045536"/>
      <w:bookmarkStart w:id="146" w:name="_Toc179632553"/>
      <w:bookmarkStart w:id="147" w:name="_Toc247085695"/>
      <w:bookmarkStart w:id="148" w:name="_Toc324404821"/>
      <w:r>
        <w:rPr>
          <w:rFonts w:hint="eastAsia" w:ascii="宋体" w:hAnsi="宋体" w:eastAsia="宋体" w:cs="宋体"/>
          <w:color w:val="auto"/>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17C94B32">
      <w:pPr>
        <w:pStyle w:val="3"/>
        <w:ind w:firstLine="422" w:firstLineChars="200"/>
        <w:rPr>
          <w:rFonts w:ascii="宋体" w:hAnsi="宋体" w:eastAsia="宋体" w:cs="宋体"/>
          <w:color w:val="auto"/>
          <w:highlight w:val="none"/>
        </w:rPr>
      </w:pPr>
      <w:bookmarkStart w:id="149" w:name="_Toc144974505"/>
      <w:bookmarkStart w:id="150" w:name="_Toc4119"/>
      <w:bookmarkStart w:id="151" w:name="_Toc152042313"/>
      <w:bookmarkStart w:id="152" w:name="_Toc506107276"/>
      <w:bookmarkStart w:id="153" w:name="_Toc324404822"/>
      <w:bookmarkStart w:id="154" w:name="_Toc35424894"/>
      <w:bookmarkStart w:id="155" w:name="_Toc15058853"/>
      <w:bookmarkStart w:id="156" w:name="_Toc246996182"/>
      <w:bookmarkStart w:id="157" w:name="_Toc152045537"/>
      <w:bookmarkStart w:id="158" w:name="_Toc78803329"/>
      <w:bookmarkStart w:id="159" w:name="_Toc35425060"/>
      <w:bookmarkStart w:id="160" w:name="_Toc247085696"/>
      <w:bookmarkStart w:id="161" w:name="_Toc296602427"/>
      <w:bookmarkStart w:id="162" w:name="_Toc179632554"/>
      <w:bookmarkStart w:id="163" w:name="_Toc246996925"/>
      <w:r>
        <w:rPr>
          <w:rFonts w:hint="eastAsia" w:ascii="宋体" w:hAnsi="宋体" w:eastAsia="宋体" w:cs="宋体"/>
          <w:color w:val="auto"/>
          <w:highlight w:val="none"/>
        </w:rPr>
        <w:t>1.7 语言</w:t>
      </w:r>
      <w:bookmarkEnd w:id="149"/>
      <w:r>
        <w:rPr>
          <w:rFonts w:hint="eastAsia" w:ascii="宋体" w:hAnsi="宋体" w:eastAsia="宋体" w:cs="宋体"/>
          <w:color w:val="auto"/>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color w:val="auto"/>
          <w:szCs w:val="21"/>
          <w:highlight w:val="none"/>
        </w:rPr>
      </w:pPr>
      <w:bookmarkStart w:id="164" w:name="_Toc144974506"/>
      <w:bookmarkStart w:id="165" w:name="_Toc152045538"/>
      <w:bookmarkStart w:id="166" w:name="_Toc152042314"/>
      <w:bookmarkStart w:id="167" w:name="_Toc179632555"/>
      <w:bookmarkStart w:id="168" w:name="_Toc246996926"/>
      <w:bookmarkStart w:id="169" w:name="_Toc246996183"/>
      <w:bookmarkStart w:id="170" w:name="_Toc247085697"/>
      <w:r>
        <w:rPr>
          <w:rFonts w:hint="eastAsia" w:ascii="宋体" w:hAnsi="宋体" w:cs="宋体"/>
          <w:color w:val="auto"/>
          <w:szCs w:val="21"/>
          <w:highlight w:val="none"/>
        </w:rPr>
        <w:t>招标投标文件使用的语言文字为中文。专用术语使用外文的，应附有中文注释。</w:t>
      </w:r>
    </w:p>
    <w:p w14:paraId="07887133">
      <w:pPr>
        <w:pStyle w:val="3"/>
        <w:ind w:firstLine="422" w:firstLineChars="200"/>
        <w:rPr>
          <w:rFonts w:ascii="宋体" w:hAnsi="宋体" w:eastAsia="宋体" w:cs="宋体"/>
          <w:color w:val="auto"/>
          <w:highlight w:val="none"/>
        </w:rPr>
      </w:pPr>
      <w:bookmarkStart w:id="171" w:name="_Toc35425061"/>
      <w:bookmarkStart w:id="172" w:name="_Toc35424895"/>
      <w:bookmarkStart w:id="173" w:name="_Toc13408"/>
      <w:bookmarkStart w:id="174" w:name="_Toc296602428"/>
      <w:bookmarkStart w:id="175" w:name="_Toc506107277"/>
      <w:bookmarkStart w:id="176" w:name="_Toc15058854"/>
      <w:bookmarkStart w:id="177" w:name="_Toc78803330"/>
      <w:bookmarkStart w:id="178" w:name="_Toc324404823"/>
      <w:r>
        <w:rPr>
          <w:rFonts w:hint="eastAsia" w:ascii="宋体" w:hAnsi="宋体" w:eastAsia="宋体" w:cs="宋体"/>
          <w:color w:val="auto"/>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6E75FA73">
      <w:pPr>
        <w:pStyle w:val="3"/>
        <w:ind w:firstLine="422" w:firstLineChars="200"/>
        <w:rPr>
          <w:rFonts w:ascii="宋体" w:hAnsi="宋体" w:eastAsia="宋体" w:cs="宋体"/>
          <w:color w:val="auto"/>
          <w:highlight w:val="none"/>
        </w:rPr>
      </w:pPr>
      <w:bookmarkStart w:id="179" w:name="_Toc15058855"/>
      <w:bookmarkStart w:id="180" w:name="_Toc506107278"/>
      <w:bookmarkStart w:id="181" w:name="_Toc144974507"/>
      <w:bookmarkStart w:id="182" w:name="_Toc35425062"/>
      <w:bookmarkStart w:id="183" w:name="_Toc296602429"/>
      <w:bookmarkStart w:id="184" w:name="_Toc152042315"/>
      <w:bookmarkStart w:id="185" w:name="_Toc11493"/>
      <w:bookmarkStart w:id="186" w:name="_Toc247513962"/>
      <w:bookmarkStart w:id="187" w:name="_Toc247592876"/>
      <w:bookmarkStart w:id="188" w:name="_Toc324404824"/>
      <w:bookmarkStart w:id="189" w:name="_Toc35424896"/>
      <w:bookmarkStart w:id="190" w:name="_Toc247527563"/>
      <w:bookmarkStart w:id="191" w:name="_Toc152045539"/>
      <w:bookmarkStart w:id="192" w:name="_Toc78803331"/>
      <w:r>
        <w:rPr>
          <w:rFonts w:hint="eastAsia" w:ascii="宋体" w:hAnsi="宋体" w:eastAsia="宋体" w:cs="宋体"/>
          <w:color w:val="auto"/>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color w:val="auto"/>
          <w:szCs w:val="21"/>
          <w:highlight w:val="none"/>
        </w:rPr>
      </w:pPr>
      <w:bookmarkStart w:id="193" w:name="_Toc247592877"/>
      <w:bookmarkStart w:id="194" w:name="_Toc35424897"/>
      <w:bookmarkStart w:id="195" w:name="_Toc152042316"/>
      <w:bookmarkStart w:id="196" w:name="_Toc247527564"/>
      <w:bookmarkStart w:id="197" w:name="_Toc15058856"/>
      <w:bookmarkStart w:id="198" w:name="_Toc144974508"/>
      <w:bookmarkStart w:id="199" w:name="_Toc324404825"/>
      <w:bookmarkStart w:id="200" w:name="_Toc22954"/>
      <w:bookmarkStart w:id="201" w:name="_Toc35425063"/>
      <w:bookmarkStart w:id="202" w:name="_Toc506107279"/>
      <w:bookmarkStart w:id="203" w:name="_Toc78803332"/>
      <w:bookmarkStart w:id="204" w:name="_Toc152045540"/>
      <w:bookmarkStart w:id="205" w:name="_Toc296602430"/>
      <w:bookmarkStart w:id="206" w:name="_Toc247513963"/>
      <w:r>
        <w:rPr>
          <w:rFonts w:hint="eastAsia" w:ascii="宋体" w:hAnsi="宋体" w:eastAsia="宋体" w:cs="宋体"/>
          <w:color w:val="auto"/>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3"/>
        <w:ind w:firstLine="422" w:firstLineChars="200"/>
        <w:rPr>
          <w:rFonts w:ascii="宋体" w:hAnsi="宋体" w:eastAsia="宋体" w:cs="宋体"/>
          <w:color w:val="auto"/>
          <w:highlight w:val="none"/>
        </w:rPr>
      </w:pPr>
      <w:r>
        <w:rPr>
          <w:rFonts w:hint="eastAsia" w:ascii="宋体" w:hAnsi="宋体" w:eastAsia="宋体" w:cs="宋体"/>
          <w:color w:val="auto"/>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color w:val="auto"/>
          <w:szCs w:val="21"/>
          <w:highlight w:val="none"/>
        </w:rPr>
      </w:pPr>
      <w:bookmarkStart w:id="207" w:name="_Toc95223347"/>
      <w:bookmarkStart w:id="208" w:name="_Toc83301699"/>
      <w:bookmarkStart w:id="209" w:name="_Toc60061444"/>
      <w:bookmarkStart w:id="210" w:name="_Toc324404826"/>
      <w:bookmarkStart w:id="211" w:name="_Toc32016"/>
      <w:bookmarkStart w:id="212" w:name="_Toc78803333"/>
      <w:bookmarkStart w:id="213" w:name="_Toc35425064"/>
      <w:bookmarkStart w:id="214" w:name="_Toc296602431"/>
      <w:bookmarkStart w:id="215" w:name="_Toc15058857"/>
      <w:bookmarkStart w:id="216" w:name="_Toc506107280"/>
      <w:bookmarkStart w:id="217" w:name="_Toc35424898"/>
      <w:r>
        <w:rPr>
          <w:rFonts w:hint="eastAsia" w:ascii="宋体" w:hAnsi="宋体" w:eastAsia="宋体" w:cs="宋体"/>
          <w:color w:val="auto"/>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1.10.2投标人应在投标人须知前附表规定的时间前，将提出的问题送达招标人，以便招标人澄清。</w:t>
      </w:r>
    </w:p>
    <w:p w14:paraId="77334C7F">
      <w:pPr>
        <w:pStyle w:val="3"/>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（3）其他要求：投标人如有分包计划，应按第九章“投标文件格式”的要求填写“拟分包项目情况表”，明确拟分包的工程及规模，且投标人中标后的分包应满足合同条款的相关要求。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color w:val="auto"/>
          <w:szCs w:val="21"/>
          <w:highlight w:val="none"/>
          <w:lang w:eastAsia="zh-CN"/>
        </w:rPr>
        <w:t>。</w:t>
      </w:r>
    </w:p>
    <w:p w14:paraId="01FA1CA0">
      <w:pPr>
        <w:pStyle w:val="3"/>
        <w:ind w:firstLine="422" w:firstLineChars="200"/>
        <w:rPr>
          <w:rFonts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 1.12.3 项（2）目所述的细微偏差，可要求投标人对细微偏差进行澄清。</w:t>
      </w:r>
    </w:p>
    <w:p w14:paraId="258F395D">
      <w:pPr>
        <w:pStyle w:val="3"/>
        <w:spacing w:beforeLines="50" w:afterLines="50"/>
        <w:ind w:firstLine="482" w:firstLineChars="200"/>
        <w:rPr>
          <w:rFonts w:ascii="宋体" w:hAnsi="宋体" w:eastAsia="宋体" w:cs="宋体"/>
          <w:color w:val="auto"/>
          <w:sz w:val="24"/>
          <w:szCs w:val="24"/>
          <w:highlight w:val="none"/>
        </w:rPr>
      </w:pPr>
      <w:bookmarkStart w:id="218" w:name="_Toc35425065"/>
      <w:bookmarkStart w:id="219" w:name="_Toc15058858"/>
      <w:bookmarkStart w:id="220" w:name="_Toc324404827"/>
      <w:bookmarkStart w:id="221" w:name="_Toc179632560"/>
      <w:bookmarkStart w:id="222" w:name="_Toc4012"/>
      <w:bookmarkStart w:id="223" w:name="_Toc246996187"/>
      <w:bookmarkStart w:id="224" w:name="_Toc506107281"/>
      <w:bookmarkStart w:id="225" w:name="_Toc78803334"/>
      <w:bookmarkStart w:id="226" w:name="_Toc246996930"/>
      <w:bookmarkStart w:id="227" w:name="_Toc152042318"/>
      <w:bookmarkStart w:id="228" w:name="_Toc247085701"/>
      <w:bookmarkStart w:id="229" w:name="_Toc152045542"/>
      <w:bookmarkStart w:id="230" w:name="_Toc35424899"/>
      <w:bookmarkStart w:id="231" w:name="_Toc144974510"/>
      <w:r>
        <w:rPr>
          <w:rFonts w:hint="eastAsia" w:ascii="宋体" w:hAnsi="宋体" w:eastAsia="宋体" w:cs="宋体"/>
          <w:color w:val="auto"/>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3"/>
        <w:ind w:firstLine="422" w:firstLineChars="200"/>
        <w:rPr>
          <w:rFonts w:ascii="宋体" w:hAnsi="宋体" w:eastAsia="宋体" w:cs="宋体"/>
          <w:color w:val="auto"/>
          <w:highlight w:val="none"/>
        </w:rPr>
      </w:pPr>
      <w:bookmarkStart w:id="232" w:name="_Toc247085702"/>
      <w:bookmarkStart w:id="233" w:name="_Toc152042319"/>
      <w:bookmarkStart w:id="234" w:name="_Toc246996188"/>
      <w:bookmarkStart w:id="235" w:name="_Toc13213"/>
      <w:bookmarkStart w:id="236" w:name="_Toc35424900"/>
      <w:bookmarkStart w:id="237" w:name="_Toc15058859"/>
      <w:bookmarkStart w:id="238" w:name="_Toc152045543"/>
      <w:bookmarkStart w:id="239" w:name="_Toc144974511"/>
      <w:bookmarkStart w:id="240" w:name="_Toc179632561"/>
      <w:bookmarkStart w:id="241" w:name="_Toc78803335"/>
      <w:bookmarkStart w:id="242" w:name="_Toc506107282"/>
      <w:bookmarkStart w:id="243" w:name="_Toc296602433"/>
      <w:bookmarkStart w:id="244" w:name="_Toc246996931"/>
      <w:bookmarkStart w:id="245" w:name="_Toc324404828"/>
      <w:bookmarkStart w:id="246" w:name="_Toc35425066"/>
      <w:r>
        <w:rPr>
          <w:rFonts w:hint="eastAsia" w:ascii="宋体" w:hAnsi="宋体" w:eastAsia="宋体" w:cs="宋体"/>
          <w:color w:val="auto"/>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 本招标文件包括：</w:t>
      </w:r>
    </w:p>
    <w:p w14:paraId="17A2542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309C973C">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794E1BC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0F96BD3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21E08D67">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（5）工程量清单</w:t>
      </w:r>
      <w:r>
        <w:rPr>
          <w:rFonts w:hint="eastAsia" w:ascii="宋体" w:hAnsi="宋体" w:eastAsia="宋体" w:cs="宋体"/>
          <w:color w:val="auto"/>
          <w:szCs w:val="21"/>
          <w:highlight w:val="none"/>
          <w:lang w:eastAsia="zh-CN"/>
        </w:rPr>
        <w:t>；</w:t>
      </w:r>
    </w:p>
    <w:p w14:paraId="66146639">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图纸</w:t>
      </w:r>
      <w:r>
        <w:rPr>
          <w:rFonts w:hint="eastAsia" w:ascii="宋体" w:hAnsi="宋体" w:cs="宋体"/>
          <w:color w:val="auto"/>
          <w:szCs w:val="21"/>
          <w:highlight w:val="none"/>
          <w:lang w:val="en-US" w:eastAsia="zh-CN"/>
        </w:rPr>
        <w:t>（本项目不采用）</w:t>
      </w:r>
    </w:p>
    <w:p w14:paraId="70CE583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）合同条款及格式；</w:t>
      </w:r>
    </w:p>
    <w:p w14:paraId="3AB46C6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）投标文件格式；</w:t>
      </w:r>
    </w:p>
    <w:p w14:paraId="58EF797A">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）投标人须知前附表规定的其他材料。</w:t>
      </w:r>
    </w:p>
    <w:p w14:paraId="4A2A592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2.1.3当招标文件、招标文件的澄清或修改等在同一内容的表述上不一致时，以最后发出的文件为准。</w:t>
      </w:r>
    </w:p>
    <w:p w14:paraId="3B513EA0">
      <w:pPr>
        <w:pStyle w:val="3"/>
        <w:ind w:firstLine="422" w:firstLineChars="200"/>
        <w:rPr>
          <w:rFonts w:hint="eastAsia" w:ascii="宋体" w:hAnsi="宋体" w:eastAsia="宋体" w:cs="宋体"/>
          <w:color w:val="auto"/>
          <w:highlight w:val="none"/>
        </w:rPr>
      </w:pPr>
      <w:bookmarkStart w:id="247" w:name="_Toc247085703"/>
      <w:bookmarkStart w:id="248" w:name="_Toc32239"/>
      <w:bookmarkStart w:id="249" w:name="_Toc506107283"/>
      <w:bookmarkStart w:id="250" w:name="_Toc35424901"/>
      <w:bookmarkStart w:id="251" w:name="_Toc246996932"/>
      <w:bookmarkStart w:id="252" w:name="_Toc15058860"/>
      <w:bookmarkStart w:id="253" w:name="_Toc296602434"/>
      <w:bookmarkStart w:id="254" w:name="_Toc152042320"/>
      <w:bookmarkStart w:id="255" w:name="_Toc35425067"/>
      <w:bookmarkStart w:id="256" w:name="_Toc78803336"/>
      <w:bookmarkStart w:id="257" w:name="_Toc246996189"/>
      <w:bookmarkStart w:id="258" w:name="_Toc324404829"/>
      <w:bookmarkStart w:id="259" w:name="_Toc152045544"/>
      <w:bookmarkStart w:id="260" w:name="_Toc179632562"/>
      <w:bookmarkStart w:id="261" w:name="_Toc144974512"/>
      <w:r>
        <w:rPr>
          <w:rFonts w:hint="eastAsia" w:ascii="宋体" w:hAnsi="宋体" w:eastAsia="宋体" w:cs="宋体"/>
          <w:color w:val="auto"/>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color w:val="auto"/>
          <w:highlight w:val="none"/>
        </w:rPr>
        <w:t>招标文件的异议</w:t>
      </w:r>
    </w:p>
    <w:p w14:paraId="47165EF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color w:val="auto"/>
          <w:szCs w:val="21"/>
          <w:highlight w:val="none"/>
        </w:rPr>
        <w:t>。</w:t>
      </w:r>
    </w:p>
    <w:p w14:paraId="5EC8A5BB">
      <w:pPr>
        <w:pStyle w:val="3"/>
        <w:ind w:firstLine="422" w:firstLineChars="200"/>
        <w:rPr>
          <w:rFonts w:hint="eastAsia" w:ascii="宋体" w:hAnsi="宋体" w:eastAsia="宋体" w:cs="宋体"/>
          <w:color w:val="auto"/>
          <w:highlight w:val="none"/>
          <w:lang w:eastAsia="zh-CN"/>
        </w:rPr>
      </w:pPr>
      <w:bookmarkStart w:id="262" w:name="_Toc324404830"/>
      <w:bookmarkStart w:id="263" w:name="_Toc24633"/>
      <w:bookmarkStart w:id="264" w:name="_Toc152042321"/>
      <w:bookmarkStart w:id="265" w:name="_Toc247085704"/>
      <w:bookmarkStart w:id="266" w:name="_Toc179632563"/>
      <w:bookmarkStart w:id="267" w:name="_Toc35424902"/>
      <w:bookmarkStart w:id="268" w:name="_Toc246996190"/>
      <w:bookmarkStart w:id="269" w:name="_Toc296602435"/>
      <w:bookmarkStart w:id="270" w:name="_Toc144974513"/>
      <w:bookmarkStart w:id="271" w:name="_Toc246996933"/>
      <w:bookmarkStart w:id="272" w:name="_Toc35425068"/>
      <w:bookmarkStart w:id="273" w:name="_Toc78803337"/>
      <w:bookmarkStart w:id="274" w:name="_Toc152045545"/>
      <w:bookmarkStart w:id="275" w:name="_Toc506107284"/>
      <w:bookmarkStart w:id="276" w:name="_Toc15058861"/>
      <w:r>
        <w:rPr>
          <w:rFonts w:hint="eastAsia" w:ascii="宋体" w:hAnsi="宋体" w:eastAsia="宋体" w:cs="宋体"/>
          <w:color w:val="auto"/>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color w:val="auto"/>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bookmarkStart w:id="277" w:name="_Toc78803338"/>
      <w:bookmarkStart w:id="278" w:name="_Toc324404831"/>
      <w:bookmarkStart w:id="279" w:name="_Toc35425069"/>
      <w:bookmarkStart w:id="280" w:name="_Toc15058862"/>
      <w:bookmarkStart w:id="281" w:name="_Toc35424903"/>
      <w:bookmarkStart w:id="282" w:name="_Toc2696"/>
      <w:r>
        <w:rPr>
          <w:rFonts w:hint="eastAsia" w:ascii="宋体" w:hAnsi="宋体" w:eastAsia="宋体" w:cs="宋体"/>
          <w:color w:val="auto"/>
          <w:szCs w:val="21"/>
          <w:highlight w:val="none"/>
        </w:rPr>
        <w:t>招标文件的澄清将在</w:t>
      </w:r>
      <w:r>
        <w:rPr>
          <w:rFonts w:hint="eastAsia" w:ascii="宋体" w:hAnsi="宋体" w:eastAsia="宋体" w:cs="宋体"/>
          <w:color w:val="auto"/>
          <w:szCs w:val="21"/>
          <w:highlight w:val="none"/>
          <w:lang w:val="en-US" w:eastAsia="zh-CN"/>
        </w:rPr>
        <w:t>滁州市城投工程咨询管理有限公司网站</w:t>
      </w:r>
      <w:r>
        <w:rPr>
          <w:rFonts w:hint="eastAsia" w:ascii="宋体" w:hAnsi="宋体" w:eastAsia="宋体" w:cs="宋体"/>
          <w:color w:val="auto"/>
          <w:szCs w:val="21"/>
          <w:highlight w:val="none"/>
        </w:rPr>
        <w:t>（https://www.czctgczx.com/）发布，但不指明澄清问题的来源。如果澄清发出的时间距投标人须知前附表规定的投标截止时间不足15天，并且澄清内容影响投标文件编制的，将相应延长投标截止时间。</w:t>
      </w:r>
    </w:p>
    <w:bookmarkEnd w:id="277"/>
    <w:bookmarkEnd w:id="278"/>
    <w:bookmarkEnd w:id="279"/>
    <w:bookmarkEnd w:id="280"/>
    <w:bookmarkEnd w:id="281"/>
    <w:bookmarkEnd w:id="282"/>
    <w:p w14:paraId="5681C7DF">
      <w:pPr>
        <w:pStyle w:val="3"/>
        <w:spacing w:beforeLines="50" w:afterLines="50"/>
        <w:ind w:firstLine="482" w:firstLineChars="200"/>
        <w:rPr>
          <w:rFonts w:ascii="宋体" w:hAnsi="宋体" w:eastAsia="宋体" w:cs="宋体"/>
          <w:color w:val="auto"/>
          <w:sz w:val="24"/>
          <w:szCs w:val="24"/>
          <w:highlight w:val="none"/>
        </w:rPr>
      </w:pPr>
      <w:bookmarkStart w:id="283" w:name="_Toc506107285"/>
      <w:bookmarkStart w:id="284" w:name="_Toc152042322"/>
      <w:bookmarkStart w:id="285" w:name="_Toc15058863"/>
      <w:bookmarkStart w:id="286" w:name="_Toc246996191"/>
      <w:bookmarkStart w:id="287" w:name="_Toc35424904"/>
      <w:bookmarkStart w:id="288" w:name="_Toc179632564"/>
      <w:bookmarkStart w:id="289" w:name="_Toc144974514"/>
      <w:bookmarkStart w:id="290" w:name="_Toc247085705"/>
      <w:bookmarkStart w:id="291" w:name="_Toc6464"/>
      <w:bookmarkStart w:id="292" w:name="_Toc35425070"/>
      <w:bookmarkStart w:id="293" w:name="_Toc152045546"/>
      <w:bookmarkStart w:id="294" w:name="_Toc246996934"/>
      <w:bookmarkStart w:id="295" w:name="_Toc78803339"/>
      <w:bookmarkStart w:id="296" w:name="_Toc324404832"/>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3"/>
        <w:ind w:firstLine="422" w:firstLineChars="200"/>
        <w:rPr>
          <w:rFonts w:ascii="宋体" w:hAnsi="宋体" w:eastAsia="宋体" w:cs="宋体"/>
          <w:color w:val="auto"/>
          <w:highlight w:val="none"/>
        </w:rPr>
      </w:pPr>
      <w:bookmarkStart w:id="297" w:name="_Toc35424905"/>
      <w:bookmarkStart w:id="298" w:name="_Toc247085706"/>
      <w:bookmarkStart w:id="299" w:name="_Toc15058864"/>
      <w:bookmarkStart w:id="300" w:name="_Toc246996935"/>
      <w:bookmarkStart w:id="301" w:name="_Toc35425071"/>
      <w:bookmarkStart w:id="302" w:name="_Toc157"/>
      <w:bookmarkStart w:id="303" w:name="_Toc179632565"/>
      <w:bookmarkStart w:id="304" w:name="_Toc78803340"/>
      <w:bookmarkStart w:id="305" w:name="_Toc506107286"/>
      <w:bookmarkStart w:id="306" w:name="_Toc246996192"/>
      <w:bookmarkStart w:id="307" w:name="_Toc144974515"/>
      <w:bookmarkStart w:id="308" w:name="_Toc324404833"/>
      <w:bookmarkStart w:id="309" w:name="_Toc152045547"/>
      <w:bookmarkStart w:id="310" w:name="_Toc152042323"/>
      <w:bookmarkStart w:id="311" w:name="_Toc296602437"/>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由</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一（资信证明文件）</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（商务标</w:t>
      </w:r>
      <w:r>
        <w:rPr>
          <w:rFonts w:hint="eastAsia" w:ascii="宋体" w:hAnsi="宋体" w:cs="宋体"/>
          <w:color w:val="auto"/>
          <w:szCs w:val="21"/>
          <w:highlight w:val="none"/>
          <w:lang w:val="en-US" w:eastAsia="zh-CN"/>
        </w:rPr>
        <w:t>文件</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两</w:t>
      </w:r>
      <w:r>
        <w:rPr>
          <w:rFonts w:hint="eastAsia" w:ascii="宋体" w:hAnsi="宋体" w:cs="宋体"/>
          <w:color w:val="auto"/>
          <w:szCs w:val="21"/>
          <w:highlight w:val="none"/>
        </w:rPr>
        <w:t>部分组成</w:t>
      </w:r>
      <w:r>
        <w:rPr>
          <w:rFonts w:hint="eastAsia" w:ascii="宋体" w:hAnsi="宋体" w:cs="宋体"/>
          <w:color w:val="auto"/>
          <w:szCs w:val="21"/>
          <w:highlight w:val="none"/>
          <w:lang w:eastAsia="zh-CN"/>
        </w:rPr>
        <w:t>。</w:t>
      </w:r>
      <w:r>
        <w:rPr>
          <w:rFonts w:hint="eastAsia" w:ascii="宋体" w:hAnsi="宋体" w:cs="宋体"/>
          <w:color w:val="auto"/>
          <w:szCs w:val="21"/>
          <w:highlight w:val="none"/>
        </w:rPr>
        <w:t>具体要求详见本招标文件第</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章“投标文件格式”。</w:t>
      </w:r>
    </w:p>
    <w:p w14:paraId="68B92645">
      <w:pPr>
        <w:pStyle w:val="3"/>
        <w:ind w:firstLine="422" w:firstLineChars="200"/>
        <w:rPr>
          <w:rFonts w:ascii="宋体" w:hAnsi="宋体" w:eastAsia="宋体" w:cs="宋体"/>
          <w:color w:val="auto"/>
          <w:highlight w:val="none"/>
        </w:rPr>
      </w:pPr>
      <w:bookmarkStart w:id="312" w:name="_Toc247085707"/>
      <w:bookmarkStart w:id="313" w:name="_Toc506107287"/>
      <w:bookmarkStart w:id="314" w:name="_Toc296602438"/>
      <w:bookmarkStart w:id="315" w:name="_Toc15058865"/>
      <w:bookmarkStart w:id="316" w:name="_Toc246996936"/>
      <w:bookmarkStart w:id="317" w:name="_Toc144974516"/>
      <w:bookmarkStart w:id="318" w:name="_Toc6829"/>
      <w:bookmarkStart w:id="319" w:name="_Toc35424906"/>
      <w:bookmarkStart w:id="320" w:name="_Toc246996193"/>
      <w:bookmarkStart w:id="321" w:name="_Toc152042324"/>
      <w:bookmarkStart w:id="322" w:name="_Toc179632566"/>
      <w:bookmarkStart w:id="323" w:name="_Toc35425072"/>
      <w:bookmarkStart w:id="324" w:name="_Toc324404834"/>
      <w:bookmarkStart w:id="325" w:name="_Toc152045548"/>
      <w:bookmarkStart w:id="326" w:name="_Toc78803341"/>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color w:val="auto"/>
          <w:szCs w:val="21"/>
          <w:highlight w:val="none"/>
          <w:lang w:eastAsia="zh-CN"/>
        </w:rPr>
      </w:pPr>
      <w:bookmarkStart w:id="327" w:name="_Toc152045549"/>
      <w:bookmarkStart w:id="328" w:name="_Toc78803342"/>
      <w:bookmarkStart w:id="329" w:name="_Toc247085708"/>
      <w:bookmarkStart w:id="330" w:name="_Toc35424907"/>
      <w:bookmarkStart w:id="331" w:name="_Toc179632567"/>
      <w:bookmarkStart w:id="332" w:name="_Toc246996194"/>
      <w:bookmarkStart w:id="333" w:name="_Toc296602439"/>
      <w:bookmarkStart w:id="334" w:name="_Toc152042325"/>
      <w:bookmarkStart w:id="335" w:name="_Toc35425073"/>
      <w:bookmarkStart w:id="336" w:name="_Toc246996937"/>
      <w:bookmarkStart w:id="337" w:name="_Toc144974517"/>
      <w:bookmarkStart w:id="338" w:name="_Toc15058866"/>
      <w:bookmarkStart w:id="339" w:name="_Toc31735"/>
      <w:bookmarkStart w:id="340" w:name="_Toc324404835"/>
      <w:bookmarkStart w:id="341" w:name="_Toc506107288"/>
      <w:r>
        <w:rPr>
          <w:rFonts w:hint="eastAsia" w:ascii="宋体" w:hAnsi="宋体" w:eastAsia="宋体" w:cs="宋体"/>
          <w:color w:val="auto"/>
          <w:szCs w:val="21"/>
          <w:highlight w:val="none"/>
          <w:lang w:eastAsia="zh-CN"/>
        </w:rPr>
        <w:t>3.2.1投标报价应包括国家规定的增值税税金，除投标人须知前附表另有规定外，增值税税金按一般计税方法计算。投标人应按第</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lang w:eastAsia="zh-CN"/>
        </w:rPr>
        <w:t>章“投标文件格式”的要求在投标函中进行报价并填写工程量清单相应表格。</w:t>
      </w:r>
    </w:p>
    <w:p w14:paraId="1192EB75">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3.2.2投标人应充分了解本项目的总体情况以及影响投标报价的其他要素。</w:t>
      </w:r>
    </w:p>
    <w:p w14:paraId="68694043">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3.2.3投标人在投标截止时间前修改投标函中的投标报价总额，应同时修改“已标价工程量清单”中的相应报价，投标报价总额为各分项金额之和。此修改须符合本章第4.4款的有关要求。</w:t>
      </w:r>
    </w:p>
    <w:p w14:paraId="037A7F9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3.2.4招标人设有最高投标限价的，投标人的投标报价不得超过最高投标限价，最高投标限价在投标人须知前附表中载明。</w:t>
      </w:r>
    </w:p>
    <w:p w14:paraId="7C1D3D58">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3.2.5 投标报价的其他要求见投标人须知前附表。</w:t>
      </w:r>
    </w:p>
    <w:p w14:paraId="454C15E1">
      <w:pPr>
        <w:pStyle w:val="3"/>
        <w:ind w:firstLine="422" w:firstLineChars="200"/>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19262D1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10530AB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3.3.3出现特殊情况需要延长投标有效期的，招标人以书面形式通知所有投标人延长投标有效期。投标人同意延长的，但不得要求或被允许修改或撤销其投标文件；投标人拒绝延长的，其投标失效。</w:t>
      </w:r>
    </w:p>
    <w:p w14:paraId="780A1DA0">
      <w:pPr>
        <w:pStyle w:val="3"/>
        <w:ind w:firstLine="422" w:firstLineChars="200"/>
        <w:rPr>
          <w:rFonts w:hint="eastAsia" w:ascii="宋体" w:hAnsi="宋体" w:eastAsia="宋体" w:cs="宋体"/>
          <w:color w:val="auto"/>
          <w:highlight w:val="none"/>
        </w:rPr>
      </w:pPr>
      <w:bookmarkStart w:id="342" w:name="_Toc78803343"/>
      <w:bookmarkStart w:id="343" w:name="_Toc324404836"/>
      <w:bookmarkStart w:id="344" w:name="_Toc246996938"/>
      <w:bookmarkStart w:id="345" w:name="_Toc296602440"/>
      <w:bookmarkStart w:id="346" w:name="_Toc246996195"/>
      <w:bookmarkStart w:id="347" w:name="_Toc15058867"/>
      <w:bookmarkStart w:id="348" w:name="_Toc506107289"/>
      <w:bookmarkStart w:id="349" w:name="_Toc10714"/>
      <w:bookmarkStart w:id="350" w:name="_Toc144974518"/>
      <w:bookmarkStart w:id="351" w:name="_Toc247085709"/>
      <w:bookmarkStart w:id="352" w:name="_Toc35425074"/>
      <w:bookmarkStart w:id="353" w:name="_Toc152042326"/>
      <w:bookmarkStart w:id="354" w:name="_Toc152045550"/>
      <w:bookmarkStart w:id="355" w:name="_Toc35424908"/>
      <w:bookmarkStart w:id="356" w:name="_Toc179632568"/>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3EACC6B">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3.4.1本项目不收取投标保证金。</w:t>
      </w:r>
    </w:p>
    <w:p w14:paraId="31A74824">
      <w:pPr>
        <w:pStyle w:val="3"/>
        <w:ind w:firstLine="422" w:firstLineChars="200"/>
        <w:rPr>
          <w:rFonts w:ascii="宋体" w:hAnsi="宋体" w:eastAsia="宋体" w:cs="宋体"/>
          <w:color w:val="auto"/>
          <w:highlight w:val="none"/>
        </w:rPr>
      </w:pPr>
      <w:bookmarkStart w:id="357" w:name="_Toc15058868"/>
      <w:bookmarkStart w:id="358" w:name="_Toc19037"/>
      <w:bookmarkStart w:id="359" w:name="_Toc78803344"/>
      <w:bookmarkStart w:id="360" w:name="_Toc35424909"/>
      <w:bookmarkStart w:id="361" w:name="_Toc324404837"/>
      <w:bookmarkStart w:id="362" w:name="_Toc35425075"/>
      <w:bookmarkStart w:id="363" w:name="_Toc506107290"/>
      <w:bookmarkStart w:id="364" w:name="_Toc296602442"/>
      <w:bookmarkStart w:id="365" w:name="_Toc246996940"/>
      <w:bookmarkStart w:id="366" w:name="_Toc247085711"/>
      <w:bookmarkStart w:id="367" w:name="_Toc144974521"/>
      <w:bookmarkStart w:id="368" w:name="_Toc152042329"/>
      <w:bookmarkStart w:id="369" w:name="_Toc152045553"/>
      <w:bookmarkStart w:id="370" w:name="_Toc179632571"/>
      <w:bookmarkStart w:id="371" w:name="_Toc246996197"/>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color w:val="auto"/>
          <w:szCs w:val="21"/>
          <w:highlight w:val="none"/>
          <w:lang w:val="en-US" w:eastAsia="zh-CN"/>
        </w:rPr>
      </w:pPr>
      <w:bookmarkStart w:id="372" w:name="_Toc152042331"/>
      <w:bookmarkStart w:id="373" w:name="_Toc246996199"/>
      <w:bookmarkStart w:id="374" w:name="_Toc247085713"/>
      <w:bookmarkStart w:id="375" w:name="_Toc246996942"/>
      <w:bookmarkStart w:id="376" w:name="_Toc152045555"/>
      <w:bookmarkStart w:id="377" w:name="_Toc144974523"/>
      <w:bookmarkStart w:id="378" w:name="_Toc179632573"/>
      <w:bookmarkStart w:id="379" w:name="_Toc324404838"/>
      <w:r>
        <w:rPr>
          <w:rFonts w:hint="eastAsia" w:ascii="宋体" w:hAnsi="宋体" w:eastAsia="宋体" w:cs="宋体"/>
          <w:color w:val="auto"/>
          <w:szCs w:val="21"/>
          <w:highlight w:val="none"/>
          <w:lang w:val="en-US" w:eastAsia="zh-CN"/>
        </w:rPr>
        <w:t>3.5.1投标文件应按第九章“投标文件格式”进行编写，如有必要，可以增加附页，作为投标文件的组成部分。其中，投标函在满足招标文件实质性要求的基础上，可以提出比招标文件要求更有利于招标人的承诺。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3.5.2本次投标不需要提供纸质投标文件，投标人应按照电子招标投标的要求，在投标人的电子系统中制作、签章、上传加密的电子投标文件。</w:t>
      </w:r>
    </w:p>
    <w:p w14:paraId="3C40A9D2">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19FF8C7E">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318FCD41">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3.5.7 因投标人自身原因而导致投标文件无法导入电子交易系统电子开标、评标系统，该投标视为无效投标，投标人自行承担由此导致的全部责任。</w:t>
      </w:r>
    </w:p>
    <w:p w14:paraId="18B9F40D">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3.5.8 投标人中标后须递交与网上电子投标文件完全一致的纸质版投标文件，在领取中标通知书时，一并递交给招标代理机构。</w:t>
      </w:r>
    </w:p>
    <w:p w14:paraId="6D17F42F">
      <w:pPr>
        <w:pStyle w:val="3"/>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1CD0EBA6">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3"/>
        <w:spacing w:beforeLines="50" w:afterLines="50"/>
        <w:ind w:firstLine="482" w:firstLineChars="200"/>
        <w:rPr>
          <w:rFonts w:hint="eastAsia" w:ascii="宋体" w:hAnsi="宋体" w:eastAsia="宋体" w:cs="宋体"/>
          <w:color w:val="auto"/>
          <w:sz w:val="24"/>
          <w:szCs w:val="24"/>
          <w:highlight w:val="none"/>
        </w:rPr>
      </w:pPr>
      <w:bookmarkStart w:id="380" w:name="_Toc35425076"/>
      <w:bookmarkStart w:id="381" w:name="_Toc35424910"/>
      <w:bookmarkStart w:id="382" w:name="_Toc506107291"/>
      <w:bookmarkStart w:id="383" w:name="_Toc19455"/>
      <w:bookmarkStart w:id="384" w:name="_Toc78803345"/>
      <w:bookmarkStart w:id="385" w:name="_Toc15058869"/>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3E108AB6">
      <w:pPr>
        <w:pStyle w:val="3"/>
        <w:ind w:firstLine="422" w:firstLineChars="200"/>
        <w:rPr>
          <w:rFonts w:hint="eastAsia" w:ascii="宋体" w:hAnsi="宋体" w:eastAsia="宋体" w:cs="宋体"/>
          <w:color w:val="auto"/>
          <w:highlight w:val="none"/>
        </w:rPr>
      </w:pPr>
      <w:bookmarkStart w:id="386" w:name="_Toc83301713"/>
      <w:bookmarkStart w:id="387" w:name="_Toc60061458"/>
      <w:bookmarkStart w:id="388" w:name="_Toc95223361"/>
      <w:bookmarkStart w:id="389" w:name="_Toc35425077"/>
      <w:bookmarkStart w:id="390" w:name="_Toc14473"/>
      <w:bookmarkStart w:id="391" w:name="_Toc15058870"/>
      <w:bookmarkStart w:id="392" w:name="_Toc35424911"/>
      <w:bookmarkStart w:id="393" w:name="_Toc78803346"/>
      <w:r>
        <w:rPr>
          <w:rFonts w:hint="eastAsia" w:ascii="宋体" w:hAnsi="宋体" w:eastAsia="宋体" w:cs="宋体"/>
          <w:color w:val="auto"/>
          <w:highlight w:val="none"/>
        </w:rPr>
        <w:t>4.1投标文件上传</w:t>
      </w:r>
      <w:bookmarkEnd w:id="386"/>
      <w:bookmarkEnd w:id="387"/>
      <w:bookmarkEnd w:id="388"/>
    </w:p>
    <w:p w14:paraId="491611B7">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4.1.1请投标人通过系统下载投标工具制作投标文件，并利用CA数字证书进行上传投标文件，上传已加密的投标文件，务必通过此方式上传投标文件。</w:t>
      </w:r>
    </w:p>
    <w:p w14:paraId="55CE6F79">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4.1.2投标人在投标文件编制、签章、上传过程中如有任何操作的疑问请及时联系技术支持，</w:t>
      </w:r>
      <w:r>
        <w:rPr>
          <w:rFonts w:hint="eastAsia" w:ascii="宋体" w:hAnsi="宋体" w:eastAsia="宋体" w:cs="宋体"/>
          <w:color w:val="auto"/>
          <w:kern w:val="0"/>
          <w:sz w:val="21"/>
          <w:szCs w:val="21"/>
          <w:highlight w:val="none"/>
          <w:lang w:val="en-US" w:eastAsia="zh-CN" w:bidi="ar-SA"/>
        </w:rPr>
        <w:t>请拨打服务电话：</w:t>
      </w:r>
      <w:r>
        <w:rPr>
          <w:rFonts w:hint="eastAsia" w:ascii="宋体" w:hAnsi="宋体" w:cs="宋体"/>
          <w:color w:val="auto"/>
          <w:kern w:val="0"/>
          <w:sz w:val="21"/>
          <w:szCs w:val="21"/>
          <w:highlight w:val="none"/>
          <w:lang w:val="en-US" w:eastAsia="zh-CN" w:bidi="ar-SA"/>
        </w:rPr>
        <w:t>0512-58151515</w:t>
      </w:r>
      <w:r>
        <w:rPr>
          <w:rFonts w:hint="eastAsia" w:ascii="宋体" w:hAnsi="宋体" w:eastAsia="宋体" w:cs="宋体"/>
          <w:color w:val="auto"/>
          <w:kern w:val="0"/>
          <w:sz w:val="21"/>
          <w:szCs w:val="21"/>
          <w:highlight w:val="none"/>
          <w:lang w:val="en-US" w:eastAsia="zh-CN" w:bidi="ar-SA"/>
        </w:rPr>
        <w:t>（工作日）。</w:t>
      </w:r>
    </w:p>
    <w:p w14:paraId="1CEF98C2">
      <w:pPr>
        <w:pStyle w:val="3"/>
        <w:ind w:firstLine="422" w:firstLineChars="200"/>
        <w:rPr>
          <w:rFonts w:hint="eastAsia" w:ascii="宋体" w:hAnsi="宋体" w:eastAsia="宋体" w:cs="宋体"/>
          <w:color w:val="auto"/>
          <w:highlight w:val="none"/>
        </w:rPr>
      </w:pPr>
      <w:bookmarkStart w:id="394" w:name="_Toc506107292"/>
      <w:bookmarkStart w:id="395" w:name="_Toc152042332"/>
      <w:bookmarkStart w:id="396" w:name="_Toc60061459"/>
      <w:bookmarkStart w:id="397" w:name="_Toc95223362"/>
      <w:bookmarkStart w:id="398" w:name="_Toc15058871"/>
      <w:bookmarkStart w:id="399" w:name="_Toc247085714"/>
      <w:bookmarkStart w:id="400" w:name="_Toc179632574"/>
      <w:bookmarkStart w:id="401" w:name="_Toc144974524"/>
      <w:bookmarkStart w:id="402" w:name="_Toc246996200"/>
      <w:bookmarkStart w:id="403" w:name="_Toc152045556"/>
      <w:bookmarkStart w:id="404" w:name="_Toc296602444"/>
      <w:bookmarkStart w:id="405" w:name="_Toc246996943"/>
      <w:bookmarkStart w:id="406" w:name="_Toc324404839"/>
      <w:bookmarkStart w:id="407" w:name="_Toc83301714"/>
      <w:r>
        <w:rPr>
          <w:rFonts w:hint="eastAsia" w:ascii="宋体" w:hAnsi="宋体" w:eastAsia="宋体" w:cs="宋体"/>
          <w:color w:val="auto"/>
          <w:highlight w:val="none"/>
        </w:rPr>
        <w:t>4.2投标文件的密封和标记</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9B65438">
      <w:pPr>
        <w:spacing w:line="440" w:lineRule="exact"/>
        <w:ind w:firstLine="420" w:firstLineChars="200"/>
        <w:jc w:val="left"/>
        <w:rPr>
          <w:rFonts w:hint="eastAsia" w:ascii="宋体" w:hAnsi="宋体" w:eastAsia="宋体" w:cs="宋体"/>
          <w:color w:val="auto"/>
          <w:szCs w:val="21"/>
          <w:highlight w:val="none"/>
          <w:lang w:val="en-US" w:eastAsia="zh-CN"/>
        </w:rPr>
      </w:pPr>
      <w:bookmarkStart w:id="408" w:name="_Toc324404840"/>
      <w:bookmarkStart w:id="409" w:name="_Toc152042333"/>
      <w:bookmarkStart w:id="410" w:name="_Toc179632575"/>
      <w:bookmarkStart w:id="411" w:name="_Toc144974525"/>
      <w:bookmarkStart w:id="412" w:name="_Toc296602445"/>
      <w:bookmarkStart w:id="413" w:name="_Toc152045557"/>
      <w:bookmarkStart w:id="414" w:name="_Toc246996944"/>
      <w:bookmarkStart w:id="415" w:name="_Toc246996201"/>
      <w:bookmarkStart w:id="416" w:name="_Toc247085715"/>
      <w:r>
        <w:rPr>
          <w:rFonts w:hint="eastAsia" w:ascii="宋体" w:hAnsi="宋体" w:eastAsia="宋体" w:cs="宋体"/>
          <w:color w:val="auto"/>
          <w:szCs w:val="21"/>
          <w:highlight w:val="none"/>
          <w:lang w:val="en-US" w:eastAsia="zh-CN"/>
        </w:rPr>
        <w:t>4.2.1投标文件应按照本章第3.5.6项要求制作并加密，未按要求加密的投标文件将被拒绝接收。以投标人在投标截止时间前网上递交的电子投标文件为准。</w:t>
      </w:r>
    </w:p>
    <w:p w14:paraId="1C1625AE">
      <w:pPr>
        <w:pStyle w:val="3"/>
        <w:ind w:firstLine="422" w:firstLineChars="200"/>
        <w:rPr>
          <w:rFonts w:hint="eastAsia" w:ascii="宋体" w:hAnsi="宋体" w:eastAsia="宋体" w:cs="宋体"/>
          <w:color w:val="auto"/>
          <w:highlight w:val="none"/>
        </w:rPr>
      </w:pPr>
      <w:bookmarkStart w:id="417" w:name="_Toc83301715"/>
      <w:bookmarkStart w:id="418" w:name="_Toc95223363"/>
      <w:bookmarkStart w:id="419" w:name="_Toc60061460"/>
      <w:bookmarkStart w:id="420" w:name="_Toc506107293"/>
      <w:bookmarkStart w:id="421" w:name="_Toc15058872"/>
      <w:r>
        <w:rPr>
          <w:rFonts w:hint="eastAsia" w:ascii="宋体" w:hAnsi="宋体" w:eastAsia="宋体" w:cs="宋体"/>
          <w:color w:val="auto"/>
          <w:highlight w:val="none"/>
        </w:rPr>
        <w:t>4.3 投标文件的递交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6874998">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4.3.1 投标人应当在第一章“招标公告”规定的投标截止时间前，将加密投标文件上传至</w:t>
      </w:r>
      <w:r>
        <w:rPr>
          <w:rFonts w:hint="eastAsia" w:ascii="Times New Roman" w:hAnsi="Times New Roman" w:eastAsia="宋体" w:cs="Times New Roman"/>
          <w:color w:val="auto"/>
          <w:highlight w:val="none"/>
          <w:lang w:val="en-US" w:eastAsia="zh-CN"/>
        </w:rPr>
        <w:t>交易系统</w:t>
      </w:r>
      <w:r>
        <w:rPr>
          <w:rFonts w:hint="eastAsia" w:ascii="宋体" w:hAnsi="宋体" w:eastAsia="宋体" w:cs="宋体"/>
          <w:color w:val="auto"/>
          <w:szCs w:val="21"/>
          <w:highlight w:val="none"/>
          <w:lang w:val="en-US" w:eastAsia="zh-CN"/>
        </w:rPr>
        <w:t>。</w:t>
      </w:r>
    </w:p>
    <w:p w14:paraId="267A96E6">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4.3.2 除投标人须知前附表另有规定外，投标人所递交的投标文件不予退还。</w:t>
      </w:r>
    </w:p>
    <w:p w14:paraId="1F9C95CD">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10EA5B88">
      <w:pPr>
        <w:pStyle w:val="3"/>
        <w:ind w:firstLine="422" w:firstLineChars="200"/>
        <w:rPr>
          <w:rFonts w:hint="eastAsia" w:ascii="宋体" w:hAnsi="宋体" w:eastAsia="宋体" w:cs="宋体"/>
          <w:color w:val="auto"/>
          <w:highlight w:val="none"/>
        </w:rPr>
      </w:pPr>
      <w:bookmarkStart w:id="422" w:name="_Toc60061461"/>
      <w:bookmarkStart w:id="423" w:name="_Toc83301716"/>
      <w:bookmarkStart w:id="424" w:name="_Toc95223364"/>
      <w:r>
        <w:rPr>
          <w:rFonts w:hint="eastAsia" w:ascii="宋体" w:hAnsi="宋体" w:eastAsia="宋体" w:cs="宋体"/>
          <w:color w:val="auto"/>
          <w:highlight w:val="none"/>
        </w:rPr>
        <w:t>4.4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4.4.1在第一章“招标公告”规定的投标截止时间前，投标人可以自行从网上交易系统撤回已递交的投标文件，并可修改后重新加密上传，开标时以投标截止时间前投标人最终上传的投标文件为准。</w:t>
      </w:r>
    </w:p>
    <w:bookmarkEnd w:id="389"/>
    <w:bookmarkEnd w:id="390"/>
    <w:bookmarkEnd w:id="391"/>
    <w:bookmarkEnd w:id="392"/>
    <w:bookmarkEnd w:id="393"/>
    <w:p w14:paraId="7AF40F87">
      <w:pPr>
        <w:pStyle w:val="3"/>
        <w:spacing w:beforeLines="50" w:afterLines="50"/>
        <w:ind w:firstLine="482" w:firstLineChars="200"/>
        <w:rPr>
          <w:rFonts w:ascii="宋体" w:hAnsi="宋体" w:eastAsia="宋体" w:cs="宋体"/>
          <w:color w:val="auto"/>
          <w:sz w:val="24"/>
          <w:szCs w:val="24"/>
          <w:highlight w:val="none"/>
        </w:rPr>
      </w:pPr>
      <w:bookmarkStart w:id="425" w:name="_Toc144974527"/>
      <w:bookmarkStart w:id="426" w:name="_Toc179632577"/>
      <w:bookmarkStart w:id="427" w:name="_Toc247085717"/>
      <w:bookmarkStart w:id="428" w:name="_Toc152045559"/>
      <w:bookmarkStart w:id="429" w:name="_Toc15058874"/>
      <w:bookmarkStart w:id="430" w:name="_Toc152042335"/>
      <w:bookmarkStart w:id="431" w:name="_Toc35425081"/>
      <w:bookmarkStart w:id="432" w:name="_Toc35424915"/>
      <w:bookmarkStart w:id="433" w:name="_Toc506107295"/>
      <w:bookmarkStart w:id="434" w:name="_Toc78803348"/>
      <w:bookmarkStart w:id="435" w:name="_Toc324404842"/>
      <w:bookmarkStart w:id="436" w:name="_Toc246996203"/>
      <w:bookmarkStart w:id="437" w:name="_Toc29639"/>
      <w:bookmarkStart w:id="438" w:name="_Toc246996946"/>
      <w:r>
        <w:rPr>
          <w:rFonts w:hint="eastAsia" w:ascii="宋体" w:hAnsi="宋体" w:eastAsia="宋体" w:cs="宋体"/>
          <w:color w:val="auto"/>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3"/>
        <w:ind w:firstLine="422" w:firstLineChars="200"/>
        <w:rPr>
          <w:rFonts w:ascii="宋体" w:hAnsi="宋体" w:eastAsia="宋体" w:cs="宋体"/>
          <w:color w:val="auto"/>
          <w:highlight w:val="none"/>
        </w:rPr>
      </w:pPr>
      <w:bookmarkStart w:id="439" w:name="_Toc506107296"/>
      <w:bookmarkStart w:id="440" w:name="_Toc152045560"/>
      <w:bookmarkStart w:id="441" w:name="_Toc15058875"/>
      <w:bookmarkStart w:id="442" w:name="_Toc13691"/>
      <w:bookmarkStart w:id="443" w:name="_Toc152042336"/>
      <w:bookmarkStart w:id="444" w:name="_Toc324404843"/>
      <w:bookmarkStart w:id="445" w:name="_Toc144974528"/>
      <w:bookmarkStart w:id="446" w:name="_Toc247085718"/>
      <w:bookmarkStart w:id="447" w:name="_Toc296602448"/>
      <w:bookmarkStart w:id="448" w:name="_Toc35425082"/>
      <w:bookmarkStart w:id="449" w:name="_Toc246996947"/>
      <w:bookmarkStart w:id="450" w:name="_Toc78803349"/>
      <w:bookmarkStart w:id="451" w:name="_Toc246996204"/>
      <w:bookmarkStart w:id="452" w:name="_Toc35424916"/>
      <w:bookmarkStart w:id="453" w:name="_Toc179632578"/>
      <w:r>
        <w:rPr>
          <w:rFonts w:hint="eastAsia" w:ascii="宋体" w:hAnsi="宋体" w:eastAsia="宋体" w:cs="宋体"/>
          <w:color w:val="auto"/>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auto"/>
          <w:szCs w:val="21"/>
          <w:highlight w:val="none"/>
        </w:rPr>
      </w:pPr>
      <w:bookmarkStart w:id="454" w:name="_Toc152045561"/>
      <w:bookmarkStart w:id="455" w:name="_Toc78803350"/>
      <w:bookmarkStart w:id="456" w:name="_Toc296602449"/>
      <w:bookmarkStart w:id="457" w:name="_Toc144974529"/>
      <w:bookmarkStart w:id="458" w:name="_Toc35425083"/>
      <w:bookmarkStart w:id="459" w:name="_Toc246996205"/>
      <w:bookmarkStart w:id="460" w:name="_Toc32451"/>
      <w:bookmarkStart w:id="461" w:name="_Toc247085719"/>
      <w:bookmarkStart w:id="462" w:name="_Toc324404844"/>
      <w:bookmarkStart w:id="463" w:name="_Toc152042337"/>
      <w:bookmarkStart w:id="464" w:name="_Toc246996948"/>
      <w:bookmarkStart w:id="465" w:name="_Toc15058876"/>
      <w:bookmarkStart w:id="466" w:name="_Toc179632579"/>
      <w:bookmarkStart w:id="467" w:name="_Toc506107297"/>
      <w:bookmarkStart w:id="468" w:name="_Toc35424917"/>
      <w:r>
        <w:rPr>
          <w:rFonts w:hint="eastAsia" w:ascii="宋体" w:hAnsi="宋体" w:cs="宋体"/>
          <w:color w:val="auto"/>
          <w:szCs w:val="21"/>
          <w:highlight w:val="none"/>
        </w:rPr>
        <w:t>招标人在第一章“招标公告”规定的投标截止时间前（开标时间）和地点</w:t>
      </w:r>
      <w:r>
        <w:rPr>
          <w:color w:val="auto"/>
          <w:highlight w:val="none"/>
        </w:rPr>
        <w:t>通过交易系统公开开标</w:t>
      </w:r>
      <w:r>
        <w:rPr>
          <w:rFonts w:hint="eastAsia" w:ascii="宋体" w:hAnsi="宋体" w:cs="宋体"/>
          <w:color w:val="auto"/>
          <w:szCs w:val="21"/>
          <w:highlight w:val="none"/>
        </w:rPr>
        <w:t>。</w:t>
      </w:r>
    </w:p>
    <w:p w14:paraId="72027328">
      <w:pPr>
        <w:pStyle w:val="3"/>
        <w:ind w:firstLine="422" w:firstLineChars="200"/>
        <w:rPr>
          <w:rFonts w:ascii="宋体" w:hAnsi="宋体" w:eastAsia="宋体" w:cs="宋体"/>
          <w:color w:val="auto"/>
          <w:highlight w:val="none"/>
        </w:rPr>
      </w:pPr>
      <w:r>
        <w:rPr>
          <w:rFonts w:hint="eastAsia" w:ascii="宋体" w:hAnsi="宋体" w:eastAsia="宋体" w:cs="宋体"/>
          <w:color w:val="auto"/>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B511289">
      <w:pPr>
        <w:adjustRightInd w:val="0"/>
        <w:snapToGrid w:val="0"/>
        <w:spacing w:line="560" w:lineRule="exact"/>
        <w:ind w:firstLine="420" w:firstLineChars="200"/>
        <w:rPr>
          <w:rFonts w:hint="eastAsia" w:ascii="宋体" w:hAnsi="宋体" w:eastAsia="宋体" w:cs="宋体"/>
          <w:color w:val="auto"/>
          <w:szCs w:val="21"/>
          <w:highlight w:val="none"/>
        </w:rPr>
      </w:pPr>
      <w:bookmarkStart w:id="469" w:name="_Toc15058884"/>
      <w:bookmarkStart w:id="470" w:name="_Toc144974530"/>
      <w:bookmarkStart w:id="471" w:name="_Toc506107299"/>
      <w:bookmarkStart w:id="472" w:name="_Toc35424919"/>
      <w:bookmarkStart w:id="473" w:name="_Toc246996206"/>
      <w:bookmarkStart w:id="474" w:name="_Toc152045562"/>
      <w:bookmarkStart w:id="475" w:name="_Toc20689"/>
      <w:bookmarkStart w:id="476" w:name="_Toc35425085"/>
      <w:bookmarkStart w:id="477" w:name="_Toc152042338"/>
      <w:bookmarkStart w:id="478" w:name="_Toc324404846"/>
      <w:bookmarkStart w:id="479" w:name="_Toc179632580"/>
      <w:bookmarkStart w:id="480" w:name="_Toc246996949"/>
      <w:bookmarkStart w:id="481" w:name="_Toc247085720"/>
      <w:bookmarkStart w:id="482" w:name="_Toc78803352"/>
      <w:r>
        <w:rPr>
          <w:rFonts w:hint="eastAsia" w:ascii="宋体" w:hAnsi="宋体" w:eastAsia="宋体" w:cs="宋体"/>
          <w:color w:val="auto"/>
          <w:szCs w:val="21"/>
          <w:highlight w:val="none"/>
        </w:rPr>
        <w:t>主持人按下列程序进行开标：</w:t>
      </w:r>
    </w:p>
    <w:p w14:paraId="69335D40">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（1）公布在投标截止时间前通过电子交易系统完成投标文件递交的投标人名称；</w:t>
      </w:r>
    </w:p>
    <w:p w14:paraId="3FE3B9E5">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（2）投标人在投标截止时间后在投标人须知前附表规定的解密时间内完成投标文件的解密工作；</w:t>
      </w:r>
    </w:p>
    <w:p w14:paraId="09913E1C">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（3）招标人或招标代理机构完成解密工作，导入并读取所有成功解密的投标文件；</w:t>
      </w:r>
    </w:p>
    <w:p w14:paraId="3C9672BD">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（4）按投标人须知前附表规定公布投标人名称、标段名称、投标报价、质量目标、工期及其他内容；</w:t>
      </w:r>
    </w:p>
    <w:p w14:paraId="4611C8FD">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（5）开标结束。</w:t>
      </w:r>
    </w:p>
    <w:p w14:paraId="0FABB25E">
      <w:pPr>
        <w:pStyle w:val="3"/>
        <w:spacing w:beforeLines="50" w:afterLines="50"/>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3"/>
        <w:ind w:firstLine="422" w:firstLineChars="200"/>
        <w:rPr>
          <w:rFonts w:hint="eastAsia" w:ascii="宋体" w:hAnsi="宋体" w:eastAsia="宋体" w:cs="宋体"/>
          <w:color w:val="auto"/>
          <w:highlight w:val="none"/>
        </w:rPr>
      </w:pPr>
      <w:bookmarkStart w:id="483" w:name="_Toc83301722"/>
      <w:bookmarkStart w:id="484" w:name="_Toc95223370"/>
      <w:bookmarkStart w:id="485" w:name="_Toc179632581"/>
      <w:bookmarkStart w:id="486" w:name="_Toc246996207"/>
      <w:bookmarkStart w:id="487" w:name="_Toc247085721"/>
      <w:bookmarkStart w:id="488" w:name="_Toc246996950"/>
      <w:bookmarkStart w:id="489" w:name="_Toc324404847"/>
      <w:bookmarkStart w:id="490" w:name="_Toc152042339"/>
      <w:bookmarkStart w:id="491" w:name="_Toc506107300"/>
      <w:bookmarkStart w:id="492" w:name="_Toc152045563"/>
      <w:bookmarkStart w:id="493" w:name="_Toc144974531"/>
      <w:bookmarkStart w:id="494" w:name="_Toc60061467"/>
      <w:bookmarkStart w:id="495" w:name="_Toc296602452"/>
      <w:bookmarkStart w:id="496" w:name="_Toc15058885"/>
      <w:bookmarkStart w:id="497" w:name="_Toc144974532"/>
      <w:bookmarkStart w:id="498" w:name="_Toc506107301"/>
      <w:bookmarkStart w:id="499" w:name="_Toc296602453"/>
      <w:bookmarkStart w:id="500" w:name="_Toc35424921"/>
      <w:bookmarkStart w:id="501" w:name="_Toc152045564"/>
      <w:bookmarkStart w:id="502" w:name="_Toc35425087"/>
      <w:bookmarkStart w:id="503" w:name="_Toc324404848"/>
      <w:bookmarkStart w:id="504" w:name="_Toc152042340"/>
      <w:bookmarkStart w:id="505" w:name="_Toc247085722"/>
      <w:bookmarkStart w:id="506" w:name="_Toc15058886"/>
      <w:bookmarkStart w:id="507" w:name="_Toc12948"/>
      <w:bookmarkStart w:id="508" w:name="_Toc246996208"/>
      <w:bookmarkStart w:id="509" w:name="_Toc78803354"/>
      <w:bookmarkStart w:id="510" w:name="_Toc179632582"/>
      <w:bookmarkStart w:id="511" w:name="_Toc246996951"/>
      <w:r>
        <w:rPr>
          <w:rFonts w:hint="eastAsia" w:ascii="宋体" w:hAnsi="宋体" w:eastAsia="宋体" w:cs="宋体"/>
          <w:color w:val="auto"/>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（5）存在其他法定回避情形的</w:t>
      </w:r>
    </w:p>
    <w:p w14:paraId="175B40D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3"/>
        <w:ind w:firstLine="422" w:firstLineChars="200"/>
        <w:rPr>
          <w:rFonts w:ascii="宋体" w:hAnsi="宋体" w:eastAsia="宋体" w:cs="宋体"/>
          <w:color w:val="auto"/>
          <w:highlight w:val="none"/>
        </w:rPr>
      </w:pPr>
      <w:r>
        <w:rPr>
          <w:rFonts w:hint="eastAsia" w:ascii="宋体" w:hAnsi="宋体" w:eastAsia="宋体" w:cs="宋体"/>
          <w:color w:val="auto"/>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98BCB48">
      <w:pPr>
        <w:pStyle w:val="3"/>
        <w:ind w:firstLine="422" w:firstLineChars="200"/>
        <w:rPr>
          <w:rFonts w:ascii="宋体" w:hAnsi="宋体" w:eastAsia="宋体" w:cs="宋体"/>
          <w:color w:val="auto"/>
          <w:highlight w:val="none"/>
        </w:rPr>
      </w:pPr>
      <w:bookmarkStart w:id="512" w:name="_Toc78803355"/>
      <w:bookmarkStart w:id="513" w:name="_Toc14892"/>
      <w:bookmarkStart w:id="514" w:name="_Toc35425088"/>
      <w:bookmarkStart w:id="515" w:name="_Toc179632583"/>
      <w:bookmarkStart w:id="516" w:name="_Toc506107302"/>
      <w:bookmarkStart w:id="517" w:name="_Toc144974533"/>
      <w:bookmarkStart w:id="518" w:name="_Toc152042341"/>
      <w:bookmarkStart w:id="519" w:name="_Toc246996209"/>
      <w:bookmarkStart w:id="520" w:name="_Toc246996952"/>
      <w:bookmarkStart w:id="521" w:name="_Toc247085723"/>
      <w:bookmarkStart w:id="522" w:name="_Toc152045565"/>
      <w:bookmarkStart w:id="523" w:name="_Toc15058887"/>
      <w:bookmarkStart w:id="524" w:name="_Toc35424922"/>
      <w:bookmarkStart w:id="525" w:name="_Toc296602454"/>
      <w:bookmarkStart w:id="526" w:name="_Toc324404849"/>
      <w:r>
        <w:rPr>
          <w:rFonts w:hint="eastAsia" w:ascii="宋体" w:hAnsi="宋体" w:eastAsia="宋体" w:cs="宋体"/>
          <w:color w:val="auto"/>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color w:val="auto"/>
          <w:szCs w:val="21"/>
          <w:highlight w:val="none"/>
        </w:rPr>
      </w:pPr>
      <w:bookmarkStart w:id="527" w:name="_Toc179632584"/>
      <w:bookmarkStart w:id="528" w:name="_Toc324404850"/>
      <w:bookmarkStart w:id="529" w:name="_Toc152045566"/>
      <w:bookmarkStart w:id="530" w:name="_Toc152042342"/>
      <w:bookmarkStart w:id="531" w:name="_Toc246996210"/>
      <w:bookmarkStart w:id="532" w:name="_Toc247085724"/>
      <w:bookmarkStart w:id="533" w:name="_Toc246996953"/>
      <w:bookmarkStart w:id="534" w:name="_Toc144974534"/>
      <w:r>
        <w:rPr>
          <w:rFonts w:hint="eastAsia" w:ascii="宋体" w:hAnsi="宋体" w:cs="宋体"/>
          <w:color w:val="auto"/>
          <w:szCs w:val="21"/>
          <w:highlight w:val="none"/>
        </w:rPr>
        <w:t>6.3.1评标委员会按照第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章“评标办法”规定的方法、评审因素、标准和程序对投标文件进行评审。第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1E17D868">
      <w:pPr>
        <w:pStyle w:val="3"/>
        <w:spacing w:beforeLines="50" w:afterLines="50"/>
        <w:ind w:firstLine="482" w:firstLineChars="200"/>
        <w:rPr>
          <w:rFonts w:ascii="宋体" w:hAnsi="宋体" w:eastAsia="宋体" w:cs="宋体"/>
          <w:color w:val="auto"/>
          <w:sz w:val="24"/>
          <w:szCs w:val="24"/>
          <w:highlight w:val="none"/>
        </w:rPr>
      </w:pPr>
      <w:bookmarkStart w:id="535" w:name="_Toc26182"/>
      <w:bookmarkStart w:id="536" w:name="_Toc15058888"/>
      <w:bookmarkStart w:id="537" w:name="_Toc78803356"/>
      <w:bookmarkStart w:id="538" w:name="_Toc506107303"/>
      <w:bookmarkStart w:id="539" w:name="_Toc35424923"/>
      <w:bookmarkStart w:id="540" w:name="_Toc35425089"/>
      <w:r>
        <w:rPr>
          <w:rFonts w:hint="eastAsia" w:ascii="宋体" w:hAnsi="宋体" w:eastAsia="宋体" w:cs="宋体"/>
          <w:color w:val="auto"/>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3"/>
        <w:ind w:firstLine="422" w:firstLineChars="200"/>
        <w:rPr>
          <w:rFonts w:hint="eastAsia" w:ascii="宋体" w:hAnsi="宋体" w:eastAsia="宋体" w:cs="宋体"/>
          <w:color w:val="auto"/>
          <w:highlight w:val="none"/>
        </w:rPr>
      </w:pPr>
      <w:bookmarkStart w:id="541" w:name="_Toc95223374"/>
      <w:bookmarkStart w:id="542" w:name="_Toc324404852"/>
      <w:bookmarkStart w:id="543" w:name="_Toc296602457"/>
      <w:bookmarkStart w:id="544" w:name="_Toc506107305"/>
      <w:bookmarkStart w:id="545" w:name="_Toc60061472"/>
      <w:bookmarkStart w:id="546" w:name="_Toc15058890"/>
      <w:bookmarkStart w:id="547" w:name="_Toc83301726"/>
      <w:bookmarkStart w:id="548" w:name="_Toc8261"/>
      <w:bookmarkStart w:id="549" w:name="_Toc27040"/>
      <w:bookmarkStart w:id="550" w:name="_Toc35425092"/>
      <w:bookmarkStart w:id="551" w:name="_Toc78803359"/>
      <w:bookmarkStart w:id="552" w:name="_Toc35424926"/>
      <w:bookmarkStart w:id="553" w:name="_Toc179632586"/>
      <w:bookmarkStart w:id="554" w:name="_Toc247085726"/>
      <w:bookmarkStart w:id="555" w:name="_Toc152042344"/>
      <w:bookmarkStart w:id="556" w:name="_Toc15058891"/>
      <w:bookmarkStart w:id="557" w:name="_Toc246996955"/>
      <w:bookmarkStart w:id="558" w:name="_Toc296602458"/>
      <w:bookmarkStart w:id="559" w:name="_Toc324404853"/>
      <w:bookmarkStart w:id="560" w:name="_Toc152045568"/>
      <w:bookmarkStart w:id="561" w:name="_Toc246996212"/>
      <w:bookmarkStart w:id="562" w:name="_Toc35425093"/>
      <w:bookmarkStart w:id="563" w:name="_Toc506107306"/>
      <w:bookmarkStart w:id="564" w:name="_Toc144974536"/>
      <w:bookmarkStart w:id="565" w:name="_Toc35424927"/>
      <w:bookmarkStart w:id="566" w:name="_Toc14692"/>
      <w:r>
        <w:rPr>
          <w:rFonts w:hint="eastAsia" w:ascii="宋体" w:hAnsi="宋体" w:eastAsia="宋体" w:cs="宋体"/>
          <w:color w:val="auto"/>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2BCD838">
      <w:pPr>
        <w:pStyle w:val="3"/>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6D874A6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3"/>
        <w:ind w:firstLine="422" w:firstLineChars="200"/>
        <w:rPr>
          <w:rFonts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w:t>
      </w:r>
      <w:bookmarkEnd w:id="548"/>
      <w:bookmarkEnd w:id="549"/>
      <w:bookmarkEnd w:id="550"/>
      <w:bookmarkEnd w:id="551"/>
      <w:bookmarkEnd w:id="552"/>
      <w:r>
        <w:rPr>
          <w:rFonts w:hint="eastAsia" w:ascii="宋体" w:hAnsi="宋体" w:eastAsia="宋体" w:cs="宋体"/>
          <w:color w:val="auto"/>
          <w:highlight w:val="none"/>
        </w:rPr>
        <w:t>定标</w:t>
      </w:r>
    </w:p>
    <w:p w14:paraId="117D2B8C">
      <w:pPr>
        <w:spacing w:line="440" w:lineRule="exact"/>
        <w:ind w:firstLine="420" w:firstLineChars="200"/>
        <w:jc w:val="left"/>
        <w:rPr>
          <w:rFonts w:hint="eastAsia" w:ascii="宋体" w:hAnsi="宋体" w:eastAsia="宋体" w:cs="宋体"/>
          <w:color w:val="auto"/>
          <w:szCs w:val="21"/>
          <w:highlight w:val="none"/>
        </w:rPr>
      </w:pPr>
      <w:bookmarkStart w:id="567" w:name="_Toc4204"/>
      <w:bookmarkStart w:id="568" w:name="_Toc78803360"/>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3"/>
        <w:ind w:firstLine="422" w:firstLineChars="200"/>
        <w:rPr>
          <w:rFonts w:hint="eastAsia" w:ascii="宋体" w:hAnsi="宋体" w:eastAsia="宋体" w:cs="宋体"/>
          <w:color w:val="auto"/>
          <w:highlight w:val="none"/>
        </w:rPr>
      </w:pPr>
      <w:bookmarkStart w:id="569" w:name="_Toc95223376"/>
      <w:bookmarkStart w:id="570"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045D8AA7">
      <w:pPr>
        <w:pStyle w:val="3"/>
        <w:ind w:firstLine="422" w:firstLineChars="200"/>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5 </w:t>
      </w:r>
      <w:r>
        <w:rPr>
          <w:rFonts w:hint="eastAsia" w:ascii="宋体" w:hAnsi="宋体" w:eastAsia="宋体" w:cs="宋体"/>
          <w:color w:val="auto"/>
          <w:highlight w:val="none"/>
        </w:rPr>
        <w:t>中标结果公示</w:t>
      </w:r>
      <w:bookmarkEnd w:id="571"/>
    </w:p>
    <w:p w14:paraId="0718115A">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3"/>
        <w:ind w:firstLine="422" w:firstLineChars="200"/>
        <w:rPr>
          <w:rFonts w:ascii="宋体" w:hAnsi="宋体" w:eastAsia="宋体" w:cs="宋体"/>
          <w:color w:val="auto"/>
          <w:highlight w:val="none"/>
        </w:rPr>
      </w:pPr>
      <w:bookmarkStart w:id="572" w:name="_Toc152045569"/>
      <w:bookmarkStart w:id="573" w:name="_Toc246996213"/>
      <w:bookmarkStart w:id="574" w:name="_Toc35424929"/>
      <w:bookmarkStart w:id="575" w:name="_Toc296602459"/>
      <w:bookmarkStart w:id="576" w:name="_Toc78803362"/>
      <w:bookmarkStart w:id="577" w:name="_Toc144974537"/>
      <w:bookmarkStart w:id="578" w:name="_Toc246996956"/>
      <w:bookmarkStart w:id="579" w:name="_Toc25501"/>
      <w:bookmarkStart w:id="580" w:name="_Toc152042345"/>
      <w:bookmarkStart w:id="581" w:name="_Toc35425095"/>
      <w:bookmarkStart w:id="582" w:name="_Toc179632587"/>
      <w:bookmarkStart w:id="583" w:name="_Toc15058892"/>
      <w:bookmarkStart w:id="584" w:name="_Toc247085727"/>
      <w:bookmarkStart w:id="585" w:name="_Toc506107307"/>
      <w:bookmarkStart w:id="586" w:name="_Toc324404854"/>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612A633E">
      <w:pPr>
        <w:spacing w:line="440" w:lineRule="exact"/>
        <w:ind w:firstLine="420" w:firstLineChars="200"/>
        <w:jc w:val="left"/>
        <w:rPr>
          <w:rFonts w:hint="eastAsia" w:ascii="宋体" w:hAnsi="宋体" w:eastAsia="宋体" w:cs="宋体"/>
          <w:color w:val="auto"/>
          <w:szCs w:val="21"/>
          <w:highlight w:val="none"/>
        </w:rPr>
      </w:pPr>
      <w:bookmarkStart w:id="587" w:name="_Toc152042346"/>
      <w:bookmarkStart w:id="588" w:name="_Toc144974538"/>
      <w:bookmarkStart w:id="589" w:name="_Toc324404855"/>
      <w:bookmarkStart w:id="590" w:name="_Toc179632588"/>
      <w:bookmarkStart w:id="591" w:name="_Toc247085728"/>
      <w:bookmarkStart w:id="592" w:name="_Toc11010"/>
      <w:bookmarkStart w:id="593" w:name="_Toc246996957"/>
      <w:bookmarkStart w:id="594" w:name="_Toc506107308"/>
      <w:bookmarkStart w:id="595" w:name="_Toc246996214"/>
      <w:bookmarkStart w:id="596" w:name="_Toc15058893"/>
      <w:bookmarkStart w:id="597" w:name="_Toc35425096"/>
      <w:bookmarkStart w:id="598" w:name="_Toc35424930"/>
      <w:bookmarkStart w:id="599" w:name="_Toc296602460"/>
      <w:bookmarkStart w:id="600" w:name="_Toc152045570"/>
      <w:bookmarkStart w:id="601" w:name="_Toc78803363"/>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7C6B3360">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中标人不能按本章第7.</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.1项要求提交履约担保的，视为放弃中标，其投标保证金不予退还，给招标人造成的损失超过投标保证金数额的，中标人还应当对超过部分予以赔偿。</w:t>
      </w:r>
    </w:p>
    <w:p w14:paraId="3B4E380F">
      <w:pPr>
        <w:pStyle w:val="3"/>
        <w:ind w:firstLine="422" w:firstLineChars="200"/>
        <w:rPr>
          <w:rFonts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color w:val="auto"/>
          <w:szCs w:val="21"/>
          <w:highlight w:val="none"/>
        </w:rPr>
      </w:pPr>
      <w:bookmarkStart w:id="602" w:name="_Toc324404856"/>
      <w:bookmarkStart w:id="603" w:name="_Toc15058894"/>
      <w:bookmarkStart w:id="604" w:name="_Toc506107309"/>
      <w:r>
        <w:rPr>
          <w:rFonts w:hint="eastAsia" w:ascii="宋体" w:hAnsi="宋体" w:eastAsia="宋体" w:cs="宋体"/>
          <w:bCs/>
          <w:color w:val="auto"/>
          <w:szCs w:val="21"/>
          <w:highlight w:val="none"/>
        </w:rPr>
        <w:t>7.</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.1本招标工程的施工合同将授予按本须知第7.</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还应当对予以赔偿。</w:t>
      </w:r>
    </w:p>
    <w:p w14:paraId="01E0BEC3">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3"/>
        <w:spacing w:beforeLines="50" w:afterLines="50"/>
        <w:ind w:firstLine="422" w:firstLineChars="200"/>
        <w:rPr>
          <w:rFonts w:hint="eastAsia" w:ascii="宋体" w:hAnsi="宋体" w:eastAsia="宋体" w:cs="宋体"/>
          <w:color w:val="auto"/>
          <w:highlight w:val="none"/>
        </w:rPr>
      </w:pPr>
      <w:bookmarkStart w:id="605" w:name="_Toc95223381"/>
      <w:bookmarkStart w:id="606" w:name="_Toc60061478"/>
      <w:bookmarkStart w:id="607" w:name="_Toc152045571"/>
      <w:bookmarkStart w:id="608" w:name="_Toc179632589"/>
      <w:bookmarkStart w:id="609" w:name="_Toc152042347"/>
      <w:bookmarkStart w:id="610" w:name="_Toc144974539"/>
      <w:bookmarkStart w:id="611" w:name="_Toc83301732"/>
      <w:bookmarkStart w:id="612" w:name="_Toc31686"/>
      <w:bookmarkStart w:id="613" w:name="_Toc25375"/>
      <w:bookmarkStart w:id="614" w:name="_Toc26974"/>
      <w:bookmarkStart w:id="615" w:name="_Toc78803367"/>
      <w:bookmarkStart w:id="616" w:name="_Toc35424931"/>
      <w:bookmarkStart w:id="617" w:name="_Toc35425097"/>
      <w:bookmarkStart w:id="618" w:name="_Toc324404864"/>
      <w:bookmarkStart w:id="619" w:name="_Toc35424939"/>
      <w:bookmarkStart w:id="620" w:name="_Toc506107317"/>
      <w:bookmarkStart w:id="621" w:name="_Toc35425105"/>
      <w:bookmarkStart w:id="622" w:name="_Toc15058902"/>
      <w:bookmarkStart w:id="623" w:name="_Toc296602475"/>
      <w:r>
        <w:rPr>
          <w:rFonts w:hint="eastAsia" w:ascii="宋体" w:hAnsi="宋体" w:eastAsia="宋体" w:cs="宋体"/>
          <w:color w:val="auto"/>
          <w:highlight w:val="none"/>
        </w:rPr>
        <w:t>8. 重新招标和不再招标</w:t>
      </w:r>
      <w:bookmarkEnd w:id="605"/>
      <w:bookmarkEnd w:id="606"/>
      <w:bookmarkEnd w:id="607"/>
      <w:bookmarkEnd w:id="608"/>
      <w:bookmarkEnd w:id="609"/>
      <w:bookmarkEnd w:id="610"/>
      <w:bookmarkEnd w:id="611"/>
    </w:p>
    <w:p w14:paraId="774B94FD">
      <w:pPr>
        <w:pStyle w:val="3"/>
        <w:ind w:firstLine="422" w:firstLineChars="200"/>
        <w:rPr>
          <w:rFonts w:hint="eastAsia" w:ascii="宋体" w:hAnsi="宋体" w:eastAsia="宋体" w:cs="宋体"/>
          <w:color w:val="auto"/>
          <w:highlight w:val="none"/>
        </w:rPr>
      </w:pPr>
      <w:bookmarkStart w:id="624" w:name="_Toc83301733"/>
      <w:bookmarkStart w:id="625" w:name="_Toc144974540"/>
      <w:bookmarkStart w:id="626" w:name="_Toc95223382"/>
      <w:bookmarkStart w:id="627" w:name="_Toc60061479"/>
      <w:bookmarkStart w:id="628" w:name="_Toc152045572"/>
      <w:bookmarkStart w:id="629" w:name="_Toc152042348"/>
      <w:bookmarkStart w:id="630" w:name="_Toc179632590"/>
      <w:r>
        <w:rPr>
          <w:rFonts w:hint="eastAsia" w:ascii="宋体" w:hAnsi="宋体" w:eastAsia="宋体" w:cs="宋体"/>
          <w:color w:val="auto"/>
          <w:highlight w:val="none"/>
        </w:rPr>
        <w:t>8.1 重新招标</w:t>
      </w:r>
      <w:bookmarkEnd w:id="624"/>
      <w:bookmarkEnd w:id="625"/>
      <w:bookmarkEnd w:id="626"/>
      <w:bookmarkEnd w:id="627"/>
      <w:bookmarkEnd w:id="628"/>
      <w:bookmarkEnd w:id="629"/>
      <w:bookmarkEnd w:id="630"/>
    </w:p>
    <w:p w14:paraId="243115F1">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依法必须招标的项目有下列情形之一的，招标人将重新招标：</w:t>
      </w:r>
    </w:p>
    <w:p w14:paraId="71A327E5">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（1）投标截止时间止，投标人少于3个的；</w:t>
      </w:r>
    </w:p>
    <w:p w14:paraId="53761C98">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（2）经评标委员会评审后否决所有投标的；</w:t>
      </w:r>
    </w:p>
    <w:p w14:paraId="3412299B">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（3）中标候选人均未与招标人签订合同的；</w:t>
      </w:r>
    </w:p>
    <w:p w14:paraId="4115D547">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（4）法律、法规规定的其他情形。</w:t>
      </w:r>
    </w:p>
    <w:p w14:paraId="077F17AF">
      <w:pPr>
        <w:pStyle w:val="3"/>
        <w:ind w:firstLine="422" w:firstLineChars="200"/>
        <w:rPr>
          <w:rFonts w:hint="eastAsia" w:ascii="宋体" w:hAnsi="宋体" w:eastAsia="宋体" w:cs="宋体"/>
          <w:color w:val="auto"/>
          <w:highlight w:val="none"/>
        </w:rPr>
      </w:pPr>
      <w:bookmarkStart w:id="631" w:name="_Toc152045573"/>
      <w:bookmarkStart w:id="632" w:name="_Toc83301734"/>
      <w:bookmarkStart w:id="633" w:name="_Toc144974541"/>
      <w:bookmarkStart w:id="634" w:name="_Toc95223383"/>
      <w:bookmarkStart w:id="635" w:name="_Toc60061480"/>
      <w:bookmarkStart w:id="636" w:name="_Toc179632591"/>
      <w:bookmarkStart w:id="637" w:name="_Toc152042349"/>
      <w:r>
        <w:rPr>
          <w:rFonts w:hint="eastAsia" w:ascii="宋体" w:hAnsi="宋体" w:eastAsia="宋体" w:cs="宋体"/>
          <w:color w:val="auto"/>
          <w:highlight w:val="none"/>
        </w:rPr>
        <w:t>8.2 不再招标</w:t>
      </w:r>
      <w:bookmarkEnd w:id="631"/>
      <w:bookmarkEnd w:id="632"/>
      <w:bookmarkEnd w:id="633"/>
      <w:bookmarkEnd w:id="634"/>
      <w:bookmarkEnd w:id="635"/>
      <w:bookmarkEnd w:id="636"/>
      <w:bookmarkEnd w:id="637"/>
    </w:p>
    <w:p w14:paraId="79E8730A">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重新招标后投标人仍少于3个或者所有投标被否决的，属于必须审批或核准的工程建设项目，经原审批或核准部门批准后不再进行招标。</w:t>
      </w:r>
    </w:p>
    <w:p w14:paraId="31B2E77F">
      <w:pPr>
        <w:pStyle w:val="3"/>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9. 纪律和监督</w:t>
      </w:r>
      <w:bookmarkEnd w:id="612"/>
      <w:bookmarkEnd w:id="613"/>
      <w:bookmarkEnd w:id="614"/>
      <w:bookmarkEnd w:id="615"/>
      <w:bookmarkEnd w:id="616"/>
      <w:bookmarkEnd w:id="617"/>
    </w:p>
    <w:p w14:paraId="49CA1A8F">
      <w:pPr>
        <w:pStyle w:val="3"/>
        <w:ind w:firstLine="422" w:firstLineChars="200"/>
        <w:rPr>
          <w:rFonts w:ascii="宋体" w:hAnsi="宋体" w:eastAsia="宋体" w:cs="宋体"/>
          <w:color w:val="auto"/>
          <w:highlight w:val="none"/>
        </w:rPr>
      </w:pPr>
      <w:bookmarkStart w:id="638" w:name="_Toc296602462"/>
      <w:bookmarkStart w:id="639" w:name="_Toc296590983"/>
      <w:bookmarkStart w:id="640" w:name="_Toc179632593"/>
      <w:bookmarkStart w:id="641" w:name="_Toc35424932"/>
      <w:bookmarkStart w:id="642" w:name="_Toc506107310"/>
      <w:bookmarkStart w:id="643" w:name="_Toc152042351"/>
      <w:bookmarkStart w:id="644" w:name="_Toc246996219"/>
      <w:bookmarkStart w:id="645" w:name="_Toc2855"/>
      <w:bookmarkStart w:id="646" w:name="_Toc324404857"/>
      <w:bookmarkStart w:id="647" w:name="_Toc15607"/>
      <w:bookmarkStart w:id="648" w:name="_Toc35425098"/>
      <w:bookmarkStart w:id="649" w:name="_Toc144974543"/>
      <w:bookmarkStart w:id="650" w:name="_Toc247085733"/>
      <w:bookmarkStart w:id="651" w:name="_Toc78803368"/>
      <w:bookmarkStart w:id="652" w:name="_Toc152045575"/>
      <w:bookmarkStart w:id="653" w:name="_Toc246996962"/>
      <w:bookmarkStart w:id="654" w:name="_Toc15058895"/>
      <w:r>
        <w:rPr>
          <w:rFonts w:hint="eastAsia" w:ascii="宋体" w:hAnsi="宋体" w:eastAsia="宋体" w:cs="宋体"/>
          <w:color w:val="auto"/>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BA9BC3B">
      <w:pPr>
        <w:pStyle w:val="3"/>
        <w:ind w:firstLine="422" w:firstLineChars="200"/>
        <w:rPr>
          <w:rFonts w:ascii="宋体" w:hAnsi="宋体" w:eastAsia="宋体" w:cs="宋体"/>
          <w:color w:val="auto"/>
          <w:highlight w:val="none"/>
        </w:rPr>
      </w:pPr>
      <w:bookmarkStart w:id="655" w:name="_Toc296602463"/>
      <w:bookmarkStart w:id="656" w:name="_Toc179632594"/>
      <w:bookmarkStart w:id="657" w:name="_Toc15058896"/>
      <w:bookmarkStart w:id="658" w:name="_Toc246996220"/>
      <w:bookmarkStart w:id="659" w:name="_Toc32177"/>
      <w:bookmarkStart w:id="660" w:name="_Toc35424933"/>
      <w:bookmarkStart w:id="661" w:name="_Toc144974544"/>
      <w:bookmarkStart w:id="662" w:name="_Toc247085734"/>
      <w:bookmarkStart w:id="663" w:name="_Toc35425099"/>
      <w:bookmarkStart w:id="664" w:name="_Toc246996963"/>
      <w:bookmarkStart w:id="665" w:name="_Toc152042352"/>
      <w:bookmarkStart w:id="666" w:name="_Toc78803369"/>
      <w:bookmarkStart w:id="667" w:name="_Toc324404858"/>
      <w:bookmarkStart w:id="668" w:name="_Toc506107311"/>
      <w:bookmarkStart w:id="669" w:name="_Toc19779"/>
      <w:bookmarkStart w:id="670" w:name="_Toc152045576"/>
      <w:r>
        <w:rPr>
          <w:rFonts w:hint="eastAsia" w:ascii="宋体" w:hAnsi="宋体" w:eastAsia="宋体" w:cs="宋体"/>
          <w:color w:val="auto"/>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3"/>
        <w:ind w:firstLine="422" w:firstLineChars="200"/>
        <w:rPr>
          <w:rFonts w:ascii="宋体" w:hAnsi="宋体" w:eastAsia="宋体" w:cs="宋体"/>
          <w:color w:val="auto"/>
          <w:highlight w:val="none"/>
        </w:rPr>
      </w:pPr>
      <w:bookmarkStart w:id="671" w:name="_Toc12564"/>
      <w:bookmarkStart w:id="672" w:name="_Toc144974545"/>
      <w:bookmarkStart w:id="673" w:name="_Toc296602464"/>
      <w:bookmarkStart w:id="674" w:name="_Toc152045577"/>
      <w:bookmarkStart w:id="675" w:name="_Toc13043"/>
      <w:bookmarkStart w:id="676" w:name="_Toc179632595"/>
      <w:bookmarkStart w:id="677" w:name="_Toc324404859"/>
      <w:bookmarkStart w:id="678" w:name="_Toc246996964"/>
      <w:bookmarkStart w:id="679" w:name="_Toc152042353"/>
      <w:bookmarkStart w:id="680" w:name="_Toc35424934"/>
      <w:bookmarkStart w:id="681" w:name="_Toc247085735"/>
      <w:bookmarkStart w:id="682" w:name="_Toc78803370"/>
      <w:bookmarkStart w:id="683" w:name="_Toc246996221"/>
      <w:bookmarkStart w:id="684" w:name="_Toc35425100"/>
      <w:bookmarkStart w:id="685" w:name="_Toc506107312"/>
      <w:bookmarkStart w:id="686" w:name="_Toc15058897"/>
      <w:r>
        <w:rPr>
          <w:rFonts w:hint="eastAsia" w:ascii="宋体" w:hAnsi="宋体" w:eastAsia="宋体" w:cs="宋体"/>
          <w:color w:val="auto"/>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3"/>
        <w:ind w:firstLine="422" w:firstLineChars="200"/>
        <w:rPr>
          <w:rFonts w:ascii="宋体" w:hAnsi="宋体" w:eastAsia="宋体" w:cs="宋体"/>
          <w:color w:val="auto"/>
          <w:highlight w:val="none"/>
        </w:rPr>
      </w:pPr>
      <w:bookmarkStart w:id="687" w:name="_Toc152045578"/>
      <w:bookmarkStart w:id="688" w:name="_Toc246996965"/>
      <w:bookmarkStart w:id="689" w:name="_Toc247085736"/>
      <w:bookmarkStart w:id="690" w:name="_Toc35425101"/>
      <w:bookmarkStart w:id="691" w:name="_Toc506107313"/>
      <w:bookmarkStart w:id="692" w:name="_Toc296602465"/>
      <w:bookmarkStart w:id="693" w:name="_Toc152042354"/>
      <w:bookmarkStart w:id="694" w:name="_Toc324404860"/>
      <w:bookmarkStart w:id="695" w:name="_Toc32214"/>
      <w:bookmarkStart w:id="696" w:name="_Toc15058898"/>
      <w:bookmarkStart w:id="697" w:name="_Toc18329"/>
      <w:bookmarkStart w:id="698" w:name="_Toc35424935"/>
      <w:bookmarkStart w:id="699" w:name="_Toc179632596"/>
      <w:bookmarkStart w:id="700" w:name="_Toc78803371"/>
      <w:bookmarkStart w:id="701" w:name="_Toc246996222"/>
      <w:bookmarkStart w:id="702" w:name="_Toc144974546"/>
      <w:r>
        <w:rPr>
          <w:rFonts w:hint="eastAsia" w:ascii="宋体" w:hAnsi="宋体" w:eastAsia="宋体" w:cs="宋体"/>
          <w:color w:val="auto"/>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color w:val="auto"/>
          <w:szCs w:val="21"/>
          <w:highlight w:val="none"/>
        </w:rPr>
      </w:pPr>
      <w:bookmarkStart w:id="703"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3"/>
        <w:ind w:firstLine="422" w:firstLineChars="200"/>
        <w:rPr>
          <w:rFonts w:ascii="宋体" w:hAnsi="宋体" w:eastAsia="宋体" w:cs="宋体"/>
          <w:color w:val="auto"/>
          <w:highlight w:val="none"/>
        </w:rPr>
      </w:pPr>
      <w:bookmarkStart w:id="704" w:name="_Toc35425102"/>
      <w:bookmarkStart w:id="705" w:name="_Toc23607"/>
      <w:bookmarkStart w:id="706" w:name="_Toc246996966"/>
      <w:bookmarkStart w:id="707" w:name="_Toc152042356"/>
      <w:bookmarkStart w:id="708" w:name="_Toc152045579"/>
      <w:bookmarkStart w:id="709" w:name="_Toc15058899"/>
      <w:bookmarkStart w:id="710" w:name="_Toc78803372"/>
      <w:bookmarkStart w:id="711" w:name="_Toc2811"/>
      <w:bookmarkStart w:id="712" w:name="_Toc506107314"/>
      <w:bookmarkStart w:id="713" w:name="_Toc179632597"/>
      <w:bookmarkStart w:id="714" w:name="_Toc296602466"/>
      <w:bookmarkStart w:id="715" w:name="_Toc35424936"/>
      <w:bookmarkStart w:id="716" w:name="_Toc246996223"/>
      <w:bookmarkStart w:id="717" w:name="_Toc247085737"/>
      <w:bookmarkStart w:id="718" w:name="_Toc324404861"/>
      <w:r>
        <w:rPr>
          <w:rFonts w:hint="eastAsia" w:ascii="宋体" w:hAnsi="宋体" w:eastAsia="宋体" w:cs="宋体"/>
          <w:color w:val="auto"/>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color w:val="auto"/>
          <w:szCs w:val="21"/>
          <w:highlight w:val="none"/>
        </w:rPr>
      </w:pPr>
      <w:bookmarkStart w:id="719" w:name="_Toc246996224"/>
      <w:bookmarkStart w:id="720" w:name="_Toc35424937"/>
      <w:bookmarkStart w:id="721" w:name="_Toc506107315"/>
      <w:bookmarkStart w:id="722" w:name="_Toc246996967"/>
      <w:bookmarkStart w:id="723" w:name="_Toc35425103"/>
      <w:bookmarkStart w:id="724" w:name="_Toc15058900"/>
      <w:bookmarkStart w:id="725" w:name="_Toc152045580"/>
      <w:bookmarkStart w:id="726" w:name="_Toc179632598"/>
      <w:bookmarkStart w:id="727" w:name="_Toc144974547"/>
      <w:bookmarkStart w:id="728" w:name="_Toc324404862"/>
      <w:bookmarkStart w:id="729" w:name="_Toc152042357"/>
      <w:bookmarkStart w:id="730" w:name="_Toc16463"/>
      <w:bookmarkStart w:id="731" w:name="_Toc20669"/>
      <w:bookmarkStart w:id="732" w:name="_Toc247085738"/>
      <w:bookmarkStart w:id="733" w:name="_Toc78803373"/>
      <w:bookmarkStart w:id="734" w:name="_Toc31643"/>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3"/>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color w:val="auto"/>
          <w:szCs w:val="21"/>
          <w:highlight w:val="none"/>
        </w:rPr>
      </w:pPr>
      <w:bookmarkStart w:id="735" w:name="_Toc15058901"/>
      <w:r>
        <w:rPr>
          <w:rFonts w:hint="eastAsia" w:ascii="宋体" w:hAnsi="宋体" w:cs="宋体"/>
          <w:color w:val="auto"/>
          <w:szCs w:val="21"/>
          <w:highlight w:val="none"/>
        </w:rPr>
        <w:t>需要补充的其他内容：见投标人须知前附表。</w:t>
      </w:r>
      <w:bookmarkEnd w:id="735"/>
    </w:p>
    <w:p w14:paraId="13695F73">
      <w:pPr>
        <w:spacing w:line="440" w:lineRule="exact"/>
        <w:jc w:val="left"/>
        <w:rPr>
          <w:rFonts w:ascii="宋体" w:hAnsi="宋体" w:cs="宋体"/>
          <w:color w:val="auto"/>
          <w:szCs w:val="21"/>
          <w:highlight w:val="none"/>
        </w:rPr>
      </w:pPr>
    </w:p>
    <w:p w14:paraId="146D6C50">
      <w:pPr>
        <w:pageBreakBefore/>
        <w:spacing w:beforeLines="80" w:afterLines="80" w:line="440" w:lineRule="exact"/>
        <w:jc w:val="center"/>
        <w:outlineLvl w:val="1"/>
        <w:rPr>
          <w:rFonts w:ascii="宋体"/>
          <w:b/>
          <w:color w:val="auto"/>
          <w:sz w:val="32"/>
          <w:szCs w:val="32"/>
          <w:highlight w:val="none"/>
        </w:rPr>
      </w:pPr>
      <w:bookmarkStart w:id="736" w:name="_Toc78803375"/>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章  资格审查</w:t>
      </w:r>
      <w:bookmarkEnd w:id="618"/>
      <w:r>
        <w:rPr>
          <w:rFonts w:hint="eastAsia" w:ascii="宋体"/>
          <w:b/>
          <w:color w:val="auto"/>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color w:val="auto"/>
          <w:sz w:val="28"/>
          <w:szCs w:val="22"/>
          <w:highlight w:val="none"/>
        </w:rPr>
      </w:pPr>
      <w:bookmarkStart w:id="737" w:name="_Toc35424940"/>
      <w:bookmarkStart w:id="738" w:name="_Toc506107318"/>
      <w:bookmarkStart w:id="739" w:name="_Toc324404865"/>
      <w:bookmarkStart w:id="740" w:name="_Toc15058903"/>
      <w:bookmarkStart w:id="741" w:name="_Toc35425106"/>
      <w:r>
        <w:rPr>
          <w:rFonts w:hint="eastAsia" w:ascii="宋体" w:hAnsi="宋体" w:cs="宋体"/>
          <w:b/>
          <w:bCs/>
          <w:color w:val="auto"/>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737B946D">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10B4B499">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12F9F292">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4223BCB8">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color w:val="auto"/>
                <w:szCs w:val="21"/>
                <w:highlight w:val="none"/>
              </w:rPr>
            </w:pPr>
          </w:p>
        </w:tc>
        <w:tc>
          <w:tcPr>
            <w:tcW w:w="1258" w:type="dxa"/>
            <w:vMerge w:val="continue"/>
            <w:noWrap/>
            <w:vAlign w:val="center"/>
          </w:tcPr>
          <w:p w14:paraId="5DD98737">
            <w:pPr>
              <w:spacing w:line="440" w:lineRule="exact"/>
              <w:jc w:val="center"/>
              <w:rPr>
                <w:rFonts w:ascii="宋体" w:hAnsi="宋体" w:cs="宋体"/>
                <w:b/>
                <w:bCs/>
                <w:color w:val="auto"/>
                <w:szCs w:val="21"/>
                <w:highlight w:val="none"/>
              </w:rPr>
            </w:pPr>
          </w:p>
        </w:tc>
        <w:tc>
          <w:tcPr>
            <w:tcW w:w="6183" w:type="dxa"/>
            <w:noWrap/>
            <w:vAlign w:val="center"/>
          </w:tcPr>
          <w:p w14:paraId="356F4FA9">
            <w:pPr>
              <w:spacing w:line="440" w:lineRule="exact"/>
              <w:rPr>
                <w:rFonts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ign w:val="center"/>
          </w:tcPr>
          <w:p w14:paraId="7D8563C4">
            <w:pPr>
              <w:spacing w:line="440" w:lineRule="exact"/>
              <w:jc w:val="center"/>
              <w:rPr>
                <w:rFonts w:ascii="宋体" w:hAnsi="宋体" w:cs="宋体"/>
                <w:color w:val="auto"/>
                <w:szCs w:val="21"/>
                <w:highlight w:val="none"/>
              </w:rPr>
            </w:pPr>
          </w:p>
        </w:tc>
        <w:tc>
          <w:tcPr>
            <w:tcW w:w="1258" w:type="dxa"/>
            <w:vMerge w:val="continue"/>
            <w:noWrap/>
            <w:vAlign w:val="center"/>
          </w:tcPr>
          <w:p w14:paraId="04C1B076">
            <w:pPr>
              <w:spacing w:line="440" w:lineRule="exact"/>
              <w:jc w:val="center"/>
              <w:rPr>
                <w:rFonts w:ascii="宋体" w:hAnsi="宋体" w:cs="宋体"/>
                <w:b/>
                <w:bCs/>
                <w:color w:val="auto"/>
                <w:szCs w:val="21"/>
                <w:highlight w:val="none"/>
              </w:rPr>
            </w:pPr>
          </w:p>
        </w:tc>
        <w:tc>
          <w:tcPr>
            <w:tcW w:w="6183" w:type="dxa"/>
            <w:noWrap/>
            <w:vAlign w:val="center"/>
          </w:tcPr>
          <w:p w14:paraId="7DE2EBA3">
            <w:pPr>
              <w:spacing w:line="440" w:lineRule="exact"/>
              <w:rPr>
                <w:rFonts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779E57B8">
            <w:pPr>
              <w:spacing w:line="440" w:lineRule="exact"/>
              <w:rPr>
                <w:rFonts w:ascii="宋体" w:hAnsi="宋体" w:cs="宋体"/>
                <w:b/>
                <w:color w:val="auto"/>
                <w:szCs w:val="21"/>
                <w:highlight w:val="none"/>
              </w:rPr>
            </w:pPr>
          </w:p>
        </w:tc>
      </w:tr>
      <w:tr w14:paraId="5484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4F29A8D">
            <w:pPr>
              <w:spacing w:line="440" w:lineRule="exact"/>
              <w:jc w:val="center"/>
              <w:rPr>
                <w:rFonts w:ascii="宋体" w:hAnsi="宋体" w:cs="宋体"/>
                <w:color w:val="auto"/>
                <w:szCs w:val="21"/>
                <w:highlight w:val="none"/>
              </w:rPr>
            </w:pPr>
          </w:p>
        </w:tc>
        <w:tc>
          <w:tcPr>
            <w:tcW w:w="1258" w:type="dxa"/>
            <w:vMerge w:val="continue"/>
            <w:noWrap/>
            <w:vAlign w:val="center"/>
          </w:tcPr>
          <w:p w14:paraId="5172F027">
            <w:pPr>
              <w:spacing w:line="440" w:lineRule="exact"/>
              <w:jc w:val="center"/>
              <w:rPr>
                <w:rFonts w:ascii="宋体" w:hAnsi="宋体" w:cs="宋体"/>
                <w:b/>
                <w:bCs/>
                <w:color w:val="auto"/>
                <w:szCs w:val="21"/>
                <w:highlight w:val="none"/>
              </w:rPr>
            </w:pPr>
          </w:p>
        </w:tc>
        <w:tc>
          <w:tcPr>
            <w:tcW w:w="6183" w:type="dxa"/>
            <w:noWrap/>
            <w:vAlign w:val="top"/>
          </w:tcPr>
          <w:p w14:paraId="5F6370DA">
            <w:pPr>
              <w:keepNext w:val="0"/>
              <w:keepLines w:val="0"/>
              <w:pageBreakBefore w:val="0"/>
              <w:kinsoku/>
              <w:wordWrap/>
              <w:overflowPunct/>
              <w:topLinePunct w:val="0"/>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项目经理有效身份证、园林绿化相关专业中级及以上技术职称【或建造师注册证书、安全生产考核合格证书（B 证）】</w:t>
            </w:r>
          </w:p>
        </w:tc>
        <w:tc>
          <w:tcPr>
            <w:tcW w:w="1860" w:type="dxa"/>
            <w:vMerge w:val="continue"/>
            <w:noWrap/>
            <w:vAlign w:val="center"/>
          </w:tcPr>
          <w:p w14:paraId="2BFDCB77">
            <w:pPr>
              <w:spacing w:line="440" w:lineRule="exact"/>
              <w:rPr>
                <w:rFonts w:ascii="宋体" w:hAnsi="宋体" w:cs="宋体"/>
                <w:color w:val="auto"/>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color w:val="auto"/>
                <w:szCs w:val="21"/>
                <w:highlight w:val="none"/>
              </w:rPr>
            </w:pPr>
          </w:p>
        </w:tc>
        <w:tc>
          <w:tcPr>
            <w:tcW w:w="1258" w:type="dxa"/>
            <w:vMerge w:val="continue"/>
            <w:noWrap/>
            <w:vAlign w:val="center"/>
          </w:tcPr>
          <w:p w14:paraId="7D51B5B8">
            <w:pPr>
              <w:spacing w:line="440" w:lineRule="exact"/>
              <w:jc w:val="center"/>
              <w:rPr>
                <w:rFonts w:ascii="宋体" w:hAnsi="宋体" w:cs="宋体"/>
                <w:b/>
                <w:bCs/>
                <w:color w:val="auto"/>
                <w:szCs w:val="21"/>
                <w:highlight w:val="none"/>
              </w:rPr>
            </w:pPr>
          </w:p>
        </w:tc>
        <w:tc>
          <w:tcPr>
            <w:tcW w:w="6183" w:type="dxa"/>
            <w:noWrap/>
            <w:vAlign w:val="top"/>
          </w:tcPr>
          <w:p w14:paraId="7DB448B8">
            <w:pPr>
              <w:spacing w:line="440" w:lineRule="exact"/>
              <w:rPr>
                <w:rFonts w:ascii="宋体" w:hAnsi="宋体" w:cs="宋体"/>
                <w:color w:val="auto"/>
                <w:highlight w:val="none"/>
              </w:rPr>
            </w:pPr>
            <w:r>
              <w:rPr>
                <w:rFonts w:hint="eastAsia" w:ascii="宋体" w:hAnsi="宋体" w:cs="宋体"/>
                <w:color w:val="auto"/>
                <w:szCs w:val="21"/>
                <w:highlight w:val="none"/>
              </w:rPr>
              <w:t>投标人的法定代表人(或委托代理人)和拟任项目经理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color w:val="auto"/>
                <w:szCs w:val="21"/>
                <w:highlight w:val="none"/>
              </w:rPr>
            </w:pPr>
          </w:p>
        </w:tc>
      </w:tr>
    </w:tbl>
    <w:p w14:paraId="44418C94">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3BA6D7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05DBF2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标人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316820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color w:val="auto"/>
          <w:highlight w:val="none"/>
        </w:rPr>
      </w:pPr>
      <w:r>
        <w:rPr>
          <w:rFonts w:hint="eastAsia" w:ascii="宋体" w:hAnsi="宋体" w:eastAsia="宋体" w:cs="宋体"/>
          <w:b/>
          <w:bCs/>
          <w:color w:val="auto"/>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4A8A3FCB">
      <w:pPr>
        <w:pStyle w:val="3"/>
        <w:spacing w:beforeLines="50" w:afterLines="50"/>
        <w:ind w:firstLine="422" w:firstLineChars="200"/>
        <w:rPr>
          <w:rFonts w:ascii="宋体" w:hAnsi="宋体" w:eastAsia="宋体" w:cs="宋体"/>
          <w:color w:val="auto"/>
          <w:highlight w:val="none"/>
        </w:rPr>
      </w:pPr>
      <w:bookmarkStart w:id="742" w:name="_Toc27127"/>
      <w:bookmarkStart w:id="743" w:name="_Toc324404866"/>
      <w:bookmarkStart w:id="744" w:name="_Toc506107319"/>
      <w:bookmarkStart w:id="745" w:name="_Toc35425107"/>
      <w:bookmarkStart w:id="746" w:name="_Toc15058904"/>
      <w:bookmarkStart w:id="747" w:name="_Toc35424941"/>
      <w:bookmarkStart w:id="748" w:name="_Toc78803376"/>
      <w:r>
        <w:rPr>
          <w:rFonts w:hint="eastAsia" w:ascii="宋体" w:hAnsi="宋体" w:eastAsia="宋体" w:cs="宋体"/>
          <w:color w:val="auto"/>
          <w:highlight w:val="none"/>
        </w:rPr>
        <w:t>1.审查资料</w:t>
      </w:r>
      <w:bookmarkEnd w:id="742"/>
      <w:bookmarkEnd w:id="743"/>
      <w:bookmarkEnd w:id="744"/>
      <w:bookmarkEnd w:id="745"/>
      <w:bookmarkEnd w:id="746"/>
      <w:bookmarkEnd w:id="747"/>
      <w:bookmarkEnd w:id="748"/>
    </w:p>
    <w:p w14:paraId="2DC377C4">
      <w:pPr>
        <w:spacing w:line="440" w:lineRule="exact"/>
        <w:ind w:firstLine="420" w:firstLineChars="200"/>
        <w:jc w:val="left"/>
        <w:rPr>
          <w:rFonts w:hint="eastAsia" w:ascii="宋体" w:hAnsi="宋体" w:cs="宋体"/>
          <w:color w:val="auto"/>
          <w:szCs w:val="21"/>
          <w:highlight w:val="none"/>
        </w:rPr>
      </w:pPr>
      <w:bookmarkStart w:id="749" w:name="_Toc15058905"/>
      <w:bookmarkStart w:id="750" w:name="_Toc324404867"/>
      <w:r>
        <w:rPr>
          <w:rFonts w:hint="eastAsia" w:ascii="宋体" w:hAnsi="宋体" w:cs="宋体"/>
          <w:color w:val="auto"/>
          <w:szCs w:val="21"/>
          <w:highlight w:val="none"/>
        </w:rPr>
        <w:t>（1）法定代表人身份证明文件和本人有效身份证(或法定代表人授权委托书和委托代理人有效身份证)；</w:t>
      </w:r>
    </w:p>
    <w:p w14:paraId="3F0E71B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12618AF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ED50D4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项目经理有效身份证、园林绿化相关专业中级及以上技术职称【或建造师注册证书、安全生产考核合格证书（B 证）】</w:t>
      </w:r>
      <w:r>
        <w:rPr>
          <w:rFonts w:hint="eastAsia" w:ascii="宋体" w:hAnsi="宋体" w:cs="宋体"/>
          <w:color w:val="auto"/>
          <w:szCs w:val="21"/>
          <w:highlight w:val="none"/>
        </w:rPr>
        <w:t>；</w:t>
      </w:r>
    </w:p>
    <w:p w14:paraId="57EC5BE4">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的法定代表人(或委托代理人)和拟任项目经理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auto"/>
          <w:szCs w:val="21"/>
          <w:highlight w:val="none"/>
          <w:lang w:eastAsia="zh-CN"/>
        </w:rPr>
        <w:t>。</w:t>
      </w:r>
    </w:p>
    <w:bookmarkEnd w:id="749"/>
    <w:p w14:paraId="5990719C">
      <w:pPr>
        <w:pStyle w:val="3"/>
        <w:spacing w:beforeLines="50" w:afterLines="50"/>
        <w:ind w:firstLine="422" w:firstLineChars="200"/>
        <w:rPr>
          <w:rFonts w:ascii="宋体" w:hAnsi="宋体" w:eastAsia="宋体" w:cs="宋体"/>
          <w:color w:val="auto"/>
          <w:highlight w:val="none"/>
        </w:rPr>
      </w:pPr>
      <w:bookmarkStart w:id="751" w:name="_Toc12549"/>
      <w:bookmarkStart w:id="752" w:name="_Toc35424942"/>
      <w:bookmarkStart w:id="753" w:name="_Toc506107320"/>
      <w:bookmarkStart w:id="754" w:name="_Toc15058909"/>
      <w:bookmarkStart w:id="755" w:name="_Toc35425108"/>
      <w:bookmarkStart w:id="756" w:name="_Toc78803377"/>
      <w:r>
        <w:rPr>
          <w:rFonts w:hint="eastAsia" w:ascii="宋体" w:hAnsi="宋体" w:eastAsia="宋体" w:cs="宋体"/>
          <w:color w:val="auto"/>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447D2762">
      <w:pPr>
        <w:pStyle w:val="3"/>
        <w:spacing w:beforeLines="50" w:afterLines="50"/>
        <w:ind w:firstLine="422" w:firstLineChars="200"/>
        <w:rPr>
          <w:rFonts w:ascii="宋体" w:hAnsi="宋体" w:eastAsia="宋体" w:cs="宋体"/>
          <w:color w:val="auto"/>
          <w:highlight w:val="none"/>
        </w:rPr>
      </w:pPr>
      <w:bookmarkStart w:id="757" w:name="_Toc35424943"/>
      <w:bookmarkStart w:id="758" w:name="_Toc324404868"/>
      <w:bookmarkStart w:id="759" w:name="_Toc15626"/>
      <w:bookmarkStart w:id="760" w:name="_Toc506107321"/>
      <w:bookmarkStart w:id="761" w:name="_Toc78803378"/>
      <w:bookmarkStart w:id="762" w:name="_Toc35425109"/>
      <w:bookmarkStart w:id="763" w:name="_Toc15058910"/>
      <w:r>
        <w:rPr>
          <w:rFonts w:hint="eastAsia" w:ascii="宋体" w:hAnsi="宋体" w:eastAsia="宋体" w:cs="宋体"/>
          <w:color w:val="auto"/>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color w:val="auto"/>
          <w:szCs w:val="21"/>
          <w:highlight w:val="none"/>
        </w:rPr>
      </w:pPr>
      <w:bookmarkStart w:id="764" w:name="_Toc15058911"/>
      <w:bookmarkStart w:id="765" w:name="_Toc35424944"/>
      <w:bookmarkStart w:id="766" w:name="_Toc35425110"/>
      <w:bookmarkStart w:id="767" w:name="_Toc10330"/>
      <w:bookmarkStart w:id="768" w:name="_Toc324404869"/>
      <w:bookmarkStart w:id="769" w:name="_Toc506107322"/>
      <w:bookmarkStart w:id="770" w:name="_Toc78803379"/>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465F4E80">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（1）未上传电子标书或电子标书经审查不合格；</w:t>
      </w:r>
    </w:p>
    <w:p w14:paraId="526FEED7">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）法律、法规规定的其他情形。</w:t>
      </w:r>
    </w:p>
    <w:p w14:paraId="439F3B10">
      <w:pPr>
        <w:pStyle w:val="3"/>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71" w:name="_Toc506107323"/>
    </w:p>
    <w:p w14:paraId="500CB5F4">
      <w:pPr>
        <w:pStyle w:val="2"/>
        <w:numPr>
          <w:ilvl w:val="0"/>
          <w:numId w:val="1"/>
        </w:numPr>
        <w:spacing w:beforeLines="50" w:afterLines="50"/>
        <w:rPr>
          <w:rFonts w:hint="eastAsia" w:ascii="Arial" w:hAnsi="Arial"/>
          <w:color w:val="auto"/>
          <w:kern w:val="0"/>
          <w:sz w:val="32"/>
          <w:szCs w:val="32"/>
          <w:highlight w:val="none"/>
        </w:rPr>
      </w:pPr>
      <w:bookmarkStart w:id="772" w:name="_Toc35425111"/>
      <w:bookmarkStart w:id="773" w:name="_Toc35424945"/>
      <w:bookmarkStart w:id="774" w:name="_Toc15058912"/>
      <w:r>
        <w:rPr>
          <w:rFonts w:hint="eastAsia"/>
          <w:color w:val="auto"/>
          <w:highlight w:val="none"/>
        </w:rPr>
        <w:br w:type="page"/>
      </w:r>
      <w:bookmarkStart w:id="775" w:name="_Toc78803380"/>
      <w:r>
        <w:rPr>
          <w:rFonts w:hint="eastAsia" w:ascii="Arial" w:hAnsi="Arial"/>
          <w:color w:val="auto"/>
          <w:kern w:val="0"/>
          <w:sz w:val="32"/>
          <w:szCs w:val="32"/>
          <w:highlight w:val="none"/>
        </w:rPr>
        <w:t>评标办法</w:t>
      </w:r>
      <w:bookmarkEnd w:id="623"/>
      <w:bookmarkEnd w:id="771"/>
      <w:bookmarkEnd w:id="772"/>
      <w:bookmarkEnd w:id="773"/>
      <w:bookmarkEnd w:id="774"/>
      <w:bookmarkEnd w:id="775"/>
    </w:p>
    <w:p w14:paraId="66E83526">
      <w:pPr>
        <w:pStyle w:val="3"/>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776" w:name="_Toc95223414"/>
      <w:bookmarkStart w:id="777" w:name="_Toc18793"/>
      <w:bookmarkStart w:id="778" w:name="_Toc95223430"/>
      <w:bookmarkStart w:id="779" w:name="_Toc10143"/>
      <w:bookmarkStart w:id="780" w:name="_Toc15058927"/>
      <w:bookmarkStart w:id="781" w:name="_Toc35425128"/>
      <w:bookmarkStart w:id="782" w:name="_Toc506107333"/>
      <w:bookmarkStart w:id="783" w:name="_Toc78803397"/>
      <w:bookmarkStart w:id="784" w:name="_Toc35424962"/>
      <w:bookmarkStart w:id="785" w:name="_Toc144974826"/>
      <w:bookmarkStart w:id="786" w:name="_Toc179632785"/>
      <w:bookmarkStart w:id="787" w:name="_Toc152045767"/>
      <w:bookmarkStart w:id="788" w:name="_Toc152042546"/>
      <w:r>
        <w:rPr>
          <w:rFonts w:hint="eastAsia" w:ascii="黑体" w:hAnsi="黑体" w:cs="黑体"/>
          <w:color w:val="auto"/>
          <w:sz w:val="21"/>
          <w:szCs w:val="21"/>
          <w:highlight w:val="none"/>
        </w:rPr>
        <w:t>1. 评</w:t>
      </w:r>
      <w:r>
        <w:rPr>
          <w:rFonts w:hint="eastAsia" w:ascii="黑体" w:hAnsi="黑体" w:cs="黑体"/>
          <w:color w:val="auto"/>
          <w:sz w:val="21"/>
          <w:szCs w:val="21"/>
          <w:highlight w:val="none"/>
          <w:lang w:val="en-US" w:eastAsia="zh-CN"/>
        </w:rPr>
        <w:t>选</w:t>
      </w:r>
      <w:r>
        <w:rPr>
          <w:rFonts w:hint="eastAsia" w:ascii="黑体" w:hAnsi="黑体" w:cs="黑体"/>
          <w:color w:val="auto"/>
          <w:sz w:val="21"/>
          <w:szCs w:val="21"/>
          <w:highlight w:val="none"/>
        </w:rPr>
        <w:t>方法</w:t>
      </w:r>
      <w:bookmarkEnd w:id="776"/>
    </w:p>
    <w:p w14:paraId="4AD7EA02">
      <w:pPr>
        <w:widowControl/>
        <w:adjustRightInd w:val="0"/>
        <w:snapToGrid w:val="0"/>
        <w:spacing w:line="50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1.1</w:t>
      </w:r>
      <w:r>
        <w:rPr>
          <w:rFonts w:hint="eastAsia" w:ascii="宋体" w:hAnsi="宋体" w:eastAsia="宋体" w:cs="宋体"/>
          <w:b w:val="0"/>
          <w:bCs w:val="0"/>
          <w:color w:val="auto"/>
          <w:szCs w:val="21"/>
          <w:highlight w:val="none"/>
        </w:rPr>
        <w:t>本次评选方法采用</w:t>
      </w:r>
      <w:r>
        <w:rPr>
          <w:rFonts w:hint="eastAsia" w:ascii="宋体" w:hAnsi="宋体" w:cs="宋体"/>
          <w:b w:val="0"/>
          <w:bCs w:val="0"/>
          <w:color w:val="auto"/>
          <w:szCs w:val="21"/>
          <w:highlight w:val="none"/>
          <w:lang w:eastAsia="zh-CN"/>
        </w:rPr>
        <w:t>经评审的最低投标价法</w:t>
      </w:r>
      <w:r>
        <w:rPr>
          <w:rFonts w:hint="eastAsia" w:ascii="宋体" w:hAnsi="宋体" w:eastAsia="宋体" w:cs="宋体"/>
          <w:b w:val="0"/>
          <w:bCs w:val="0"/>
          <w:color w:val="auto"/>
          <w:szCs w:val="21"/>
          <w:highlight w:val="none"/>
        </w:rPr>
        <w:t>。</w:t>
      </w:r>
    </w:p>
    <w:p w14:paraId="7858392D">
      <w:pPr>
        <w:pStyle w:val="3"/>
        <w:adjustRightInd w:val="0"/>
        <w:snapToGrid w:val="0"/>
        <w:spacing w:before="0" w:after="0"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评审委员会对满足</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文件实质性要求的</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文件，按照本章规定推荐</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候选人应当不超过3名，并标明排序（本项目推荐</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候选人），但</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报价低于其成本的除外。</w:t>
      </w:r>
    </w:p>
    <w:p w14:paraId="0C0C025B">
      <w:pPr>
        <w:pStyle w:val="3"/>
        <w:adjustRightInd w:val="0"/>
        <w:snapToGrid w:val="0"/>
        <w:spacing w:before="0" w:after="0" w:line="50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在评审结束后，根据评审委员会评审初步结论，项目单位（代理机构）对预</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候选人、法定代表人及其项目</w:t>
      </w:r>
      <w:r>
        <w:rPr>
          <w:rFonts w:hint="eastAsia" w:ascii="宋体" w:hAnsi="宋体" w:eastAsia="宋体" w:cs="宋体"/>
          <w:b w:val="0"/>
          <w:bCs w:val="0"/>
          <w:color w:val="auto"/>
          <w:sz w:val="21"/>
          <w:szCs w:val="21"/>
          <w:highlight w:val="none"/>
          <w:lang w:val="en-US" w:eastAsia="zh-CN"/>
        </w:rPr>
        <w:t>负责人</w:t>
      </w:r>
      <w:r>
        <w:rPr>
          <w:rFonts w:hint="eastAsia" w:ascii="宋体" w:hAnsi="宋体" w:eastAsia="宋体" w:cs="宋体"/>
          <w:b w:val="0"/>
          <w:bCs w:val="0"/>
          <w:color w:val="auto"/>
          <w:sz w:val="21"/>
          <w:szCs w:val="21"/>
          <w:highlight w:val="none"/>
        </w:rPr>
        <w:t>是否存在</w:t>
      </w:r>
      <w:r>
        <w:rPr>
          <w:rFonts w:hint="eastAsia" w:ascii="宋体" w:hAnsi="宋体" w:eastAsia="宋体" w:cs="宋体"/>
          <w:b w:val="0"/>
          <w:bCs w:val="0"/>
          <w:color w:val="auto"/>
          <w:sz w:val="21"/>
          <w:szCs w:val="21"/>
          <w:highlight w:val="none"/>
          <w:lang w:val="en-US" w:eastAsia="zh-CN"/>
        </w:rPr>
        <w:t>招标文件</w:t>
      </w:r>
      <w:r>
        <w:rPr>
          <w:rFonts w:hint="eastAsia" w:ascii="宋体" w:hAnsi="宋体" w:eastAsia="宋体" w:cs="宋体"/>
          <w:b w:val="0"/>
          <w:bCs w:val="0"/>
          <w:color w:val="auto"/>
          <w:sz w:val="21"/>
          <w:szCs w:val="21"/>
          <w:highlight w:val="none"/>
        </w:rPr>
        <w:t>要求查询的失信行为进行网上核查后，提交网站截图等查询记录给评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委员会复核。若核查结果不符合</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文件规定的</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资格条件信誉要求，由评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委员会取消其预</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候选人资格，并依次替补，再次对替补单位进行核查。如评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现场未发现问题但标后质疑（异议）、投诉发现</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候选人存在信誉问题，则组织评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委员会重新启动复核程序。核查结果不改变原评标基准值</w:t>
      </w:r>
      <w:r>
        <w:rPr>
          <w:rFonts w:hint="eastAsia" w:ascii="宋体" w:hAnsi="宋体" w:eastAsia="宋体" w:cs="宋体"/>
          <w:b w:val="0"/>
          <w:bCs w:val="0"/>
          <w:color w:val="auto"/>
          <w:sz w:val="21"/>
          <w:szCs w:val="21"/>
          <w:highlight w:val="none"/>
          <w:lang w:eastAsia="zh-CN"/>
        </w:rPr>
        <w:t>。</w:t>
      </w:r>
    </w:p>
    <w:p w14:paraId="0DB2BD07">
      <w:pPr>
        <w:pStyle w:val="3"/>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2.评标委员会的职责</w:t>
      </w:r>
      <w:bookmarkEnd w:id="777"/>
      <w:bookmarkEnd w:id="778"/>
      <w:bookmarkEnd w:id="779"/>
    </w:p>
    <w:p w14:paraId="6B64FD8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48B7DD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评标委员会应加强对报价合理性审查。</w:t>
      </w:r>
      <w:bookmarkStart w:id="789" w:name="_Toc95223431"/>
      <w:r>
        <w:rPr>
          <w:rFonts w:hint="eastAsia" w:ascii="宋体" w:hAnsi="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669F5AF4">
      <w:pPr>
        <w:pStyle w:val="3"/>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790" w:name="_Toc10884"/>
      <w:bookmarkStart w:id="791" w:name="_Toc23638"/>
      <w:r>
        <w:rPr>
          <w:rFonts w:hint="eastAsia" w:ascii="黑体" w:hAnsi="黑体" w:cs="黑体"/>
          <w:color w:val="auto"/>
          <w:sz w:val="21"/>
          <w:szCs w:val="21"/>
          <w:highlight w:val="none"/>
        </w:rPr>
        <w:t>3.评标程序</w:t>
      </w:r>
      <w:bookmarkEnd w:id="789"/>
      <w:bookmarkEnd w:id="790"/>
      <w:bookmarkEnd w:id="791"/>
    </w:p>
    <w:p w14:paraId="2C87F171">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评标先做准备工作，再进行资格标评审，然后进行商务标评审。</w:t>
      </w:r>
    </w:p>
    <w:p w14:paraId="4E0F6735">
      <w:pPr>
        <w:pStyle w:val="3"/>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792" w:name="_Toc95223432"/>
      <w:bookmarkStart w:id="793" w:name="_Toc7438"/>
      <w:bookmarkStart w:id="794" w:name="_Toc5838"/>
      <w:r>
        <w:rPr>
          <w:rFonts w:hint="eastAsia" w:ascii="黑体" w:hAnsi="黑体" w:cs="黑体"/>
          <w:color w:val="auto"/>
          <w:sz w:val="21"/>
          <w:szCs w:val="21"/>
          <w:highlight w:val="none"/>
        </w:rPr>
        <w:t>3.1评标准备工作</w:t>
      </w:r>
      <w:bookmarkEnd w:id="792"/>
      <w:bookmarkEnd w:id="793"/>
      <w:bookmarkEnd w:id="794"/>
    </w:p>
    <w:p w14:paraId="3D4345E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评标委员会熟悉评标工作情况：</w:t>
      </w:r>
    </w:p>
    <w:p w14:paraId="1C16543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6AD5E8D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5F06D9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2488364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14:paraId="771783F5">
      <w:pPr>
        <w:pStyle w:val="3"/>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795" w:name="_Toc26317"/>
      <w:bookmarkStart w:id="796" w:name="_Toc95223433"/>
      <w:bookmarkStart w:id="797" w:name="_Toc11840"/>
      <w:r>
        <w:rPr>
          <w:rFonts w:hint="eastAsia" w:ascii="黑体" w:hAnsi="黑体" w:cs="黑体"/>
          <w:color w:val="auto"/>
          <w:sz w:val="21"/>
          <w:szCs w:val="21"/>
          <w:highlight w:val="none"/>
        </w:rPr>
        <w:t>3.2</w:t>
      </w:r>
      <w:bookmarkEnd w:id="795"/>
      <w:bookmarkEnd w:id="796"/>
      <w:bookmarkEnd w:id="797"/>
      <w:bookmarkStart w:id="798" w:name="_Toc24905"/>
      <w:bookmarkStart w:id="799" w:name="_Toc95223434"/>
      <w:bookmarkStart w:id="800" w:name="_Toc15532"/>
      <w:r>
        <w:rPr>
          <w:rFonts w:hint="eastAsia" w:ascii="黑体" w:hAnsi="黑体" w:cs="黑体"/>
          <w:color w:val="auto"/>
          <w:sz w:val="21"/>
          <w:szCs w:val="21"/>
          <w:highlight w:val="none"/>
        </w:rPr>
        <w:t>商务标评审</w:t>
      </w:r>
      <w:bookmarkEnd w:id="798"/>
      <w:bookmarkEnd w:id="799"/>
      <w:bookmarkEnd w:id="800"/>
    </w:p>
    <w:p w14:paraId="60FACE1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14:paraId="2A29BA05">
      <w:pPr>
        <w:pStyle w:val="3"/>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01" w:name="_Toc12863"/>
      <w:bookmarkStart w:id="802" w:name="_Toc7212"/>
      <w:r>
        <w:rPr>
          <w:rFonts w:hint="eastAsia" w:ascii="黑体" w:hAnsi="黑体" w:cs="黑体"/>
          <w:color w:val="auto"/>
          <w:sz w:val="21"/>
          <w:szCs w:val="21"/>
          <w:highlight w:val="none"/>
        </w:rPr>
        <w:t>3.</w:t>
      </w:r>
      <w:r>
        <w:rPr>
          <w:rFonts w:hint="eastAsia" w:ascii="黑体" w:hAnsi="黑体" w:cs="黑体"/>
          <w:color w:val="auto"/>
          <w:sz w:val="21"/>
          <w:szCs w:val="21"/>
          <w:highlight w:val="none"/>
          <w:lang w:val="en-US" w:eastAsia="zh-CN"/>
        </w:rPr>
        <w:t>3</w:t>
      </w:r>
      <w:r>
        <w:rPr>
          <w:rFonts w:hint="eastAsia" w:ascii="黑体" w:hAnsi="黑体" w:cs="黑体"/>
          <w:color w:val="auto"/>
          <w:sz w:val="21"/>
          <w:szCs w:val="21"/>
          <w:highlight w:val="none"/>
        </w:rPr>
        <w:t>推荐中标候选人</w:t>
      </w:r>
      <w:bookmarkEnd w:id="801"/>
      <w:bookmarkEnd w:id="802"/>
    </w:p>
    <w:p w14:paraId="0BA3FFB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资信评审标评审、商务标评审后，推荐中标候选人，并标明排序。</w:t>
      </w:r>
    </w:p>
    <w:p w14:paraId="16F4A25B">
      <w:pPr>
        <w:pStyle w:val="3"/>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03" w:name="_Toc11015"/>
      <w:bookmarkStart w:id="804" w:name="_Toc95223435"/>
      <w:bookmarkStart w:id="805" w:name="_Toc16026"/>
      <w:r>
        <w:rPr>
          <w:rFonts w:hint="eastAsia" w:ascii="黑体" w:hAnsi="黑体" w:cs="黑体"/>
          <w:color w:val="auto"/>
          <w:sz w:val="21"/>
          <w:szCs w:val="21"/>
          <w:highlight w:val="none"/>
        </w:rPr>
        <w:t>4.评审内容</w:t>
      </w:r>
      <w:bookmarkEnd w:id="803"/>
      <w:bookmarkEnd w:id="804"/>
      <w:bookmarkEnd w:id="805"/>
    </w:p>
    <w:p w14:paraId="0F5DCFE1">
      <w:pPr>
        <w:spacing w:line="440" w:lineRule="exact"/>
        <w:ind w:firstLine="420" w:firstLineChars="200"/>
        <w:jc w:val="left"/>
        <w:rPr>
          <w:rFonts w:hint="eastAsia" w:ascii="黑体" w:hAnsi="黑体" w:cs="黑体"/>
          <w:color w:val="auto"/>
          <w:szCs w:val="21"/>
          <w:highlight w:val="none"/>
        </w:rPr>
      </w:pPr>
      <w:bookmarkStart w:id="806" w:name="_Toc15058920"/>
      <w:bookmarkStart w:id="807" w:name="_Toc37230761"/>
      <w:r>
        <w:rPr>
          <w:rFonts w:hint="eastAsia" w:ascii="黑体" w:hAnsi="黑体" w:cs="黑体"/>
          <w:color w:val="auto"/>
          <w:szCs w:val="21"/>
          <w:highlight w:val="none"/>
        </w:rPr>
        <w:t>4.1</w:t>
      </w:r>
      <w:bookmarkEnd w:id="806"/>
      <w:bookmarkEnd w:id="807"/>
      <w:bookmarkStart w:id="808" w:name="_Toc37230762"/>
      <w:bookmarkStart w:id="809" w:name="_Toc15058921"/>
      <w:r>
        <w:rPr>
          <w:rFonts w:hint="eastAsia" w:ascii="黑体" w:hAnsi="黑体" w:cs="黑体"/>
          <w:color w:val="auto"/>
          <w:szCs w:val="21"/>
          <w:highlight w:val="none"/>
        </w:rPr>
        <w:t>商务文件评审</w:t>
      </w:r>
      <w:bookmarkEnd w:id="808"/>
      <w:bookmarkEnd w:id="809"/>
    </w:p>
    <w:p w14:paraId="79E6FA2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只有通过</w:t>
      </w:r>
      <w:r>
        <w:rPr>
          <w:rFonts w:hint="eastAsia" w:ascii="宋体" w:hAnsi="宋体" w:cs="宋体"/>
          <w:color w:val="auto"/>
          <w:szCs w:val="21"/>
          <w:highlight w:val="none"/>
          <w:lang w:val="en-US" w:eastAsia="zh-CN"/>
        </w:rPr>
        <w:t>资格审查才</w:t>
      </w:r>
      <w:r>
        <w:rPr>
          <w:rFonts w:hint="eastAsia" w:ascii="宋体" w:hAnsi="宋体" w:cs="宋体"/>
          <w:color w:val="auto"/>
          <w:szCs w:val="21"/>
          <w:highlight w:val="none"/>
        </w:rPr>
        <w:t>能够进入本阶段评审。</w:t>
      </w:r>
    </w:p>
    <w:tbl>
      <w:tblPr>
        <w:tblStyle w:val="4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087"/>
        <w:gridCol w:w="3084"/>
        <w:gridCol w:w="4578"/>
      </w:tblGrid>
      <w:tr w14:paraId="4773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2" w:type="dxa"/>
            <w:gridSpan w:val="2"/>
            <w:noWrap w:val="0"/>
            <w:vAlign w:val="center"/>
          </w:tcPr>
          <w:p w14:paraId="160D24D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3084" w:type="dxa"/>
            <w:noWrap w:val="0"/>
            <w:vAlign w:val="center"/>
          </w:tcPr>
          <w:p w14:paraId="3C1F0BE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4578" w:type="dxa"/>
            <w:noWrap w:val="0"/>
            <w:vAlign w:val="center"/>
          </w:tcPr>
          <w:p w14:paraId="5177724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2588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restart"/>
            <w:noWrap w:val="0"/>
            <w:vAlign w:val="center"/>
          </w:tcPr>
          <w:p w14:paraId="64A0033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4.2.1</w:t>
            </w:r>
          </w:p>
        </w:tc>
        <w:tc>
          <w:tcPr>
            <w:tcW w:w="1087" w:type="dxa"/>
            <w:vMerge w:val="restart"/>
            <w:noWrap w:val="0"/>
            <w:vAlign w:val="center"/>
          </w:tcPr>
          <w:p w14:paraId="51FF696D">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3084" w:type="dxa"/>
            <w:noWrap w:val="0"/>
            <w:vAlign w:val="center"/>
          </w:tcPr>
          <w:p w14:paraId="5276B06B">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投标函</w:t>
            </w:r>
            <w:r>
              <w:rPr>
                <w:rFonts w:hint="eastAsia" w:ascii="宋体" w:hAnsi="宋体" w:cs="宋体"/>
                <w:color w:val="auto"/>
                <w:szCs w:val="21"/>
                <w:highlight w:val="none"/>
              </w:rPr>
              <w:t>签字盖章</w:t>
            </w:r>
          </w:p>
        </w:tc>
        <w:tc>
          <w:tcPr>
            <w:tcW w:w="4578" w:type="dxa"/>
            <w:noWrap w:val="0"/>
            <w:vAlign w:val="center"/>
          </w:tcPr>
          <w:p w14:paraId="73DF1DBA">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lang w:val="en-US" w:eastAsia="zh-CN"/>
              </w:rPr>
              <w:t>投标单位</w:t>
            </w:r>
            <w:r>
              <w:rPr>
                <w:rFonts w:hint="eastAsia" w:ascii="宋体" w:hAnsi="宋体"/>
                <w:color w:val="auto"/>
                <w:szCs w:val="21"/>
                <w:highlight w:val="none"/>
              </w:rPr>
              <w:t>及其法定代表人（或委托代理人）签字（或盖章）。</w:t>
            </w:r>
          </w:p>
        </w:tc>
      </w:tr>
      <w:tr w14:paraId="00BF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3437712A">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7C18BC43">
            <w:pPr>
              <w:widowControl/>
              <w:spacing w:line="440" w:lineRule="exact"/>
              <w:jc w:val="left"/>
              <w:rPr>
                <w:rFonts w:hint="eastAsia" w:ascii="宋体" w:hAnsi="宋体" w:cs="宋体"/>
                <w:color w:val="auto"/>
                <w:szCs w:val="21"/>
                <w:highlight w:val="none"/>
              </w:rPr>
            </w:pPr>
          </w:p>
        </w:tc>
        <w:tc>
          <w:tcPr>
            <w:tcW w:w="3084" w:type="dxa"/>
            <w:noWrap w:val="0"/>
            <w:vAlign w:val="center"/>
          </w:tcPr>
          <w:p w14:paraId="03CA8269">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文件格式</w:t>
            </w:r>
          </w:p>
        </w:tc>
        <w:tc>
          <w:tcPr>
            <w:tcW w:w="4578" w:type="dxa"/>
            <w:noWrap w:val="0"/>
            <w:vAlign w:val="center"/>
          </w:tcPr>
          <w:p w14:paraId="42300467">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rPr>
              <w:t>符合“</w:t>
            </w:r>
            <w:r>
              <w:rPr>
                <w:rFonts w:hint="eastAsia" w:ascii="宋体" w:hAnsi="宋体"/>
                <w:color w:val="auto"/>
                <w:szCs w:val="21"/>
                <w:highlight w:val="none"/>
                <w:lang w:val="en-US" w:eastAsia="zh-CN"/>
              </w:rPr>
              <w:t>投标</w:t>
            </w:r>
            <w:r>
              <w:rPr>
                <w:rFonts w:hint="eastAsia" w:ascii="宋体" w:hAnsi="宋体"/>
                <w:color w:val="auto"/>
                <w:szCs w:val="21"/>
                <w:highlight w:val="none"/>
              </w:rPr>
              <w:t>文件格式”的要求。</w:t>
            </w:r>
          </w:p>
        </w:tc>
      </w:tr>
      <w:tr w14:paraId="4C18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43EAFE32">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22F9212B">
            <w:pPr>
              <w:widowControl/>
              <w:spacing w:line="440" w:lineRule="exact"/>
              <w:jc w:val="left"/>
              <w:rPr>
                <w:rFonts w:hint="eastAsia" w:ascii="宋体" w:hAnsi="宋体" w:cs="宋体"/>
                <w:color w:val="auto"/>
                <w:szCs w:val="21"/>
                <w:highlight w:val="none"/>
              </w:rPr>
            </w:pPr>
          </w:p>
        </w:tc>
        <w:tc>
          <w:tcPr>
            <w:tcW w:w="3084" w:type="dxa"/>
            <w:noWrap w:val="0"/>
            <w:vAlign w:val="center"/>
          </w:tcPr>
          <w:p w14:paraId="36D415EF">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商务文件签字盖章</w:t>
            </w:r>
          </w:p>
        </w:tc>
        <w:tc>
          <w:tcPr>
            <w:tcW w:w="4578" w:type="dxa"/>
            <w:noWrap w:val="0"/>
            <w:vAlign w:val="center"/>
          </w:tcPr>
          <w:p w14:paraId="3BC57D24">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rPr>
              <w:t>按</w:t>
            </w:r>
            <w:r>
              <w:rPr>
                <w:rFonts w:hint="eastAsia" w:ascii="宋体" w:hAnsi="宋体"/>
                <w:color w:val="auto"/>
                <w:szCs w:val="21"/>
                <w:highlight w:val="none"/>
                <w:lang w:val="en-US" w:eastAsia="zh-CN"/>
              </w:rPr>
              <w:t>投标</w:t>
            </w:r>
            <w:r>
              <w:rPr>
                <w:rFonts w:hint="eastAsia" w:ascii="宋体" w:hAnsi="宋体"/>
                <w:color w:val="auto"/>
                <w:szCs w:val="21"/>
                <w:highlight w:val="none"/>
              </w:rPr>
              <w:t>文件格式要求签章</w:t>
            </w:r>
          </w:p>
        </w:tc>
      </w:tr>
      <w:tr w14:paraId="6D85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638A94E8">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05673A1A">
            <w:pPr>
              <w:widowControl/>
              <w:spacing w:line="440" w:lineRule="exact"/>
              <w:jc w:val="left"/>
              <w:rPr>
                <w:rFonts w:hint="eastAsia" w:ascii="宋体" w:hAnsi="宋体" w:cs="宋体"/>
                <w:color w:val="auto"/>
                <w:szCs w:val="21"/>
                <w:highlight w:val="none"/>
              </w:rPr>
            </w:pPr>
          </w:p>
        </w:tc>
        <w:tc>
          <w:tcPr>
            <w:tcW w:w="3084" w:type="dxa"/>
            <w:noWrap w:val="0"/>
            <w:vAlign w:val="center"/>
          </w:tcPr>
          <w:p w14:paraId="52F3C98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4578" w:type="dxa"/>
            <w:noWrap w:val="0"/>
            <w:vAlign w:val="center"/>
          </w:tcPr>
          <w:p w14:paraId="166194C5">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rPr>
              <w:t>只能有一个报价</w:t>
            </w:r>
          </w:p>
        </w:tc>
      </w:tr>
      <w:tr w14:paraId="0183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restart"/>
            <w:noWrap w:val="0"/>
            <w:vAlign w:val="center"/>
          </w:tcPr>
          <w:p w14:paraId="15698A05">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4.2.2</w:t>
            </w:r>
          </w:p>
        </w:tc>
        <w:tc>
          <w:tcPr>
            <w:tcW w:w="1087" w:type="dxa"/>
            <w:vMerge w:val="restart"/>
            <w:noWrap w:val="0"/>
            <w:vAlign w:val="center"/>
          </w:tcPr>
          <w:p w14:paraId="215E6E3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响应性评审标准</w:t>
            </w:r>
          </w:p>
          <w:p w14:paraId="18DDB30D">
            <w:pPr>
              <w:spacing w:line="440" w:lineRule="exact"/>
              <w:jc w:val="left"/>
              <w:rPr>
                <w:rFonts w:hint="eastAsia" w:ascii="宋体" w:hAnsi="宋体" w:cs="宋体"/>
                <w:color w:val="auto"/>
                <w:szCs w:val="21"/>
                <w:highlight w:val="none"/>
              </w:rPr>
            </w:pPr>
          </w:p>
        </w:tc>
        <w:tc>
          <w:tcPr>
            <w:tcW w:w="3084" w:type="dxa"/>
            <w:noWrap w:val="0"/>
            <w:vAlign w:val="center"/>
          </w:tcPr>
          <w:p w14:paraId="6FDCDE4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4578" w:type="dxa"/>
            <w:noWrap w:val="0"/>
            <w:vAlign w:val="center"/>
          </w:tcPr>
          <w:p w14:paraId="2E626C87">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w:t>
            </w:r>
            <w:r>
              <w:rPr>
                <w:rFonts w:hint="eastAsia"/>
                <w:color w:val="auto"/>
                <w:highlight w:val="none"/>
              </w:rPr>
              <w:t>投标人须知前附表</w:t>
            </w:r>
            <w:r>
              <w:rPr>
                <w:rFonts w:hint="eastAsia" w:ascii="宋体" w:hAnsi="宋体" w:cs="宋体"/>
                <w:color w:val="auto"/>
                <w:szCs w:val="21"/>
                <w:highlight w:val="none"/>
              </w:rPr>
              <w:t>规定</w:t>
            </w:r>
          </w:p>
        </w:tc>
      </w:tr>
      <w:tr w14:paraId="19ED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19F148F0">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1805FEFC">
            <w:pPr>
              <w:widowControl/>
              <w:spacing w:line="440" w:lineRule="exact"/>
              <w:jc w:val="left"/>
              <w:rPr>
                <w:rFonts w:hint="eastAsia" w:ascii="宋体" w:hAnsi="宋体" w:cs="宋体"/>
                <w:color w:val="auto"/>
                <w:szCs w:val="21"/>
                <w:highlight w:val="none"/>
              </w:rPr>
            </w:pPr>
          </w:p>
        </w:tc>
        <w:tc>
          <w:tcPr>
            <w:tcW w:w="3084" w:type="dxa"/>
            <w:noWrap w:val="0"/>
            <w:vAlign w:val="center"/>
          </w:tcPr>
          <w:p w14:paraId="2A806FD6">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工程质量</w:t>
            </w:r>
          </w:p>
        </w:tc>
        <w:tc>
          <w:tcPr>
            <w:tcW w:w="4578" w:type="dxa"/>
            <w:noWrap w:val="0"/>
            <w:vAlign w:val="center"/>
          </w:tcPr>
          <w:p w14:paraId="33A4F9E2">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w:t>
            </w:r>
            <w:r>
              <w:rPr>
                <w:rFonts w:hint="eastAsia"/>
                <w:color w:val="auto"/>
                <w:highlight w:val="none"/>
              </w:rPr>
              <w:t>投标人须知前附表</w:t>
            </w:r>
            <w:r>
              <w:rPr>
                <w:rFonts w:hint="eastAsia" w:ascii="宋体" w:hAnsi="宋体" w:cs="宋体"/>
                <w:color w:val="auto"/>
                <w:szCs w:val="21"/>
                <w:highlight w:val="none"/>
              </w:rPr>
              <w:t>规定</w:t>
            </w:r>
          </w:p>
        </w:tc>
      </w:tr>
      <w:tr w14:paraId="7C46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3A818F0C">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10060F74">
            <w:pPr>
              <w:widowControl/>
              <w:spacing w:line="440" w:lineRule="exact"/>
              <w:jc w:val="left"/>
              <w:rPr>
                <w:rFonts w:hint="eastAsia" w:ascii="宋体" w:hAnsi="宋体" w:cs="宋体"/>
                <w:color w:val="auto"/>
                <w:szCs w:val="21"/>
                <w:highlight w:val="none"/>
              </w:rPr>
            </w:pPr>
          </w:p>
        </w:tc>
        <w:tc>
          <w:tcPr>
            <w:tcW w:w="3084" w:type="dxa"/>
            <w:noWrap w:val="0"/>
            <w:vAlign w:val="center"/>
          </w:tcPr>
          <w:p w14:paraId="194C2934">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有效期</w:t>
            </w:r>
          </w:p>
        </w:tc>
        <w:tc>
          <w:tcPr>
            <w:tcW w:w="4578" w:type="dxa"/>
            <w:noWrap w:val="0"/>
            <w:vAlign w:val="center"/>
          </w:tcPr>
          <w:p w14:paraId="1A6A8B1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w:t>
            </w:r>
            <w:r>
              <w:rPr>
                <w:rFonts w:hint="eastAsia"/>
                <w:color w:val="auto"/>
                <w:highlight w:val="none"/>
              </w:rPr>
              <w:t>投标人须知前附表</w:t>
            </w:r>
            <w:r>
              <w:rPr>
                <w:rFonts w:hint="eastAsia" w:ascii="宋体" w:hAnsi="宋体" w:cs="宋体"/>
                <w:color w:val="auto"/>
                <w:szCs w:val="21"/>
                <w:highlight w:val="none"/>
              </w:rPr>
              <w:t>规定</w:t>
            </w:r>
          </w:p>
        </w:tc>
      </w:tr>
      <w:tr w14:paraId="7CAA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3DB60F83">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08705C07">
            <w:pPr>
              <w:widowControl/>
              <w:spacing w:line="440" w:lineRule="exact"/>
              <w:jc w:val="left"/>
              <w:rPr>
                <w:rFonts w:hint="eastAsia" w:ascii="宋体" w:hAnsi="宋体" w:cs="宋体"/>
                <w:color w:val="auto"/>
                <w:szCs w:val="21"/>
                <w:highlight w:val="none"/>
              </w:rPr>
            </w:pPr>
          </w:p>
        </w:tc>
        <w:tc>
          <w:tcPr>
            <w:tcW w:w="3084" w:type="dxa"/>
            <w:noWrap w:val="0"/>
            <w:vAlign w:val="center"/>
          </w:tcPr>
          <w:p w14:paraId="46759382">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已标价工程量清单</w:t>
            </w:r>
          </w:p>
        </w:tc>
        <w:tc>
          <w:tcPr>
            <w:tcW w:w="4578" w:type="dxa"/>
            <w:noWrap w:val="0"/>
            <w:vAlign w:val="center"/>
          </w:tcPr>
          <w:p w14:paraId="3D1E4B51">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单位发布的招标工程量清单内容一致</w:t>
            </w:r>
          </w:p>
        </w:tc>
      </w:tr>
      <w:tr w14:paraId="7386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53E4B305">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6904EC46">
            <w:pPr>
              <w:widowControl/>
              <w:spacing w:line="440" w:lineRule="exact"/>
              <w:jc w:val="left"/>
              <w:rPr>
                <w:rFonts w:hint="eastAsia" w:ascii="宋体" w:hAnsi="宋体" w:cs="宋体"/>
                <w:color w:val="auto"/>
                <w:szCs w:val="21"/>
                <w:highlight w:val="none"/>
              </w:rPr>
            </w:pPr>
          </w:p>
        </w:tc>
        <w:tc>
          <w:tcPr>
            <w:tcW w:w="3084" w:type="dxa"/>
            <w:noWrap w:val="0"/>
            <w:vAlign w:val="center"/>
          </w:tcPr>
          <w:p w14:paraId="4AF2B296">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暂列金额、专业工程暂估价、分部分项工程材料及设备暂估价</w:t>
            </w:r>
          </w:p>
        </w:tc>
        <w:tc>
          <w:tcPr>
            <w:tcW w:w="4578" w:type="dxa"/>
            <w:noWrap w:val="0"/>
            <w:vAlign w:val="center"/>
          </w:tcPr>
          <w:p w14:paraId="378E350D">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与项目单位发布的工程量清单一致</w:t>
            </w:r>
          </w:p>
        </w:tc>
      </w:tr>
      <w:tr w14:paraId="0030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65" w:type="dxa"/>
            <w:noWrap w:val="0"/>
            <w:vAlign w:val="center"/>
          </w:tcPr>
          <w:p w14:paraId="33D1A9BD">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4.2</w:t>
            </w:r>
          </w:p>
        </w:tc>
        <w:tc>
          <w:tcPr>
            <w:tcW w:w="1087" w:type="dxa"/>
            <w:noWrap w:val="0"/>
            <w:vAlign w:val="center"/>
          </w:tcPr>
          <w:p w14:paraId="29A01AB8">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详细评审标准</w:t>
            </w:r>
          </w:p>
        </w:tc>
        <w:tc>
          <w:tcPr>
            <w:tcW w:w="3084" w:type="dxa"/>
            <w:noWrap w:val="0"/>
            <w:vAlign w:val="center"/>
          </w:tcPr>
          <w:p w14:paraId="15773A23">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报价评审</w:t>
            </w:r>
          </w:p>
        </w:tc>
        <w:tc>
          <w:tcPr>
            <w:tcW w:w="4578" w:type="dxa"/>
            <w:noWrap w:val="0"/>
            <w:vAlign w:val="center"/>
          </w:tcPr>
          <w:p w14:paraId="20BFCCEC">
            <w:pPr>
              <w:snapToGrid w:val="0"/>
              <w:spacing w:line="440" w:lineRule="exact"/>
              <w:jc w:val="left"/>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总价</w:t>
            </w:r>
            <w:r>
              <w:rPr>
                <w:rFonts w:hint="eastAsia" w:ascii="宋体" w:hAnsi="宋体" w:cs="宋体"/>
                <w:b w:val="0"/>
                <w:bCs w:val="0"/>
                <w:color w:val="auto"/>
                <w:szCs w:val="21"/>
                <w:highlight w:val="none"/>
              </w:rPr>
              <w:t>不得高于</w:t>
            </w:r>
            <w:r>
              <w:rPr>
                <w:rFonts w:hint="eastAsia" w:ascii="宋体" w:hAnsi="宋体" w:cs="宋体"/>
                <w:b w:val="0"/>
                <w:bCs w:val="0"/>
                <w:color w:val="auto"/>
                <w:szCs w:val="21"/>
                <w:highlight w:val="none"/>
                <w:lang w:val="en-US" w:eastAsia="zh-CN"/>
              </w:rPr>
              <w:t>相应的</w:t>
            </w:r>
            <w:r>
              <w:rPr>
                <w:rFonts w:hint="eastAsia" w:ascii="宋体" w:hAnsi="宋体" w:cs="宋体"/>
                <w:b w:val="0"/>
                <w:bCs w:val="0"/>
                <w:color w:val="auto"/>
                <w:szCs w:val="21"/>
                <w:highlight w:val="none"/>
              </w:rPr>
              <w:t>最高投标限价，也不得低于工程成本价</w:t>
            </w:r>
          </w:p>
        </w:tc>
      </w:tr>
    </w:tbl>
    <w:p w14:paraId="7149F0DA">
      <w:pPr>
        <w:spacing w:line="440" w:lineRule="exact"/>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评审委员会依据上述标准对</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文件进行初步评审。有一项不符合评审标准的，作无效处理。</w:t>
      </w:r>
    </w:p>
    <w:p w14:paraId="11EF75E0">
      <w:pPr>
        <w:spacing w:line="440" w:lineRule="exact"/>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4.2详细评审标准：见评审表。</w:t>
      </w:r>
    </w:p>
    <w:p w14:paraId="58697172">
      <w:pPr>
        <w:spacing w:line="440" w:lineRule="exact"/>
        <w:ind w:left="420" w:left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4.2.1评审委员会审查</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文件，审核包括工程</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报价的校核，看其是否有计算或表达上的错误，</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报价有错误的，</w:t>
      </w:r>
      <w:r>
        <w:rPr>
          <w:rFonts w:hint="eastAsia" w:ascii="宋体" w:hAnsi="宋体" w:eastAsia="宋体" w:cs="宋体"/>
          <w:b w:val="0"/>
          <w:bCs w:val="0"/>
          <w:color w:val="auto"/>
          <w:sz w:val="21"/>
          <w:szCs w:val="21"/>
          <w:highlight w:val="none"/>
          <w:lang w:val="en-US" w:eastAsia="zh-CN"/>
        </w:rPr>
        <w:t>评标</w:t>
      </w:r>
      <w:r>
        <w:rPr>
          <w:rFonts w:hint="eastAsia" w:ascii="宋体" w:hAnsi="宋体" w:eastAsia="宋体" w:cs="宋体"/>
          <w:b w:val="0"/>
          <w:bCs w:val="0"/>
          <w:color w:val="auto"/>
          <w:sz w:val="21"/>
          <w:szCs w:val="21"/>
          <w:highlight w:val="none"/>
        </w:rPr>
        <w:t>委员会按以下原则对</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报价进行修正。</w:t>
      </w:r>
    </w:p>
    <w:p w14:paraId="7021F19E">
      <w:pPr>
        <w:numPr>
          <w:ilvl w:val="0"/>
          <w:numId w:val="2"/>
        </w:numPr>
        <w:spacing w:line="440" w:lineRule="exact"/>
        <w:ind w:left="420" w:left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文件中的大写金额与小写金额不一致的，以大写金额为准。</w:t>
      </w:r>
    </w:p>
    <w:p w14:paraId="34FB1270">
      <w:pPr>
        <w:numPr>
          <w:ilvl w:val="0"/>
          <w:numId w:val="2"/>
        </w:numPr>
        <w:spacing w:line="440" w:lineRule="exact"/>
        <w:ind w:left="420" w:left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（2）总价金额与依据单价计算出的结果不一致的，以单价金额为准修正总价，但单价金额小数点有明显错误的除外。</w:t>
      </w:r>
    </w:p>
    <w:p w14:paraId="160EFAD8">
      <w:pPr>
        <w:pStyle w:val="3"/>
        <w:spacing w:before="0" w:after="0" w:line="440" w:lineRule="exact"/>
        <w:ind w:firstLine="420" w:firstLineChars="200"/>
        <w:jc w:val="left"/>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rPr>
        <w:t>按上述修正错误的原则及方法调整或修正</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文件的投标报价，调整或修正的价格经</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书面确认后具有约束力。</w:t>
      </w:r>
      <w:r>
        <w:rPr>
          <w:rFonts w:hint="eastAsia" w:ascii="宋体" w:hAnsi="宋体" w:eastAsia="宋体" w:cs="宋体"/>
          <w:b w:val="0"/>
          <w:bCs w:val="0"/>
          <w:color w:val="auto"/>
          <w:sz w:val="21"/>
          <w:szCs w:val="21"/>
          <w:highlight w:val="none"/>
          <w:lang w:val="en-US" w:eastAsia="zh-CN"/>
        </w:rPr>
        <w:t>中标价</w:t>
      </w:r>
      <w:r>
        <w:rPr>
          <w:rFonts w:hint="eastAsia" w:ascii="宋体" w:hAnsi="宋体" w:eastAsia="宋体" w:cs="宋体"/>
          <w:b w:val="0"/>
          <w:bCs w:val="0"/>
          <w:color w:val="auto"/>
          <w:sz w:val="21"/>
          <w:szCs w:val="21"/>
          <w:highlight w:val="none"/>
        </w:rPr>
        <w:t>原则上以调整或修正后的价格为准，调整或修正后的价格与</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报价相比，价格低的为</w:t>
      </w:r>
      <w:r>
        <w:rPr>
          <w:rFonts w:hint="eastAsia" w:ascii="宋体" w:hAnsi="宋体" w:eastAsia="宋体" w:cs="宋体"/>
          <w:b w:val="0"/>
          <w:bCs w:val="0"/>
          <w:color w:val="auto"/>
          <w:sz w:val="21"/>
          <w:szCs w:val="21"/>
          <w:highlight w:val="none"/>
          <w:lang w:val="en-US" w:eastAsia="zh-CN"/>
        </w:rPr>
        <w:t>中标价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不接受的，其</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将被拒绝。</w:t>
      </w:r>
    </w:p>
    <w:p w14:paraId="0CF88F05">
      <w:pPr>
        <w:pStyle w:val="3"/>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10" w:name="_Toc3779"/>
      <w:bookmarkStart w:id="811" w:name="_Toc95223438"/>
      <w:bookmarkStart w:id="812" w:name="_Toc705"/>
      <w:r>
        <w:rPr>
          <w:rFonts w:hint="eastAsia" w:ascii="黑体" w:hAnsi="黑体" w:cs="黑体"/>
          <w:color w:val="auto"/>
          <w:sz w:val="21"/>
          <w:szCs w:val="21"/>
          <w:highlight w:val="none"/>
        </w:rPr>
        <w:t>5.无效投标条款</w:t>
      </w:r>
      <w:bookmarkEnd w:id="810"/>
      <w:bookmarkEnd w:id="811"/>
      <w:bookmarkEnd w:id="812"/>
    </w:p>
    <w:p w14:paraId="0898779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5.1投标人存在下列情形的招标人将拒收投标文件：</w:t>
      </w:r>
    </w:p>
    <w:p w14:paraId="1D79E09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未在投标截止时间前通过网上招标投标系统递交有效电子投标文件的，开标系统不予接收，投标将被拒绝。</w:t>
      </w:r>
    </w:p>
    <w:p w14:paraId="40E54BA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3265297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14:paraId="1B21089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5.2.1商务标评审</w:t>
      </w:r>
    </w:p>
    <w:p w14:paraId="1EF0605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26827EE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0049548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5.3其他无效投标情况：</w:t>
      </w:r>
    </w:p>
    <w:p w14:paraId="56358660">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6C763B86">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（2）按第四章“评标方法”第4.2.4项修正错误的原则及方法调整或修正投标文件的投标报价，调整或修正的价格经投标人书面确认后具有约束力。投标人不接受修正价格的，其投标将被拒绝。</w:t>
      </w:r>
    </w:p>
    <w:p w14:paraId="795B8003">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（3）第二章“投标人须知”第1.4.3项规定的任何一种情形的。</w:t>
      </w:r>
    </w:p>
    <w:p w14:paraId="50BB9C42">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（4）投标人有串通投标、视为串通投标、弄虚作假、行贿等违法行为。</w:t>
      </w:r>
    </w:p>
    <w:p w14:paraId="11172D75">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（5）投标文件没有对招标文件的实质性要求和条件作出响应。</w:t>
      </w:r>
    </w:p>
    <w:p w14:paraId="4A1B805A">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（6）未按规定的格式填写导致实质性内容不全以及实质上不响应，或者关键字迹模糊、无法辨认。</w:t>
      </w:r>
    </w:p>
    <w:p w14:paraId="78A3D830">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（7）同一投标人提交两个以上不同的投标文件或者投标报价，但招标文件规定提交备选投标的除外。</w:t>
      </w:r>
    </w:p>
    <w:p w14:paraId="2C29764E">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（8）投标文件中存在招标人不能接受的其他实质性条件。</w:t>
      </w:r>
    </w:p>
    <w:p w14:paraId="611D24D6">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（9）投标文件中填报的拟任项目经理与资格审查通过的项目经理前后不一致的。</w:t>
      </w:r>
    </w:p>
    <w:p w14:paraId="240DB084">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（10）投标人拒不按照要求对投标文件进行澄清、说明、补正的，或评标委员会根据招标文件的规定对招标文件的计算错误进行修正后，投标人不接受修正的投标报价的。</w:t>
      </w:r>
    </w:p>
    <w:p w14:paraId="18095591">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）投标人单方面出现其他投标人材料。</w:t>
      </w:r>
    </w:p>
    <w:p w14:paraId="12477C2E">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10568DAB">
      <w:pPr>
        <w:pStyle w:val="3"/>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13" w:name="_Toc95223439"/>
      <w:bookmarkStart w:id="814" w:name="_Toc27114"/>
      <w:bookmarkStart w:id="815" w:name="_Toc26242"/>
      <w:r>
        <w:rPr>
          <w:rFonts w:hint="eastAsia" w:ascii="黑体" w:hAnsi="黑体" w:cs="黑体"/>
          <w:color w:val="auto"/>
          <w:sz w:val="21"/>
          <w:szCs w:val="21"/>
          <w:highlight w:val="none"/>
        </w:rPr>
        <w:t>6.投标文件的澄清和补正</w:t>
      </w:r>
      <w:bookmarkEnd w:id="813"/>
      <w:bookmarkEnd w:id="814"/>
      <w:bookmarkEnd w:id="815"/>
    </w:p>
    <w:p w14:paraId="2D808CB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051E928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3A07DA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3B019AB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15CC605C">
      <w:pPr>
        <w:pStyle w:val="3"/>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16" w:name="_Toc95223440"/>
      <w:bookmarkStart w:id="817" w:name="_Toc29696"/>
      <w:bookmarkStart w:id="818" w:name="_Toc16562"/>
      <w:r>
        <w:rPr>
          <w:rFonts w:hint="eastAsia" w:ascii="黑体" w:hAnsi="黑体" w:cs="黑体"/>
          <w:color w:val="auto"/>
          <w:sz w:val="21"/>
          <w:szCs w:val="21"/>
          <w:highlight w:val="none"/>
        </w:rPr>
        <w:t>7.</w:t>
      </w:r>
      <w:bookmarkEnd w:id="816"/>
      <w:bookmarkEnd w:id="817"/>
      <w:bookmarkEnd w:id="818"/>
      <w:bookmarkStart w:id="819" w:name="_Toc23616"/>
      <w:bookmarkStart w:id="820" w:name="_Toc460"/>
      <w:bookmarkStart w:id="821" w:name="_Toc95223441"/>
      <w:r>
        <w:rPr>
          <w:rFonts w:hint="eastAsia" w:ascii="黑体" w:hAnsi="黑体" w:cs="黑体"/>
          <w:color w:val="auto"/>
          <w:sz w:val="21"/>
          <w:szCs w:val="21"/>
          <w:highlight w:val="none"/>
        </w:rPr>
        <w:t>评审结果</w:t>
      </w:r>
      <w:bookmarkEnd w:id="819"/>
      <w:bookmarkEnd w:id="820"/>
      <w:bookmarkEnd w:id="821"/>
    </w:p>
    <w:p w14:paraId="213CB84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.1除第二章“投标人须知”及其前附表授权直接确定中标人外，评标委员会按评审价从低到高的先后顺序推荐3名中标候选人。</w:t>
      </w:r>
    </w:p>
    <w:p w14:paraId="2140118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.2评标委员会完成评标后，应当向招标人提交书面评标报告。评标报告应当如实记载以下内容：（1）基本情况和数据表。</w:t>
      </w:r>
    </w:p>
    <w:p w14:paraId="144855B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14:paraId="0B39A0B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（3）开标记录。</w:t>
      </w:r>
    </w:p>
    <w:p w14:paraId="723407B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14:paraId="72E2554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14:paraId="26BCE29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0F0945D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14:paraId="3BE5A32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14:paraId="57344A7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6FF8AAC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14:paraId="5EDD3C0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5C3643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59448852">
      <w:pPr>
        <w:pStyle w:val="3"/>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22" w:name="_Toc95223442"/>
      <w:bookmarkStart w:id="823" w:name="_Toc13228"/>
      <w:bookmarkStart w:id="824" w:name="_Toc106"/>
      <w:r>
        <w:rPr>
          <w:rFonts w:hint="eastAsia" w:ascii="黑体" w:hAnsi="黑体" w:cs="黑体"/>
          <w:color w:val="auto"/>
          <w:sz w:val="21"/>
          <w:szCs w:val="21"/>
          <w:highlight w:val="none"/>
          <w:lang w:val="en-US" w:eastAsia="zh-CN"/>
        </w:rPr>
        <w:t>8</w:t>
      </w:r>
      <w:r>
        <w:rPr>
          <w:rFonts w:hint="eastAsia" w:ascii="黑体" w:hAnsi="黑体" w:cs="黑体"/>
          <w:color w:val="auto"/>
          <w:sz w:val="21"/>
          <w:szCs w:val="21"/>
          <w:highlight w:val="none"/>
        </w:rPr>
        <w:t>.其他</w:t>
      </w:r>
      <w:bookmarkEnd w:id="822"/>
      <w:bookmarkEnd w:id="823"/>
      <w:bookmarkEnd w:id="824"/>
    </w:p>
    <w:p w14:paraId="1D6305F2">
      <w:pPr>
        <w:kinsoku/>
        <w:overflowPunct/>
        <w:bidi w:val="0"/>
        <w:adjustRightInd w:val="0"/>
        <w:snapToGrid w:val="0"/>
        <w:spacing w:line="440" w:lineRule="exact"/>
        <w:ind w:firstLine="420" w:firstLineChars="200"/>
        <w:rPr>
          <w:rFonts w:hint="eastAsia"/>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p>
    <w:p w14:paraId="5C2E7AAA">
      <w:pPr>
        <w:rPr>
          <w:rFonts w:hint="eastAsia"/>
          <w:color w:val="auto"/>
          <w:highlight w:val="none"/>
        </w:rPr>
      </w:pPr>
      <w:r>
        <w:rPr>
          <w:rFonts w:hint="eastAsia"/>
          <w:color w:val="auto"/>
          <w:highlight w:val="none"/>
        </w:rPr>
        <w:br w:type="page"/>
      </w:r>
    </w:p>
    <w:p w14:paraId="2DDC929F">
      <w:pPr>
        <w:pStyle w:val="14"/>
        <w:rPr>
          <w:rFonts w:hint="eastAsia"/>
          <w:color w:val="auto"/>
          <w:highlight w:val="none"/>
        </w:rPr>
      </w:pPr>
    </w:p>
    <w:bookmarkEnd w:id="780"/>
    <w:bookmarkEnd w:id="781"/>
    <w:bookmarkEnd w:id="782"/>
    <w:bookmarkEnd w:id="783"/>
    <w:bookmarkEnd w:id="784"/>
    <w:p w14:paraId="226BC7FC">
      <w:pPr>
        <w:pStyle w:val="2"/>
        <w:spacing w:beforeLines="50" w:afterLines="50"/>
        <w:rPr>
          <w:rFonts w:hint="eastAsia" w:ascii="Arial" w:hAnsi="Arial" w:eastAsia="宋体" w:cs="Times New Roman"/>
          <w:color w:val="auto"/>
          <w:kern w:val="0"/>
          <w:sz w:val="32"/>
          <w:szCs w:val="32"/>
          <w:highlight w:val="none"/>
          <w:lang w:val="en-US" w:eastAsia="zh-CN"/>
        </w:rPr>
      </w:pPr>
      <w:bookmarkStart w:id="825" w:name="_Toc16721"/>
      <w:r>
        <w:rPr>
          <w:rFonts w:hint="eastAsia" w:ascii="Arial" w:hAnsi="Arial" w:eastAsia="宋体" w:cs="Times New Roman"/>
          <w:color w:val="auto"/>
          <w:kern w:val="0"/>
          <w:sz w:val="32"/>
          <w:szCs w:val="32"/>
          <w:highlight w:val="none"/>
          <w:lang w:val="en-US" w:eastAsia="zh-CN"/>
        </w:rPr>
        <w:t>第五章  合同条款及格式</w:t>
      </w:r>
      <w:bookmarkEnd w:id="825"/>
    </w:p>
    <w:p w14:paraId="4CE3F04B">
      <w:pPr>
        <w:spacing w:line="360" w:lineRule="auto"/>
        <w:jc w:val="center"/>
        <w:rPr>
          <w:rFonts w:ascii="仿宋_GB2312" w:eastAsia="仿宋_GB2312"/>
          <w:b/>
          <w:strike/>
          <w:dstrike w:val="0"/>
          <w:color w:val="auto"/>
          <w:sz w:val="28"/>
          <w:szCs w:val="28"/>
          <w:highlight w:val="none"/>
        </w:rPr>
      </w:pPr>
    </w:p>
    <w:p w14:paraId="70FAAB6F">
      <w:pPr>
        <w:pStyle w:val="2"/>
        <w:adjustRightInd w:val="0"/>
        <w:snapToGrid w:val="0"/>
        <w:spacing w:before="0" w:after="0"/>
        <w:jc w:val="center"/>
        <w:rPr>
          <w:rFonts w:hint="eastAsia"/>
          <w:strike/>
          <w:dstrike w:val="0"/>
          <w:color w:val="auto"/>
          <w:highlight w:val="none"/>
        </w:rPr>
      </w:pPr>
    </w:p>
    <w:p w14:paraId="5077C87B">
      <w:pPr>
        <w:spacing w:line="360" w:lineRule="auto"/>
        <w:jc w:val="center"/>
        <w:rPr>
          <w:rFonts w:eastAsia="华文中宋"/>
          <w:b/>
          <w:strike/>
          <w:dstrike w:val="0"/>
          <w:color w:val="auto"/>
          <w:sz w:val="52"/>
          <w:szCs w:val="52"/>
          <w:highlight w:val="none"/>
        </w:rPr>
      </w:pPr>
    </w:p>
    <w:p w14:paraId="5634ED3A">
      <w:pPr>
        <w:spacing w:line="360" w:lineRule="auto"/>
        <w:jc w:val="center"/>
        <w:rPr>
          <w:rFonts w:eastAsia="华文中宋"/>
          <w:b/>
          <w:strike/>
          <w:dstrike w:val="0"/>
          <w:color w:val="auto"/>
          <w:sz w:val="52"/>
          <w:szCs w:val="52"/>
          <w:highlight w:val="none"/>
        </w:rPr>
      </w:pPr>
    </w:p>
    <w:p w14:paraId="70FE69D3">
      <w:pPr>
        <w:spacing w:line="360" w:lineRule="auto"/>
        <w:jc w:val="center"/>
        <w:rPr>
          <w:rFonts w:eastAsia="华文中宋"/>
          <w:b/>
          <w:strike/>
          <w:dstrike w:val="0"/>
          <w:color w:val="auto"/>
          <w:sz w:val="52"/>
          <w:szCs w:val="52"/>
          <w:highlight w:val="none"/>
        </w:rPr>
      </w:pPr>
    </w:p>
    <w:p w14:paraId="5719C723">
      <w:pPr>
        <w:spacing w:line="360" w:lineRule="auto"/>
        <w:jc w:val="center"/>
        <w:rPr>
          <w:rFonts w:eastAsia="华文中宋"/>
          <w:b/>
          <w:strike/>
          <w:dstrike w:val="0"/>
          <w:color w:val="auto"/>
          <w:sz w:val="52"/>
          <w:szCs w:val="52"/>
          <w:highlight w:val="none"/>
        </w:rPr>
      </w:pPr>
    </w:p>
    <w:p w14:paraId="1EBE6547">
      <w:pPr>
        <w:spacing w:line="360" w:lineRule="auto"/>
        <w:jc w:val="center"/>
        <w:rPr>
          <w:rFonts w:eastAsia="华文中宋"/>
          <w:b/>
          <w:strike/>
          <w:dstrike w:val="0"/>
          <w:color w:val="auto"/>
          <w:sz w:val="52"/>
          <w:szCs w:val="52"/>
          <w:highlight w:val="none"/>
        </w:rPr>
      </w:pPr>
    </w:p>
    <w:p w14:paraId="5EDF2C70">
      <w:pPr>
        <w:spacing w:line="360" w:lineRule="auto"/>
        <w:jc w:val="center"/>
        <w:rPr>
          <w:rFonts w:eastAsia="华文中宋"/>
          <w:b/>
          <w:strike/>
          <w:dstrike w:val="0"/>
          <w:color w:val="auto"/>
          <w:sz w:val="52"/>
          <w:szCs w:val="52"/>
          <w:highlight w:val="none"/>
        </w:rPr>
      </w:pPr>
    </w:p>
    <w:p w14:paraId="769F5195">
      <w:pPr>
        <w:spacing w:line="360" w:lineRule="auto"/>
        <w:jc w:val="center"/>
        <w:rPr>
          <w:rFonts w:eastAsia="华文中宋"/>
          <w:b/>
          <w:strike/>
          <w:dstrike w:val="0"/>
          <w:color w:val="auto"/>
          <w:sz w:val="52"/>
          <w:szCs w:val="52"/>
          <w:highlight w:val="none"/>
        </w:rPr>
      </w:pPr>
    </w:p>
    <w:p w14:paraId="798EB1B6">
      <w:pPr>
        <w:spacing w:line="360" w:lineRule="auto"/>
        <w:jc w:val="center"/>
        <w:rPr>
          <w:rFonts w:eastAsia="华文中宋"/>
          <w:b/>
          <w:strike/>
          <w:dstrike w:val="0"/>
          <w:color w:val="auto"/>
          <w:sz w:val="52"/>
          <w:szCs w:val="52"/>
          <w:highlight w:val="none"/>
        </w:rPr>
      </w:pPr>
    </w:p>
    <w:p w14:paraId="76F8FA75">
      <w:pPr>
        <w:spacing w:line="360" w:lineRule="auto"/>
        <w:jc w:val="center"/>
        <w:rPr>
          <w:rFonts w:eastAsia="华文中宋"/>
          <w:b/>
          <w:strike/>
          <w:dstrike w:val="0"/>
          <w:color w:val="auto"/>
          <w:sz w:val="52"/>
          <w:szCs w:val="52"/>
          <w:highlight w:val="none"/>
        </w:rPr>
      </w:pPr>
    </w:p>
    <w:p w14:paraId="67447979">
      <w:pPr>
        <w:spacing w:line="360" w:lineRule="auto"/>
        <w:jc w:val="center"/>
        <w:rPr>
          <w:rFonts w:eastAsia="华文中宋"/>
          <w:b/>
          <w:strike/>
          <w:dstrike w:val="0"/>
          <w:color w:val="auto"/>
          <w:sz w:val="52"/>
          <w:szCs w:val="52"/>
          <w:highlight w:val="none"/>
        </w:rPr>
      </w:pPr>
    </w:p>
    <w:p w14:paraId="1AFEFD2E">
      <w:pPr>
        <w:spacing w:line="360" w:lineRule="auto"/>
        <w:jc w:val="center"/>
        <w:rPr>
          <w:rFonts w:eastAsia="华文中宋"/>
          <w:b/>
          <w:strike/>
          <w:dstrike w:val="0"/>
          <w:color w:val="auto"/>
          <w:sz w:val="52"/>
          <w:szCs w:val="52"/>
          <w:highlight w:val="none"/>
        </w:rPr>
      </w:pPr>
    </w:p>
    <w:p w14:paraId="5C1BD655">
      <w:pPr>
        <w:spacing w:line="360" w:lineRule="auto"/>
        <w:jc w:val="center"/>
        <w:rPr>
          <w:rFonts w:eastAsia="华文中宋"/>
          <w:b/>
          <w:strike/>
          <w:dstrike w:val="0"/>
          <w:color w:val="auto"/>
          <w:sz w:val="52"/>
          <w:szCs w:val="52"/>
          <w:highlight w:val="none"/>
        </w:rPr>
      </w:pPr>
    </w:p>
    <w:p w14:paraId="2B049B86">
      <w:pPr>
        <w:spacing w:line="360" w:lineRule="auto"/>
        <w:jc w:val="center"/>
        <w:rPr>
          <w:rFonts w:eastAsia="华文中宋"/>
          <w:b/>
          <w:strike/>
          <w:dstrike w:val="0"/>
          <w:color w:val="auto"/>
          <w:sz w:val="52"/>
          <w:szCs w:val="52"/>
          <w:highlight w:val="none"/>
        </w:rPr>
      </w:pPr>
    </w:p>
    <w:p w14:paraId="153443F2">
      <w:pPr>
        <w:spacing w:line="360" w:lineRule="auto"/>
        <w:rPr>
          <w:b/>
          <w:strike/>
          <w:dstrike w:val="0"/>
          <w:color w:val="auto"/>
          <w:sz w:val="28"/>
          <w:szCs w:val="28"/>
          <w:highlight w:val="none"/>
        </w:rPr>
      </w:pPr>
    </w:p>
    <w:p w14:paraId="136B1FD7">
      <w:pPr>
        <w:spacing w:line="360" w:lineRule="auto"/>
        <w:rPr>
          <w:b/>
          <w:strike/>
          <w:dstrike w:val="0"/>
          <w:color w:val="auto"/>
          <w:sz w:val="28"/>
          <w:szCs w:val="28"/>
          <w:highlight w:val="none"/>
        </w:rPr>
      </w:pPr>
      <w:r>
        <w:rPr>
          <w:strike/>
          <w:dstrike w:val="0"/>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875030</wp:posOffset>
                </wp:positionH>
                <wp:positionV relativeFrom="paragraph">
                  <wp:posOffset>339725</wp:posOffset>
                </wp:positionV>
                <wp:extent cx="3467735" cy="904240"/>
                <wp:effectExtent l="4445" t="4445" r="13970" b="5715"/>
                <wp:wrapNone/>
                <wp:docPr id="8" name="文本框 8"/>
                <wp:cNvGraphicFramePr/>
                <a:graphic xmlns:a="http://schemas.openxmlformats.org/drawingml/2006/main">
                  <a:graphicData uri="http://schemas.microsoft.com/office/word/2010/wordprocessingShape">
                    <wps:wsp>
                      <wps:cNvSpPr txBox="1"/>
                      <wps:spPr>
                        <a:xfrm>
                          <a:off x="0" y="0"/>
                          <a:ext cx="3467735" cy="904240"/>
                        </a:xfrm>
                        <a:prstGeom prst="rect">
                          <a:avLst/>
                        </a:prstGeom>
                        <a:noFill/>
                        <a:ln w="9525" cap="flat" cmpd="sng">
                          <a:solidFill>
                            <a:srgbClr val="FFFFFF"/>
                          </a:solidFill>
                          <a:prstDash val="solid"/>
                          <a:miter/>
                          <a:headEnd type="none" w="med" len="med"/>
                          <a:tailEnd type="none" w="med" len="med"/>
                        </a:ln>
                      </wps:spPr>
                      <wps:txbx>
                        <w:txbxContent>
                          <w:p w14:paraId="7A06B8DB">
                            <w:pPr>
                              <w:jc w:val="distribute"/>
                              <w:rPr>
                                <w:b/>
                                <w:bCs/>
                                <w:sz w:val="32"/>
                              </w:rPr>
                            </w:pPr>
                            <w:r>
                              <w:rPr>
                                <w:rFonts w:hint="eastAsia"/>
                                <w:b/>
                                <w:bCs/>
                                <w:sz w:val="32"/>
                              </w:rPr>
                              <w:t>中华人民共和国住房和城乡建设部</w:t>
                            </w:r>
                          </w:p>
                          <w:p w14:paraId="55AFEFBD">
                            <w:pPr>
                              <w:jc w:val="distribute"/>
                              <w:rPr>
                                <w:b/>
                                <w:bCs/>
                                <w:sz w:val="32"/>
                              </w:rPr>
                            </w:pPr>
                            <w:r>
                              <w:rPr>
                                <w:rFonts w:hint="eastAsia"/>
                                <w:b/>
                                <w:bCs/>
                                <w:sz w:val="32"/>
                              </w:rPr>
                              <w:t>国家市场监督管理总局</w:t>
                            </w:r>
                          </w:p>
                        </w:txbxContent>
                      </wps:txbx>
                      <wps:bodyPr upright="1"/>
                    </wps:wsp>
                  </a:graphicData>
                </a:graphic>
              </wp:anchor>
            </w:drawing>
          </mc:Choice>
          <mc:Fallback>
            <w:pict>
              <v:shape id="_x0000_s1026" o:spid="_x0000_s1026" o:spt="202" type="#_x0000_t202" style="position:absolute;left:0pt;margin-left:68.9pt;margin-top:26.75pt;height:71.2pt;width:273.05pt;z-index:251660288;mso-width-relative:page;mso-height-relative:page;" filled="f" stroked="t" coordsize="21600,21600" o:gfxdata="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Z9FA3ZAAAACgEAAA8AAAAAAAAAAQAgAAAAIgAA&#10;AGRycy9kb3ducmV2LnhtbFBLAQIUABQAAAAIAIdO4kBLsmAoBwIAAA0EAAAOAAAAAAAAAAEAIAAA&#10;ACgBAABkcnMvZTJvRG9jLnhtbFBLBQYAAAAABgAGAFkBAAChBQAAAAA=&#10;">
                <v:fill on="f" focussize="0,0"/>
                <v:stroke color="#FFFFFF" joinstyle="miter"/>
                <v:imagedata o:title=""/>
                <o:lock v:ext="edit" aspectratio="f"/>
                <v:textbox>
                  <w:txbxContent>
                    <w:p w14:paraId="7A06B8DB">
                      <w:pPr>
                        <w:jc w:val="distribute"/>
                        <w:rPr>
                          <w:b/>
                          <w:bCs/>
                          <w:sz w:val="32"/>
                        </w:rPr>
                      </w:pPr>
                      <w:r>
                        <w:rPr>
                          <w:rFonts w:hint="eastAsia"/>
                          <w:b/>
                          <w:bCs/>
                          <w:sz w:val="32"/>
                        </w:rPr>
                        <w:t>中华人民共和国住房和城乡建设部</w:t>
                      </w:r>
                    </w:p>
                    <w:p w14:paraId="55AFEFBD">
                      <w:pPr>
                        <w:jc w:val="distribute"/>
                        <w:rPr>
                          <w:b/>
                          <w:bCs/>
                          <w:sz w:val="32"/>
                        </w:rPr>
                      </w:pPr>
                      <w:r>
                        <w:rPr>
                          <w:rFonts w:hint="eastAsia"/>
                          <w:b/>
                          <w:bCs/>
                          <w:sz w:val="32"/>
                        </w:rPr>
                        <w:t>国家市场监督管理总局</w:t>
                      </w:r>
                    </w:p>
                  </w:txbxContent>
                </v:textbox>
              </v:shape>
            </w:pict>
          </mc:Fallback>
        </mc:AlternateContent>
      </w:r>
    </w:p>
    <w:p w14:paraId="04397CEE">
      <w:pPr>
        <w:spacing w:line="360" w:lineRule="auto"/>
        <w:ind w:right="2719" w:rightChars="1295" w:firstLine="2738" w:firstLineChars="1304"/>
        <w:jc w:val="distribute"/>
        <w:rPr>
          <w:b/>
          <w:strike/>
          <w:dstrike w:val="0"/>
          <w:color w:val="auto"/>
          <w:sz w:val="32"/>
          <w:szCs w:val="28"/>
          <w:highlight w:val="none"/>
        </w:rPr>
      </w:pPr>
      <w:r>
        <w:rPr>
          <w:strike/>
          <w:dstrike w:val="0"/>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4360545</wp:posOffset>
                </wp:positionH>
                <wp:positionV relativeFrom="paragraph">
                  <wp:posOffset>129540</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6A91E27C">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43.35pt;margin-top:10.2pt;height:36pt;width:57pt;z-index:251659264;mso-width-relative:page;mso-height-relative:page;" filled="f" stroked="t" coordsize="21600,21600" o:gfxdata="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ObKWY4pl4u&#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ELz4dgAAAAJAQAADwAAAAAAAAABACAAAAAiAAAAZHJz&#10;L2Rvd25yZXYueG1sUEsBAhQAFAAAAAgAh07iQLn1a2MEAgAADAQAAA4AAAAAAAAAAQAgAAAAJwEA&#10;AGRycy9lMm9Eb2MueG1sUEsFBgAAAAAGAAYAWQEAAJ0FAAAAAA==&#10;">
                <v:fill on="f" focussize="0,0"/>
                <v:stroke color="#FFFFFF" joinstyle="miter"/>
                <v:imagedata o:title=""/>
                <o:lock v:ext="edit" aspectratio="f"/>
                <v:textbox>
                  <w:txbxContent>
                    <w:p w14:paraId="6A91E27C">
                      <w:pPr>
                        <w:rPr>
                          <w:b/>
                          <w:bCs/>
                          <w:sz w:val="32"/>
                        </w:rPr>
                      </w:pPr>
                      <w:r>
                        <w:rPr>
                          <w:rFonts w:hint="eastAsia"/>
                          <w:b/>
                          <w:bCs/>
                          <w:sz w:val="32"/>
                        </w:rPr>
                        <w:t>制定</w:t>
                      </w:r>
                    </w:p>
                  </w:txbxContent>
                </v:textbox>
              </v:shape>
            </w:pict>
          </mc:Fallback>
        </mc:AlternateContent>
      </w:r>
    </w:p>
    <w:p w14:paraId="44F5BBFD">
      <w:pPr>
        <w:snapToGrid w:val="0"/>
        <w:jc w:val="center"/>
        <w:rPr>
          <w:rFonts w:ascii="华文中宋" w:hAnsi="华文中宋" w:eastAsia="华文中宋"/>
          <w:b/>
          <w:strike/>
          <w:dstrike w:val="0"/>
          <w:color w:val="auto"/>
          <w:sz w:val="44"/>
          <w:szCs w:val="44"/>
          <w:highlight w:val="none"/>
        </w:rPr>
        <w:sectPr>
          <w:headerReference r:id="rId8" w:type="first"/>
          <w:footerReference r:id="rId11" w:type="first"/>
          <w:headerReference r:id="rId6" w:type="default"/>
          <w:footerReference r:id="rId9" w:type="default"/>
          <w:headerReference r:id="rId7" w:type="even"/>
          <w:footerReference r:id="rId10" w:type="even"/>
          <w:pgSz w:w="11905" w:h="16838"/>
          <w:pgMar w:top="1417" w:right="1417" w:bottom="1417" w:left="1417" w:header="850" w:footer="1417" w:gutter="0"/>
          <w:pgNumType w:fmt="decimal"/>
          <w:cols w:space="720" w:num="1"/>
          <w:rtlGutter w:val="0"/>
          <w:docGrid w:type="lines" w:linePitch="318" w:charSpace="0"/>
        </w:sectPr>
      </w:pPr>
      <w:bookmarkStart w:id="826" w:name="_Toc296503025"/>
      <w:bookmarkStart w:id="827" w:name="_Toc296890982"/>
    </w:p>
    <w:bookmarkEnd w:id="826"/>
    <w:bookmarkEnd w:id="827"/>
    <w:p w14:paraId="17B4BE7E">
      <w:pPr>
        <w:pStyle w:val="4"/>
        <w:jc w:val="center"/>
        <w:rPr>
          <w:rFonts w:hint="eastAsia" w:ascii="黑体" w:eastAsia="黑体" w:cs="黑体"/>
          <w:color w:val="auto"/>
          <w:highlight w:val="none"/>
          <w:lang w:val="en-US" w:eastAsia="zh-CN"/>
        </w:rPr>
      </w:pPr>
      <w:r>
        <w:rPr>
          <w:rFonts w:hint="eastAsia" w:ascii="黑体" w:eastAsia="黑体" w:cs="黑体"/>
          <w:color w:val="auto"/>
          <w:highlight w:val="none"/>
        </w:rPr>
        <w:t>第一节 合同协议书</w:t>
      </w:r>
    </w:p>
    <w:p w14:paraId="781BB5F2">
      <w:pPr>
        <w:spacing w:line="440" w:lineRule="exact"/>
        <w:ind w:firstLine="420"/>
        <w:jc w:val="center"/>
        <w:rPr>
          <w:rFonts w:hint="eastAsia" w:ascii="宋体" w:hAnsi="宋体" w:eastAsia="宋体" w:cs="宋体"/>
          <w:color w:val="auto"/>
          <w:sz w:val="36"/>
          <w:szCs w:val="36"/>
          <w:highlight w:val="none"/>
          <w:shd w:val="clear" w:color="auto" w:fill="auto"/>
        </w:rPr>
      </w:pPr>
    </w:p>
    <w:p w14:paraId="7E9F99F2">
      <w:pPr>
        <w:spacing w:line="440" w:lineRule="exact"/>
        <w:ind w:firstLine="42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（发包人名称，以下简称“发包人”）为实施</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（项目名称），已接受</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（承包人名称，以下简称“承包人”）对该项目施工的投标。发包人和承包人共同达成如下协议。</w:t>
      </w:r>
    </w:p>
    <w:p w14:paraId="4316DD2B">
      <w:pPr>
        <w:numPr>
          <w:ilvl w:val="0"/>
          <w:numId w:val="0"/>
        </w:numPr>
        <w:shd w:val="clear" w:color="auto" w:fill="FFFF0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1、</w:t>
      </w:r>
      <w:r>
        <w:rPr>
          <w:rFonts w:hint="eastAsia" w:ascii="宋体" w:hAnsi="宋体" w:eastAsia="宋体" w:cs="宋体"/>
          <w:color w:val="auto"/>
          <w:szCs w:val="21"/>
          <w:highlight w:val="none"/>
          <w:shd w:val="clear" w:color="auto" w:fill="auto"/>
        </w:rPr>
        <w:t>项目概况及合同范围</w:t>
      </w:r>
    </w:p>
    <w:p w14:paraId="1D90B9AC">
      <w:pPr>
        <w:pageBreakBefore w:val="0"/>
        <w:widowControl w:val="0"/>
        <w:kinsoku/>
        <w:wordWrap/>
        <w:overflowPunct/>
        <w:topLinePunct w:val="0"/>
        <w:bidi w:val="0"/>
        <w:spacing w:line="500" w:lineRule="exact"/>
        <w:ind w:firstLine="420" w:firstLineChars="200"/>
        <w:textAlignment w:val="auto"/>
        <w:rPr>
          <w:rFonts w:hint="eastAsia" w:ascii="宋体" w:eastAsia="宋体" w:cs="宋体"/>
          <w:color w:val="auto"/>
          <w:szCs w:val="21"/>
          <w:highlight w:val="none"/>
          <w:u w:val="single"/>
        </w:rPr>
      </w:pPr>
      <w:r>
        <w:rPr>
          <w:rFonts w:hint="eastAsia" w:ascii="宋体" w:eastAsia="宋体" w:cs="宋体"/>
          <w:bCs/>
          <w:color w:val="auto"/>
          <w:szCs w:val="21"/>
          <w:highlight w:val="none"/>
          <w:lang w:eastAsia="zh-CN"/>
        </w:rPr>
        <w:t>（</w:t>
      </w:r>
      <w:r>
        <w:rPr>
          <w:rFonts w:hint="eastAsia" w:ascii="宋体" w:eastAsia="宋体" w:cs="宋体"/>
          <w:bCs/>
          <w:color w:val="auto"/>
          <w:szCs w:val="21"/>
          <w:highlight w:val="none"/>
          <w:lang w:val="en-US" w:eastAsia="zh-CN"/>
        </w:rPr>
        <w:t>1</w:t>
      </w:r>
      <w:r>
        <w:rPr>
          <w:rFonts w:hint="eastAsia" w:ascii="宋体" w:eastAsia="宋体" w:cs="宋体"/>
          <w:bCs/>
          <w:color w:val="auto"/>
          <w:szCs w:val="21"/>
          <w:highlight w:val="none"/>
          <w:lang w:eastAsia="zh-CN"/>
        </w:rPr>
        <w:t>）</w:t>
      </w:r>
      <w:r>
        <w:rPr>
          <w:rFonts w:hint="eastAsia" w:ascii="宋体" w:eastAsia="宋体" w:cs="宋体"/>
          <w:bCs/>
          <w:color w:val="auto"/>
          <w:szCs w:val="21"/>
          <w:highlight w:val="none"/>
        </w:rPr>
        <w:t>工程名称</w:t>
      </w:r>
      <w:r>
        <w:rPr>
          <w:rFonts w:hint="eastAsia" w:ascii="宋体" w:eastAsia="宋体" w:cs="宋体"/>
          <w:color w:val="auto"/>
          <w:szCs w:val="21"/>
          <w:highlight w:val="none"/>
        </w:rPr>
        <w:t>：</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u w:val="single"/>
          <w:lang w:eastAsia="zh-CN"/>
        </w:rPr>
        <w:t xml:space="preserve">滁宁公司院内绿化提升工程 </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14:paraId="15C0C276">
      <w:pPr>
        <w:pageBreakBefore w:val="0"/>
        <w:widowControl w:val="0"/>
        <w:kinsoku/>
        <w:wordWrap/>
        <w:overflowPunct/>
        <w:topLinePunct w:val="0"/>
        <w:bidi w:val="0"/>
        <w:spacing w:line="500" w:lineRule="exact"/>
        <w:ind w:firstLine="420" w:firstLineChars="200"/>
        <w:textAlignment w:val="auto"/>
        <w:rPr>
          <w:rFonts w:hint="eastAsia" w:ascii="宋体" w:eastAsia="宋体" w:cs="宋体"/>
          <w:bCs/>
          <w:color w:val="auto"/>
          <w:szCs w:val="21"/>
          <w:highlight w:val="none"/>
        </w:rPr>
      </w:pPr>
      <w:r>
        <w:rPr>
          <w:rFonts w:hint="eastAsia" w:ascii="宋体" w:eastAsia="宋体" w:cs="宋体"/>
          <w:bCs/>
          <w:color w:val="auto"/>
          <w:szCs w:val="21"/>
          <w:highlight w:val="none"/>
          <w:lang w:eastAsia="zh-CN"/>
        </w:rPr>
        <w:t>（</w:t>
      </w:r>
      <w:r>
        <w:rPr>
          <w:rFonts w:hint="eastAsia" w:ascii="宋体" w:eastAsia="宋体" w:cs="宋体"/>
          <w:bCs/>
          <w:color w:val="auto"/>
          <w:szCs w:val="21"/>
          <w:highlight w:val="none"/>
          <w:lang w:val="en-US" w:eastAsia="zh-CN"/>
        </w:rPr>
        <w:t>2</w:t>
      </w:r>
      <w:r>
        <w:rPr>
          <w:rFonts w:hint="eastAsia" w:ascii="宋体" w:eastAsia="宋体" w:cs="宋体"/>
          <w:bCs/>
          <w:color w:val="auto"/>
          <w:szCs w:val="21"/>
          <w:highlight w:val="none"/>
          <w:lang w:eastAsia="zh-CN"/>
        </w:rPr>
        <w:t>）</w:t>
      </w:r>
      <w:r>
        <w:rPr>
          <w:rFonts w:hint="eastAsia" w:ascii="宋体" w:eastAsia="宋体" w:cs="宋体"/>
          <w:bCs/>
          <w:color w:val="auto"/>
          <w:szCs w:val="21"/>
          <w:highlight w:val="none"/>
        </w:rPr>
        <w:t>工程地点：</w:t>
      </w:r>
      <w:r>
        <w:rPr>
          <w:rFonts w:hint="eastAsia" w:ascii="宋体" w:eastAsia="宋体" w:cs="宋体"/>
          <w:color w:val="auto"/>
          <w:szCs w:val="21"/>
          <w:highlight w:val="none"/>
          <w:u w:val="single"/>
          <w:lang w:val="en-US" w:eastAsia="zh-CN"/>
        </w:rPr>
        <w:t xml:space="preserve">  </w:t>
      </w:r>
      <w:r>
        <w:rPr>
          <w:rFonts w:hint="eastAsia" w:ascii="宋体" w:hAnsi="Times New Roman" w:eastAsia="宋体" w:cs="宋体"/>
          <w:color w:val="auto"/>
          <w:szCs w:val="21"/>
          <w:highlight w:val="none"/>
          <w:u w:val="single"/>
          <w:lang w:val="en-US" w:eastAsia="zh-CN"/>
        </w:rPr>
        <w:t>招标人指定地点</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14:paraId="0ACB74D9">
      <w:pPr>
        <w:pageBreakBefore w:val="0"/>
        <w:widowControl w:val="0"/>
        <w:kinsoku/>
        <w:wordWrap/>
        <w:overflowPunct/>
        <w:topLinePunct w:val="0"/>
        <w:bidi w:val="0"/>
        <w:spacing w:line="500" w:lineRule="exact"/>
        <w:ind w:firstLine="420" w:firstLineChars="200"/>
        <w:textAlignment w:val="auto"/>
        <w:rPr>
          <w:rFonts w:hint="eastAsia" w:ascii="宋体" w:eastAsia="宋体" w:cs="宋体"/>
          <w:bCs/>
          <w:color w:val="auto"/>
          <w:szCs w:val="21"/>
          <w:highlight w:val="none"/>
        </w:rPr>
      </w:pPr>
      <w:r>
        <w:rPr>
          <w:rFonts w:hint="eastAsia" w:ascii="宋体" w:eastAsia="宋体" w:cs="宋体"/>
          <w:bCs/>
          <w:color w:val="auto"/>
          <w:szCs w:val="21"/>
          <w:highlight w:val="none"/>
          <w:lang w:eastAsia="zh-CN"/>
        </w:rPr>
        <w:t>（</w:t>
      </w:r>
      <w:r>
        <w:rPr>
          <w:rFonts w:hint="eastAsia" w:ascii="宋体" w:eastAsia="宋体" w:cs="宋体"/>
          <w:bCs/>
          <w:color w:val="auto"/>
          <w:szCs w:val="21"/>
          <w:highlight w:val="none"/>
          <w:lang w:val="en-US" w:eastAsia="zh-CN"/>
        </w:rPr>
        <w:t>3</w:t>
      </w:r>
      <w:r>
        <w:rPr>
          <w:rFonts w:hint="eastAsia" w:ascii="宋体" w:eastAsia="宋体" w:cs="宋体"/>
          <w:bCs/>
          <w:color w:val="auto"/>
          <w:szCs w:val="21"/>
          <w:highlight w:val="none"/>
          <w:lang w:eastAsia="zh-CN"/>
        </w:rPr>
        <w:t>）</w:t>
      </w:r>
      <w:r>
        <w:rPr>
          <w:rFonts w:hint="eastAsia" w:ascii="宋体" w:eastAsia="宋体" w:cs="宋体"/>
          <w:bCs/>
          <w:color w:val="auto"/>
          <w:szCs w:val="21"/>
          <w:highlight w:val="none"/>
        </w:rPr>
        <w:t>工程立项批准文号：</w:t>
      </w:r>
      <w:r>
        <w:rPr>
          <w:rFonts w:hint="eastAsia" w:ascii="宋体" w:eastAsia="宋体" w:cs="宋体"/>
          <w:bCs/>
          <w:color w:val="auto"/>
          <w:szCs w:val="21"/>
          <w:highlight w:val="none"/>
          <w:u w:val="single"/>
          <w:lang w:val="en-US" w:eastAsia="zh-CN"/>
        </w:rPr>
        <w:t xml:space="preserve">  /  </w:t>
      </w:r>
      <w:r>
        <w:rPr>
          <w:rFonts w:hint="eastAsia" w:ascii="宋体" w:eastAsia="宋体" w:cs="宋体"/>
          <w:bCs/>
          <w:color w:val="auto"/>
          <w:szCs w:val="21"/>
          <w:highlight w:val="none"/>
        </w:rPr>
        <w:t>。</w:t>
      </w:r>
    </w:p>
    <w:p w14:paraId="6A2EBFA8">
      <w:pPr>
        <w:pageBreakBefore w:val="0"/>
        <w:widowControl w:val="0"/>
        <w:kinsoku/>
        <w:wordWrap/>
        <w:overflowPunct/>
        <w:topLinePunct w:val="0"/>
        <w:bidi w:val="0"/>
        <w:spacing w:line="500" w:lineRule="exact"/>
        <w:ind w:firstLine="420" w:firstLineChars="200"/>
        <w:textAlignment w:val="auto"/>
        <w:rPr>
          <w:rFonts w:hint="eastAsia" w:ascii="宋体" w:eastAsia="宋体" w:cs="宋体"/>
          <w:bCs/>
          <w:color w:val="auto"/>
          <w:szCs w:val="21"/>
          <w:highlight w:val="none"/>
        </w:rPr>
      </w:pPr>
      <w:r>
        <w:rPr>
          <w:rFonts w:hint="eastAsia" w:ascii="宋体" w:eastAsia="宋体" w:cs="宋体"/>
          <w:bCs/>
          <w:color w:val="auto"/>
          <w:szCs w:val="21"/>
          <w:highlight w:val="none"/>
          <w:lang w:eastAsia="zh-CN"/>
        </w:rPr>
        <w:t>（</w:t>
      </w:r>
      <w:r>
        <w:rPr>
          <w:rFonts w:hint="eastAsia" w:ascii="宋体" w:eastAsia="宋体" w:cs="宋体"/>
          <w:bCs/>
          <w:color w:val="auto"/>
          <w:szCs w:val="21"/>
          <w:highlight w:val="none"/>
          <w:lang w:val="en-US" w:eastAsia="zh-CN"/>
        </w:rPr>
        <w:t>4</w:t>
      </w:r>
      <w:r>
        <w:rPr>
          <w:rFonts w:hint="eastAsia" w:ascii="宋体" w:eastAsia="宋体" w:cs="宋体"/>
          <w:bCs/>
          <w:color w:val="auto"/>
          <w:szCs w:val="21"/>
          <w:highlight w:val="none"/>
          <w:lang w:eastAsia="zh-CN"/>
        </w:rPr>
        <w:t>）</w:t>
      </w:r>
      <w:r>
        <w:rPr>
          <w:rFonts w:hint="eastAsia" w:ascii="宋体" w:eastAsia="宋体" w:cs="宋体"/>
          <w:bCs/>
          <w:color w:val="auto"/>
          <w:szCs w:val="21"/>
          <w:highlight w:val="none"/>
        </w:rPr>
        <w:t>资金来源：</w:t>
      </w:r>
      <w:r>
        <w:rPr>
          <w:rFonts w:hint="eastAsia" w:ascii="宋体" w:eastAsia="宋体" w:cs="宋体"/>
          <w:bCs/>
          <w:color w:val="auto"/>
          <w:szCs w:val="21"/>
          <w:highlight w:val="none"/>
          <w:u w:val="single"/>
        </w:rPr>
        <w:t xml:space="preserve">     </w:t>
      </w:r>
      <w:r>
        <w:rPr>
          <w:rFonts w:hint="eastAsia" w:ascii="宋体" w:eastAsia="宋体" w:cs="宋体"/>
          <w:bCs/>
          <w:color w:val="auto"/>
          <w:szCs w:val="21"/>
          <w:highlight w:val="none"/>
          <w:u w:val="single"/>
          <w:lang w:val="en-US" w:eastAsia="zh-CN"/>
        </w:rPr>
        <w:t>自筹资金</w:t>
      </w:r>
      <w:r>
        <w:rPr>
          <w:rFonts w:hint="eastAsia" w:ascii="宋体" w:eastAsia="宋体" w:cs="宋体"/>
          <w:color w:val="auto"/>
          <w:szCs w:val="21"/>
          <w:highlight w:val="none"/>
          <w:u w:val="single"/>
        </w:rPr>
        <w:t xml:space="preserve">  </w:t>
      </w:r>
      <w:r>
        <w:rPr>
          <w:rFonts w:hint="eastAsia" w:ascii="宋体" w:eastAsia="宋体" w:cs="宋体"/>
          <w:bCs/>
          <w:color w:val="auto"/>
          <w:szCs w:val="21"/>
          <w:highlight w:val="none"/>
        </w:rPr>
        <w:t>。</w:t>
      </w:r>
    </w:p>
    <w:p w14:paraId="2260BAC5">
      <w:pPr>
        <w:pageBreakBefore w:val="0"/>
        <w:widowControl w:val="0"/>
        <w:kinsoku/>
        <w:wordWrap/>
        <w:overflowPunct/>
        <w:topLinePunct w:val="0"/>
        <w:bidi w:val="0"/>
        <w:spacing w:line="500" w:lineRule="exact"/>
        <w:ind w:firstLine="420" w:firstLineChars="200"/>
        <w:textAlignment w:val="auto"/>
        <w:rPr>
          <w:rFonts w:hint="eastAsia" w:ascii="宋体" w:eastAsia="宋体" w:cs="宋体"/>
          <w:color w:val="auto"/>
          <w:szCs w:val="21"/>
          <w:highlight w:val="none"/>
        </w:rPr>
      </w:pPr>
      <w:r>
        <w:rPr>
          <w:rFonts w:hint="eastAsia" w:ascii="宋体" w:eastAsia="宋体" w:cs="宋体"/>
          <w:bCs/>
          <w:color w:val="auto"/>
          <w:szCs w:val="21"/>
          <w:highlight w:val="none"/>
          <w:lang w:eastAsia="zh-CN"/>
        </w:rPr>
        <w:t>（</w:t>
      </w:r>
      <w:r>
        <w:rPr>
          <w:rFonts w:hint="eastAsia" w:ascii="宋体" w:eastAsia="宋体" w:cs="宋体"/>
          <w:bCs/>
          <w:color w:val="auto"/>
          <w:szCs w:val="21"/>
          <w:highlight w:val="none"/>
          <w:lang w:val="en-US" w:eastAsia="zh-CN"/>
        </w:rPr>
        <w:t>5</w:t>
      </w:r>
      <w:r>
        <w:rPr>
          <w:rFonts w:hint="eastAsia" w:ascii="宋体" w:eastAsia="宋体" w:cs="宋体"/>
          <w:bCs/>
          <w:color w:val="auto"/>
          <w:szCs w:val="21"/>
          <w:highlight w:val="none"/>
          <w:lang w:eastAsia="zh-CN"/>
        </w:rPr>
        <w:t>）</w:t>
      </w:r>
      <w:r>
        <w:rPr>
          <w:rFonts w:hint="eastAsia" w:ascii="宋体" w:eastAsia="宋体" w:cs="宋体"/>
          <w:bCs/>
          <w:color w:val="auto"/>
          <w:szCs w:val="21"/>
          <w:highlight w:val="none"/>
        </w:rPr>
        <w:t>工程承包范围：</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u w:val="single"/>
          <w:lang w:val="en-US" w:eastAsia="zh-CN"/>
        </w:rPr>
        <w:t>滁宁公司院内约14142m2草坪更换</w:t>
      </w:r>
      <w:r>
        <w:rPr>
          <w:rFonts w:hint="eastAsia" w:ascii="宋体" w:eastAsia="宋体" w:cs="宋体"/>
          <w:color w:val="auto"/>
          <w:szCs w:val="21"/>
          <w:highlight w:val="none"/>
          <w:u w:val="single"/>
        </w:rPr>
        <w:t></w:t>
      </w:r>
      <w:r>
        <w:rPr>
          <w:rFonts w:hint="eastAsia" w:ascii="宋体" w:eastAsia="宋体" w:cs="宋体"/>
          <w:color w:val="auto"/>
          <w:szCs w:val="21"/>
          <w:highlight w:val="none"/>
        </w:rPr>
        <w:t>。</w:t>
      </w:r>
    </w:p>
    <w:p w14:paraId="774F5DED">
      <w:pPr>
        <w:widowControl/>
        <w:numPr>
          <w:ilvl w:val="0"/>
          <w:numId w:val="0"/>
        </w:numPr>
        <w:shd w:val="clear" w:color="auto" w:fill="auto"/>
        <w:spacing w:line="440" w:lineRule="exact"/>
        <w:ind w:firstLine="420" w:firstLineChars="200"/>
        <w:jc w:val="left"/>
        <w:rPr>
          <w:rFonts w:hint="eastAsia" w:ascii="宋体" w:hAnsi="宋体" w:cs="宋体"/>
          <w:color w:val="auto"/>
          <w:kern w:val="0"/>
          <w:szCs w:val="21"/>
          <w:highlight w:val="none"/>
          <w:u w:val="none"/>
          <w:shd w:val="clear" w:color="auto" w:fill="auto"/>
        </w:rPr>
      </w:pPr>
      <w:r>
        <w:rPr>
          <w:rFonts w:hint="eastAsia" w:ascii="宋体" w:hAnsi="宋体" w:cs="宋体"/>
          <w:color w:val="auto"/>
          <w:kern w:val="0"/>
          <w:szCs w:val="21"/>
          <w:highlight w:val="none"/>
          <w:shd w:val="clear" w:color="auto" w:fill="auto"/>
          <w:lang w:val="en-US" w:eastAsia="zh-CN"/>
        </w:rPr>
        <w:t>2、</w:t>
      </w:r>
      <w:r>
        <w:rPr>
          <w:rFonts w:hint="eastAsia" w:ascii="宋体" w:cs="宋体"/>
          <w:bCs/>
          <w:color w:val="auto"/>
          <w:szCs w:val="21"/>
          <w:highlight w:val="none"/>
        </w:rPr>
        <w:t>工程内容：</w:t>
      </w:r>
      <w:r>
        <w:rPr>
          <w:rFonts w:hint="eastAsia" w:ascii="宋体" w:cs="宋体"/>
          <w:color w:val="auto"/>
          <w:szCs w:val="21"/>
          <w:highlight w:val="none"/>
          <w:u w:val="none"/>
          <w:lang w:val="en-US" w:eastAsia="zh-CN"/>
        </w:rPr>
        <w:t>滁宁公司院内约14142㎡草坪更换</w:t>
      </w:r>
      <w:r>
        <w:rPr>
          <w:rFonts w:hint="eastAsia" w:ascii="宋体" w:cs="宋体"/>
          <w:color w:val="auto"/>
          <w:szCs w:val="21"/>
          <w:highlight w:val="none"/>
          <w:u w:val="none"/>
          <w:lang w:eastAsia="zh-CN"/>
        </w:rPr>
        <w:t>（</w:t>
      </w:r>
      <w:r>
        <w:rPr>
          <w:rFonts w:hint="eastAsia" w:ascii="宋体" w:cs="宋体"/>
          <w:color w:val="auto"/>
          <w:szCs w:val="21"/>
          <w:highlight w:val="none"/>
          <w:u w:val="none"/>
          <w:lang w:val="en-US" w:eastAsia="zh-CN"/>
        </w:rPr>
        <w:t>包括整理用地、换填营养土、重铺草坪）</w:t>
      </w:r>
      <w:r>
        <w:rPr>
          <w:rFonts w:hint="eastAsia" w:ascii="宋体" w:cs="宋体"/>
          <w:bCs/>
          <w:color w:val="auto"/>
          <w:szCs w:val="21"/>
          <w:highlight w:val="none"/>
          <w:u w:val="none"/>
        </w:rPr>
        <w:t>。</w:t>
      </w:r>
    </w:p>
    <w:p w14:paraId="1C9AA65B">
      <w:pPr>
        <w:numPr>
          <w:ilvl w:val="0"/>
          <w:numId w:val="0"/>
        </w:numPr>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下列文件应视为构成合同文件的组成部分：</w:t>
      </w:r>
    </w:p>
    <w:p w14:paraId="22B5BDA1">
      <w:pPr>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（1）本协议书及各种合同附件（含评标期间和合同谈判过程中的澄清文件和补充资料）；</w:t>
      </w:r>
    </w:p>
    <w:p w14:paraId="561318CC">
      <w:pPr>
        <w:pageBreakBefore w:val="0"/>
        <w:widowControl w:val="0"/>
        <w:kinsoku/>
        <w:wordWrap/>
        <w:overflowPunct/>
        <w:topLinePunct w:val="0"/>
        <w:autoSpaceDE w:val="0"/>
        <w:autoSpaceDN w:val="0"/>
        <w:bidi w:val="0"/>
        <w:adjustRightInd w:val="0"/>
        <w:spacing w:line="500" w:lineRule="exact"/>
        <w:ind w:firstLine="420" w:firstLineChars="200"/>
        <w:jc w:val="left"/>
        <w:textAlignment w:val="auto"/>
        <w:rPr>
          <w:rFonts w:hint="eastAsia" w:ascii="宋体" w:eastAsia="宋体" w:cs="宋体"/>
          <w:color w:val="auto"/>
          <w:szCs w:val="21"/>
          <w:highlight w:val="none"/>
        </w:rPr>
      </w:pPr>
      <w:r>
        <w:rPr>
          <w:rFonts w:hint="eastAsia" w:ascii="宋体" w:eastAsia="宋体" w:cs="宋体"/>
          <w:color w:val="auto"/>
          <w:szCs w:val="21"/>
          <w:highlight w:val="none"/>
        </w:rPr>
        <w:t>（</w:t>
      </w:r>
      <w:r>
        <w:rPr>
          <w:rFonts w:hint="eastAsia" w:ascii="宋体" w:eastAsia="宋体" w:cs="宋体"/>
          <w:color w:val="auto"/>
          <w:szCs w:val="21"/>
          <w:highlight w:val="none"/>
          <w:lang w:val="en-US" w:eastAsia="zh-CN"/>
        </w:rPr>
        <w:t>2</w:t>
      </w:r>
      <w:r>
        <w:rPr>
          <w:rFonts w:hint="eastAsia" w:ascii="宋体" w:eastAsia="宋体" w:cs="宋体"/>
          <w:color w:val="auto"/>
          <w:szCs w:val="21"/>
          <w:highlight w:val="none"/>
        </w:rPr>
        <w:t>）中标通知书（如果有）；</w:t>
      </w:r>
    </w:p>
    <w:p w14:paraId="0D1515CD">
      <w:pPr>
        <w:pageBreakBefore w:val="0"/>
        <w:widowControl w:val="0"/>
        <w:kinsoku/>
        <w:wordWrap/>
        <w:overflowPunct/>
        <w:topLinePunct w:val="0"/>
        <w:autoSpaceDE w:val="0"/>
        <w:autoSpaceDN w:val="0"/>
        <w:bidi w:val="0"/>
        <w:adjustRightInd w:val="0"/>
        <w:spacing w:line="500" w:lineRule="exact"/>
        <w:ind w:firstLine="420" w:firstLineChars="200"/>
        <w:jc w:val="left"/>
        <w:textAlignment w:val="auto"/>
        <w:rPr>
          <w:rFonts w:hint="eastAsia" w:ascii="宋体" w:eastAsia="宋体" w:cs="宋体"/>
          <w:color w:val="auto"/>
          <w:szCs w:val="21"/>
          <w:highlight w:val="none"/>
        </w:rPr>
      </w:pPr>
      <w:r>
        <w:rPr>
          <w:rFonts w:hint="eastAsia" w:ascii="宋体" w:eastAsia="宋体" w:cs="宋体"/>
          <w:color w:val="auto"/>
          <w:szCs w:val="21"/>
          <w:highlight w:val="none"/>
        </w:rPr>
        <w:t>（</w:t>
      </w:r>
      <w:r>
        <w:rPr>
          <w:rFonts w:hint="eastAsia" w:ascii="宋体" w:eastAsia="宋体" w:cs="宋体"/>
          <w:color w:val="auto"/>
          <w:szCs w:val="21"/>
          <w:highlight w:val="none"/>
          <w:lang w:val="en-US" w:eastAsia="zh-CN"/>
        </w:rPr>
        <w:t>3</w:t>
      </w:r>
      <w:r>
        <w:rPr>
          <w:rFonts w:hint="eastAsia" w:ascii="宋体" w:eastAsia="宋体" w:cs="宋体"/>
          <w:color w:val="auto"/>
          <w:szCs w:val="21"/>
          <w:highlight w:val="none"/>
        </w:rPr>
        <w:t xml:space="preserve">）投标函及其附录（如果有）； </w:t>
      </w:r>
    </w:p>
    <w:p w14:paraId="476B0A6D">
      <w:pPr>
        <w:pageBreakBefore w:val="0"/>
        <w:widowControl w:val="0"/>
        <w:kinsoku/>
        <w:wordWrap/>
        <w:overflowPunct/>
        <w:topLinePunct w:val="0"/>
        <w:autoSpaceDE w:val="0"/>
        <w:autoSpaceDN w:val="0"/>
        <w:bidi w:val="0"/>
        <w:adjustRightInd w:val="0"/>
        <w:spacing w:line="500" w:lineRule="exact"/>
        <w:ind w:firstLine="420" w:firstLineChars="200"/>
        <w:jc w:val="left"/>
        <w:textAlignment w:val="auto"/>
        <w:rPr>
          <w:rFonts w:hint="eastAsia" w:ascii="宋体" w:eastAsia="宋体" w:cs="宋体"/>
          <w:color w:val="auto"/>
          <w:szCs w:val="21"/>
          <w:highlight w:val="none"/>
        </w:rPr>
      </w:pPr>
      <w:r>
        <w:rPr>
          <w:rFonts w:hint="eastAsia" w:ascii="宋体" w:eastAsia="宋体" w:cs="宋体"/>
          <w:color w:val="auto"/>
          <w:szCs w:val="21"/>
          <w:highlight w:val="none"/>
        </w:rPr>
        <w:t>（</w:t>
      </w:r>
      <w:r>
        <w:rPr>
          <w:rFonts w:hint="eastAsia" w:ascii="宋体" w:eastAsia="宋体" w:cs="宋体"/>
          <w:color w:val="auto"/>
          <w:szCs w:val="21"/>
          <w:highlight w:val="none"/>
          <w:lang w:val="en-US" w:eastAsia="zh-CN"/>
        </w:rPr>
        <w:t>4</w:t>
      </w:r>
      <w:r>
        <w:rPr>
          <w:rFonts w:hint="eastAsia" w:ascii="宋体" w:eastAsia="宋体" w:cs="宋体"/>
          <w:color w:val="auto"/>
          <w:szCs w:val="21"/>
          <w:highlight w:val="none"/>
        </w:rPr>
        <w:t>）专用合同条款及其附件；</w:t>
      </w:r>
    </w:p>
    <w:p w14:paraId="6836F6CF">
      <w:pPr>
        <w:pageBreakBefore w:val="0"/>
        <w:widowControl w:val="0"/>
        <w:kinsoku/>
        <w:wordWrap/>
        <w:overflowPunct/>
        <w:topLinePunct w:val="0"/>
        <w:autoSpaceDE w:val="0"/>
        <w:autoSpaceDN w:val="0"/>
        <w:bidi w:val="0"/>
        <w:adjustRightInd w:val="0"/>
        <w:spacing w:line="500" w:lineRule="exact"/>
        <w:ind w:firstLine="420" w:firstLineChars="200"/>
        <w:jc w:val="left"/>
        <w:textAlignment w:val="auto"/>
        <w:rPr>
          <w:rFonts w:hint="eastAsia" w:ascii="宋体" w:eastAsia="宋体" w:cs="宋体"/>
          <w:color w:val="auto"/>
          <w:szCs w:val="21"/>
          <w:highlight w:val="none"/>
        </w:rPr>
      </w:pPr>
      <w:r>
        <w:rPr>
          <w:rFonts w:hint="eastAsia" w:ascii="宋体" w:eastAsia="宋体" w:cs="宋体"/>
          <w:color w:val="auto"/>
          <w:szCs w:val="21"/>
          <w:highlight w:val="none"/>
        </w:rPr>
        <w:t>（</w:t>
      </w:r>
      <w:r>
        <w:rPr>
          <w:rFonts w:hint="eastAsia" w:ascii="宋体" w:eastAsia="宋体" w:cs="宋体"/>
          <w:color w:val="auto"/>
          <w:szCs w:val="21"/>
          <w:highlight w:val="none"/>
          <w:lang w:val="en-US" w:eastAsia="zh-CN"/>
        </w:rPr>
        <w:t>5</w:t>
      </w:r>
      <w:r>
        <w:rPr>
          <w:rFonts w:hint="eastAsia" w:ascii="宋体" w:eastAsia="宋体" w:cs="宋体"/>
          <w:color w:val="auto"/>
          <w:szCs w:val="21"/>
          <w:highlight w:val="none"/>
        </w:rPr>
        <w:t>）通用合同条款；</w:t>
      </w:r>
    </w:p>
    <w:p w14:paraId="192195CC">
      <w:pPr>
        <w:pageBreakBefore w:val="0"/>
        <w:widowControl w:val="0"/>
        <w:kinsoku/>
        <w:wordWrap/>
        <w:overflowPunct/>
        <w:topLinePunct w:val="0"/>
        <w:autoSpaceDE w:val="0"/>
        <w:autoSpaceDN w:val="0"/>
        <w:bidi w:val="0"/>
        <w:adjustRightInd w:val="0"/>
        <w:spacing w:line="500" w:lineRule="exact"/>
        <w:ind w:firstLine="420" w:firstLineChars="200"/>
        <w:jc w:val="left"/>
        <w:textAlignment w:val="auto"/>
        <w:rPr>
          <w:rFonts w:hint="eastAsia" w:ascii="宋体" w:eastAsia="宋体" w:cs="宋体"/>
          <w:color w:val="auto"/>
          <w:szCs w:val="21"/>
          <w:highlight w:val="none"/>
        </w:rPr>
      </w:pPr>
      <w:r>
        <w:rPr>
          <w:rFonts w:hint="eastAsia" w:ascii="宋体" w:eastAsia="宋体" w:cs="宋体"/>
          <w:color w:val="auto"/>
          <w:szCs w:val="21"/>
          <w:highlight w:val="none"/>
        </w:rPr>
        <w:t>（</w:t>
      </w:r>
      <w:r>
        <w:rPr>
          <w:rFonts w:hint="eastAsia" w:ascii="宋体" w:eastAsia="宋体" w:cs="宋体"/>
          <w:color w:val="auto"/>
          <w:szCs w:val="21"/>
          <w:highlight w:val="none"/>
          <w:lang w:val="en-US" w:eastAsia="zh-CN"/>
        </w:rPr>
        <w:t>6</w:t>
      </w:r>
      <w:r>
        <w:rPr>
          <w:rFonts w:hint="eastAsia" w:ascii="宋体" w:eastAsia="宋体" w:cs="宋体"/>
          <w:color w:val="auto"/>
          <w:szCs w:val="21"/>
          <w:highlight w:val="none"/>
        </w:rPr>
        <w:t>）技术标准和要求；</w:t>
      </w:r>
    </w:p>
    <w:p w14:paraId="4B4C75F2">
      <w:pPr>
        <w:pageBreakBefore w:val="0"/>
        <w:widowControl w:val="0"/>
        <w:kinsoku/>
        <w:wordWrap/>
        <w:overflowPunct/>
        <w:topLinePunct w:val="0"/>
        <w:autoSpaceDE w:val="0"/>
        <w:autoSpaceDN w:val="0"/>
        <w:bidi w:val="0"/>
        <w:adjustRightInd w:val="0"/>
        <w:spacing w:line="500" w:lineRule="exact"/>
        <w:ind w:firstLine="420" w:firstLineChars="200"/>
        <w:jc w:val="left"/>
        <w:textAlignment w:val="auto"/>
        <w:rPr>
          <w:rFonts w:hint="eastAsia" w:ascii="宋体" w:eastAsia="宋体" w:cs="宋体"/>
          <w:color w:val="auto"/>
          <w:szCs w:val="21"/>
          <w:highlight w:val="none"/>
        </w:rPr>
      </w:pPr>
      <w:r>
        <w:rPr>
          <w:rFonts w:hint="eastAsia" w:ascii="宋体" w:eastAsia="宋体" w:cs="宋体"/>
          <w:color w:val="auto"/>
          <w:szCs w:val="21"/>
          <w:highlight w:val="none"/>
        </w:rPr>
        <w:t>（</w:t>
      </w:r>
      <w:r>
        <w:rPr>
          <w:rFonts w:hint="eastAsia" w:ascii="宋体" w:eastAsia="宋体" w:cs="宋体"/>
          <w:color w:val="auto"/>
          <w:szCs w:val="21"/>
          <w:highlight w:val="none"/>
          <w:lang w:val="en-US" w:eastAsia="zh-CN"/>
        </w:rPr>
        <w:t>7</w:t>
      </w:r>
      <w:r>
        <w:rPr>
          <w:rFonts w:hint="eastAsia" w:ascii="宋体" w:eastAsia="宋体" w:cs="宋体"/>
          <w:color w:val="auto"/>
          <w:szCs w:val="21"/>
          <w:highlight w:val="none"/>
        </w:rPr>
        <w:t>）已标价工程量清单或预算书；</w:t>
      </w:r>
    </w:p>
    <w:p w14:paraId="0FE05D1C">
      <w:pPr>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8</w:t>
      </w:r>
      <w:r>
        <w:rPr>
          <w:rFonts w:hint="eastAsia" w:ascii="宋体" w:hAnsi="宋体" w:eastAsia="宋体" w:cs="宋体"/>
          <w:color w:val="auto"/>
          <w:szCs w:val="21"/>
          <w:highlight w:val="none"/>
          <w:shd w:val="clear" w:color="auto" w:fill="auto"/>
        </w:rPr>
        <w:t>）承包人有关人员、设备投入的承诺及投标文件中的施工组织设计；</w:t>
      </w:r>
    </w:p>
    <w:p w14:paraId="5DEEEE2B">
      <w:pPr>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9</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eastAsia="zh-CN"/>
        </w:rPr>
        <w:t>发包人</w:t>
      </w:r>
      <w:r>
        <w:rPr>
          <w:rFonts w:hint="eastAsia" w:ascii="宋体" w:hAnsi="宋体" w:eastAsia="宋体" w:cs="宋体"/>
          <w:color w:val="auto"/>
          <w:szCs w:val="21"/>
          <w:highlight w:val="none"/>
          <w:shd w:val="clear" w:color="auto" w:fill="auto"/>
        </w:rPr>
        <w:t>相关会议纪要；</w:t>
      </w:r>
    </w:p>
    <w:p w14:paraId="75F01BB1">
      <w:pPr>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10</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eastAsia="zh-CN"/>
        </w:rPr>
        <w:t>发包人</w:t>
      </w:r>
      <w:r>
        <w:rPr>
          <w:rFonts w:hint="eastAsia" w:ascii="宋体" w:hAnsi="宋体" w:eastAsia="宋体" w:cs="宋体"/>
          <w:color w:val="auto"/>
          <w:szCs w:val="21"/>
          <w:highlight w:val="none"/>
          <w:shd w:val="clear" w:color="auto" w:fill="auto"/>
        </w:rPr>
        <w:t>标准化制度手册。</w:t>
      </w:r>
    </w:p>
    <w:p w14:paraId="1FBD7A36">
      <w:pPr>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val="en-US" w:eastAsia="zh-CN"/>
        </w:rPr>
        <w:t>1</w:t>
      </w:r>
      <w:r>
        <w:rPr>
          <w:rFonts w:hint="eastAsia" w:ascii="宋体" w:hAnsi="宋体" w:eastAsia="宋体" w:cs="宋体"/>
          <w:color w:val="auto"/>
          <w:szCs w:val="21"/>
          <w:highlight w:val="none"/>
          <w:shd w:val="clear" w:color="auto" w:fill="auto"/>
        </w:rPr>
        <w:t>）其他合同文件。</w:t>
      </w:r>
    </w:p>
    <w:p w14:paraId="42239344">
      <w:pPr>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上述文件互相补充和解释，如有不明确或不一致之处，以合同约定次序在先者为准。</w:t>
      </w:r>
    </w:p>
    <w:p w14:paraId="7902E188">
      <w:pPr>
        <w:autoSpaceDE/>
        <w:autoSpaceDN/>
        <w:spacing w:line="440" w:lineRule="exact"/>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eastAsia="zh-CN"/>
        </w:rPr>
        <w:t>5、</w:t>
      </w:r>
      <w:r>
        <w:rPr>
          <w:rFonts w:hint="eastAsia" w:ascii="宋体" w:hAnsi="宋体" w:eastAsia="宋体" w:cs="宋体"/>
          <w:color w:val="auto"/>
          <w:sz w:val="21"/>
          <w:szCs w:val="21"/>
          <w:highlight w:val="none"/>
          <w:shd w:val="clear" w:color="auto" w:fill="auto"/>
        </w:rPr>
        <w:t>根据工程量清单所列的预计数量和单价或总额价计算的签约合同价：人民币（大写）</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Cs w:val="21"/>
          <w:highlight w:val="none"/>
          <w:shd w:val="clear" w:color="auto" w:fill="auto"/>
        </w:rPr>
        <w:t>元</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不含税金额</w:t>
      </w:r>
      <w:r>
        <w:rPr>
          <w:rFonts w:hint="eastAsia" w:ascii="宋体" w:hAnsi="宋体" w:eastAsia="宋体" w:cs="宋体"/>
          <w:color w:val="auto"/>
          <w:szCs w:val="21"/>
          <w:highlight w:val="none"/>
          <w:shd w:val="clear" w:color="auto" w:fill="auto"/>
        </w:rPr>
        <w:t>人民币（大写）________元（¥________）</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税金：</w:t>
      </w:r>
      <w:r>
        <w:rPr>
          <w:rFonts w:hint="eastAsia" w:ascii="宋体" w:hAnsi="宋体" w:eastAsia="宋体" w:cs="宋体"/>
          <w:color w:val="auto"/>
          <w:szCs w:val="21"/>
          <w:highlight w:val="none"/>
          <w:shd w:val="clear" w:color="auto" w:fill="auto"/>
        </w:rPr>
        <w:t>（大写</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_____元（¥________）</w:t>
      </w:r>
      <w:r>
        <w:rPr>
          <w:rFonts w:hint="eastAsia" w:ascii="宋体" w:hAnsi="宋体" w:eastAsia="宋体" w:cs="宋体"/>
          <w:color w:val="auto"/>
          <w:sz w:val="21"/>
          <w:szCs w:val="21"/>
          <w:highlight w:val="none"/>
          <w:shd w:val="clear" w:color="auto" w:fill="auto"/>
          <w:lang w:val="en-US" w:eastAsia="zh-CN"/>
        </w:rPr>
        <w:t>税率：</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w:t>
      </w:r>
    </w:p>
    <w:p w14:paraId="67B5E551">
      <w:pPr>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承包人项目经理：</w:t>
      </w:r>
      <w:r>
        <w:rPr>
          <w:rFonts w:hint="eastAsia" w:ascii="宋体" w:hAnsi="宋体" w:eastAsia="宋体" w:cs="宋体"/>
          <w:color w:val="auto"/>
          <w:szCs w:val="21"/>
          <w:highlight w:val="none"/>
          <w:u w:val="single"/>
          <w:shd w:val="clear" w:color="auto" w:fill="auto"/>
        </w:rPr>
        <w:t xml:space="preserve">            </w:t>
      </w:r>
      <w:r>
        <w:rPr>
          <w:rStyle w:val="49"/>
          <w:rFonts w:hint="eastAsia" w:ascii="宋体" w:hAnsi="宋体" w:eastAsia="宋体" w:cs="宋体"/>
          <w:color w:val="auto"/>
          <w:szCs w:val="21"/>
          <w:highlight w:val="none"/>
          <w:shd w:val="clear" w:color="auto" w:fill="auto"/>
        </w:rPr>
        <w:t>。</w:t>
      </w:r>
    </w:p>
    <w:p w14:paraId="42AD9005">
      <w:pPr>
        <w:spacing w:line="440" w:lineRule="exact"/>
        <w:ind w:firstLine="420" w:firstLineChars="200"/>
        <w:rPr>
          <w:rStyle w:val="49"/>
          <w:rFonts w:hint="eastAsia" w:ascii="宋体" w:hAnsi="宋体" w:eastAsia="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7</w:t>
      </w:r>
      <w:r>
        <w:rPr>
          <w:rFonts w:hint="eastAsia" w:ascii="宋体" w:hAnsi="宋体" w:eastAsia="宋体" w:cs="宋体"/>
          <w:color w:val="auto"/>
          <w:szCs w:val="21"/>
          <w:highlight w:val="none"/>
          <w:shd w:val="clear" w:color="auto" w:fill="auto"/>
          <w:lang w:eastAsia="zh-CN"/>
        </w:rPr>
        <w:t>、</w:t>
      </w:r>
      <w:r>
        <w:rPr>
          <w:rFonts w:hint="eastAsia" w:ascii="宋体" w:cs="宋体"/>
          <w:color w:val="auto"/>
          <w:szCs w:val="21"/>
          <w:highlight w:val="none"/>
          <w:lang w:val="en-US" w:eastAsia="zh-CN"/>
        </w:rPr>
        <w:t>园林绿化养护质量符合《园林绿化养护标准》（CJJ/T287）</w:t>
      </w:r>
      <w:r>
        <w:rPr>
          <w:rStyle w:val="49"/>
          <w:rFonts w:hint="eastAsia" w:ascii="宋体" w:hAnsi="宋体" w:eastAsia="宋体" w:cs="宋体"/>
          <w:color w:val="auto"/>
          <w:szCs w:val="21"/>
          <w:highlight w:val="none"/>
          <w:shd w:val="clear" w:color="auto" w:fill="auto"/>
        </w:rPr>
        <w:t>。</w:t>
      </w:r>
    </w:p>
    <w:p w14:paraId="3F913DE8">
      <w:pPr>
        <w:pStyle w:val="5"/>
        <w:pageBreakBefore w:val="0"/>
        <w:widowControl w:val="0"/>
        <w:kinsoku/>
        <w:wordWrap/>
        <w:overflowPunct/>
        <w:topLinePunct w:val="0"/>
        <w:bidi w:val="0"/>
        <w:spacing w:before="0" w:after="0" w:line="500" w:lineRule="exact"/>
        <w:ind w:firstLine="420" w:firstLineChars="200"/>
        <w:textAlignment w:val="auto"/>
        <w:rPr>
          <w:rFonts w:hint="eastAsia" w:ascii="宋体" w:hAnsi="宋体" w:eastAsia="宋体" w:cs="宋体"/>
          <w:b w:val="0"/>
          <w:bCs w:val="0"/>
          <w:color w:val="auto"/>
          <w:kern w:val="2"/>
          <w:sz w:val="21"/>
          <w:szCs w:val="21"/>
          <w:highlight w:val="none"/>
          <w:shd w:val="clear" w:color="auto" w:fill="auto"/>
          <w:lang w:val="en-US" w:eastAsia="zh-CN" w:bidi="ar-SA"/>
        </w:rPr>
      </w:pPr>
      <w:bookmarkStart w:id="828" w:name="_Toc1430992058"/>
      <w:bookmarkStart w:id="829" w:name="_Toc1555190768"/>
      <w:r>
        <w:rPr>
          <w:rFonts w:hint="eastAsia" w:ascii="宋体" w:hAnsi="宋体" w:eastAsia="宋体" w:cs="宋体"/>
          <w:b w:val="0"/>
          <w:bCs w:val="0"/>
          <w:color w:val="auto"/>
          <w:kern w:val="2"/>
          <w:sz w:val="21"/>
          <w:szCs w:val="21"/>
          <w:highlight w:val="none"/>
          <w:shd w:val="clear" w:color="auto" w:fill="auto"/>
          <w:lang w:val="en-US" w:eastAsia="zh-CN" w:bidi="ar-SA"/>
        </w:rPr>
        <w:t>8、绿化种植及养护要求</w:t>
      </w:r>
      <w:bookmarkEnd w:id="828"/>
      <w:bookmarkEnd w:id="829"/>
    </w:p>
    <w:p w14:paraId="0FA67BAB">
      <w:pPr>
        <w:pageBreakBefore w:val="0"/>
        <w:widowControl w:val="0"/>
        <w:kinsoku/>
        <w:wordWrap/>
        <w:overflowPunct/>
        <w:topLinePunct w:val="0"/>
        <w:bidi w:val="0"/>
        <w:spacing w:line="500" w:lineRule="exact"/>
        <w:ind w:firstLine="420" w:firstLineChars="200"/>
        <w:textAlignment w:val="auto"/>
        <w:rPr>
          <w:rFonts w:hint="eastAsia" w:ascii="宋体" w:cs="宋体"/>
          <w:b w:val="0"/>
          <w:bCs w:val="0"/>
          <w:color w:val="auto"/>
          <w:szCs w:val="21"/>
          <w:highlight w:val="none"/>
        </w:rPr>
      </w:pPr>
      <w:r>
        <w:rPr>
          <w:rFonts w:hint="eastAsia" w:ascii="宋体" w:cs="宋体"/>
          <w:b w:val="0"/>
          <w:bCs w:val="0"/>
          <w:color w:val="auto"/>
          <w:szCs w:val="21"/>
          <w:highlight w:val="none"/>
          <w:lang w:eastAsia="zh-CN"/>
        </w:rPr>
        <w:t>（</w:t>
      </w:r>
      <w:r>
        <w:rPr>
          <w:rFonts w:hint="eastAsia" w:ascii="宋体" w:cs="宋体"/>
          <w:b w:val="0"/>
          <w:bCs w:val="0"/>
          <w:color w:val="auto"/>
          <w:szCs w:val="21"/>
          <w:highlight w:val="none"/>
          <w:lang w:val="en-US" w:eastAsia="zh-CN"/>
        </w:rPr>
        <w:t>1</w:t>
      </w:r>
      <w:r>
        <w:rPr>
          <w:rFonts w:hint="eastAsia" w:ascii="宋体" w:cs="宋体"/>
          <w:b w:val="0"/>
          <w:bCs w:val="0"/>
          <w:color w:val="auto"/>
          <w:szCs w:val="21"/>
          <w:highlight w:val="none"/>
          <w:lang w:eastAsia="zh-CN"/>
        </w:rPr>
        <w:t>）</w:t>
      </w:r>
      <w:r>
        <w:rPr>
          <w:rFonts w:hint="eastAsia" w:ascii="宋体" w:cs="宋体"/>
          <w:b w:val="0"/>
          <w:bCs w:val="0"/>
          <w:color w:val="auto"/>
          <w:szCs w:val="21"/>
          <w:highlight w:val="none"/>
        </w:rPr>
        <w:t>在施工过程及绿化养护期内植物死亡，须按原设计品种和规格更换，更换费用由承包人承担。</w:t>
      </w:r>
    </w:p>
    <w:p w14:paraId="122E1CEA">
      <w:pPr>
        <w:pageBreakBefore w:val="0"/>
        <w:widowControl w:val="0"/>
        <w:kinsoku/>
        <w:wordWrap/>
        <w:overflowPunct/>
        <w:topLinePunct w:val="0"/>
        <w:bidi w:val="0"/>
        <w:spacing w:line="500" w:lineRule="exact"/>
        <w:ind w:firstLine="420" w:firstLineChars="200"/>
        <w:textAlignment w:val="auto"/>
        <w:rPr>
          <w:rFonts w:hint="eastAsia" w:ascii="宋体" w:cs="宋体"/>
          <w:b w:val="0"/>
          <w:bCs w:val="0"/>
          <w:color w:val="auto"/>
          <w:szCs w:val="21"/>
          <w:highlight w:val="none"/>
        </w:rPr>
      </w:pPr>
      <w:r>
        <w:rPr>
          <w:rFonts w:hint="eastAsia" w:ascii="宋体" w:cs="宋体"/>
          <w:b w:val="0"/>
          <w:bCs w:val="0"/>
          <w:color w:val="auto"/>
          <w:szCs w:val="21"/>
          <w:highlight w:val="none"/>
          <w:lang w:eastAsia="zh-CN"/>
        </w:rPr>
        <w:t>（</w:t>
      </w:r>
      <w:r>
        <w:rPr>
          <w:rFonts w:hint="eastAsia" w:ascii="宋体" w:cs="宋体"/>
          <w:b w:val="0"/>
          <w:bCs w:val="0"/>
          <w:color w:val="auto"/>
          <w:szCs w:val="21"/>
          <w:highlight w:val="none"/>
          <w:lang w:val="en-US" w:eastAsia="zh-CN"/>
        </w:rPr>
        <w:t>2</w:t>
      </w:r>
      <w:r>
        <w:rPr>
          <w:rFonts w:hint="eastAsia" w:ascii="宋体" w:cs="宋体"/>
          <w:b w:val="0"/>
          <w:bCs w:val="0"/>
          <w:color w:val="auto"/>
          <w:szCs w:val="21"/>
          <w:highlight w:val="none"/>
          <w:lang w:eastAsia="zh-CN"/>
        </w:rPr>
        <w:t>）</w:t>
      </w:r>
      <w:r>
        <w:rPr>
          <w:rFonts w:hint="eastAsia" w:ascii="宋体" w:cs="宋体"/>
          <w:b w:val="0"/>
          <w:bCs w:val="0"/>
          <w:color w:val="auto"/>
          <w:szCs w:val="21"/>
          <w:highlight w:val="none"/>
        </w:rPr>
        <w:t xml:space="preserve">竣工验收时苗木成活率约定（乔木、灌木、地被、草坪等）：  </w:t>
      </w:r>
      <w:r>
        <w:rPr>
          <w:rFonts w:hint="eastAsia" w:ascii="宋体" w:cs="宋体"/>
          <w:b w:val="0"/>
          <w:bCs w:val="0"/>
          <w:color w:val="auto"/>
          <w:szCs w:val="21"/>
          <w:highlight w:val="none"/>
          <w:u w:val="single"/>
        </w:rPr>
        <w:t xml:space="preserve">  100%  </w:t>
      </w:r>
      <w:r>
        <w:rPr>
          <w:rFonts w:hint="eastAsia" w:ascii="宋体" w:cs="宋体"/>
          <w:b w:val="0"/>
          <w:bCs w:val="0"/>
          <w:color w:val="auto"/>
          <w:szCs w:val="21"/>
          <w:highlight w:val="none"/>
        </w:rPr>
        <w:t>。</w:t>
      </w:r>
    </w:p>
    <w:p w14:paraId="7873346C">
      <w:pPr>
        <w:pageBreakBefore w:val="0"/>
        <w:widowControl w:val="0"/>
        <w:kinsoku/>
        <w:wordWrap/>
        <w:overflowPunct/>
        <w:topLinePunct w:val="0"/>
        <w:bidi w:val="0"/>
        <w:spacing w:line="500" w:lineRule="exact"/>
        <w:ind w:firstLine="420" w:firstLineChars="200"/>
        <w:textAlignment w:val="auto"/>
        <w:rPr>
          <w:rFonts w:hint="eastAsia" w:ascii="宋体" w:cs="宋体"/>
          <w:b w:val="0"/>
          <w:bCs w:val="0"/>
          <w:color w:val="auto"/>
          <w:szCs w:val="21"/>
          <w:highlight w:val="none"/>
        </w:rPr>
      </w:pPr>
      <w:r>
        <w:rPr>
          <w:rFonts w:hint="eastAsia" w:ascii="宋体" w:cs="宋体"/>
          <w:b w:val="0"/>
          <w:bCs w:val="0"/>
          <w:color w:val="auto"/>
          <w:szCs w:val="21"/>
          <w:highlight w:val="none"/>
          <w:lang w:eastAsia="zh-CN"/>
        </w:rPr>
        <w:t>（</w:t>
      </w:r>
      <w:r>
        <w:rPr>
          <w:rFonts w:hint="eastAsia" w:ascii="宋体" w:cs="宋体"/>
          <w:b w:val="0"/>
          <w:bCs w:val="0"/>
          <w:color w:val="auto"/>
          <w:szCs w:val="21"/>
          <w:highlight w:val="none"/>
          <w:lang w:val="en-US" w:eastAsia="zh-CN"/>
        </w:rPr>
        <w:t>3</w:t>
      </w:r>
      <w:r>
        <w:rPr>
          <w:rFonts w:hint="eastAsia" w:ascii="宋体" w:cs="宋体"/>
          <w:b w:val="0"/>
          <w:bCs w:val="0"/>
          <w:color w:val="auto"/>
          <w:szCs w:val="21"/>
          <w:highlight w:val="none"/>
          <w:lang w:eastAsia="zh-CN"/>
        </w:rPr>
        <w:t>）</w:t>
      </w:r>
      <w:r>
        <w:rPr>
          <w:rFonts w:hint="eastAsia" w:ascii="宋体" w:cs="宋体"/>
          <w:b w:val="0"/>
          <w:bCs w:val="0"/>
          <w:color w:val="auto"/>
          <w:szCs w:val="21"/>
          <w:highlight w:val="none"/>
        </w:rPr>
        <w:t xml:space="preserve">养护期满移交时苗木成活率约定（乔木、灌木、地被、草坪等）： </w:t>
      </w:r>
      <w:r>
        <w:rPr>
          <w:rFonts w:hint="eastAsia" w:ascii="宋体" w:cs="宋体"/>
          <w:b w:val="0"/>
          <w:bCs w:val="0"/>
          <w:color w:val="auto"/>
          <w:szCs w:val="21"/>
          <w:highlight w:val="none"/>
          <w:u w:val="single"/>
        </w:rPr>
        <w:t xml:space="preserve">   100% </w:t>
      </w:r>
      <w:r>
        <w:rPr>
          <w:rFonts w:hint="eastAsia" w:ascii="宋体" w:cs="宋体"/>
          <w:b w:val="0"/>
          <w:bCs w:val="0"/>
          <w:color w:val="auto"/>
          <w:szCs w:val="21"/>
          <w:highlight w:val="none"/>
        </w:rPr>
        <w:t>。</w:t>
      </w:r>
    </w:p>
    <w:p w14:paraId="3E7D19F2">
      <w:pPr>
        <w:spacing w:line="440" w:lineRule="exact"/>
        <w:ind w:firstLine="420" w:firstLineChars="200"/>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9</w:t>
      </w:r>
      <w:r>
        <w:rPr>
          <w:rFonts w:hint="eastAsia" w:ascii="宋体" w:hAnsi="宋体" w:eastAsia="宋体" w:cs="宋体"/>
          <w:color w:val="auto"/>
          <w:szCs w:val="21"/>
          <w:highlight w:val="none"/>
          <w:shd w:val="clear" w:color="auto" w:fill="auto"/>
          <w:lang w:eastAsia="zh-CN"/>
        </w:rPr>
        <w:t>、</w:t>
      </w:r>
      <w:r>
        <w:rPr>
          <w:rStyle w:val="49"/>
          <w:rFonts w:hint="eastAsia" w:ascii="宋体" w:hAnsi="宋体" w:eastAsia="宋体" w:cs="宋体"/>
          <w:color w:val="auto"/>
          <w:szCs w:val="21"/>
          <w:highlight w:val="none"/>
          <w:shd w:val="clear" w:color="auto" w:fill="auto"/>
        </w:rPr>
        <w:t>工程安全目标：</w:t>
      </w:r>
      <w:r>
        <w:rPr>
          <w:rFonts w:hint="eastAsia" w:ascii="宋体" w:hAnsi="宋体" w:eastAsia="宋体" w:cs="宋体"/>
          <w:color w:val="auto"/>
          <w:sz w:val="21"/>
          <w:szCs w:val="21"/>
          <w:highlight w:val="none"/>
          <w:shd w:val="clear" w:color="auto" w:fill="auto"/>
        </w:rPr>
        <w:t>无安全生产责任事故</w:t>
      </w:r>
      <w:r>
        <w:rPr>
          <w:rFonts w:hint="eastAsia" w:ascii="宋体" w:hAnsi="宋体" w:eastAsia="宋体" w:cs="宋体"/>
          <w:color w:val="auto"/>
          <w:szCs w:val="21"/>
          <w:highlight w:val="none"/>
          <w:shd w:val="clear" w:color="auto" w:fill="auto"/>
          <w:lang w:eastAsia="zh-CN"/>
        </w:rPr>
        <w:t>。</w:t>
      </w:r>
    </w:p>
    <w:p w14:paraId="71E66E16">
      <w:pPr>
        <w:pageBreakBefore w:val="0"/>
        <w:kinsoku/>
        <w:overflowPunct/>
        <w:topLinePunct w:val="0"/>
        <w:bidi w:val="0"/>
        <w:snapToGrid w:val="0"/>
        <w:spacing w:line="480" w:lineRule="exact"/>
        <w:ind w:left="0" w:leftChars="0" w:firstLine="420" w:firstLineChars="200"/>
        <w:rPr>
          <w:rFonts w:hint="default" w:ascii="宋体" w:hAnsi="宋体" w:eastAsia="宋体" w:cs="宋体"/>
          <w:color w:val="auto"/>
          <w:szCs w:val="21"/>
          <w:highlight w:val="none"/>
          <w:shd w:val="clear" w:color="auto" w:fill="auto"/>
          <w:lang w:val="en-US"/>
        </w:rPr>
      </w:pPr>
      <w:r>
        <w:rPr>
          <w:rFonts w:hint="eastAsia" w:ascii="宋体" w:hAnsi="宋体" w:cs="宋体"/>
          <w:color w:val="auto"/>
          <w:szCs w:val="21"/>
          <w:highlight w:val="none"/>
          <w:shd w:val="clear" w:color="auto" w:fill="auto"/>
          <w:lang w:val="en-US" w:eastAsia="zh-CN"/>
        </w:rPr>
        <w:t>10</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缺陷责任期的具体期限：</w:t>
      </w:r>
      <w:r>
        <w:rPr>
          <w:rFonts w:hint="eastAsia" w:ascii="宋体" w:hAnsi="宋体" w:eastAsia="宋体" w:cs="宋体"/>
          <w:color w:val="auto"/>
          <w:szCs w:val="21"/>
          <w:highlight w:val="none"/>
          <w:shd w:val="clear" w:color="auto" w:fill="auto"/>
          <w:lang w:val="en-US" w:eastAsia="zh-CN"/>
        </w:rPr>
        <w:t>1年。</w:t>
      </w:r>
      <w:r>
        <w:rPr>
          <w:rFonts w:hint="eastAsia" w:ascii="宋体" w:hAnsi="宋体" w:eastAsia="宋体" w:cs="宋体"/>
          <w:color w:val="auto"/>
          <w:szCs w:val="21"/>
          <w:highlight w:val="none"/>
          <w:shd w:val="clear" w:color="auto" w:fill="auto"/>
          <w:lang w:eastAsia="zh-CN"/>
        </w:rPr>
        <w:t>本项目养护期从</w:t>
      </w:r>
      <w:r>
        <w:rPr>
          <w:rFonts w:hint="eastAsia" w:ascii="宋体" w:hAnsi="宋体" w:eastAsia="宋体" w:cs="宋体"/>
          <w:color w:val="auto"/>
          <w:szCs w:val="21"/>
          <w:highlight w:val="none"/>
          <w:shd w:val="clear" w:color="auto" w:fill="auto"/>
          <w:lang w:val="en-US" w:eastAsia="zh-CN"/>
        </w:rPr>
        <w:t>完工初验合格之日起1年，缺陷期从养护期结束之日起1年。</w:t>
      </w:r>
    </w:p>
    <w:p w14:paraId="45B356C1">
      <w:pPr>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11</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发包人承诺按合同约定的条件、时间和方式向承包人支付合同价款。</w:t>
      </w:r>
    </w:p>
    <w:p w14:paraId="0115979C">
      <w:pPr>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本协议书在承包人提供履约担保</w:t>
      </w:r>
      <w:r>
        <w:rPr>
          <w:rFonts w:hint="eastAsia" w:ascii="宋体" w:hAnsi="宋体" w:eastAsia="宋体" w:cs="宋体"/>
          <w:color w:val="auto"/>
          <w:highlight w:val="none"/>
          <w:shd w:val="clear" w:color="auto" w:fill="auto"/>
        </w:rPr>
        <w:t>（合同金额的</w:t>
      </w:r>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rPr>
        <w:t>%）</w:t>
      </w:r>
      <w:r>
        <w:rPr>
          <w:rFonts w:hint="eastAsia" w:ascii="宋体" w:hAnsi="宋体" w:eastAsia="宋体" w:cs="宋体"/>
          <w:color w:val="auto"/>
          <w:szCs w:val="21"/>
          <w:highlight w:val="none"/>
          <w:shd w:val="clear" w:color="auto" w:fill="auto"/>
        </w:rPr>
        <w:t>后，由双方法定代表人或其委托代理人签署并加盖单位章后生效。全部工程完工后经交工验收合格、缺陷责任期满签发缺陷责任终止证书后失效。</w:t>
      </w:r>
    </w:p>
    <w:p w14:paraId="1DFC80CD">
      <w:pPr>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rPr>
        <w:t>本协议书正本二份、副本____份，合同双方各执正本一份，副本____份，当正本与副本的内容不一致时，以正本为准。</w:t>
      </w:r>
    </w:p>
    <w:p w14:paraId="2EFD63E0">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firstLineChars="200"/>
        <w:jc w:val="left"/>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14、因本合同发生纠纷协商不成的，应向项目所在地人民法院起诉。合同未尽事宜，双方另行签订补充协议。补充协议是合同的组成部分。</w:t>
      </w:r>
    </w:p>
    <w:p w14:paraId="7BB03238">
      <w:pPr>
        <w:spacing w:line="440" w:lineRule="exact"/>
        <w:rPr>
          <w:rFonts w:hint="eastAsia" w:ascii="宋体" w:hAnsi="宋体" w:eastAsia="宋体" w:cs="宋体"/>
          <w:color w:val="auto"/>
          <w:szCs w:val="21"/>
          <w:highlight w:val="none"/>
          <w:shd w:val="clear" w:color="auto" w:fill="auto"/>
        </w:rPr>
      </w:pPr>
    </w:p>
    <w:p w14:paraId="65298236">
      <w:pPr>
        <w:spacing w:line="440" w:lineRule="exact"/>
        <w:ind w:firstLine="420"/>
        <w:rPr>
          <w:rFonts w:hint="eastAsia" w:ascii="宋体" w:hAnsi="宋体" w:eastAsia="宋体" w:cs="宋体"/>
          <w:color w:val="auto"/>
          <w:szCs w:val="21"/>
          <w:highlight w:val="none"/>
          <w:shd w:val="clear" w:color="auto" w:fill="auto"/>
        </w:rPr>
      </w:pPr>
    </w:p>
    <w:p w14:paraId="393CA92F">
      <w:pPr>
        <w:spacing w:line="440" w:lineRule="exact"/>
        <w:ind w:left="0" w:leftChars="0" w:firstLine="0" w:firstLineChars="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发包人：</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（盖单位章）   </w:t>
      </w:r>
      <w:r>
        <w:rPr>
          <w:rFonts w:hint="eastAsia" w:ascii="宋体" w:hAnsi="宋体" w:eastAsia="宋体" w:cs="宋体"/>
          <w:color w:val="auto"/>
          <w:szCs w:val="21"/>
          <w:highlight w:val="none"/>
          <w:shd w:val="clear" w:color="auto" w:fill="auto"/>
          <w:lang w:val="en-US" w:eastAsia="zh-CN"/>
        </w:rPr>
        <w:t xml:space="preserve"> </w:t>
      </w:r>
      <w:r>
        <w:rPr>
          <w:rFonts w:hint="eastAsia" w:ascii="宋体" w:hAnsi="宋体" w:eastAsia="宋体" w:cs="宋体"/>
          <w:color w:val="auto"/>
          <w:szCs w:val="21"/>
          <w:highlight w:val="none"/>
          <w:shd w:val="clear" w:color="auto" w:fill="auto"/>
        </w:rPr>
        <w:t xml:space="preserve">  承包人：</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（盖单位章）</w:t>
      </w:r>
    </w:p>
    <w:p w14:paraId="57F86161">
      <w:pPr>
        <w:spacing w:line="440" w:lineRule="exact"/>
        <w:ind w:left="0" w:leftChars="0" w:firstLine="0" w:firstLineChars="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法定代表人或其委托代理人：</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签字）  </w:t>
      </w:r>
      <w:r>
        <w:rPr>
          <w:rFonts w:hint="eastAsia" w:ascii="宋体" w:hAnsi="宋体" w:eastAsia="宋体" w:cs="宋体"/>
          <w:color w:val="auto"/>
          <w:szCs w:val="21"/>
          <w:highlight w:val="none"/>
          <w:shd w:val="clear" w:color="auto" w:fill="auto"/>
          <w:lang w:val="en-US" w:eastAsia="zh-CN"/>
        </w:rPr>
        <w:t xml:space="preserve"> </w:t>
      </w:r>
      <w:r>
        <w:rPr>
          <w:rFonts w:hint="eastAsia" w:ascii="宋体" w:hAnsi="宋体" w:eastAsia="宋体" w:cs="宋体"/>
          <w:color w:val="auto"/>
          <w:szCs w:val="21"/>
          <w:highlight w:val="none"/>
          <w:shd w:val="clear" w:color="auto" w:fill="auto"/>
        </w:rPr>
        <w:t>法定代表人或其委托代理人：</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签字）</w:t>
      </w:r>
    </w:p>
    <w:p w14:paraId="7C59601A">
      <w:pPr>
        <w:spacing w:line="440" w:lineRule="exact"/>
        <w:ind w:left="0" w:leftChars="0" w:firstLine="0" w:firstLineChars="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月 </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 日        </w:t>
      </w:r>
      <w:r>
        <w:rPr>
          <w:rFonts w:hint="eastAsia" w:ascii="宋体" w:hAnsi="宋体" w:eastAsia="宋体" w:cs="宋体"/>
          <w:color w:val="auto"/>
          <w:szCs w:val="21"/>
          <w:highlight w:val="none"/>
          <w:shd w:val="clear" w:color="auto" w:fill="auto"/>
          <w:lang w:val="en-US" w:eastAsia="zh-CN"/>
        </w:rPr>
        <w:t xml:space="preserve">      </w:t>
      </w:r>
      <w:r>
        <w:rPr>
          <w:rFonts w:hint="eastAsia" w:ascii="宋体" w:hAnsi="宋体" w:eastAsia="宋体" w:cs="宋体"/>
          <w:color w:val="auto"/>
          <w:szCs w:val="21"/>
          <w:highlight w:val="none"/>
          <w:shd w:val="clear" w:color="auto" w:fill="auto"/>
        </w:rPr>
        <w:t xml:space="preserve"> </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月 </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 日</w:t>
      </w:r>
    </w:p>
    <w:p w14:paraId="14E8F818">
      <w:pPr>
        <w:spacing w:line="440" w:lineRule="exact"/>
        <w:ind w:firstLine="420"/>
        <w:rPr>
          <w:rFonts w:hint="eastAsia" w:ascii="宋体" w:hAnsi="宋体" w:eastAsia="宋体" w:cs="宋体"/>
          <w:color w:val="auto"/>
          <w:szCs w:val="21"/>
          <w:highlight w:val="none"/>
          <w:shd w:val="clear" w:color="auto" w:fill="auto"/>
        </w:rPr>
      </w:pPr>
    </w:p>
    <w:p w14:paraId="30A06A77">
      <w:pPr>
        <w:pageBreakBefore w:val="0"/>
        <w:widowControl w:val="0"/>
        <w:kinsoku/>
        <w:wordWrap/>
        <w:overflowPunct/>
        <w:topLinePunct w:val="0"/>
        <w:bidi w:val="0"/>
        <w:spacing w:line="500" w:lineRule="exact"/>
        <w:ind w:firstLine="420" w:firstLineChars="200"/>
        <w:textAlignment w:val="auto"/>
        <w:rPr>
          <w:rFonts w:hint="eastAsia" w:ascii="宋体" w:cs="宋体"/>
          <w:color w:val="auto"/>
          <w:szCs w:val="21"/>
          <w:highlight w:val="none"/>
          <w:u w:val="single"/>
        </w:rPr>
      </w:pPr>
    </w:p>
    <w:p w14:paraId="61E75B0C">
      <w:pPr>
        <w:pageBreakBefore w:val="0"/>
        <w:widowControl w:val="0"/>
        <w:tabs>
          <w:tab w:val="left" w:pos="4410"/>
        </w:tabs>
        <w:kinsoku/>
        <w:wordWrap/>
        <w:overflowPunct/>
        <w:topLinePunct w:val="0"/>
        <w:bidi w:val="0"/>
        <w:spacing w:line="5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组织机构代码：</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组织机构代码：</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p>
    <w:p w14:paraId="7795462D">
      <w:pPr>
        <w:pageBreakBefore w:val="0"/>
        <w:widowControl w:val="0"/>
        <w:kinsoku/>
        <w:wordWrap/>
        <w:overflowPunct/>
        <w:topLinePunct w:val="0"/>
        <w:bidi w:val="0"/>
        <w:spacing w:line="5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地  址：</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地  址：</w:t>
      </w:r>
      <w:r>
        <w:rPr>
          <w:rFonts w:hint="eastAsia" w:ascii="宋体" w:cs="宋体"/>
          <w:color w:val="auto"/>
          <w:szCs w:val="21"/>
          <w:highlight w:val="none"/>
          <w:u w:val="single"/>
        </w:rPr>
        <w:t xml:space="preserve">                  </w:t>
      </w:r>
    </w:p>
    <w:p w14:paraId="4A90F6F7">
      <w:pPr>
        <w:pageBreakBefore w:val="0"/>
        <w:widowControl w:val="0"/>
        <w:kinsoku/>
        <w:wordWrap/>
        <w:overflowPunct/>
        <w:topLinePunct w:val="0"/>
        <w:bidi w:val="0"/>
        <w:spacing w:line="5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邮政编码：</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邮政编码：</w:t>
      </w:r>
      <w:r>
        <w:rPr>
          <w:rFonts w:hint="eastAsia" w:ascii="宋体" w:cs="宋体"/>
          <w:color w:val="auto"/>
          <w:szCs w:val="21"/>
          <w:highlight w:val="none"/>
          <w:lang w:val="en-US" w:eastAsia="zh-CN"/>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p>
    <w:p w14:paraId="21B714C6">
      <w:pPr>
        <w:pageBreakBefore w:val="0"/>
        <w:widowControl w:val="0"/>
        <w:kinsoku/>
        <w:wordWrap/>
        <w:overflowPunct/>
        <w:topLinePunct w:val="0"/>
        <w:bidi w:val="0"/>
        <w:spacing w:line="5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法定代表人：</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法定代表人：</w:t>
      </w:r>
      <w:r>
        <w:rPr>
          <w:rFonts w:hint="eastAsia" w:ascii="宋体" w:cs="宋体"/>
          <w:color w:val="auto"/>
          <w:szCs w:val="21"/>
          <w:highlight w:val="none"/>
          <w:u w:val="single"/>
        </w:rPr>
        <w:t xml:space="preserve">            </w:t>
      </w:r>
    </w:p>
    <w:p w14:paraId="20896CEC">
      <w:pPr>
        <w:pageBreakBefore w:val="0"/>
        <w:widowControl w:val="0"/>
        <w:kinsoku/>
        <w:wordWrap/>
        <w:overflowPunct/>
        <w:topLinePunct w:val="0"/>
        <w:bidi w:val="0"/>
        <w:spacing w:line="5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委托代理人：</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委托代理人：</w:t>
      </w:r>
      <w:r>
        <w:rPr>
          <w:rFonts w:hint="eastAsia" w:ascii="宋体" w:cs="宋体"/>
          <w:color w:val="auto"/>
          <w:szCs w:val="21"/>
          <w:highlight w:val="none"/>
          <w:lang w:val="en-US" w:eastAsia="zh-CN"/>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p>
    <w:p w14:paraId="22115C16">
      <w:pPr>
        <w:pageBreakBefore w:val="0"/>
        <w:widowControl w:val="0"/>
        <w:kinsoku/>
        <w:wordWrap/>
        <w:overflowPunct/>
        <w:topLinePunct w:val="0"/>
        <w:bidi w:val="0"/>
        <w:spacing w:line="5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电  话：</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电  话：</w:t>
      </w:r>
      <w:r>
        <w:rPr>
          <w:rFonts w:hint="eastAsia" w:ascii="宋体" w:cs="宋体"/>
          <w:color w:val="auto"/>
          <w:szCs w:val="21"/>
          <w:highlight w:val="none"/>
          <w:lang w:val="en-US" w:eastAsia="zh-CN"/>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p>
    <w:p w14:paraId="380D690C">
      <w:pPr>
        <w:pageBreakBefore w:val="0"/>
        <w:widowControl w:val="0"/>
        <w:kinsoku/>
        <w:wordWrap/>
        <w:overflowPunct/>
        <w:topLinePunct w:val="0"/>
        <w:bidi w:val="0"/>
        <w:spacing w:line="5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传  真：</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传  真：</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p>
    <w:p w14:paraId="68668E3F">
      <w:pPr>
        <w:pageBreakBefore w:val="0"/>
        <w:widowControl w:val="0"/>
        <w:kinsoku/>
        <w:wordWrap/>
        <w:overflowPunct/>
        <w:topLinePunct w:val="0"/>
        <w:bidi w:val="0"/>
        <w:spacing w:line="5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电子信箱：</w:t>
      </w:r>
      <w:r>
        <w:rPr>
          <w:rFonts w:hint="eastAsia" w:ascii="宋体" w:cs="宋体"/>
          <w:color w:val="auto"/>
          <w:szCs w:val="21"/>
          <w:highlight w:val="none"/>
          <w:lang w:val="en-US" w:eastAsia="zh-CN"/>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p>
    <w:p w14:paraId="0CCF140E">
      <w:pPr>
        <w:pageBreakBefore w:val="0"/>
        <w:widowControl w:val="0"/>
        <w:kinsoku/>
        <w:wordWrap/>
        <w:overflowPunct/>
        <w:topLinePunct w:val="0"/>
        <w:bidi w:val="0"/>
        <w:spacing w:line="5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开户银行：</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开户银行：</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p>
    <w:p w14:paraId="69916F81">
      <w:pPr>
        <w:pageBreakBefore w:val="0"/>
        <w:widowControl w:val="0"/>
        <w:kinsoku/>
        <w:wordWrap/>
        <w:overflowPunct/>
        <w:topLinePunct w:val="0"/>
        <w:bidi w:val="0"/>
        <w:spacing w:line="500" w:lineRule="exact"/>
        <w:ind w:firstLine="420" w:firstLineChars="200"/>
        <w:textAlignment w:val="auto"/>
        <w:rPr>
          <w:rFonts w:hint="eastAsia" w:ascii="宋体" w:cs="宋体"/>
          <w:color w:val="auto"/>
          <w:szCs w:val="21"/>
          <w:highlight w:val="none"/>
          <w:u w:val="single"/>
        </w:rPr>
      </w:pPr>
      <w:r>
        <w:rPr>
          <w:rFonts w:hint="eastAsia" w:ascii="宋体" w:cs="宋体"/>
          <w:color w:val="auto"/>
          <w:szCs w:val="21"/>
          <w:highlight w:val="none"/>
        </w:rPr>
        <w:t>账  号：</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账  号：</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p>
    <w:p w14:paraId="47151549">
      <w:pPr>
        <w:pageBreakBefore/>
        <w:spacing w:before="156" w:beforeLines="50" w:after="156" w:afterLines="50" w:line="440" w:lineRule="exact"/>
        <w:jc w:val="center"/>
        <w:outlineLvl w:val="1"/>
        <w:rPr>
          <w:rFonts w:hint="eastAsia" w:ascii="黑体" w:eastAsia="黑体" w:cs="宋体"/>
          <w:b/>
          <w:bCs/>
          <w:color w:val="auto"/>
          <w:sz w:val="28"/>
          <w:highlight w:val="none"/>
        </w:rPr>
      </w:pPr>
      <w:r>
        <w:rPr>
          <w:rFonts w:hint="eastAsia" w:ascii="黑体" w:eastAsia="黑体" w:cs="宋体"/>
          <w:b/>
          <w:bCs/>
          <w:color w:val="auto"/>
          <w:sz w:val="28"/>
          <w:highlight w:val="none"/>
        </w:rPr>
        <w:t>第二部分 通用条款</w:t>
      </w:r>
    </w:p>
    <w:p w14:paraId="508277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通用合同条款采用《园林绿化工程施工合同》（GF—2020—2605）的“通用合同条款”。（上述资料由投标人自行准备）</w:t>
      </w:r>
    </w:p>
    <w:p w14:paraId="75D5ADDF">
      <w:pPr>
        <w:spacing w:before="156" w:beforeLines="50" w:after="156" w:afterLines="50" w:line="440" w:lineRule="exact"/>
        <w:jc w:val="center"/>
        <w:outlineLvl w:val="1"/>
        <w:rPr>
          <w:rFonts w:hint="eastAsia" w:ascii="黑体" w:eastAsia="黑体" w:cs="宋体"/>
          <w:b/>
          <w:bCs/>
          <w:color w:val="auto"/>
          <w:sz w:val="28"/>
          <w:highlight w:val="none"/>
        </w:rPr>
      </w:pPr>
      <w:r>
        <w:rPr>
          <w:rFonts w:hint="eastAsia" w:ascii="黑体" w:eastAsia="黑体" w:cs="宋体"/>
          <w:b/>
          <w:bCs/>
          <w:color w:val="auto"/>
          <w:sz w:val="28"/>
          <w:highlight w:val="none"/>
        </w:rPr>
        <w:t>第三部分 专用条款</w:t>
      </w:r>
    </w:p>
    <w:p w14:paraId="5F5B22D9">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使用建设部、国家工商行政管理局印发的《建设工程施工合同（GF-2017-0201示范文本）》（专用条款（格式））。</w:t>
      </w:r>
    </w:p>
    <w:p w14:paraId="44D3BA3D">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14:paraId="389BD350">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1.1 词语定义</w:t>
      </w:r>
    </w:p>
    <w:p w14:paraId="751CECE3">
      <w:pPr>
        <w:pageBreakBefore w:val="0"/>
        <w:kinsoku/>
        <w:overflowPunct/>
        <w:topLinePunct w:val="0"/>
        <w:bidi w:val="0"/>
        <w:snapToGrid w:val="0"/>
        <w:spacing w:line="480" w:lineRule="exact"/>
        <w:ind w:left="0" w:leftChars="0"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14:paraId="181BF850">
      <w:pPr>
        <w:pageBreakBefore w:val="0"/>
        <w:kinsoku/>
        <w:overflowPunct/>
        <w:topLinePunct w:val="0"/>
        <w:bidi w:val="0"/>
        <w:snapToGrid w:val="0"/>
        <w:spacing w:line="480" w:lineRule="exact"/>
        <w:ind w:left="0" w:leftChars="0"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hAnsi="宋体" w:cs="宋体"/>
          <w:color w:val="auto"/>
          <w:kern w:val="0"/>
          <w:szCs w:val="21"/>
          <w:highlight w:val="none"/>
          <w:u w:val="single"/>
        </w:rPr>
        <w:t>本项目招标文件、在合同订立及履行过程中形成的与合同有关的文件均构成合同文件组成部分，若上述文件有不明确或不一致之处，以招标文件为准</w:t>
      </w:r>
      <w:r>
        <w:rPr>
          <w:rFonts w:hint="eastAsia" w:ascii="宋体" w:cs="宋体"/>
          <w:color w:val="auto"/>
          <w:szCs w:val="21"/>
          <w:highlight w:val="none"/>
          <w:u w:val="single"/>
        </w:rPr>
        <w:t xml:space="preserve">。    </w:t>
      </w:r>
    </w:p>
    <w:p w14:paraId="6C824440">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14:paraId="42479C3A">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 监理人和总监理工程师：</w:t>
      </w:r>
    </w:p>
    <w:p w14:paraId="4670639A">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1BA5A6">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FB4CFF1">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78CFD0">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总监理工程师执业资格证书号：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D7B1C59">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9D7145">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1839ABA">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14:paraId="75710185">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现场确定</w:t>
      </w:r>
      <w:r>
        <w:rPr>
          <w:rFonts w:hint="eastAsia" w:ascii="宋体" w:cs="宋体"/>
          <w:color w:val="auto"/>
          <w:szCs w:val="21"/>
          <w:highlight w:val="none"/>
        </w:rPr>
        <w:t>。</w:t>
      </w:r>
    </w:p>
    <w:p w14:paraId="11C3D28A">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无</w:t>
      </w:r>
      <w:r>
        <w:rPr>
          <w:rFonts w:hint="eastAsia" w:ascii="宋体" w:cs="宋体"/>
          <w:color w:val="auto"/>
          <w:szCs w:val="21"/>
          <w:highlight w:val="none"/>
          <w:u w:val="single"/>
        </w:rPr>
        <w:t xml:space="preserve"> </w:t>
      </w:r>
      <w:r>
        <w:rPr>
          <w:rFonts w:hint="eastAsia" w:ascii="宋体" w:cs="宋体"/>
          <w:color w:val="auto"/>
          <w:kern w:val="0"/>
          <w:szCs w:val="21"/>
          <w:highlight w:val="none"/>
        </w:rPr>
        <w:t>。</w:t>
      </w:r>
    </w:p>
    <w:p w14:paraId="260D022D">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无</w:t>
      </w:r>
      <w:r>
        <w:rPr>
          <w:rFonts w:hint="eastAsia" w:ascii="宋体" w:cs="宋体"/>
          <w:color w:val="auto"/>
          <w:szCs w:val="21"/>
          <w:highlight w:val="none"/>
          <w:u w:val="single"/>
        </w:rPr>
        <w:t></w:t>
      </w:r>
      <w:r>
        <w:rPr>
          <w:rFonts w:hint="eastAsia" w:ascii="宋体" w:cs="宋体"/>
          <w:color w:val="auto"/>
          <w:kern w:val="0"/>
          <w:szCs w:val="21"/>
          <w:highlight w:val="none"/>
        </w:rPr>
        <w:t>。</w:t>
      </w:r>
    </w:p>
    <w:p w14:paraId="451ED121">
      <w:pPr>
        <w:pageBreakBefore w:val="0"/>
        <w:kinsoku/>
        <w:overflowPunct/>
        <w:topLinePunct w:val="0"/>
        <w:bidi w:val="0"/>
        <w:spacing w:line="480" w:lineRule="exact"/>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1.1.3.12 绿化工程：是指树木、花卉、草坪、地被植物等的种植工程。</w:t>
      </w:r>
    </w:p>
    <w:p w14:paraId="5016EA92">
      <w:pPr>
        <w:pageBreakBefore w:val="0"/>
        <w:kinsoku/>
        <w:overflowPunct/>
        <w:topLinePunct w:val="0"/>
        <w:bidi w:val="0"/>
        <w:spacing w:line="480" w:lineRule="exact"/>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1.1.3.13 绿化养护：是指对绿地内植物采取的整形修剪、松土除草、灌溉与排水、施肥、有害生物防治、改植与补植、绿地防护（如防台风、防寒）等技术措施。</w:t>
      </w:r>
    </w:p>
    <w:p w14:paraId="3EC7D966">
      <w:pPr>
        <w:pageBreakBefore w:val="0"/>
        <w:kinsoku/>
        <w:overflowPunct/>
        <w:topLinePunct w:val="0"/>
        <w:bidi w:val="0"/>
        <w:spacing w:line="480" w:lineRule="exact"/>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 日期和期限</w:t>
      </w:r>
    </w:p>
    <w:p w14:paraId="6A5AFF32">
      <w:pPr>
        <w:pageBreakBefore w:val="0"/>
        <w:kinsoku/>
        <w:overflowPunct/>
        <w:topLinePunct w:val="0"/>
        <w:bidi w:val="0"/>
        <w:spacing w:line="480" w:lineRule="exact"/>
        <w:ind w:left="0" w:leftChars="0"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1.1.4.8 绿化养护期：是指承包人按照合同约定进行绿化养护的期限。绿化工程养护期</w:t>
      </w:r>
      <w:r>
        <w:rPr>
          <w:rFonts w:hint="eastAsia" w:ascii="宋体" w:hAnsi="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年（</w:t>
      </w:r>
      <w:r>
        <w:rPr>
          <w:rFonts w:hint="eastAsia" w:ascii="Times New Roman" w:eastAsia="宋体"/>
          <w:color w:val="auto"/>
          <w:highlight w:val="none"/>
          <w:lang w:val="en-US" w:eastAsia="zh-CN"/>
        </w:rPr>
        <w:t>完工初验合格之日计算</w:t>
      </w:r>
      <w:r>
        <w:rPr>
          <w:rFonts w:hint="eastAsia" w:ascii="宋体" w:hAnsi="宋体" w:eastAsia="宋体" w:cs="宋体"/>
          <w:color w:val="auto"/>
          <w:kern w:val="0"/>
          <w:sz w:val="21"/>
          <w:szCs w:val="21"/>
          <w:highlight w:val="none"/>
        </w:rPr>
        <w:t>）</w:t>
      </w:r>
      <w:r>
        <w:rPr>
          <w:rFonts w:hint="eastAsia" w:ascii="宋体" w:hAnsi="宋体" w:eastAsia="宋体" w:cs="宋体"/>
          <w:bCs/>
          <w:color w:val="auto"/>
          <w:kern w:val="0"/>
          <w:sz w:val="21"/>
          <w:szCs w:val="21"/>
          <w:highlight w:val="none"/>
        </w:rPr>
        <w:t>。</w:t>
      </w:r>
    </w:p>
    <w:p w14:paraId="062A26F3">
      <w:pPr>
        <w:pStyle w:val="14"/>
        <w:ind w:left="0" w:leftChars="0" w:firstLine="420" w:firstLineChars="200"/>
        <w:jc w:val="left"/>
        <w:rPr>
          <w:rFonts w:hint="eastAsia"/>
          <w:b w:val="0"/>
          <w:bCs w:val="0"/>
          <w:color w:val="auto"/>
          <w:highlight w:val="none"/>
          <w:lang w:val="en-US" w:eastAsia="zh-CN"/>
        </w:rPr>
      </w:pPr>
      <w:r>
        <w:rPr>
          <w:rFonts w:hint="eastAsia" w:ascii="宋体" w:hAnsi="宋体" w:eastAsia="宋体" w:cs="宋体"/>
          <w:b w:val="0"/>
          <w:bCs w:val="0"/>
          <w:color w:val="auto"/>
          <w:kern w:val="0"/>
          <w:sz w:val="21"/>
          <w:szCs w:val="21"/>
          <w:highlight w:val="none"/>
        </w:rPr>
        <w:t>1.1.4.</w:t>
      </w:r>
      <w:r>
        <w:rPr>
          <w:rFonts w:hint="eastAsia"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rPr>
        <w:t xml:space="preserve"> </w:t>
      </w:r>
      <w:r>
        <w:rPr>
          <w:rFonts w:hint="eastAsia"/>
          <w:b w:val="0"/>
          <w:bCs w:val="0"/>
          <w:color w:val="auto"/>
          <w:highlight w:val="none"/>
          <w:lang w:val="en-US" w:eastAsia="zh-CN"/>
        </w:rPr>
        <w:t>工期总日历天数指工程开工至工程完工初验天数。</w:t>
      </w:r>
    </w:p>
    <w:p w14:paraId="0754FACE">
      <w:pPr>
        <w:pageBreakBefore w:val="0"/>
        <w:kinsoku/>
        <w:overflowPunct/>
        <w:topLinePunct w:val="0"/>
        <w:bidi w:val="0"/>
        <w:spacing w:line="480" w:lineRule="exact"/>
        <w:ind w:left="0" w:leftChars="0" w:firstLine="420" w:firstLineChars="200"/>
        <w:jc w:val="left"/>
        <w:rPr>
          <w:rFonts w:hint="eastAsia"/>
          <w:b w:val="0"/>
          <w:bCs w:val="0"/>
          <w:color w:val="auto"/>
          <w:highlight w:val="none"/>
        </w:rPr>
      </w:pPr>
      <w:r>
        <w:rPr>
          <w:rFonts w:hint="eastAsia" w:ascii="宋体" w:hAnsi="宋体" w:eastAsia="宋体" w:cs="宋体"/>
          <w:b w:val="0"/>
          <w:bCs w:val="0"/>
          <w:color w:val="auto"/>
          <w:kern w:val="0"/>
          <w:sz w:val="21"/>
          <w:szCs w:val="21"/>
          <w:highlight w:val="none"/>
        </w:rPr>
        <w:t>1.1.4.</w:t>
      </w:r>
      <w:r>
        <w:rPr>
          <w:rFonts w:hint="eastAsia" w:hAnsi="宋体" w:cs="宋体"/>
          <w:b w:val="0"/>
          <w:bCs w:val="0"/>
          <w:color w:val="auto"/>
          <w:kern w:val="0"/>
          <w:sz w:val="21"/>
          <w:szCs w:val="21"/>
          <w:highlight w:val="none"/>
          <w:lang w:val="en-US" w:eastAsia="zh-CN"/>
        </w:rPr>
        <w:t>10</w:t>
      </w:r>
      <w:r>
        <w:rPr>
          <w:rFonts w:hint="eastAsia" w:ascii="Times New Roman" w:eastAsia="宋体"/>
          <w:b w:val="0"/>
          <w:bCs w:val="0"/>
          <w:color w:val="auto"/>
          <w:highlight w:val="none"/>
          <w:lang w:val="en-US" w:eastAsia="zh-CN"/>
        </w:rPr>
        <w:t>缺陷期从养护期结束之日起算，缺陷期为一年。</w:t>
      </w:r>
    </w:p>
    <w:p w14:paraId="722463E9">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 xml:space="preserve">1.3法律 </w:t>
      </w:r>
    </w:p>
    <w:p w14:paraId="0B88069E">
      <w:pPr>
        <w:pageBreakBefore w:val="0"/>
        <w:kinsoku/>
        <w:overflowPunct/>
        <w:topLinePunct w:val="0"/>
        <w:autoSpaceDE w:val="0"/>
        <w:autoSpaceDN w:val="0"/>
        <w:bidi w:val="0"/>
        <w:adjustRightInd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cs="宋体"/>
          <w:color w:val="auto"/>
          <w:szCs w:val="21"/>
          <w:highlight w:val="none"/>
          <w:u w:val="single"/>
        </w:rPr>
        <w:t xml:space="preserve">    /   。</w:t>
      </w:r>
    </w:p>
    <w:p w14:paraId="58716CAC">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14:paraId="72A6C68B">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1.4.1适用于工程的标准规范包括：</w:t>
      </w:r>
    </w:p>
    <w:p w14:paraId="0CA9CC34">
      <w:pPr>
        <w:pageBreakBefore w:val="0"/>
        <w:widowControl/>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园林绿化工程施工及验收规范（CJJ82）；</w:t>
      </w:r>
    </w:p>
    <w:p w14:paraId="6AB54D8E">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园林绿化养护标准（CJJ/T287）；</w:t>
      </w:r>
    </w:p>
    <w:p w14:paraId="03965E9C">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建设工程工程量清单计价规范（GB50500）；</w:t>
      </w:r>
    </w:p>
    <w:p w14:paraId="208CFEC1">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园林绿化工程工程量计算规范（GB50858）；</w:t>
      </w:r>
    </w:p>
    <w:p w14:paraId="1957F1DC">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lang w:eastAsia="zh-CN"/>
        </w:rPr>
      </w:pPr>
      <w:r>
        <w:rPr>
          <w:rFonts w:hint="eastAsia" w:ascii="宋体" w:cs="宋体"/>
          <w:color w:val="auto"/>
          <w:szCs w:val="21"/>
          <w:highlight w:val="none"/>
        </w:rPr>
        <w:t>城市绿地草坪建植与管理技术规程</w:t>
      </w:r>
      <w:r>
        <w:rPr>
          <w:rFonts w:hint="eastAsia" w:ascii="宋体" w:cs="宋体"/>
          <w:color w:val="auto"/>
          <w:szCs w:val="21"/>
          <w:highlight w:val="none"/>
          <w:lang w:eastAsia="zh-CN"/>
        </w:rPr>
        <w:t>（</w:t>
      </w:r>
      <w:r>
        <w:rPr>
          <w:rFonts w:hint="eastAsia" w:ascii="宋体" w:cs="宋体"/>
          <w:color w:val="auto"/>
          <w:szCs w:val="21"/>
          <w:highlight w:val="none"/>
        </w:rPr>
        <w:t>GB/T19535-2004</w:t>
      </w:r>
      <w:r>
        <w:rPr>
          <w:rFonts w:hint="eastAsia" w:ascii="宋体" w:cs="宋体"/>
          <w:color w:val="auto"/>
          <w:szCs w:val="21"/>
          <w:highlight w:val="none"/>
          <w:lang w:eastAsia="zh-CN"/>
        </w:rPr>
        <w:t>）；</w:t>
      </w:r>
    </w:p>
    <w:p w14:paraId="29E190C5">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适用于工程的标准规范包括：</w:t>
      </w:r>
      <w:r>
        <w:rPr>
          <w:rFonts w:hint="eastAsia" w:ascii="宋体" w:cs="宋体"/>
          <w:color w:val="auto"/>
          <w:szCs w:val="21"/>
          <w:highlight w:val="none"/>
          <w:u w:val="single"/>
        </w:rPr>
        <w:t xml:space="preserve"> 中华人民共和国住房和城乡建设部等部门及省、市发布的有关文件</w:t>
      </w:r>
      <w:r>
        <w:rPr>
          <w:rFonts w:hint="eastAsia" w:ascii="宋体" w:cs="宋体"/>
          <w:color w:val="auto"/>
          <w:szCs w:val="21"/>
          <w:highlight w:val="none"/>
        </w:rPr>
        <w:t>。</w:t>
      </w:r>
    </w:p>
    <w:p w14:paraId="5231492C">
      <w:pPr>
        <w:pageBreakBefore w:val="0"/>
        <w:kinsoku/>
        <w:overflowPunct/>
        <w:topLinePunct w:val="0"/>
        <w:bidi w:val="0"/>
        <w:snapToGrid w:val="0"/>
        <w:spacing w:line="480" w:lineRule="exact"/>
        <w:ind w:left="0" w:leftChars="0"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38E9D87">
      <w:pPr>
        <w:pageBreakBefore w:val="0"/>
        <w:kinsoku/>
        <w:overflowPunct/>
        <w:topLinePunct w:val="0"/>
        <w:bidi w:val="0"/>
        <w:snapToGrid w:val="0"/>
        <w:spacing w:line="480" w:lineRule="exact"/>
        <w:ind w:left="0" w:leftChars="0"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1AAA44D4">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0A6757A4">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45A8D4E0">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14:paraId="0FD69CC7">
      <w:pPr>
        <w:pageBreakBefore w:val="0"/>
        <w:kinsoku/>
        <w:overflowPunct/>
        <w:topLinePunct w:val="0"/>
        <w:bidi w:val="0"/>
        <w:snapToGrid w:val="0"/>
        <w:spacing w:line="480" w:lineRule="exact"/>
        <w:ind w:left="0" w:leftChars="0"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（1）合同协议书；（2）中标通知书；（3）投标函及其附录；（4）</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；（5）专用合同条款及其附件；（6）通用合同条款；（7）技术标准和要求；</w:t>
      </w:r>
      <w:r>
        <w:rPr>
          <w:rFonts w:hint="eastAsia" w:ascii="宋体" w:cs="宋体"/>
          <w:color w:val="auto"/>
          <w:szCs w:val="21"/>
          <w:highlight w:val="none"/>
          <w:u w:val="single"/>
          <w:lang w:eastAsia="zh-CN"/>
        </w:rPr>
        <w:t>（</w:t>
      </w:r>
      <w:r>
        <w:rPr>
          <w:rFonts w:hint="eastAsia" w:ascii="宋体" w:cs="宋体"/>
          <w:color w:val="auto"/>
          <w:szCs w:val="21"/>
          <w:highlight w:val="none"/>
          <w:u w:val="single"/>
          <w:lang w:val="en-US" w:eastAsia="zh-CN"/>
        </w:rPr>
        <w:t>8</w:t>
      </w:r>
      <w:r>
        <w:rPr>
          <w:rFonts w:hint="eastAsia" w:ascii="宋体" w:cs="宋体"/>
          <w:color w:val="auto"/>
          <w:szCs w:val="21"/>
          <w:highlight w:val="none"/>
          <w:u w:val="single"/>
          <w:lang w:eastAsia="zh-CN"/>
        </w:rPr>
        <w:t>）</w:t>
      </w:r>
      <w:r>
        <w:rPr>
          <w:rFonts w:hint="eastAsia" w:ascii="宋体" w:cs="宋体"/>
          <w:color w:val="auto"/>
          <w:szCs w:val="21"/>
          <w:highlight w:val="none"/>
          <w:u w:val="single"/>
        </w:rPr>
        <w:t>已标价工程量清单或预算书；（</w:t>
      </w:r>
      <w:r>
        <w:rPr>
          <w:rFonts w:hint="eastAsia" w:ascii="宋体" w:cs="宋体"/>
          <w:color w:val="auto"/>
          <w:szCs w:val="21"/>
          <w:highlight w:val="none"/>
          <w:u w:val="single"/>
          <w:lang w:val="en-US" w:eastAsia="zh-CN"/>
        </w:rPr>
        <w:t>9</w:t>
      </w:r>
      <w:r>
        <w:rPr>
          <w:rFonts w:hint="eastAsia" w:ascii="宋体" w:cs="宋体"/>
          <w:color w:val="auto"/>
          <w:szCs w:val="21"/>
          <w:highlight w:val="none"/>
          <w:u w:val="single"/>
        </w:rPr>
        <w:t>）其他合同文件。</w:t>
      </w:r>
    </w:p>
    <w:p w14:paraId="303BD63E">
      <w:pPr>
        <w:pStyle w:val="14"/>
        <w:pageBreakBefore w:val="0"/>
        <w:kinsoku/>
        <w:overflowPunct/>
        <w:topLinePunct w:val="0"/>
        <w:bidi w:val="0"/>
        <w:spacing w:after="0" w:afterLines="0" w:line="480" w:lineRule="exact"/>
        <w:ind w:left="0" w:leftChars="0" w:firstLine="420" w:firstLineChars="200"/>
        <w:rPr>
          <w:color w:val="auto"/>
          <w:highlight w:val="none"/>
        </w:rPr>
      </w:pPr>
      <w:r>
        <w:rPr>
          <w:color w:val="auto"/>
          <w:highlight w:val="none"/>
        </w:rPr>
        <w:t>上述各项合同文件包括合同当事人就该项合同文件所作出的补充和修改，属于同一类内容的文件，应以最新签署的为准。</w:t>
      </w:r>
    </w:p>
    <w:p w14:paraId="662FF1B2">
      <w:pPr>
        <w:pStyle w:val="14"/>
        <w:pageBreakBefore w:val="0"/>
        <w:kinsoku/>
        <w:overflowPunct/>
        <w:topLinePunct w:val="0"/>
        <w:bidi w:val="0"/>
        <w:spacing w:after="0" w:afterLines="0" w:line="480" w:lineRule="exact"/>
        <w:ind w:left="0" w:leftChars="0" w:firstLine="420" w:firstLineChars="200"/>
        <w:rPr>
          <w:color w:val="auto"/>
          <w:highlight w:val="none"/>
        </w:rPr>
      </w:pPr>
      <w:r>
        <w:rPr>
          <w:color w:val="auto"/>
          <w:highlight w:val="none"/>
        </w:rPr>
        <w:t>在合同订立及履行过程中形成的与合同有关的文件均构成合同文件组成部分，并根据其性质确定优先解释顺序。</w:t>
      </w:r>
    </w:p>
    <w:p w14:paraId="2FFBBA11">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12825A3F">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1.6.1 图纸的提供</w:t>
      </w:r>
    </w:p>
    <w:p w14:paraId="7C747304">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w:t>
      </w:r>
      <w:r>
        <w:rPr>
          <w:rFonts w:hint="eastAsia" w:ascii="宋体" w:cs="宋体"/>
          <w:color w:val="auto"/>
          <w:szCs w:val="21"/>
          <w:highlight w:val="none"/>
        </w:rPr>
        <w:t>；</w:t>
      </w:r>
    </w:p>
    <w:p w14:paraId="7D6C16A7">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2F0075A">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0C116271">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1.6.4 承包人文件</w:t>
      </w:r>
    </w:p>
    <w:p w14:paraId="50F0EB9F">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 xml:space="preserve">按监理要求执行，包括但不限于项目部人员证书（在领取中标通知书前）、项目部任命文、实施性施工组织设计等  </w:t>
      </w:r>
      <w:r>
        <w:rPr>
          <w:rFonts w:hint="eastAsia" w:ascii="宋体" w:cs="宋体"/>
          <w:color w:val="auto"/>
          <w:szCs w:val="21"/>
          <w:highlight w:val="none"/>
        </w:rPr>
        <w:t>；</w:t>
      </w:r>
    </w:p>
    <w:p w14:paraId="76E2C11D">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承包人提供的文件的期限为：</w:t>
      </w:r>
      <w:r>
        <w:rPr>
          <w:rFonts w:hint="eastAsia" w:ascii="宋体" w:cs="宋体"/>
          <w:color w:val="auto"/>
          <w:szCs w:val="21"/>
          <w:highlight w:val="none"/>
          <w:u w:val="single"/>
        </w:rPr>
        <w:t xml:space="preserve">按监理要求执行    </w:t>
      </w:r>
      <w:r>
        <w:rPr>
          <w:rFonts w:hint="eastAsia" w:ascii="宋体" w:cs="宋体"/>
          <w:color w:val="auto"/>
          <w:szCs w:val="21"/>
          <w:highlight w:val="none"/>
        </w:rPr>
        <w:t>；</w:t>
      </w:r>
    </w:p>
    <w:p w14:paraId="799D664C">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承包人提供的文件的数量为：</w:t>
      </w:r>
      <w:r>
        <w:rPr>
          <w:rFonts w:hint="eastAsia" w:ascii="宋体" w:cs="宋体"/>
          <w:color w:val="auto"/>
          <w:szCs w:val="21"/>
          <w:highlight w:val="none"/>
          <w:u w:val="single"/>
        </w:rPr>
        <w:t xml:space="preserve">  按监理要求执行    </w:t>
      </w:r>
      <w:r>
        <w:rPr>
          <w:rFonts w:hint="eastAsia" w:ascii="宋体" w:cs="宋体"/>
          <w:color w:val="auto"/>
          <w:szCs w:val="21"/>
          <w:highlight w:val="none"/>
        </w:rPr>
        <w:t>；</w:t>
      </w:r>
    </w:p>
    <w:p w14:paraId="56609866">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承包人提供的文件的形式为：</w:t>
      </w:r>
      <w:r>
        <w:rPr>
          <w:rFonts w:hint="eastAsia" w:ascii="宋体" w:cs="宋体"/>
          <w:color w:val="auto"/>
          <w:szCs w:val="21"/>
          <w:highlight w:val="none"/>
          <w:u w:val="single"/>
        </w:rPr>
        <w:t>按监理要求执行  </w:t>
      </w:r>
      <w:r>
        <w:rPr>
          <w:rFonts w:hint="eastAsia" w:ascii="宋体" w:cs="宋体"/>
          <w:color w:val="auto"/>
          <w:szCs w:val="21"/>
          <w:highlight w:val="none"/>
        </w:rPr>
        <w:t>；</w:t>
      </w:r>
    </w:p>
    <w:p w14:paraId="7AA263DD">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0D2427DC">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14:paraId="238FF9FD">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lang w:val="en-US" w:eastAsia="zh-CN"/>
        </w:rPr>
        <w:t>/</w:t>
      </w:r>
      <w:r>
        <w:rPr>
          <w:rFonts w:hint="eastAsia" w:ascii="宋体" w:cs="宋体"/>
          <w:color w:val="auto"/>
          <w:szCs w:val="21"/>
          <w:highlight w:val="none"/>
        </w:rPr>
        <w:t>。</w:t>
      </w:r>
    </w:p>
    <w:p w14:paraId="2FF948CB">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1.7 联络</w:t>
      </w:r>
    </w:p>
    <w:p w14:paraId="0152F367">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1201AC72">
      <w:pPr>
        <w:pageBreakBefore w:val="0"/>
        <w:kinsoku/>
        <w:overflowPunct/>
        <w:topLinePunct w:val="0"/>
        <w:bidi w:val="0"/>
        <w:snapToGrid w:val="0"/>
        <w:spacing w:line="480" w:lineRule="exact"/>
        <w:ind w:left="0" w:leftChars="0"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w:t>
      </w:r>
      <w:r>
        <w:rPr>
          <w:rFonts w:hint="eastAsia" w:ascii="宋体" w:hAnsi="宋体" w:eastAsia="宋体" w:cs="宋体"/>
          <w:color w:val="auto"/>
          <w:szCs w:val="21"/>
          <w:highlight w:val="none"/>
          <w:u w:val="single"/>
          <w:lang w:val="en-US" w:eastAsia="zh-CN"/>
        </w:rPr>
        <w:t>发包人办公室</w:t>
      </w:r>
      <w:r>
        <w:rPr>
          <w:rFonts w:hint="eastAsia" w:ascii="宋体" w:cs="宋体"/>
          <w:color w:val="auto"/>
          <w:szCs w:val="21"/>
          <w:highlight w:val="none"/>
          <w:u w:val="single"/>
        </w:rPr>
        <w:t></w:t>
      </w:r>
      <w:r>
        <w:rPr>
          <w:rFonts w:hint="eastAsia" w:ascii="宋体" w:cs="宋体"/>
          <w:color w:val="auto"/>
          <w:kern w:val="0"/>
          <w:szCs w:val="21"/>
          <w:highlight w:val="none"/>
        </w:rPr>
        <w:t>；</w:t>
      </w:r>
    </w:p>
    <w:p w14:paraId="2C09BD0B">
      <w:pPr>
        <w:pageBreakBefore w:val="0"/>
        <w:kinsoku/>
        <w:overflowPunct/>
        <w:topLinePunct w:val="0"/>
        <w:bidi w:val="0"/>
        <w:snapToGrid w:val="0"/>
        <w:spacing w:line="480" w:lineRule="exact"/>
        <w:ind w:left="0" w:leftChars="0"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5334B144">
      <w:pPr>
        <w:pageBreakBefore w:val="0"/>
        <w:kinsoku/>
        <w:overflowPunct/>
        <w:topLinePunct w:val="0"/>
        <w:bidi w:val="0"/>
        <w:snapToGrid w:val="0"/>
        <w:spacing w:line="480" w:lineRule="exact"/>
        <w:ind w:left="0" w:leftChars="0"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w:t>
      </w:r>
      <w:r>
        <w:rPr>
          <w:rFonts w:hint="eastAsia" w:ascii="宋体" w:hAnsi="宋体" w:eastAsia="宋体" w:cs="宋体"/>
          <w:color w:val="auto"/>
          <w:szCs w:val="21"/>
          <w:highlight w:val="none"/>
          <w:u w:val="single"/>
          <w:lang w:val="en-US" w:eastAsia="zh-CN"/>
        </w:rPr>
        <w:t>发包人办公室</w:t>
      </w:r>
      <w:r>
        <w:rPr>
          <w:rFonts w:hint="eastAsia" w:ascii="宋体" w:cs="宋体"/>
          <w:color w:val="auto"/>
          <w:szCs w:val="21"/>
          <w:highlight w:val="none"/>
          <w:u w:val="single"/>
        </w:rPr>
        <w:t></w:t>
      </w:r>
      <w:r>
        <w:rPr>
          <w:rFonts w:hint="eastAsia" w:ascii="宋体" w:cs="宋体"/>
          <w:color w:val="auto"/>
          <w:kern w:val="0"/>
          <w:szCs w:val="21"/>
          <w:highlight w:val="none"/>
        </w:rPr>
        <w:t>；</w:t>
      </w:r>
    </w:p>
    <w:p w14:paraId="1CED47C2">
      <w:pPr>
        <w:pageBreakBefore w:val="0"/>
        <w:kinsoku/>
        <w:overflowPunct/>
        <w:topLinePunct w:val="0"/>
        <w:bidi w:val="0"/>
        <w:snapToGrid w:val="0"/>
        <w:spacing w:line="480" w:lineRule="exact"/>
        <w:ind w:left="0" w:leftChars="0"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1B6E795C">
      <w:pPr>
        <w:pageBreakBefore w:val="0"/>
        <w:kinsoku/>
        <w:overflowPunct/>
        <w:topLinePunct w:val="0"/>
        <w:bidi w:val="0"/>
        <w:snapToGrid w:val="0"/>
        <w:spacing w:line="480" w:lineRule="exact"/>
        <w:ind w:left="0" w:leftChars="0" w:firstLine="420" w:firstLineChars="200"/>
        <w:rPr>
          <w:rFonts w:hint="eastAsia" w:ascii="宋体" w:cs="宋体"/>
          <w:color w:val="auto"/>
          <w:kern w:val="0"/>
          <w:szCs w:val="21"/>
          <w:highlight w:val="none"/>
        </w:rPr>
      </w:pPr>
      <w:r>
        <w:rPr>
          <w:rFonts w:hint="eastAsia" w:ascii="宋体" w:cs="宋体"/>
          <w:color w:val="auto"/>
          <w:kern w:val="0"/>
          <w:szCs w:val="21"/>
          <w:highlight w:val="none"/>
        </w:rPr>
        <w:t>监理人接收文件的地点：</w:t>
      </w:r>
      <w:r>
        <w:rPr>
          <w:rFonts w:hint="eastAsia" w:ascii="宋体" w:cs="宋体"/>
          <w:color w:val="auto"/>
          <w:szCs w:val="21"/>
          <w:highlight w:val="none"/>
          <w:u w:val="single"/>
        </w:rPr>
        <w:t></w:t>
      </w:r>
      <w:r>
        <w:rPr>
          <w:rFonts w:hint="eastAsia" w:ascii="宋体" w:hAnsi="宋体" w:eastAsia="宋体" w:cs="宋体"/>
          <w:color w:val="auto"/>
          <w:szCs w:val="21"/>
          <w:highlight w:val="none"/>
          <w:u w:val="single"/>
          <w:lang w:val="en-US" w:eastAsia="zh-CN"/>
        </w:rPr>
        <w:t>发包人办公室</w:t>
      </w:r>
      <w:r>
        <w:rPr>
          <w:rFonts w:hint="eastAsia" w:ascii="宋体" w:cs="宋体"/>
          <w:color w:val="auto"/>
          <w:szCs w:val="21"/>
          <w:highlight w:val="none"/>
          <w:u w:val="single"/>
        </w:rPr>
        <w:t></w:t>
      </w:r>
      <w:r>
        <w:rPr>
          <w:rFonts w:hint="eastAsia" w:ascii="宋体" w:cs="宋体"/>
          <w:color w:val="auto"/>
          <w:kern w:val="0"/>
          <w:szCs w:val="21"/>
          <w:highlight w:val="none"/>
        </w:rPr>
        <w:t>；</w:t>
      </w:r>
    </w:p>
    <w:p w14:paraId="086EEB4F">
      <w:pPr>
        <w:pageBreakBefore w:val="0"/>
        <w:kinsoku/>
        <w:overflowPunct/>
        <w:topLinePunct w:val="0"/>
        <w:bidi w:val="0"/>
        <w:snapToGrid w:val="0"/>
        <w:spacing w:line="480" w:lineRule="exact"/>
        <w:ind w:left="0" w:leftChars="0" w:firstLine="420" w:firstLineChars="200"/>
        <w:rPr>
          <w:rFonts w:hint="eastAsia" w:ascii="宋体" w:cs="宋体"/>
          <w:color w:val="auto"/>
          <w:kern w:val="0"/>
          <w:szCs w:val="21"/>
          <w:highlight w:val="none"/>
        </w:rPr>
      </w:pPr>
      <w:r>
        <w:rPr>
          <w:rFonts w:hint="eastAsia" w:ascii="宋体" w:cs="宋体"/>
          <w:color w:val="auto"/>
          <w:kern w:val="0"/>
          <w:szCs w:val="21"/>
          <w:highlight w:val="none"/>
        </w:rPr>
        <w:t>监理人指定的接收人为：</w:t>
      </w:r>
      <w:r>
        <w:rPr>
          <w:rFonts w:hint="eastAsia" w:ascii="宋体" w:cs="宋体"/>
          <w:color w:val="auto"/>
          <w:szCs w:val="21"/>
          <w:highlight w:val="none"/>
          <w:u w:val="single"/>
        </w:rPr>
        <w:t>总监理工程师或总监代表 </w:t>
      </w:r>
      <w:r>
        <w:rPr>
          <w:rFonts w:hint="eastAsia" w:ascii="宋体" w:cs="宋体"/>
          <w:color w:val="auto"/>
          <w:kern w:val="0"/>
          <w:szCs w:val="21"/>
          <w:highlight w:val="none"/>
        </w:rPr>
        <w:t>。</w:t>
      </w:r>
    </w:p>
    <w:p w14:paraId="5E01AA67">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14:paraId="6B5FB31D">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1.10.1 出入现场的权利</w:t>
      </w:r>
    </w:p>
    <w:p w14:paraId="4EEA0BB6">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u w:val="single"/>
          <w:lang w:eastAsia="zh-CN"/>
        </w:rPr>
      </w:pPr>
      <w:r>
        <w:rPr>
          <w:rFonts w:hint="eastAsia" w:ascii="宋体" w:cs="宋体"/>
          <w:color w:val="auto"/>
          <w:szCs w:val="21"/>
          <w:highlight w:val="none"/>
        </w:rPr>
        <w:t>关于出入现场的权利的约定：</w:t>
      </w:r>
      <w:r>
        <w:rPr>
          <w:rFonts w:hint="eastAsia" w:ascii="宋体" w:cs="宋体"/>
          <w:color w:val="auto"/>
          <w:szCs w:val="21"/>
          <w:highlight w:val="none"/>
          <w:u w:val="single"/>
          <w:lang w:val="en-US" w:eastAsia="zh-CN"/>
        </w:rPr>
        <w:t>/</w:t>
      </w:r>
    </w:p>
    <w:p w14:paraId="36DA4D44">
      <w:pPr>
        <w:pageBreakBefore w:val="0"/>
        <w:widowControl/>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1.10.3 场内交通</w:t>
      </w:r>
    </w:p>
    <w:p w14:paraId="26E5D699">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场内交通设施和道路由承包人负责建设，发包人不另支付费用，场内交通边界现场确定</w:t>
      </w:r>
      <w:r>
        <w:rPr>
          <w:rFonts w:hint="eastAsia" w:ascii="宋体" w:cs="宋体"/>
          <w:color w:val="auto"/>
          <w:szCs w:val="21"/>
          <w:highlight w:val="none"/>
        </w:rPr>
        <w:t>。</w:t>
      </w:r>
    </w:p>
    <w:p w14:paraId="6C428DAC">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14:paraId="6D997835">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14:paraId="64319F50">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14:paraId="74637500">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1.13工程量清单错误的修正</w:t>
      </w:r>
    </w:p>
    <w:p w14:paraId="5A913657">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承包人应在合同签订后对发包人提供的工程量清单和现场进行核查和踏察，如发现差异，应在</w:t>
      </w:r>
      <w:r>
        <w:rPr>
          <w:rFonts w:hint="eastAsia" w:ascii="宋体" w:cs="宋体"/>
          <w:strike w:val="0"/>
          <w:dstrike w:val="0"/>
          <w:color w:val="auto"/>
          <w:szCs w:val="21"/>
          <w:highlight w:val="none"/>
          <w:lang w:eastAsia="zh-CN"/>
        </w:rPr>
        <w:t>合同签订前</w:t>
      </w:r>
      <w:r>
        <w:rPr>
          <w:rFonts w:hint="eastAsia" w:ascii="宋体" w:cs="宋体"/>
          <w:color w:val="auto"/>
          <w:szCs w:val="21"/>
          <w:highlight w:val="none"/>
        </w:rPr>
        <w:t>向发包人提出：</w:t>
      </w:r>
    </w:p>
    <w:p w14:paraId="2E9A6827">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出现工程量清单错误时，是否调整合同价格：</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不调整</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43025EAB">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14:paraId="5BE35C84">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bookmarkStart w:id="830" w:name="_Toc351203510"/>
      <w:bookmarkStart w:id="831" w:name="_Toc29214"/>
      <w:bookmarkStart w:id="832" w:name="_Toc1613310203"/>
      <w:bookmarkStart w:id="833" w:name="_Toc493482386"/>
      <w:r>
        <w:rPr>
          <w:rFonts w:hint="eastAsia" w:ascii="宋体" w:cs="宋体"/>
          <w:color w:val="auto"/>
          <w:szCs w:val="21"/>
          <w:highlight w:val="none"/>
        </w:rPr>
        <w:t>2.1 许可或批准</w:t>
      </w:r>
      <w:bookmarkEnd w:id="830"/>
      <w:bookmarkEnd w:id="831"/>
      <w:bookmarkEnd w:id="832"/>
      <w:bookmarkEnd w:id="833"/>
    </w:p>
    <w:p w14:paraId="4D8727F4">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2.1.1 根据相关规定提供园林绿化施工所需的许可或批准。</w:t>
      </w:r>
    </w:p>
    <w:p w14:paraId="35D6573B">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14:paraId="56DA0A2D">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14:paraId="6A5DD0F4">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5A59BA7E">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75875497">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28053460">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5FCBB04E">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17370C15">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6AC85303">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工程结算的审核权；合同的解释；等等。</w:t>
      </w:r>
    </w:p>
    <w:p w14:paraId="33196B32">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14:paraId="27CBB7B7">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14:paraId="29A89683">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57E4CEB8">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14:paraId="545B82DA">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u w:val="single"/>
          <w:lang w:eastAsia="zh-CN"/>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lang w:eastAsia="zh-CN"/>
        </w:rPr>
        <w:t>（</w:t>
      </w:r>
      <w:r>
        <w:rPr>
          <w:rFonts w:hint="eastAsia" w:ascii="宋体" w:cs="宋体"/>
          <w:color w:val="auto"/>
          <w:szCs w:val="21"/>
          <w:highlight w:val="none"/>
          <w:u w:val="single"/>
          <w:lang w:val="en-US" w:eastAsia="zh-CN"/>
        </w:rPr>
        <w:t>1</w:t>
      </w:r>
      <w:r>
        <w:rPr>
          <w:rFonts w:hint="eastAsia" w:ascii="宋体" w:cs="宋体"/>
          <w:color w:val="auto"/>
          <w:szCs w:val="21"/>
          <w:highlight w:val="none"/>
          <w:u w:val="single"/>
          <w:lang w:eastAsia="zh-CN"/>
        </w:rPr>
        <w:t>）</w:t>
      </w:r>
      <w:r>
        <w:rPr>
          <w:rFonts w:hint="eastAsia" w:ascii="宋体" w:cs="宋体"/>
          <w:color w:val="auto"/>
          <w:szCs w:val="21"/>
          <w:highlight w:val="none"/>
          <w:u w:val="single"/>
        </w:rPr>
        <w:t>保证向承包人提供正常施工所需要的进入施工现场的交通条件；</w:t>
      </w:r>
      <w:r>
        <w:rPr>
          <w:rFonts w:hint="eastAsia" w:ascii="宋体" w:cs="宋体"/>
          <w:color w:val="auto"/>
          <w:szCs w:val="21"/>
          <w:highlight w:val="none"/>
          <w:u w:val="single"/>
          <w:lang w:eastAsia="zh-CN"/>
        </w:rPr>
        <w:t>　</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2</w:t>
      </w:r>
      <w:r>
        <w:rPr>
          <w:rFonts w:hint="eastAsia" w:ascii="宋体" w:cs="宋体"/>
          <w:color w:val="auto"/>
          <w:szCs w:val="21"/>
          <w:highlight w:val="none"/>
          <w:u w:val="single"/>
        </w:rPr>
        <w:t>）协调处理施工现场周围地下管线和邻近建筑物、构筑物的保护工作</w:t>
      </w:r>
      <w:r>
        <w:rPr>
          <w:rFonts w:hint="eastAsia" w:ascii="宋体" w:cs="宋体"/>
          <w:color w:val="auto"/>
          <w:szCs w:val="21"/>
          <w:highlight w:val="none"/>
          <w:u w:val="single"/>
          <w:lang w:eastAsia="zh-CN"/>
        </w:rPr>
        <w:t>。</w:t>
      </w:r>
    </w:p>
    <w:p w14:paraId="3DD6A224">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2.4.3 提供基础资料</w:t>
      </w:r>
    </w:p>
    <w:p w14:paraId="3630DDF6">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 xml:space="preserve">发包人还应提供项目施工区域内现状树木一览表（附件2）、现状土壤指标等。 </w:t>
      </w:r>
    </w:p>
    <w:p w14:paraId="22710B43">
      <w:pPr>
        <w:keepNext w:val="0"/>
        <w:keepLines w:val="0"/>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cs="宋体"/>
          <w:color w:val="auto"/>
          <w:szCs w:val="21"/>
          <w:highlight w:val="none"/>
        </w:rPr>
      </w:pPr>
      <w:r>
        <w:rPr>
          <w:rFonts w:hint="eastAsia" w:ascii="宋体" w:cs="宋体"/>
          <w:color w:val="auto"/>
          <w:szCs w:val="21"/>
          <w:highlight w:val="none"/>
        </w:rPr>
        <w:t>2.5 资金来源证明及支付担保</w:t>
      </w:r>
    </w:p>
    <w:p w14:paraId="51CA268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自筹</w:t>
      </w:r>
      <w:r>
        <w:rPr>
          <w:rFonts w:hint="eastAsia" w:ascii="宋体" w:cs="宋体"/>
          <w:color w:val="auto"/>
          <w:szCs w:val="21"/>
          <w:highlight w:val="none"/>
          <w:u w:val="single"/>
        </w:rPr>
        <w:t xml:space="preserve">资金   </w:t>
      </w:r>
      <w:r>
        <w:rPr>
          <w:rFonts w:hint="eastAsia" w:ascii="宋体" w:cs="宋体"/>
          <w:color w:val="auto"/>
          <w:szCs w:val="21"/>
          <w:highlight w:val="none"/>
        </w:rPr>
        <w:t>。</w:t>
      </w:r>
    </w:p>
    <w:p w14:paraId="4550945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5CBBF70F">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3418CD95">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14:paraId="555C51A2">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14:paraId="644FBD40">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w:t>
      </w:r>
      <w:r>
        <w:rPr>
          <w:rFonts w:hint="eastAsia" w:ascii="宋体" w:cs="宋体"/>
          <w:color w:val="auto"/>
          <w:szCs w:val="21"/>
          <w:highlight w:val="none"/>
          <w:lang w:val="en-US" w:eastAsia="zh-CN"/>
        </w:rPr>
        <w:t>交（</w:t>
      </w:r>
      <w:r>
        <w:rPr>
          <w:rFonts w:hint="eastAsia" w:ascii="宋体" w:cs="宋体"/>
          <w:color w:val="auto"/>
          <w:szCs w:val="21"/>
          <w:highlight w:val="none"/>
        </w:rPr>
        <w:t>竣</w:t>
      </w:r>
      <w:r>
        <w:rPr>
          <w:rFonts w:hint="eastAsia" w:ascii="宋体" w:cs="宋体"/>
          <w:color w:val="auto"/>
          <w:szCs w:val="21"/>
          <w:highlight w:val="none"/>
          <w:lang w:eastAsia="zh-CN"/>
        </w:rPr>
        <w:t>）</w:t>
      </w:r>
      <w:r>
        <w:rPr>
          <w:rFonts w:hint="eastAsia" w:ascii="宋体" w:cs="宋体"/>
          <w:color w:val="auto"/>
          <w:szCs w:val="21"/>
          <w:highlight w:val="none"/>
        </w:rPr>
        <w:t>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14:paraId="5BCD0663">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按相关要求执行，且不少于3套</w:t>
      </w:r>
      <w:r>
        <w:rPr>
          <w:rFonts w:hint="eastAsia" w:ascii="宋体" w:cs="宋体"/>
          <w:color w:val="auto"/>
          <w:szCs w:val="21"/>
          <w:highlight w:val="none"/>
        </w:rPr>
        <w:t>。</w:t>
      </w:r>
    </w:p>
    <w:p w14:paraId="6CAAE235">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5B268267">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交（</w:t>
      </w:r>
      <w:r>
        <w:rPr>
          <w:rFonts w:hint="eastAsia" w:ascii="宋体" w:cs="宋体"/>
          <w:color w:val="auto"/>
          <w:szCs w:val="21"/>
          <w:highlight w:val="none"/>
          <w:u w:val="single"/>
        </w:rPr>
        <w:t>竣</w:t>
      </w:r>
      <w:r>
        <w:rPr>
          <w:rFonts w:hint="eastAsia" w:ascii="宋体" w:cs="宋体"/>
          <w:color w:val="auto"/>
          <w:szCs w:val="21"/>
          <w:highlight w:val="none"/>
          <w:u w:val="single"/>
          <w:lang w:eastAsia="zh-CN"/>
        </w:rPr>
        <w:t>）</w:t>
      </w:r>
      <w:r>
        <w:rPr>
          <w:rFonts w:hint="eastAsia" w:ascii="宋体" w:cs="宋体"/>
          <w:color w:val="auto"/>
          <w:szCs w:val="21"/>
          <w:highlight w:val="none"/>
          <w:u w:val="single"/>
        </w:rPr>
        <w:t xml:space="preserve">工验收合格后15日内   </w:t>
      </w:r>
      <w:r>
        <w:rPr>
          <w:rFonts w:hint="eastAsia" w:ascii="宋体" w:cs="宋体"/>
          <w:color w:val="auto"/>
          <w:szCs w:val="21"/>
          <w:highlight w:val="none"/>
        </w:rPr>
        <w:t>。</w:t>
      </w:r>
    </w:p>
    <w:p w14:paraId="5AFF53FA">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0825A68B">
      <w:pPr>
        <w:pageBreakBefore w:val="0"/>
        <w:numPr>
          <w:ilvl w:val="0"/>
          <w:numId w:val="3"/>
        </w:numPr>
        <w:kinsoku/>
        <w:overflowPunct/>
        <w:topLinePunct w:val="0"/>
        <w:bidi w:val="0"/>
        <w:spacing w:line="480" w:lineRule="exact"/>
        <w:ind w:left="0" w:leftChars="0" w:firstLine="420" w:firstLineChars="200"/>
        <w:rPr>
          <w:rFonts w:hint="eastAsia" w:ascii="宋体" w:cs="宋体"/>
          <w:color w:val="auto"/>
          <w:szCs w:val="21"/>
          <w:highlight w:val="none"/>
          <w:u w:val="single"/>
        </w:rPr>
      </w:pPr>
      <w:r>
        <w:rPr>
          <w:rFonts w:hint="eastAsia" w:ascii="宋体" w:cs="宋体"/>
          <w:color w:val="auto"/>
          <w:kern w:val="0"/>
          <w:szCs w:val="21"/>
          <w:highlight w:val="none"/>
        </w:rPr>
        <w:t>承包人应履行的其他义务：</w:t>
      </w:r>
      <w:r>
        <w:rPr>
          <w:rFonts w:hint="eastAsia" w:ascii="宋体" w:cs="宋体"/>
          <w:color w:val="auto"/>
          <w:kern w:val="0"/>
          <w:szCs w:val="21"/>
          <w:highlight w:val="none"/>
          <w:u w:val="single"/>
          <w:lang w:eastAsia="zh-CN"/>
        </w:rPr>
        <w:t>采取有效措施，对</w:t>
      </w:r>
      <w:r>
        <w:rPr>
          <w:rFonts w:hint="eastAsia" w:ascii="宋体" w:cs="宋体"/>
          <w:color w:val="auto"/>
          <w:szCs w:val="21"/>
          <w:highlight w:val="none"/>
          <w:u w:val="single"/>
        </w:rPr>
        <w:t>施工现场周围地下管线和邻近建筑物、构筑物</w:t>
      </w:r>
      <w:r>
        <w:rPr>
          <w:rFonts w:hint="eastAsia" w:ascii="宋体" w:cs="宋体"/>
          <w:strike w:val="0"/>
          <w:dstrike w:val="0"/>
          <w:color w:val="auto"/>
          <w:szCs w:val="21"/>
          <w:highlight w:val="none"/>
          <w:u w:val="single"/>
          <w:lang w:eastAsia="zh-CN"/>
        </w:rPr>
        <w:t>及院内原有绿化进行</w:t>
      </w:r>
      <w:r>
        <w:rPr>
          <w:rFonts w:hint="eastAsia" w:ascii="宋体" w:cs="宋体"/>
          <w:color w:val="auto"/>
          <w:szCs w:val="21"/>
          <w:highlight w:val="none"/>
          <w:u w:val="single"/>
        </w:rPr>
        <w:t>保护</w:t>
      </w:r>
      <w:r>
        <w:rPr>
          <w:rFonts w:hint="eastAsia" w:ascii="宋体" w:cs="宋体"/>
          <w:color w:val="auto"/>
          <w:szCs w:val="21"/>
          <w:highlight w:val="none"/>
          <w:u w:val="single"/>
          <w:lang w:eastAsia="zh-CN"/>
        </w:rPr>
        <w:t>，所产生的费用包含在投标综合单价中，不另计</w:t>
      </w:r>
      <w:r>
        <w:rPr>
          <w:rFonts w:hint="eastAsia" w:ascii="宋体" w:cs="宋体"/>
          <w:color w:val="auto"/>
          <w:szCs w:val="21"/>
          <w:highlight w:val="none"/>
          <w:u w:val="single"/>
        </w:rPr>
        <w:t>；因施工造成公司院内道路及其他区域污染的，承包人应负责及时清理，所需费用亦包含在</w:t>
      </w:r>
      <w:r>
        <w:rPr>
          <w:rFonts w:hint="eastAsia" w:ascii="宋体" w:cs="宋体"/>
          <w:color w:val="auto"/>
          <w:szCs w:val="21"/>
          <w:highlight w:val="none"/>
          <w:u w:val="single"/>
          <w:lang w:eastAsia="zh-CN"/>
        </w:rPr>
        <w:t>投标</w:t>
      </w:r>
      <w:r>
        <w:rPr>
          <w:rFonts w:hint="eastAsia" w:ascii="宋体" w:cs="宋体"/>
          <w:color w:val="auto"/>
          <w:szCs w:val="21"/>
          <w:highlight w:val="none"/>
          <w:u w:val="single"/>
        </w:rPr>
        <w:t>综合单价中。</w:t>
      </w:r>
    </w:p>
    <w:p w14:paraId="374004EC">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 xml:space="preserve">3.2 </w:t>
      </w:r>
      <w:r>
        <w:rPr>
          <w:rFonts w:hint="eastAsia" w:ascii="宋体" w:cs="宋体"/>
          <w:color w:val="auto"/>
          <w:kern w:val="0"/>
          <w:szCs w:val="21"/>
          <w:highlight w:val="none"/>
          <w:lang w:val="en-US" w:eastAsia="zh-CN"/>
        </w:rPr>
        <w:t>项目负责人（</w:t>
      </w:r>
      <w:r>
        <w:rPr>
          <w:rFonts w:hint="eastAsia" w:ascii="宋体" w:cs="宋体"/>
          <w:color w:val="auto"/>
          <w:szCs w:val="21"/>
          <w:highlight w:val="none"/>
        </w:rPr>
        <w:t>项目经理</w:t>
      </w:r>
      <w:r>
        <w:rPr>
          <w:rFonts w:hint="eastAsia" w:ascii="宋体" w:cs="宋体"/>
          <w:color w:val="auto"/>
          <w:kern w:val="0"/>
          <w:szCs w:val="21"/>
          <w:highlight w:val="none"/>
          <w:lang w:val="en-US" w:eastAsia="zh-CN"/>
        </w:rPr>
        <w:t>）</w:t>
      </w:r>
    </w:p>
    <w:p w14:paraId="4700DAA2">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kern w:val="0"/>
          <w:szCs w:val="21"/>
          <w:highlight w:val="none"/>
          <w:lang w:val="en-US" w:eastAsia="zh-CN"/>
        </w:rPr>
        <w:t>项目负责人（</w:t>
      </w:r>
      <w:r>
        <w:rPr>
          <w:rFonts w:hint="eastAsia" w:ascii="宋体" w:cs="宋体"/>
          <w:color w:val="auto"/>
          <w:szCs w:val="21"/>
          <w:highlight w:val="none"/>
        </w:rPr>
        <w:t>项目经理</w:t>
      </w:r>
      <w:r>
        <w:rPr>
          <w:rFonts w:hint="eastAsia" w:ascii="宋体" w:cs="宋体"/>
          <w:color w:val="auto"/>
          <w:kern w:val="0"/>
          <w:szCs w:val="21"/>
          <w:highlight w:val="none"/>
          <w:lang w:val="en-US" w:eastAsia="zh-CN"/>
        </w:rPr>
        <w:t>）</w:t>
      </w:r>
      <w:r>
        <w:rPr>
          <w:rFonts w:hint="eastAsia" w:ascii="宋体" w:cs="宋体"/>
          <w:color w:val="auto"/>
          <w:szCs w:val="21"/>
          <w:highlight w:val="none"/>
        </w:rPr>
        <w:t>：</w:t>
      </w:r>
    </w:p>
    <w:p w14:paraId="429D8423">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1DAF48EC">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3D583DF3">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7ADAA637">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7D9CC8E0">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4763AA26">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6EC7E110">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792ABEA8">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38B3D846">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44852EFC">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承包人对建造师的授权范围如下：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589F6502">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关于建造师每月在施工现场的时间要求：</w:t>
      </w:r>
      <w:r>
        <w:rPr>
          <w:rFonts w:hint="eastAsia" w:ascii="宋体" w:cs="宋体"/>
          <w:color w:val="auto"/>
          <w:szCs w:val="21"/>
          <w:highlight w:val="none"/>
          <w:u w:val="single"/>
        </w:rPr>
        <w:t>项目经理、技术负责人每月在岗时间不得少于20天，施工现场其他管理人员每月在岗时间不得少于22天。</w:t>
      </w:r>
    </w:p>
    <w:p w14:paraId="42CACB80">
      <w:pPr>
        <w:pageBreakBefore w:val="0"/>
        <w:kinsoku/>
        <w:overflowPunct/>
        <w:topLinePunct w:val="0"/>
        <w:bidi w:val="0"/>
        <w:snapToGrid w:val="0"/>
        <w:spacing w:line="480" w:lineRule="exact"/>
        <w:ind w:left="0" w:leftChars="0"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14:paraId="7CFA0648">
      <w:pPr>
        <w:pageBreakBefore w:val="0"/>
        <w:kinsoku/>
        <w:overflowPunct/>
        <w:topLinePunct w:val="0"/>
        <w:bidi w:val="0"/>
        <w:snapToGrid w:val="0"/>
        <w:spacing w:line="480" w:lineRule="exact"/>
        <w:ind w:left="0" w:leftChars="0" w:firstLine="420" w:firstLineChars="200"/>
        <w:rPr>
          <w:rFonts w:hint="eastAsia" w:ascii="宋体" w:hAnsi="宋体" w:cs="宋体"/>
          <w:color w:val="auto"/>
          <w:szCs w:val="21"/>
          <w:highlight w:val="none"/>
          <w:u w:val="single"/>
        </w:rPr>
      </w:pPr>
      <w:r>
        <w:rPr>
          <w:rFonts w:hint="eastAsia" w:ascii="宋体" w:hAnsi="宋体" w:cs="宋体"/>
          <w:color w:val="auto"/>
          <w:kern w:val="0"/>
          <w:szCs w:val="21"/>
          <w:highlight w:val="none"/>
        </w:rPr>
        <w:t>建造师未经批准，擅自离开施工现场的违约责任：</w:t>
      </w:r>
      <w:r>
        <w:rPr>
          <w:rFonts w:hint="eastAsia" w:ascii="宋体" w:hAnsi="宋体" w:cs="宋体"/>
          <w:color w:val="auto"/>
          <w:szCs w:val="21"/>
          <w:highlight w:val="none"/>
          <w:u w:val="single"/>
        </w:rPr>
        <w:t>未按规定在岗履责的，对项目经理和技术负责人</w:t>
      </w:r>
      <w:r>
        <w:rPr>
          <w:rFonts w:hint="eastAsia" w:ascii="宋体" w:hAnsi="宋体" w:cs="宋体"/>
          <w:color w:val="auto"/>
          <w:szCs w:val="21"/>
          <w:highlight w:val="none"/>
          <w:u w:val="single"/>
          <w:lang w:val="en-US" w:eastAsia="zh-CN"/>
        </w:rPr>
        <w:t>按5</w:t>
      </w:r>
      <w:r>
        <w:rPr>
          <w:rFonts w:hint="eastAsia" w:ascii="宋体" w:hAnsi="宋体" w:cs="宋体"/>
          <w:color w:val="auto"/>
          <w:szCs w:val="21"/>
          <w:highlight w:val="none"/>
          <w:u w:val="single"/>
        </w:rPr>
        <w:t>000元/人·天</w:t>
      </w:r>
      <w:r>
        <w:rPr>
          <w:rFonts w:hint="eastAsia" w:ascii="宋体" w:hAnsi="宋体" w:cs="宋体"/>
          <w:color w:val="auto"/>
          <w:szCs w:val="21"/>
          <w:highlight w:val="none"/>
          <w:u w:val="single"/>
          <w:lang w:val="en-US" w:eastAsia="zh-CN"/>
        </w:rPr>
        <w:t>支付</w:t>
      </w:r>
      <w:r>
        <w:rPr>
          <w:rFonts w:hint="eastAsia" w:ascii="宋体" w:hAnsi="宋体" w:cs="宋体"/>
          <w:color w:val="auto"/>
          <w:szCs w:val="21"/>
          <w:highlight w:val="none"/>
          <w:u w:val="single"/>
        </w:rPr>
        <w:t>违约金，对施工现场其他管理人员</w:t>
      </w:r>
      <w:r>
        <w:rPr>
          <w:rFonts w:hint="eastAsia" w:ascii="宋体" w:hAnsi="宋体" w:cs="宋体"/>
          <w:color w:val="auto"/>
          <w:szCs w:val="21"/>
          <w:highlight w:val="none"/>
          <w:u w:val="single"/>
          <w:lang w:val="en-US" w:eastAsia="zh-CN"/>
        </w:rPr>
        <w:t>按</w:t>
      </w:r>
      <w:r>
        <w:rPr>
          <w:rFonts w:hint="eastAsia" w:ascii="宋体" w:hAnsi="宋体" w:cs="宋体"/>
          <w:color w:val="auto"/>
          <w:szCs w:val="21"/>
          <w:highlight w:val="none"/>
          <w:u w:val="single"/>
        </w:rPr>
        <w:t>1000元/人·天</w:t>
      </w:r>
      <w:r>
        <w:rPr>
          <w:rFonts w:hint="eastAsia" w:ascii="宋体" w:hAnsi="宋体" w:cs="宋体"/>
          <w:color w:val="auto"/>
          <w:szCs w:val="21"/>
          <w:highlight w:val="none"/>
          <w:u w:val="single"/>
          <w:lang w:val="en-US" w:eastAsia="zh-CN"/>
        </w:rPr>
        <w:t>支付</w:t>
      </w:r>
      <w:r>
        <w:rPr>
          <w:rFonts w:hint="eastAsia" w:ascii="宋体" w:hAnsi="宋体" w:cs="宋体"/>
          <w:color w:val="auto"/>
          <w:szCs w:val="21"/>
          <w:highlight w:val="none"/>
          <w:u w:val="single"/>
        </w:rPr>
        <w:t>违约金。项目部关键岗位人员离岗必须向发包人项目组长履行请假手续，若</w:t>
      </w:r>
      <w:r>
        <w:rPr>
          <w:rFonts w:hint="eastAsia" w:ascii="宋体" w:hAnsi="宋体" w:cs="宋体"/>
          <w:color w:val="auto"/>
          <w:szCs w:val="21"/>
          <w:highlight w:val="none"/>
          <w:u w:val="single"/>
          <w:lang w:val="en-US" w:eastAsia="zh-CN"/>
        </w:rPr>
        <w:t>发包人</w:t>
      </w:r>
      <w:r>
        <w:rPr>
          <w:rFonts w:hint="eastAsia" w:ascii="宋体" w:hAnsi="宋体" w:cs="宋体"/>
          <w:color w:val="auto"/>
          <w:szCs w:val="21"/>
          <w:highlight w:val="none"/>
          <w:u w:val="single"/>
        </w:rPr>
        <w:t>和相关部门日常检查和随机抽查中发现不在岗的，又未履行请假手续的，</w:t>
      </w:r>
      <w:r>
        <w:rPr>
          <w:rFonts w:hint="eastAsia" w:ascii="宋体" w:hAnsi="宋体" w:cs="宋体"/>
          <w:color w:val="auto"/>
          <w:szCs w:val="21"/>
          <w:highlight w:val="none"/>
          <w:u w:val="single"/>
          <w:lang w:val="en-US" w:eastAsia="zh-CN"/>
        </w:rPr>
        <w:t>按</w:t>
      </w:r>
      <w:r>
        <w:rPr>
          <w:rFonts w:hint="eastAsia" w:ascii="宋体" w:hAnsi="宋体" w:cs="宋体"/>
          <w:color w:val="auto"/>
          <w:szCs w:val="21"/>
          <w:highlight w:val="none"/>
          <w:u w:val="single"/>
        </w:rPr>
        <w:t>5000元/人·次</w:t>
      </w:r>
      <w:r>
        <w:rPr>
          <w:rFonts w:hint="eastAsia" w:ascii="宋体" w:hAnsi="宋体" w:cs="宋体"/>
          <w:color w:val="auto"/>
          <w:szCs w:val="21"/>
          <w:highlight w:val="none"/>
          <w:u w:val="single"/>
          <w:lang w:val="en-US" w:eastAsia="zh-CN"/>
        </w:rPr>
        <w:t>支付</w:t>
      </w:r>
      <w:r>
        <w:rPr>
          <w:rFonts w:hint="eastAsia" w:ascii="宋体" w:hAnsi="宋体" w:cs="宋体"/>
          <w:color w:val="auto"/>
          <w:szCs w:val="21"/>
          <w:highlight w:val="none"/>
          <w:u w:val="single"/>
        </w:rPr>
        <w:t>违约金。</w:t>
      </w:r>
    </w:p>
    <w:p w14:paraId="41420E7C">
      <w:pPr>
        <w:pageBreakBefore w:val="0"/>
        <w:kinsoku/>
        <w:overflowPunct/>
        <w:topLinePunct w:val="0"/>
        <w:bidi w:val="0"/>
        <w:snapToGrid w:val="0"/>
        <w:spacing w:line="48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承包人擅自更换建造师的违约责任：</w:t>
      </w:r>
      <w:r>
        <w:rPr>
          <w:rFonts w:hint="eastAsia" w:ascii="宋体" w:hAnsi="宋体" w:cs="宋体"/>
          <w:color w:val="auto"/>
          <w:szCs w:val="21"/>
          <w:highlight w:val="none"/>
          <w:u w:val="single"/>
          <w:lang w:val="en-US" w:eastAsia="zh-CN"/>
        </w:rPr>
        <w:t>若项目负责人为建造师，</w:t>
      </w:r>
      <w:r>
        <w:rPr>
          <w:rFonts w:hint="eastAsia" w:ascii="宋体" w:hAnsi="宋体" w:cs="宋体"/>
          <w:color w:val="auto"/>
          <w:szCs w:val="21"/>
          <w:highlight w:val="none"/>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万元违约金，否则不得变更。变更后的项目负责人必须符合本项目招标文件和投标承诺配备的同等条件人员。</w:t>
      </w:r>
    </w:p>
    <w:p w14:paraId="4C7574C4">
      <w:pPr>
        <w:pageBreakBefore w:val="0"/>
        <w:kinsoku/>
        <w:overflowPunct/>
        <w:topLinePunct w:val="0"/>
        <w:bidi w:val="0"/>
        <w:snapToGrid w:val="0"/>
        <w:spacing w:line="480" w:lineRule="exact"/>
        <w:ind w:left="0" w:leftChars="0"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3.2.4 承包人无正当理由拒绝更换项目经理的违约责任：</w:t>
      </w:r>
      <w:r>
        <w:rPr>
          <w:rFonts w:hint="eastAsia" w:ascii="宋体" w:hAnsi="宋体" w:cs="宋体"/>
          <w:color w:val="auto"/>
          <w:szCs w:val="21"/>
          <w:highlight w:val="none"/>
          <w:u w:val="single"/>
        </w:rPr>
        <w:t>发包人将组织对项目经理进行业务能力考核，对未按投标文件配备或经考核不合格要求更换人员的，承包人7日内必须整改调整到位。否则，对于项目经理和技术负责人，按照</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000元/人·天</w:t>
      </w:r>
      <w:r>
        <w:rPr>
          <w:rFonts w:hint="eastAsia" w:ascii="宋体" w:hAnsi="宋体" w:cs="宋体"/>
          <w:color w:val="auto"/>
          <w:szCs w:val="21"/>
          <w:highlight w:val="none"/>
          <w:u w:val="single"/>
          <w:lang w:val="en-US" w:eastAsia="zh-CN"/>
        </w:rPr>
        <w:t>支付</w:t>
      </w:r>
      <w:r>
        <w:rPr>
          <w:rFonts w:hint="eastAsia" w:ascii="宋体" w:hAnsi="宋体" w:cs="宋体"/>
          <w:color w:val="auto"/>
          <w:szCs w:val="21"/>
          <w:highlight w:val="none"/>
          <w:u w:val="single"/>
        </w:rPr>
        <w:t>违约金，对于施工现场其他管理人员按照1000元/人·天</w:t>
      </w:r>
      <w:r>
        <w:rPr>
          <w:rFonts w:hint="eastAsia" w:ascii="宋体" w:hAnsi="宋体" w:cs="宋体"/>
          <w:color w:val="auto"/>
          <w:szCs w:val="21"/>
          <w:highlight w:val="none"/>
          <w:u w:val="single"/>
          <w:lang w:val="en-US" w:eastAsia="zh-CN"/>
        </w:rPr>
        <w:t>支付</w:t>
      </w:r>
      <w:r>
        <w:rPr>
          <w:rFonts w:hint="eastAsia" w:ascii="宋体" w:hAnsi="宋体" w:cs="宋体"/>
          <w:color w:val="auto"/>
          <w:szCs w:val="21"/>
          <w:highlight w:val="none"/>
          <w:u w:val="single"/>
        </w:rPr>
        <w:t>违约金。28日内未整改调整到位的，发包人有权终止合同，并提请相关行政主管部门对企业和人员进行“黑名单”处罚。</w:t>
      </w:r>
    </w:p>
    <w:p w14:paraId="78C77780">
      <w:pPr>
        <w:pageBreakBefore w:val="0"/>
        <w:kinsoku/>
        <w:overflowPunct/>
        <w:topLinePunct w:val="0"/>
        <w:bidi w:val="0"/>
        <w:snapToGrid w:val="0"/>
        <w:spacing w:line="48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承包人人员</w:t>
      </w:r>
    </w:p>
    <w:p w14:paraId="10297D3F">
      <w:pPr>
        <w:pageBreakBefore w:val="0"/>
        <w:kinsoku/>
        <w:overflowPunct/>
        <w:topLinePunct w:val="0"/>
        <w:bidi w:val="0"/>
        <w:snapToGrid w:val="0"/>
        <w:spacing w:line="48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color w:val="auto"/>
          <w:szCs w:val="21"/>
          <w:highlight w:val="none"/>
          <w:u w:val="single"/>
        </w:rPr>
        <w:t>承包人应在</w:t>
      </w:r>
      <w:r>
        <w:rPr>
          <w:rFonts w:hint="eastAsia" w:ascii="宋体" w:hAnsi="宋体" w:cs="宋体"/>
          <w:color w:val="auto"/>
          <w:highlight w:val="none"/>
          <w:u w:val="single"/>
        </w:rPr>
        <w:t>合同签订</w:t>
      </w:r>
      <w:r>
        <w:rPr>
          <w:rFonts w:hint="eastAsia" w:ascii="宋体" w:hAnsi="宋体" w:cs="宋体"/>
          <w:color w:val="auto"/>
          <w:szCs w:val="21"/>
          <w:highlight w:val="none"/>
          <w:u w:val="single"/>
        </w:rPr>
        <w:t>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DA36BF2">
      <w:pPr>
        <w:pageBreakBefore w:val="0"/>
        <w:kinsoku/>
        <w:overflowPunct/>
        <w:topLinePunct w:val="0"/>
        <w:bidi w:val="0"/>
        <w:snapToGrid w:val="0"/>
        <w:spacing w:line="480" w:lineRule="exact"/>
        <w:ind w:left="0" w:leftChars="0"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 xml:space="preserve"> 发包人将组织对人员进行业务能力考核，对未按投标文件配备或经考核不合格要求更换人员的，承包人7日内必须整改调整到位。否则，对于项目经理和技术负责人，按照</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000元/人·天</w:t>
      </w:r>
      <w:r>
        <w:rPr>
          <w:rFonts w:hint="eastAsia" w:ascii="宋体" w:hAnsi="宋体" w:cs="宋体"/>
          <w:color w:val="auto"/>
          <w:szCs w:val="21"/>
          <w:highlight w:val="none"/>
          <w:u w:val="single"/>
          <w:lang w:val="en-US" w:eastAsia="zh-CN"/>
        </w:rPr>
        <w:t>支付</w:t>
      </w:r>
      <w:r>
        <w:rPr>
          <w:rFonts w:hint="eastAsia" w:ascii="宋体" w:hAnsi="宋体" w:cs="宋体"/>
          <w:color w:val="auto"/>
          <w:szCs w:val="21"/>
          <w:highlight w:val="none"/>
          <w:u w:val="single"/>
        </w:rPr>
        <w:t>违约金，对于施工现场其他管理人员按照1000元/人·天</w:t>
      </w:r>
      <w:r>
        <w:rPr>
          <w:rFonts w:hint="eastAsia" w:ascii="宋体" w:hAnsi="宋体" w:cs="宋体"/>
          <w:color w:val="auto"/>
          <w:szCs w:val="21"/>
          <w:highlight w:val="none"/>
          <w:u w:val="single"/>
          <w:lang w:val="en-US" w:eastAsia="zh-CN"/>
        </w:rPr>
        <w:t>支付</w:t>
      </w:r>
      <w:r>
        <w:rPr>
          <w:rFonts w:hint="eastAsia" w:ascii="宋体" w:hAnsi="宋体" w:cs="宋体"/>
          <w:color w:val="auto"/>
          <w:szCs w:val="21"/>
          <w:highlight w:val="none"/>
          <w:u w:val="single"/>
        </w:rPr>
        <w:t>违约金。28日内未整改调整到位的，发包人有权终止合同，并提请相关行政主管部门对企业和人员进行“黑名单”处罚。</w:t>
      </w:r>
    </w:p>
    <w:p w14:paraId="0E32A080">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w:t>
      </w:r>
      <w:r>
        <w:rPr>
          <w:rFonts w:hint="eastAsia" w:ascii="宋体" w:cs="宋体"/>
          <w:color w:val="auto"/>
          <w:szCs w:val="21"/>
          <w:highlight w:val="none"/>
          <w:u w:val="single"/>
          <w:lang w:val="en-US" w:eastAsia="zh-CN"/>
        </w:rPr>
        <w:t>按5</w:t>
      </w:r>
      <w:r>
        <w:rPr>
          <w:rFonts w:hint="eastAsia" w:ascii="宋体" w:cs="宋体"/>
          <w:color w:val="auto"/>
          <w:szCs w:val="21"/>
          <w:highlight w:val="none"/>
          <w:u w:val="single"/>
        </w:rPr>
        <w:t>000元/人·天</w:t>
      </w:r>
      <w:r>
        <w:rPr>
          <w:rFonts w:hint="eastAsia" w:ascii="宋体" w:cs="宋体"/>
          <w:color w:val="auto"/>
          <w:szCs w:val="21"/>
          <w:highlight w:val="none"/>
          <w:u w:val="single"/>
          <w:lang w:val="en-US" w:eastAsia="zh-CN"/>
        </w:rPr>
        <w:t>支付</w:t>
      </w:r>
      <w:r>
        <w:rPr>
          <w:rFonts w:hint="eastAsia" w:ascii="宋体" w:cs="宋体"/>
          <w:color w:val="auto"/>
          <w:szCs w:val="21"/>
          <w:highlight w:val="none"/>
          <w:u w:val="single"/>
        </w:rPr>
        <w:t>违约金，对施工现场其他管理人员</w:t>
      </w:r>
      <w:r>
        <w:rPr>
          <w:rFonts w:hint="eastAsia" w:ascii="宋体" w:cs="宋体"/>
          <w:color w:val="auto"/>
          <w:szCs w:val="21"/>
          <w:highlight w:val="none"/>
          <w:u w:val="single"/>
          <w:lang w:val="en-US" w:eastAsia="zh-CN"/>
        </w:rPr>
        <w:t>按</w:t>
      </w:r>
      <w:r>
        <w:rPr>
          <w:rFonts w:hint="eastAsia" w:ascii="宋体" w:cs="宋体"/>
          <w:color w:val="auto"/>
          <w:szCs w:val="21"/>
          <w:highlight w:val="none"/>
          <w:u w:val="single"/>
        </w:rPr>
        <w:t>1000元/人·天</w:t>
      </w:r>
      <w:r>
        <w:rPr>
          <w:rFonts w:hint="eastAsia" w:ascii="宋体" w:cs="宋体"/>
          <w:color w:val="auto"/>
          <w:szCs w:val="21"/>
          <w:highlight w:val="none"/>
          <w:u w:val="single"/>
          <w:lang w:val="en-US" w:eastAsia="zh-CN"/>
        </w:rPr>
        <w:t>支付</w:t>
      </w:r>
      <w:r>
        <w:rPr>
          <w:rFonts w:hint="eastAsia" w:ascii="宋体" w:cs="宋体"/>
          <w:color w:val="auto"/>
          <w:szCs w:val="21"/>
          <w:highlight w:val="none"/>
          <w:u w:val="single"/>
        </w:rPr>
        <w:t>违约金。项目部关键岗位人员离岗必须向发包人项目组长履行请假手续，若被</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和相关部门日常检查和随机抽查中发现不在岗的，又未履行请假手续的，</w:t>
      </w:r>
      <w:r>
        <w:rPr>
          <w:rFonts w:hint="eastAsia" w:ascii="宋体" w:cs="宋体"/>
          <w:color w:val="auto"/>
          <w:szCs w:val="21"/>
          <w:highlight w:val="none"/>
          <w:u w:val="single"/>
          <w:lang w:val="en-US" w:eastAsia="zh-CN"/>
        </w:rPr>
        <w:t>按</w:t>
      </w:r>
      <w:r>
        <w:rPr>
          <w:rFonts w:hint="eastAsia" w:ascii="宋体" w:cs="宋体"/>
          <w:color w:val="auto"/>
          <w:szCs w:val="21"/>
          <w:highlight w:val="none"/>
          <w:u w:val="single"/>
        </w:rPr>
        <w:t>5000元/人·次</w:t>
      </w:r>
      <w:r>
        <w:rPr>
          <w:rFonts w:hint="eastAsia" w:ascii="宋体" w:cs="宋体"/>
          <w:color w:val="auto"/>
          <w:szCs w:val="21"/>
          <w:highlight w:val="none"/>
          <w:u w:val="single"/>
          <w:lang w:val="en-US" w:eastAsia="zh-CN"/>
        </w:rPr>
        <w:t>支付</w:t>
      </w:r>
      <w:r>
        <w:rPr>
          <w:rFonts w:hint="eastAsia" w:ascii="宋体" w:cs="宋体"/>
          <w:color w:val="auto"/>
          <w:szCs w:val="21"/>
          <w:highlight w:val="none"/>
          <w:u w:val="single"/>
        </w:rPr>
        <w:t>违约金。</w:t>
      </w:r>
    </w:p>
    <w:p w14:paraId="496340EC">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u w:val="single"/>
        </w:rPr>
      </w:pPr>
      <w:r>
        <w:rPr>
          <w:rFonts w:hint="eastAsia" w:ascii="宋体" w:cs="宋体"/>
          <w:color w:val="auto"/>
          <w:szCs w:val="21"/>
          <w:highlight w:val="none"/>
        </w:rPr>
        <w:t>3.3.5承包人擅自更换主要施工管理人员的违约责任：</w:t>
      </w:r>
      <w:r>
        <w:rPr>
          <w:rFonts w:hint="eastAsia" w:ascii="宋体" w:cs="宋体"/>
          <w:color w:val="auto"/>
          <w:szCs w:val="21"/>
          <w:highlight w:val="none"/>
          <w:u w:val="single"/>
        </w:rPr>
        <w:t>按照未按规定在岗履责进行处罚。</w:t>
      </w:r>
    </w:p>
    <w:p w14:paraId="01A10371">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u w:val="single"/>
        </w:rPr>
      </w:pPr>
      <w:r>
        <w:rPr>
          <w:rFonts w:hint="eastAsia" w:ascii="宋体" w:cs="宋体"/>
          <w:color w:val="auto"/>
          <w:szCs w:val="21"/>
          <w:highlight w:val="none"/>
          <w:lang w:val="en-US" w:eastAsia="zh-CN"/>
        </w:rPr>
        <w:t>3.3.6</w:t>
      </w:r>
      <w:r>
        <w:rPr>
          <w:rFonts w:hint="eastAsia" w:ascii="宋体" w:cs="宋体"/>
          <w:color w:val="auto"/>
          <w:szCs w:val="21"/>
          <w:highlight w:val="none"/>
        </w:rPr>
        <w:t xml:space="preserve">承包人主要施工管理人员擅自离开施工现场的违约责任： </w:t>
      </w:r>
      <w:r>
        <w:rPr>
          <w:rFonts w:hint="eastAsia" w:ascii="宋体" w:cs="宋体"/>
          <w:color w:val="auto"/>
          <w:szCs w:val="21"/>
          <w:highlight w:val="none"/>
          <w:u w:val="single"/>
        </w:rPr>
        <w:t>（1）人员考核：工程开工进场后，承包人必须按招标文件要求和投标承诺配备项目经理、技术负责人等施工项目部关键岗位人员。未经发包人同意，不得更换。发包人将组织对上述人员进行业务能力考核，对未按投标文件配备或经考核不合格要求更换人员的，承包人7日内必须整改调整到位。否则，对于项目经理和技术负责人，按照5000元/人•天</w:t>
      </w:r>
      <w:r>
        <w:rPr>
          <w:rFonts w:hint="eastAsia" w:ascii="宋体" w:cs="宋体"/>
          <w:color w:val="auto"/>
          <w:szCs w:val="21"/>
          <w:highlight w:val="none"/>
          <w:u w:val="single"/>
          <w:lang w:val="en-US" w:eastAsia="zh-CN"/>
        </w:rPr>
        <w:t>支付</w:t>
      </w:r>
      <w:r>
        <w:rPr>
          <w:rFonts w:hint="eastAsia" w:ascii="宋体" w:cs="宋体"/>
          <w:color w:val="auto"/>
          <w:szCs w:val="21"/>
          <w:highlight w:val="none"/>
          <w:u w:val="single"/>
        </w:rPr>
        <w:t>违约金，对于施工现场其他管理人员按照1000元/人•天</w:t>
      </w:r>
      <w:r>
        <w:rPr>
          <w:rFonts w:hint="eastAsia" w:ascii="宋体" w:cs="宋体"/>
          <w:color w:val="auto"/>
          <w:szCs w:val="21"/>
          <w:highlight w:val="none"/>
          <w:u w:val="single"/>
          <w:lang w:val="en-US" w:eastAsia="zh-CN"/>
        </w:rPr>
        <w:t>支付</w:t>
      </w:r>
      <w:r>
        <w:rPr>
          <w:rFonts w:hint="eastAsia" w:ascii="宋体" w:cs="宋体"/>
          <w:color w:val="auto"/>
          <w:szCs w:val="21"/>
          <w:highlight w:val="none"/>
          <w:u w:val="single"/>
        </w:rPr>
        <w:t>违约金。28日内未整改调整到位的，发包人有权终止合同，并提请相关行政主管部门对企业和人员进行“黑名单”处罚。</w:t>
      </w:r>
    </w:p>
    <w:p w14:paraId="1847CD29">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发包人在施工进场第一个月或施工过程中发现承包人转包、挂靠等行为的，发包人立即解除合同，清退出场，承包人已完合格工程量按合同价款60%进行结算。</w:t>
      </w:r>
    </w:p>
    <w:p w14:paraId="7A857A6C">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（2）人员考勤：</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7D17C79B">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 技术负责人</w:t>
      </w:r>
    </w:p>
    <w:p w14:paraId="5F0818DA">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330A9C7">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；职称等级：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ED1AAC">
      <w:pPr>
        <w:pageBreakBefore w:val="0"/>
        <w:kinsoku/>
        <w:overflowPunct/>
        <w:topLinePunct w:val="0"/>
        <w:bidi w:val="0"/>
        <w:snapToGrid w:val="0"/>
        <w:spacing w:line="480" w:lineRule="exact"/>
        <w:ind w:left="0" w:leftChars="0"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3.5 分包</w:t>
      </w:r>
      <w:r>
        <w:rPr>
          <w:rFonts w:hint="eastAsia" w:ascii="宋体" w:cs="宋体"/>
          <w:color w:val="auto"/>
          <w:szCs w:val="21"/>
          <w:highlight w:val="none"/>
          <w:lang w:eastAsia="zh-CN"/>
        </w:rPr>
        <w:t>（</w:t>
      </w:r>
      <w:r>
        <w:rPr>
          <w:rFonts w:hint="eastAsia" w:ascii="宋体" w:cs="宋体"/>
          <w:color w:val="auto"/>
          <w:szCs w:val="21"/>
          <w:highlight w:val="none"/>
          <w:lang w:val="en-US" w:eastAsia="zh-CN"/>
        </w:rPr>
        <w:t>本项目不允许分包）</w:t>
      </w:r>
    </w:p>
    <w:p w14:paraId="4E27C462">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14:paraId="2D267CB3">
      <w:pPr>
        <w:pageBreakBefore w:val="0"/>
        <w:kinsoku/>
        <w:overflowPunct/>
        <w:topLinePunct w:val="0"/>
        <w:bidi w:val="0"/>
        <w:snapToGrid w:val="0"/>
        <w:spacing w:line="480" w:lineRule="exact"/>
        <w:ind w:left="0" w:leftChars="0"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lang w:val="en-US" w:eastAsia="zh-CN"/>
        </w:rPr>
        <w:t>3.6.1</w:t>
      </w: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42DBE703">
      <w:pPr>
        <w:pageBreakBefore w:val="0"/>
        <w:tabs>
          <w:tab w:val="left" w:pos="7740"/>
        </w:tabs>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3.6.2 现状树木的保护起始时间：</w:t>
      </w:r>
      <w:r>
        <w:rPr>
          <w:rFonts w:hint="eastAsia" w:ascii="宋体" w:cs="宋体"/>
          <w:color w:val="auto"/>
          <w:szCs w:val="21"/>
          <w:highlight w:val="none"/>
          <w:u w:val="single"/>
        </w:rPr>
        <w:t xml:space="preserve">  进场施工准备工作开始  </w:t>
      </w:r>
      <w:r>
        <w:rPr>
          <w:rFonts w:hint="eastAsia" w:ascii="宋体" w:cs="宋体"/>
          <w:color w:val="auto"/>
          <w:szCs w:val="21"/>
          <w:highlight w:val="none"/>
        </w:rPr>
        <w:t xml:space="preserve"> 。 </w:t>
      </w:r>
    </w:p>
    <w:p w14:paraId="44E73277">
      <w:pPr>
        <w:pageBreakBefore w:val="0"/>
        <w:tabs>
          <w:tab w:val="left" w:pos="7740"/>
        </w:tabs>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3.7 履约担保</w:t>
      </w:r>
    </w:p>
    <w:p w14:paraId="35AAAF98">
      <w:pPr>
        <w:pageBreakBefore w:val="0"/>
        <w:tabs>
          <w:tab w:val="left" w:pos="7740"/>
        </w:tabs>
        <w:kinsoku/>
        <w:overflowPunct/>
        <w:topLinePunct w:val="0"/>
        <w:bidi w:val="0"/>
        <w:snapToGrid w:val="0"/>
        <w:spacing w:line="480" w:lineRule="exact"/>
        <w:ind w:left="0" w:leftChars="0"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 xml:space="preserve">承包人是否提供履约保证金： </w:t>
      </w:r>
      <w:r>
        <w:rPr>
          <w:rFonts w:hint="eastAsia" w:ascii="宋体" w:hAnsi="Times New Roman" w:eastAsia="宋体" w:cs="宋体"/>
          <w:color w:val="auto"/>
          <w:szCs w:val="21"/>
          <w:highlight w:val="none"/>
          <w:lang w:val="en-US" w:eastAsia="zh-CN"/>
        </w:rPr>
        <w:t xml:space="preserve"> </w:t>
      </w:r>
      <w:r>
        <w:rPr>
          <w:rFonts w:hint="eastAsia" w:ascii="宋体" w:hAnsi="Times New Roman" w:eastAsia="宋体" w:cs="宋体"/>
          <w:color w:val="auto"/>
          <w:szCs w:val="21"/>
          <w:highlight w:val="none"/>
        </w:rPr>
        <w:t>提供</w:t>
      </w:r>
      <w:r>
        <w:rPr>
          <w:rFonts w:hint="eastAsia" w:ascii="宋体" w:hAnsi="Times New Roman" w:eastAsia="宋体" w:cs="宋体"/>
          <w:color w:val="auto"/>
          <w:szCs w:val="21"/>
          <w:highlight w:val="none"/>
          <w:lang w:val="en-US" w:eastAsia="zh-CN"/>
        </w:rPr>
        <w:t xml:space="preserve"> </w:t>
      </w:r>
      <w:r>
        <w:rPr>
          <w:rFonts w:hint="eastAsia" w:ascii="宋体" w:hAnsi="Times New Roman" w:eastAsia="宋体" w:cs="宋体"/>
          <w:color w:val="auto"/>
          <w:szCs w:val="21"/>
          <w:highlight w:val="none"/>
        </w:rPr>
        <w:t xml:space="preserve"> 。</w:t>
      </w:r>
    </w:p>
    <w:p w14:paraId="41B0AAC5">
      <w:pPr>
        <w:pageBreakBefore w:val="0"/>
        <w:tabs>
          <w:tab w:val="left" w:pos="7740"/>
        </w:tabs>
        <w:kinsoku/>
        <w:overflowPunct/>
        <w:topLinePunct w:val="0"/>
        <w:bidi w:val="0"/>
        <w:snapToGrid w:val="0"/>
        <w:spacing w:line="480" w:lineRule="exact"/>
        <w:ind w:left="0" w:leftChars="0" w:firstLine="420" w:firstLineChars="200"/>
        <w:rPr>
          <w:rFonts w:hint="eastAsia" w:ascii="宋体" w:hAnsi="宋体" w:cs="宋体"/>
          <w:bCs/>
          <w:color w:val="auto"/>
          <w:szCs w:val="21"/>
          <w:highlight w:val="none"/>
        </w:rPr>
      </w:pPr>
      <w:r>
        <w:rPr>
          <w:rFonts w:hint="eastAsia" w:ascii="宋体" w:hAnsi="Times New Roman" w:eastAsia="宋体" w:cs="宋体"/>
          <w:color w:val="auto"/>
          <w:szCs w:val="21"/>
          <w:highlight w:val="none"/>
        </w:rPr>
        <w:t>承包人提供履约保证金的形式：</w:t>
      </w:r>
      <w:r>
        <w:rPr>
          <w:rFonts w:hint="eastAsia" w:ascii="宋体" w:hAnsi="宋体" w:cs="宋体"/>
          <w:bCs/>
          <w:color w:val="auto"/>
          <w:szCs w:val="21"/>
          <w:highlight w:val="none"/>
        </w:rPr>
        <w:t>支持银行转账、银行保函（见索即付无条件保函）、担保保函、商业保险、第三方担保（无条件担保）使用</w:t>
      </w:r>
    </w:p>
    <w:p w14:paraId="344C516E">
      <w:pPr>
        <w:pageBreakBefore w:val="0"/>
        <w:tabs>
          <w:tab w:val="left" w:pos="7740"/>
        </w:tabs>
        <w:kinsoku/>
        <w:overflowPunct/>
        <w:topLinePunct w:val="0"/>
        <w:bidi w:val="0"/>
        <w:snapToGrid w:val="0"/>
        <w:spacing w:line="480" w:lineRule="exact"/>
        <w:ind w:left="0" w:leftChars="0"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履约保证金的金额：中标合同金额× 2％ 。</w:t>
      </w:r>
    </w:p>
    <w:p w14:paraId="46F8EF6B">
      <w:pPr>
        <w:pageBreakBefore w:val="0"/>
        <w:tabs>
          <w:tab w:val="left" w:pos="7740"/>
        </w:tabs>
        <w:kinsoku/>
        <w:overflowPunct/>
        <w:topLinePunct w:val="0"/>
        <w:bidi w:val="0"/>
        <w:snapToGrid w:val="0"/>
        <w:spacing w:line="480" w:lineRule="exact"/>
        <w:ind w:left="0" w:leftChars="0"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 xml:space="preserve">履约保证金提交期限的要求： 签订合同前 。 </w:t>
      </w:r>
    </w:p>
    <w:p w14:paraId="198829D4">
      <w:pPr>
        <w:pageBreakBefore w:val="0"/>
        <w:tabs>
          <w:tab w:val="left" w:pos="7740"/>
        </w:tabs>
        <w:kinsoku/>
        <w:overflowPunct/>
        <w:topLinePunct w:val="0"/>
        <w:bidi w:val="0"/>
        <w:snapToGrid w:val="0"/>
        <w:spacing w:line="480" w:lineRule="exact"/>
        <w:ind w:left="0" w:leftChars="0"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履约保证金退还时限：履约保证金有效期满7日内。</w:t>
      </w:r>
    </w:p>
    <w:p w14:paraId="1F673B68">
      <w:pPr>
        <w:pageBreakBefore w:val="0"/>
        <w:tabs>
          <w:tab w:val="left" w:pos="7740"/>
        </w:tabs>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4. 监理人</w:t>
      </w:r>
    </w:p>
    <w:p w14:paraId="44479199">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4.1监理人的一般规定</w:t>
      </w:r>
    </w:p>
    <w:p w14:paraId="2587C65D">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关于监理人的监理内容：</w:t>
      </w:r>
      <w:r>
        <w:rPr>
          <w:rFonts w:hint="eastAsia" w:ascii="宋体" w:cs="宋体"/>
          <w:color w:val="auto"/>
          <w:szCs w:val="21"/>
          <w:highlight w:val="none"/>
          <w:u w:val="single"/>
        </w:rPr>
        <w:t xml:space="preserve">  详见监理合同 </w:t>
      </w:r>
      <w:r>
        <w:rPr>
          <w:rFonts w:hint="eastAsia" w:ascii="宋体" w:cs="宋体"/>
          <w:color w:val="auto"/>
          <w:szCs w:val="21"/>
          <w:highlight w:val="none"/>
        </w:rPr>
        <w:t>。</w:t>
      </w:r>
    </w:p>
    <w:p w14:paraId="6180BC11">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关于监理人的监理权限：</w:t>
      </w:r>
      <w:r>
        <w:rPr>
          <w:rFonts w:hint="eastAsia" w:ascii="宋体" w:cs="宋体"/>
          <w:color w:val="auto"/>
          <w:szCs w:val="21"/>
          <w:highlight w:val="none"/>
          <w:u w:val="single"/>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注册建造师及有关人员的建议权；分包单位资质及能力的审查权；等等  </w:t>
      </w:r>
      <w:r>
        <w:rPr>
          <w:rFonts w:hint="eastAsia" w:ascii="宋体" w:cs="宋体"/>
          <w:color w:val="auto"/>
          <w:szCs w:val="21"/>
          <w:highlight w:val="none"/>
        </w:rPr>
        <w:t xml:space="preserve">。 </w:t>
      </w:r>
    </w:p>
    <w:p w14:paraId="2D6DC087">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u w:val="single"/>
        </w:rPr>
      </w:pPr>
      <w:r>
        <w:rPr>
          <w:rFonts w:hint="eastAsia" w:ascii="宋体" w:cs="宋体"/>
          <w:color w:val="auto"/>
          <w:szCs w:val="21"/>
          <w:highlight w:val="none"/>
        </w:rPr>
        <w:t>关于监理人在施工现场的办公场所、生活场所的提供和费用承担的约定：</w:t>
      </w:r>
      <w:r>
        <w:rPr>
          <w:rFonts w:hint="eastAsia" w:ascii="宋体" w:cs="宋体"/>
          <w:color w:val="auto"/>
          <w:szCs w:val="21"/>
          <w:highlight w:val="none"/>
          <w:u w:val="single"/>
        </w:rPr>
        <w:t>监理人自行解决和承担 。</w:t>
      </w:r>
    </w:p>
    <w:p w14:paraId="0A3624FC">
      <w:pPr>
        <w:pageBreakBefore w:val="0"/>
        <w:kinsoku/>
        <w:overflowPunct/>
        <w:topLinePunct w:val="0"/>
        <w:bidi w:val="0"/>
        <w:spacing w:line="480" w:lineRule="exact"/>
        <w:ind w:left="0" w:leftChars="0" w:firstLine="420" w:firstLineChars="200"/>
        <w:outlineLvl w:val="2"/>
        <w:rPr>
          <w:rFonts w:hint="eastAsia" w:ascii="宋体" w:hAnsi="宋体" w:eastAsia="宋体" w:cs="宋体"/>
          <w:color w:val="auto"/>
          <w:sz w:val="21"/>
          <w:szCs w:val="21"/>
          <w:highlight w:val="none"/>
        </w:rPr>
      </w:pPr>
      <w:bookmarkStart w:id="834" w:name="_Toc1275710936"/>
      <w:bookmarkStart w:id="835" w:name="_Toc1416"/>
      <w:bookmarkStart w:id="836" w:name="_Toc1881790026"/>
      <w:r>
        <w:rPr>
          <w:rFonts w:hint="eastAsia" w:ascii="宋体" w:hAnsi="宋体" w:eastAsia="宋体" w:cs="宋体"/>
          <w:color w:val="auto"/>
          <w:sz w:val="21"/>
          <w:szCs w:val="21"/>
          <w:highlight w:val="none"/>
        </w:rPr>
        <w:t>4.2 监理人员</w:t>
      </w:r>
      <w:bookmarkEnd w:id="834"/>
      <w:bookmarkEnd w:id="835"/>
      <w:bookmarkEnd w:id="836"/>
    </w:p>
    <w:p w14:paraId="29D99ED4">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0ABD02C">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4.4 商定或确定</w:t>
      </w:r>
    </w:p>
    <w:p w14:paraId="62E22ACE">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在发包人和承包人不能通过协商达成一致意见时，发包人授权监理人对以下事项进行确定：</w:t>
      </w:r>
    </w:p>
    <w:p w14:paraId="622C4E14">
      <w:pPr>
        <w:pageBreakBefore w:val="0"/>
        <w:kinsoku/>
        <w:overflowPunct/>
        <w:topLinePunct w:val="0"/>
        <w:autoSpaceDE w:val="0"/>
        <w:autoSpaceDN w:val="0"/>
        <w:bidi w:val="0"/>
        <w:adjustRightInd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w:t>
      </w:r>
      <w:r>
        <w:rPr>
          <w:rFonts w:hint="eastAsia" w:ascii="宋体" w:cs="宋体"/>
          <w:color w:val="auto"/>
          <w:szCs w:val="21"/>
          <w:highlight w:val="none"/>
          <w:u w:val="single"/>
        </w:rPr>
        <w:t xml:space="preserve">   施工方案    </w:t>
      </w:r>
      <w:r>
        <w:rPr>
          <w:rFonts w:hint="eastAsia" w:ascii="宋体" w:cs="宋体"/>
          <w:color w:val="auto"/>
          <w:szCs w:val="21"/>
          <w:highlight w:val="none"/>
        </w:rPr>
        <w:t>；</w:t>
      </w:r>
    </w:p>
    <w:p w14:paraId="20F33783">
      <w:pPr>
        <w:pageBreakBefore w:val="0"/>
        <w:kinsoku/>
        <w:overflowPunct/>
        <w:topLinePunct w:val="0"/>
        <w:autoSpaceDE w:val="0"/>
        <w:autoSpaceDN w:val="0"/>
        <w:bidi w:val="0"/>
        <w:adjustRightInd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szCs w:val="21"/>
          <w:highlight w:val="none"/>
          <w:u w:val="single"/>
        </w:rPr>
        <w:t xml:space="preserve">   索赔事项等    </w:t>
      </w:r>
      <w:r>
        <w:rPr>
          <w:rFonts w:hint="eastAsia" w:ascii="宋体" w:cs="宋体"/>
          <w:color w:val="auto"/>
          <w:szCs w:val="21"/>
          <w:highlight w:val="none"/>
        </w:rPr>
        <w:t>；</w:t>
      </w:r>
    </w:p>
    <w:p w14:paraId="16257850">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14:paraId="0D006299">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14:paraId="06F9DC68">
      <w:pPr>
        <w:keepNext w:val="0"/>
        <w:keepLines w:val="0"/>
        <w:pageBreakBefore w:val="0"/>
        <w:widowControl w:val="0"/>
        <w:kinsoku/>
        <w:wordWrap/>
        <w:overflowPunct/>
        <w:topLinePunct w:val="0"/>
        <w:autoSpaceDE/>
        <w:autoSpaceDN/>
        <w:bidi w:val="0"/>
        <w:adjustRightInd/>
        <w:snapToGrid w:val="0"/>
        <w:spacing w:line="480" w:lineRule="exact"/>
        <w:ind w:left="0" w:leftChars="0"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14:paraId="2EB3CC6C">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firstLine="420" w:firstLineChars="200"/>
        <w:jc w:val="left"/>
        <w:textAlignment w:val="auto"/>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b/>
          <w:bCs/>
          <w:color w:val="auto"/>
          <w:szCs w:val="21"/>
          <w:highlight w:val="none"/>
          <w:u w:val="single"/>
          <w:lang w:val="en-US" w:eastAsia="zh-CN"/>
        </w:rPr>
        <w:t>。</w:t>
      </w:r>
    </w:p>
    <w:p w14:paraId="5918C3CF">
      <w:pPr>
        <w:pStyle w:val="5"/>
        <w:pageBreakBefore w:val="0"/>
        <w:tabs>
          <w:tab w:val="left" w:pos="3315"/>
        </w:tabs>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14:paraId="0C184EDC">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14:paraId="3DE27AF4">
      <w:pPr>
        <w:adjustRightInd w:val="0"/>
        <w:snapToGrid w:val="0"/>
        <w:spacing w:line="384" w:lineRule="auto"/>
        <w:ind w:firstLine="420" w:firstLineChars="200"/>
        <w:rPr>
          <w:rFonts w:hint="eastAsia" w:ascii="宋体" w:hAnsi="宋体" w:eastAsia="宋体" w:cs="宋体"/>
          <w:color w:val="auto"/>
          <w:szCs w:val="21"/>
          <w:highlight w:val="none"/>
          <w:u w:val="single"/>
          <w:lang w:val="en-US" w:eastAsia="zh-CN"/>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承包人应严格遵守安全文明施工有关规定，注意地质松软坍塌等、电力电缆等可能带来施工安全隐患的问题，并承担由此可能产生的费用。有关现场安全文明的要求详见《安全施工与文明现场协议书》及“技术标准和要求”，缺项部分参照通用条款。安全防护文明施工措施费已包含在合同价款中，承包人应自行承担该费用。</w:t>
      </w:r>
    </w:p>
    <w:p w14:paraId="5D7CF166">
      <w:pPr>
        <w:adjustRightInd w:val="0"/>
        <w:snapToGrid w:val="0"/>
        <w:spacing w:line="384"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施工安全要求</w:t>
      </w:r>
    </w:p>
    <w:p w14:paraId="38580332">
      <w:pPr>
        <w:adjustRightInd w:val="0"/>
        <w:snapToGrid w:val="0"/>
        <w:spacing w:line="384"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承包人报请监理工程师和发包人审批的施工组织设计中应有安全施工方案，要有安全施工管理系统，配备足够的安全管理人员，将施工安全落到实处。</w:t>
      </w:r>
    </w:p>
    <w:p w14:paraId="1F84FFBF">
      <w:pPr>
        <w:adjustRightInd w:val="0"/>
        <w:snapToGrid w:val="0"/>
        <w:spacing w:line="384"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承包人应严格遵守现行工程建设法律、法规及国家、地区安全生产规程、规定。</w:t>
      </w:r>
    </w:p>
    <w:p w14:paraId="22645C78">
      <w:pPr>
        <w:adjustRightInd w:val="0"/>
        <w:snapToGrid w:val="0"/>
        <w:spacing w:line="384"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严格按照安全标准组织施工，并随时接受行业安全检查人员依法实施的监督检查，并采取必要的安全防护措施，消除事故隐患。由于承包人安全措施不力造成的责任和因此发生的费用，由承包人承担。</w:t>
      </w:r>
    </w:p>
    <w:p w14:paraId="563CDB62">
      <w:pPr>
        <w:adjustRightInd w:val="0"/>
        <w:snapToGrid w:val="0"/>
        <w:spacing w:line="384"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若监理工程师认为承包人在现场施工中存在一定的安全隐患，有可能威胁到现场人员的生命安全和发包人利益，有权要求承包人采取必要的措施和增加必要的设施以杜绝安全隐患。采取措施的相关费用应由承包人承担。</w:t>
      </w:r>
    </w:p>
    <w:p w14:paraId="2401F39F">
      <w:pPr>
        <w:adjustRightInd w:val="0"/>
        <w:snapToGrid w:val="0"/>
        <w:spacing w:line="384"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承包人应在施工现场悬挂必须的安全标志，以引起现场的人员对安全隐患的注意。承包人应对非承包人的人员进入现场进行必要的安全指导和宣传。</w:t>
      </w:r>
    </w:p>
    <w:p w14:paraId="62E3C688">
      <w:pPr>
        <w:adjustRightInd w:val="0"/>
        <w:snapToGrid w:val="0"/>
        <w:spacing w:line="384"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承包人所有雇员和代表都应穿戴整齐，行为文明。要佩戴由承包人提供的工作证，工作证应表明姓名、职务。身份及编号，在现场期间应一直佩戴胸前。承包人的所有机械及设备都应醒目地标注承包人的名称及编号。</w:t>
      </w:r>
    </w:p>
    <w:p w14:paraId="37224694">
      <w:pPr>
        <w:adjustRightInd w:val="0"/>
        <w:snapToGrid w:val="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　　</w:t>
      </w:r>
      <w:r>
        <w:rPr>
          <w:rFonts w:hint="eastAsia" w:ascii="宋体" w:cs="宋体"/>
          <w:color w:val="auto"/>
          <w:szCs w:val="21"/>
          <w:highlight w:val="none"/>
        </w:rPr>
        <w:t>承包人应严格按规范和工艺操作程序施工，加强质量自检和安全管理。在施工过程中，如发现承包人违反施工工艺操作程序，或违反质量、安全管理的有关规定（包含本项目建设</w:t>
      </w:r>
      <w:r>
        <w:rPr>
          <w:rFonts w:hint="eastAsia" w:ascii="宋体" w:cs="宋体"/>
          <w:color w:val="auto"/>
          <w:szCs w:val="21"/>
          <w:highlight w:val="none"/>
          <w:lang w:eastAsia="zh-CN"/>
        </w:rPr>
        <w:t>单位</w:t>
      </w:r>
      <w:r>
        <w:rPr>
          <w:rFonts w:hint="eastAsia" w:ascii="宋体" w:cs="宋体"/>
          <w:color w:val="auto"/>
          <w:szCs w:val="21"/>
          <w:highlight w:val="none"/>
        </w:rPr>
        <w:t>管理办法</w:t>
      </w:r>
      <w:r>
        <w:rPr>
          <w:rFonts w:hint="eastAsia" w:ascii="宋体" w:cs="宋体"/>
          <w:color w:val="auto"/>
          <w:szCs w:val="21"/>
          <w:highlight w:val="none"/>
          <w:lang w:eastAsia="zh-CN"/>
        </w:rPr>
        <w:t>中</w:t>
      </w:r>
      <w:r>
        <w:rPr>
          <w:rFonts w:hint="eastAsia" w:ascii="宋体" w:cs="宋体"/>
          <w:color w:val="auto"/>
          <w:szCs w:val="21"/>
          <w:highlight w:val="none"/>
        </w:rPr>
        <w:t>质量、安全管理的系列规定），或出现质量问题、造成质量隐患及发生安全事故，发包人有权按照违约</w:t>
      </w:r>
      <w:r>
        <w:rPr>
          <w:rFonts w:hint="eastAsia" w:ascii="宋体" w:cs="宋体"/>
          <w:color w:val="auto"/>
          <w:szCs w:val="21"/>
          <w:highlight w:val="none"/>
          <w:lang w:eastAsia="zh-CN"/>
        </w:rPr>
        <w:t>进行</w:t>
      </w:r>
      <w:r>
        <w:rPr>
          <w:rFonts w:hint="eastAsia" w:ascii="宋体" w:cs="宋体"/>
          <w:color w:val="auto"/>
          <w:szCs w:val="21"/>
          <w:highlight w:val="none"/>
        </w:rPr>
        <w:t>处理</w:t>
      </w:r>
      <w:r>
        <w:rPr>
          <w:rFonts w:hint="eastAsia" w:ascii="宋体" w:cs="宋体"/>
          <w:color w:val="auto"/>
          <w:szCs w:val="21"/>
          <w:highlight w:val="none"/>
          <w:lang w:eastAsia="zh-CN"/>
        </w:rPr>
        <w:t>，违约金</w:t>
      </w:r>
      <w:r>
        <w:rPr>
          <w:rFonts w:hint="eastAsia" w:ascii="宋体" w:cs="宋体"/>
          <w:color w:val="auto"/>
          <w:szCs w:val="21"/>
          <w:highlight w:val="none"/>
        </w:rPr>
        <w:t>课以0.5万元</w:t>
      </w:r>
      <w:r>
        <w:rPr>
          <w:rFonts w:hint="eastAsia" w:ascii="宋体" w:cs="宋体"/>
          <w:color w:val="auto"/>
          <w:szCs w:val="21"/>
          <w:highlight w:val="none"/>
          <w:lang w:val="en-US" w:eastAsia="zh-CN"/>
        </w:rPr>
        <w:t>/次~50万元/次</w:t>
      </w:r>
      <w:r>
        <w:rPr>
          <w:rFonts w:hint="eastAsia" w:ascii="宋体" w:cs="宋体"/>
          <w:color w:val="auto"/>
          <w:szCs w:val="21"/>
          <w:highlight w:val="none"/>
        </w:rPr>
        <w:t>的违约金。同时不免除承包人自费整改的责任以及其他应负的责任</w:t>
      </w:r>
      <w:r>
        <w:rPr>
          <w:rFonts w:hint="eastAsia" w:ascii="宋体" w:cs="宋体"/>
          <w:color w:val="auto"/>
          <w:szCs w:val="21"/>
          <w:highlight w:val="none"/>
          <w:lang w:eastAsia="zh-CN"/>
        </w:rPr>
        <w:t>，</w:t>
      </w:r>
      <w:r>
        <w:rPr>
          <w:rFonts w:hint="eastAsia" w:ascii="宋体" w:cs="宋体"/>
          <w:color w:val="auto"/>
          <w:szCs w:val="21"/>
          <w:highlight w:val="none"/>
        </w:rPr>
        <w:t>因承包人原因导致发包人被起诉（或追加投诉），发包人承担的包括但不限于律师费、诉讼费等费用，由承包人承担；给发包人造成损失的，还应承担赔偿责任，发包人保留对承包人的追诉权利。</w:t>
      </w:r>
    </w:p>
    <w:p w14:paraId="44B45274">
      <w:pPr>
        <w:pStyle w:val="14"/>
        <w:rPr>
          <w:rFonts w:hint="eastAsia"/>
          <w:color w:val="auto"/>
          <w:highlight w:val="none"/>
        </w:rPr>
      </w:pPr>
    </w:p>
    <w:p w14:paraId="7C76E2A7">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承包人应保证在整个合同履行过程中不发生民事或刑事案件，并承担施工安全保卫工作及非夜间施工照明的责任和要求：在实施和完成本工程过程中，承包人应充分关注和保障所有在场人员的安全，承包人对安全防护工作负全责（包括但不限于责任和费用），并禁止非施工人员、车辆进入现场。为保护本工程免遭损坏，或为现场附近和过往人群的安全与方便，在确有必要的时候和地方，或当监理工程师或有关主管部门要求时，承包人应自费提供照明、警卫、护栅、警告标志等安全防护措施。所有安全事故及责任，由承包人承担。如承包人未履行上述约定及通用条款相关义务造成工程、财产和人身伤害，由承包人承担责任，赔偿损失及支付发生的费用</w:t>
      </w:r>
      <w:r>
        <w:rPr>
          <w:rFonts w:hint="eastAsia" w:ascii="宋体" w:cs="宋体"/>
          <w:color w:val="auto"/>
          <w:szCs w:val="21"/>
          <w:highlight w:val="none"/>
          <w:u w:val="single"/>
        </w:rPr>
        <w:t>。</w:t>
      </w:r>
    </w:p>
    <w:p w14:paraId="35144D4A">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155C9077">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14:paraId="4A7078A1">
      <w:pPr>
        <w:keepNext w:val="0"/>
        <w:keepLines w:val="0"/>
        <w:pageBreakBefore w:val="0"/>
        <w:widowControl w:val="0"/>
        <w:kinsoku/>
        <w:wordWrap/>
        <w:overflowPunct/>
        <w:topLinePunct w:val="0"/>
        <w:autoSpaceDE/>
        <w:autoSpaceDN/>
        <w:bidi w:val="0"/>
        <w:snapToGrid w:val="0"/>
        <w:spacing w:line="480" w:lineRule="exact"/>
        <w:ind w:left="0" w:leftChars="0" w:firstLine="420" w:firstLineChars="200"/>
        <w:jc w:val="left"/>
        <w:textAlignment w:val="auto"/>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承包人必须根据滁州当地政府管理机构及发包人的要求进行安全文明施工并交纳有关费用</w:t>
      </w:r>
      <w:r>
        <w:rPr>
          <w:rFonts w:hint="eastAsia" w:ascii="宋体" w:cs="宋体"/>
          <w:color w:val="auto"/>
          <w:szCs w:val="21"/>
          <w:highlight w:val="none"/>
          <w:u w:val="single"/>
          <w:lang w:eastAsia="zh-CN"/>
        </w:rPr>
        <w:t>，所纳费用包括在</w:t>
      </w:r>
      <w:r>
        <w:rPr>
          <w:rFonts w:hint="eastAsia" w:ascii="宋体" w:hAnsi="宋体" w:eastAsia="宋体" w:cs="宋体"/>
          <w:color w:val="auto"/>
          <w:szCs w:val="21"/>
          <w:highlight w:val="none"/>
          <w:u w:val="single"/>
          <w:lang w:val="en-US" w:eastAsia="zh-CN"/>
        </w:rPr>
        <w:t>投标综合单价中，不另计。</w:t>
      </w:r>
    </w:p>
    <w:p w14:paraId="2EAC0EA2">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szCs w:val="21"/>
          <w:highlight w:val="none"/>
          <w:u w:val="single"/>
          <w:lang w:val="en-US" w:eastAsia="zh-CN"/>
        </w:rPr>
      </w:pPr>
      <w:r>
        <w:rPr>
          <w:rFonts w:hint="eastAsia" w:ascii="宋体" w:hAnsi="宋体" w:cs="宋体"/>
          <w:bCs/>
          <w:color w:val="auto"/>
          <w:szCs w:val="21"/>
          <w:highlight w:val="none"/>
        </w:rPr>
        <w:t>6.1.6 关于安全文明施工费支付比例和支付期限的约定：</w:t>
      </w:r>
      <w:r>
        <w:rPr>
          <w:rFonts w:hint="eastAsia" w:ascii="宋体" w:hAnsi="宋体" w:eastAsia="宋体" w:cs="宋体"/>
          <w:color w:val="auto"/>
          <w:szCs w:val="21"/>
          <w:highlight w:val="none"/>
          <w:u w:val="single"/>
          <w:lang w:val="en-US" w:eastAsia="zh-CN"/>
        </w:rPr>
        <w:t>与工程款同期同比例支付。施工单位须按滁州市相关规定及监理单位、建设单位、安监站要求做好现场安全文明措施，提供安全文明投入的相关凭证。</w:t>
      </w:r>
    </w:p>
    <w:p w14:paraId="3C28735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发生安全事故，承包人应按照有关规定立即上报有关部门并通知工程师，同时按照政府有关要求处理，由事故责任方承担发生的费用。发包人根据事故的分类对承包人进行处以违约：（1）特别重大事故，承包人须支付人民币50万元的违约金；（2）重大事故，承包人须支付人民币30万元的违约金；（3）较大事故，承包人须支付人民币20万元的违约金；（4）一般事故，承包人须支付人民币10万元的违约金；并承担因施工安全事故给本工程建设单位、项目管理单位和监理人带来的经济损失。</w:t>
      </w:r>
    </w:p>
    <w:p w14:paraId="26C7FACA">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发生质量事故，承包人应按照有关规定立即上报有关部门并通知工程师，同时按照政府有关要求处理，由事故责任方承担发生的费用。发包人根据事故的分类对承包人进行处以违约：（1）特别重大质量事故，承包人须支付人民币50万元的违约金；（2）重大质量事故，承包人须支付人民币30万元的违约金；（3）严重质量事故，承包人须支付人民币20万元的违约金；（4）一般质量事故，承包人须支付人民币10万元的违约金；并承担因施工质量事故给本工程建设单位、项目管理单位和监理人带来的经济损失。</w:t>
      </w:r>
    </w:p>
    <w:p w14:paraId="16CAD015">
      <w:pPr>
        <w:keepNext w:val="0"/>
        <w:keepLines w:val="0"/>
        <w:pageBreakBefore w:val="0"/>
        <w:widowControl w:val="0"/>
        <w:kinsoku/>
        <w:wordWrap/>
        <w:overflowPunct/>
        <w:topLinePunct w:val="0"/>
        <w:autoSpaceDE/>
        <w:autoSpaceDN/>
        <w:bidi w:val="0"/>
        <w:snapToGrid w:val="0"/>
        <w:spacing w:line="480" w:lineRule="exact"/>
        <w:ind w:left="0" w:leftChars="0" w:firstLine="420" w:firstLineChars="200"/>
        <w:jc w:val="left"/>
        <w:textAlignment w:val="auto"/>
        <w:rPr>
          <w:rFonts w:hint="eastAsia" w:ascii="宋体" w:hAnsi="宋体" w:cs="宋体"/>
          <w:bCs/>
          <w:color w:val="auto"/>
          <w:szCs w:val="21"/>
          <w:highlight w:val="none"/>
          <w:u w:val="single"/>
        </w:rPr>
      </w:pPr>
      <w:r>
        <w:rPr>
          <w:rFonts w:hint="eastAsia" w:ascii="宋体" w:hAnsi="宋体" w:eastAsia="宋体" w:cs="宋体"/>
          <w:color w:val="auto"/>
          <w:szCs w:val="21"/>
          <w:highlight w:val="none"/>
          <w:u w:val="single"/>
          <w:lang w:val="en-US" w:eastAsia="zh-CN"/>
        </w:rPr>
        <w:t>承包方自行解决进场道路绿化开口协调及费用，所需费用已包含在投标综合单价中，不另计</w:t>
      </w:r>
      <w:r>
        <w:rPr>
          <w:rFonts w:hint="eastAsia" w:ascii="宋体" w:hAnsi="宋体" w:cs="宋体"/>
          <w:bCs/>
          <w:color w:val="auto"/>
          <w:szCs w:val="21"/>
          <w:highlight w:val="none"/>
          <w:u w:val="single"/>
        </w:rPr>
        <w:t>。</w:t>
      </w:r>
    </w:p>
    <w:p w14:paraId="7E5B12E5">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6.3 环境保护</w:t>
      </w:r>
    </w:p>
    <w:p w14:paraId="183F2DF3">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本款补充：</w:t>
      </w:r>
    </w:p>
    <w:p w14:paraId="34F18539">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合同当事人对农药、肥料的使用要求：</w:t>
      </w:r>
      <w:r>
        <w:rPr>
          <w:rFonts w:hint="eastAsia" w:ascii="宋体" w:eastAsia="宋体" w:cs="宋体"/>
          <w:b w:val="0"/>
          <w:color w:val="auto"/>
          <w:sz w:val="21"/>
          <w:szCs w:val="21"/>
          <w:highlight w:val="none"/>
          <w:u w:val="single"/>
        </w:rPr>
        <w:t xml:space="preserve"> 按</w:t>
      </w:r>
      <w:r>
        <w:rPr>
          <w:rFonts w:hint="eastAsia" w:ascii="宋体" w:eastAsia="宋体" w:cs="宋体"/>
          <w:b w:val="0"/>
          <w:color w:val="auto"/>
          <w:sz w:val="21"/>
          <w:szCs w:val="21"/>
          <w:highlight w:val="none"/>
          <w:u w:val="single"/>
          <w:lang w:val="en-US" w:eastAsia="zh-CN"/>
        </w:rPr>
        <w:t>发包人</w:t>
      </w:r>
      <w:r>
        <w:rPr>
          <w:rFonts w:hint="eastAsia" w:ascii="宋体" w:eastAsia="宋体" w:cs="宋体"/>
          <w:b w:val="0"/>
          <w:color w:val="auto"/>
          <w:sz w:val="21"/>
          <w:szCs w:val="21"/>
          <w:highlight w:val="none"/>
          <w:u w:val="single"/>
        </w:rPr>
        <w:t>要求</w:t>
      </w:r>
      <w:r>
        <w:rPr>
          <w:rFonts w:hint="eastAsia" w:ascii="宋体" w:eastAsia="宋体" w:cs="宋体"/>
          <w:b w:val="0"/>
          <w:color w:val="auto"/>
          <w:sz w:val="21"/>
          <w:szCs w:val="21"/>
          <w:highlight w:val="none"/>
        </w:rPr>
        <w:t xml:space="preserve"> 。</w:t>
      </w:r>
    </w:p>
    <w:p w14:paraId="55944D49">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14:paraId="55E02C8D">
      <w:pPr>
        <w:pageBreakBefore w:val="0"/>
        <w:kinsoku/>
        <w:overflowPunct/>
        <w:topLinePunct w:val="0"/>
        <w:bidi w:val="0"/>
        <w:spacing w:line="480" w:lineRule="exact"/>
        <w:ind w:left="0" w:leftChars="0" w:firstLine="420" w:firstLineChars="200"/>
        <w:outlineLvl w:val="2"/>
        <w:rPr>
          <w:rFonts w:hint="eastAsia" w:ascii="宋体" w:cs="宋体"/>
          <w:color w:val="auto"/>
          <w:szCs w:val="21"/>
          <w:highlight w:val="none"/>
        </w:rPr>
      </w:pPr>
      <w:r>
        <w:rPr>
          <w:rFonts w:hint="eastAsia" w:ascii="宋体" w:cs="宋体"/>
          <w:color w:val="auto"/>
          <w:szCs w:val="21"/>
          <w:highlight w:val="none"/>
        </w:rPr>
        <w:t>7.1 施工组织设计</w:t>
      </w:r>
      <w:bookmarkStart w:id="837" w:name="_Toc856803142"/>
      <w:bookmarkStart w:id="838" w:name="_Toc1337492230"/>
    </w:p>
    <w:p w14:paraId="5533A73B">
      <w:pPr>
        <w:pageBreakBefore w:val="0"/>
        <w:kinsoku/>
        <w:overflowPunct/>
        <w:topLinePunct w:val="0"/>
        <w:bidi w:val="0"/>
        <w:spacing w:line="480" w:lineRule="exact"/>
        <w:ind w:left="0" w:leftChars="0" w:firstLine="420" w:firstLineChars="200"/>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7.1.1 </w:t>
      </w:r>
      <w:bookmarkStart w:id="839" w:name="_Toc1673538922"/>
      <w:bookmarkStart w:id="840" w:name="_Toc630504734"/>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合同当事人约定的施工组织设计应包括的其他内容：</w:t>
      </w:r>
      <w:r>
        <w:rPr>
          <w:rFonts w:hint="eastAsia" w:ascii="宋体" w:hAnsi="宋体" w:eastAsia="宋体" w:cs="宋体"/>
          <w:color w:val="auto"/>
          <w:sz w:val="21"/>
          <w:szCs w:val="21"/>
          <w:highlight w:val="none"/>
          <w:u w:val="single"/>
        </w:rPr>
        <w:t>本工程需按照总进度计划编制每月施工进度计划，经监理、发包人审批后作为进度考核和进度款支付的依据</w:t>
      </w:r>
      <w:r>
        <w:rPr>
          <w:rFonts w:hint="eastAsia" w:ascii="宋体" w:hAnsi="宋体" w:eastAsia="宋体" w:cs="宋体"/>
          <w:color w:val="auto"/>
          <w:sz w:val="21"/>
          <w:szCs w:val="21"/>
          <w:highlight w:val="none"/>
        </w:rPr>
        <w:t>。</w:t>
      </w:r>
      <w:bookmarkEnd w:id="839"/>
      <w:bookmarkEnd w:id="840"/>
    </w:p>
    <w:bookmarkEnd w:id="837"/>
    <w:bookmarkEnd w:id="838"/>
    <w:p w14:paraId="2F49E2F3">
      <w:pPr>
        <w:pageBreakBefore w:val="0"/>
        <w:kinsoku/>
        <w:overflowPunct/>
        <w:topLinePunct w:val="0"/>
        <w:autoSpaceDE w:val="0"/>
        <w:autoSpaceDN w:val="0"/>
        <w:bidi w:val="0"/>
        <w:adjustRightInd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14:paraId="0EA90C0F">
      <w:pPr>
        <w:pageBreakBefore w:val="0"/>
        <w:kinsoku/>
        <w:overflowPunct/>
        <w:topLinePunct w:val="0"/>
        <w:autoSpaceDE w:val="0"/>
        <w:autoSpaceDN w:val="0"/>
        <w:bidi w:val="0"/>
        <w:adjustRightInd w:val="0"/>
        <w:snapToGrid w:val="0"/>
        <w:spacing w:line="480" w:lineRule="exact"/>
        <w:ind w:left="0" w:leftChars="0" w:firstLine="420" w:firstLineChars="200"/>
        <w:jc w:val="left"/>
        <w:rPr>
          <w:rFonts w:hint="eastAsia" w:ascii="宋体" w:hAnsi="宋体" w:eastAsia="宋体" w:cs="宋体"/>
          <w:color w:val="auto"/>
          <w:sz w:val="21"/>
          <w:szCs w:val="21"/>
          <w:highlight w:val="none"/>
          <w:u w:val="single"/>
        </w:rPr>
      </w:pPr>
      <w:r>
        <w:rPr>
          <w:rFonts w:hint="eastAsia" w:ascii="宋体" w:cs="宋体"/>
          <w:color w:val="auto"/>
          <w:kern w:val="0"/>
          <w:szCs w:val="21"/>
          <w:highlight w:val="none"/>
        </w:rPr>
        <w:t>承包人提交详细施工组织设计的期限的约定：</w:t>
      </w:r>
      <w:r>
        <w:rPr>
          <w:rFonts w:hint="eastAsia" w:ascii="宋体" w:hAnsi="宋体" w:eastAsia="宋体" w:cs="宋体"/>
          <w:color w:val="auto"/>
          <w:sz w:val="21"/>
          <w:szCs w:val="21"/>
          <w:highlight w:val="none"/>
          <w:u w:val="single"/>
          <w:lang w:val="en-US" w:eastAsia="zh-CN"/>
        </w:rPr>
        <w:t xml:space="preserve">  无</w:t>
      </w:r>
      <w:r>
        <w:rPr>
          <w:rFonts w:hint="eastAsia" w:ascii="宋体" w:hAnsi="宋体" w:eastAsia="宋体" w:cs="宋体"/>
          <w:color w:val="auto"/>
          <w:sz w:val="21"/>
          <w:szCs w:val="21"/>
          <w:highlight w:val="none"/>
          <w:u w:val="single"/>
        </w:rPr>
        <w:t>。</w:t>
      </w:r>
    </w:p>
    <w:p w14:paraId="7624DF34">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发包人和监理人在收到详细的施工组织设计后确认或提出修改意见的期限：</w:t>
      </w:r>
      <w:r>
        <w:rPr>
          <w:rFonts w:hint="eastAsia" w:ascii="宋体" w:cs="宋体"/>
          <w:color w:val="auto"/>
          <w:szCs w:val="21"/>
          <w:highlight w:val="none"/>
          <w:u w:val="single"/>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44AA57AB">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7.2 施工进度计划</w:t>
      </w:r>
    </w:p>
    <w:p w14:paraId="0AFF4E01">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7.2.2 施工进度计划的修订</w:t>
      </w:r>
    </w:p>
    <w:p w14:paraId="4D0838AB">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发包人和监理人在收到修订的施工进度计划后确认或提出修改意见的期限：</w:t>
      </w:r>
      <w:r>
        <w:rPr>
          <w:rFonts w:hint="eastAsia" w:ascii="宋体" w:cs="宋体"/>
          <w:color w:val="auto"/>
          <w:szCs w:val="21"/>
          <w:highlight w:val="none"/>
          <w:u w:val="single"/>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14DF8491">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7.3 开工</w:t>
      </w:r>
    </w:p>
    <w:p w14:paraId="07DB956F">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7.3.1 开工准备</w:t>
      </w:r>
    </w:p>
    <w:p w14:paraId="0FA41E8E">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FA97B55">
      <w:pPr>
        <w:pageBreakBefore w:val="0"/>
        <w:kinsoku/>
        <w:overflowPunct/>
        <w:topLinePunct w:val="0"/>
        <w:bidi w:val="0"/>
        <w:spacing w:line="480" w:lineRule="exact"/>
        <w:ind w:left="0" w:leftChars="0" w:firstLine="420" w:firstLineChars="200"/>
        <w:jc w:val="left"/>
        <w:rPr>
          <w:rFonts w:ascii="仿宋_GB2312" w:hAnsi="仿宋_GB2312" w:eastAsia="仿宋_GB2312" w:cs="仿宋_GB2312"/>
          <w:color w:val="auto"/>
          <w:sz w:val="28"/>
          <w:szCs w:val="28"/>
          <w:highlight w:val="none"/>
        </w:rPr>
      </w:pPr>
      <w:r>
        <w:rPr>
          <w:rFonts w:hint="eastAsia" w:ascii="宋体" w:cs="宋体"/>
          <w:color w:val="auto"/>
          <w:szCs w:val="21"/>
          <w:highlight w:val="none"/>
        </w:rPr>
        <w:t>关于发包人应完成的其他开工准备工作及期限：</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481BC63">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14:paraId="2EF98BE8">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7.3.2开工通知</w:t>
      </w:r>
    </w:p>
    <w:p w14:paraId="2A0B44EB">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因发包人原因造成监理人未能在计划开工日期之日起</w:t>
      </w:r>
      <w:r>
        <w:rPr>
          <w:rFonts w:hint="eastAsia" w:ascii="宋体" w:cs="宋体"/>
          <w:color w:val="auto"/>
          <w:szCs w:val="21"/>
          <w:highlight w:val="none"/>
          <w:u w:val="single"/>
        </w:rPr>
        <w:t xml:space="preserve">  90  </w:t>
      </w:r>
      <w:r>
        <w:rPr>
          <w:rFonts w:hint="eastAsia" w:ascii="宋体" w:cs="宋体"/>
          <w:color w:val="auto"/>
          <w:szCs w:val="21"/>
          <w:highlight w:val="none"/>
        </w:rPr>
        <w:t>天内发出开工通知的，承包人有权提出价格调整要求，或者解除合同。</w:t>
      </w:r>
    </w:p>
    <w:p w14:paraId="4EB0B401">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7.4 测量放线</w:t>
      </w:r>
    </w:p>
    <w:p w14:paraId="68A5F9EF">
      <w:pPr>
        <w:pageBreakBefore w:val="0"/>
        <w:kinsoku/>
        <w:overflowPunct/>
        <w:topLinePunct w:val="0"/>
        <w:bidi w:val="0"/>
        <w:snapToGrid w:val="0"/>
        <w:spacing w:line="480" w:lineRule="exact"/>
        <w:ind w:left="0" w:leftChars="0" w:firstLine="420" w:firstLineChars="200"/>
        <w:jc w:val="left"/>
        <w:rPr>
          <w:rFonts w:hint="eastAsia" w:ascii="宋体" w:hAnsi="宋体" w:cs="宋体"/>
          <w:color w:val="auto"/>
          <w:highlight w:val="none"/>
        </w:rPr>
      </w:pPr>
      <w:r>
        <w:rPr>
          <w:rFonts w:hint="eastAsia" w:ascii="宋体" w:cs="宋体"/>
          <w:color w:val="auto"/>
          <w:szCs w:val="21"/>
          <w:highlight w:val="none"/>
        </w:rPr>
        <w:t>7.4.1发包人通过监理人向承包人提供测量基准点、基准线和水准点及其书面资料的期限：</w:t>
      </w:r>
      <w:r>
        <w:rPr>
          <w:rFonts w:hint="eastAsia" w:ascii="宋体" w:cs="宋体"/>
          <w:color w:val="auto"/>
          <w:szCs w:val="21"/>
          <w:highlight w:val="none"/>
          <w:u w:val="single"/>
        </w:rPr>
        <w:t xml:space="preserve"> </w:t>
      </w:r>
      <w:r>
        <w:rPr>
          <w:rFonts w:hint="eastAsia" w:ascii="宋体" w:hAnsi="宋体" w:cs="宋体"/>
          <w:color w:val="auto"/>
          <w:highlight w:val="none"/>
          <w:u w:val="single"/>
        </w:rPr>
        <w:t>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7B1D6D2E">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7.5 工期延误</w:t>
      </w:r>
    </w:p>
    <w:p w14:paraId="7850AF6D">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7.5.1 因发包人原因导致工期延误</w:t>
      </w:r>
    </w:p>
    <w:p w14:paraId="74047B1E">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无     。</w:t>
      </w:r>
      <w:r>
        <w:rPr>
          <w:rFonts w:hint="eastAsia" w:ascii="宋体" w:cs="宋体"/>
          <w:color w:val="auto"/>
          <w:szCs w:val="21"/>
          <w:highlight w:val="none"/>
        </w:rPr>
        <w:t xml:space="preserve">        </w:t>
      </w:r>
    </w:p>
    <w:p w14:paraId="60ECFFA3">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7.5.2 因承包人原因导致工期延误</w:t>
      </w:r>
    </w:p>
    <w:p w14:paraId="49E59189">
      <w:pPr>
        <w:pStyle w:val="14"/>
        <w:pageBreakBefore w:val="0"/>
        <w:kinsoku/>
        <w:overflowPunct/>
        <w:topLinePunct w:val="0"/>
        <w:bidi w:val="0"/>
        <w:spacing w:after="0" w:afterLines="0" w:line="480" w:lineRule="exact"/>
        <w:ind w:left="0" w:leftChars="0" w:firstLine="420" w:firstLineChars="200"/>
        <w:rPr>
          <w:rFonts w:hint="eastAsia"/>
          <w:color w:val="auto"/>
          <w:highlight w:val="none"/>
          <w:u w:val="single"/>
        </w:rPr>
      </w:pPr>
      <w:r>
        <w:rPr>
          <w:rFonts w:hint="eastAsia"/>
          <w:color w:val="auto"/>
          <w:highlight w:val="none"/>
        </w:rPr>
        <w:t>因承包人原因造成工期延误，逾期</w:t>
      </w:r>
      <w:r>
        <w:rPr>
          <w:rFonts w:hint="eastAsia"/>
          <w:color w:val="auto"/>
          <w:highlight w:val="none"/>
          <w:lang w:eastAsia="zh-CN"/>
        </w:rPr>
        <w:t>交</w:t>
      </w:r>
      <w:r>
        <w:rPr>
          <w:rFonts w:hint="eastAsia"/>
          <w:color w:val="auto"/>
          <w:highlight w:val="none"/>
        </w:rPr>
        <w:t>工违约金的计算方法为：</w:t>
      </w:r>
      <w:r>
        <w:rPr>
          <w:rFonts w:hint="eastAsia"/>
          <w:color w:val="auto"/>
          <w:highlight w:val="none"/>
          <w:u w:val="single"/>
        </w:rPr>
        <w:t xml:space="preserve"> 因承包人原因造成合同工期延误，每延误一天，按</w:t>
      </w:r>
      <w:r>
        <w:rPr>
          <w:rFonts w:hint="eastAsia"/>
          <w:color w:val="auto"/>
          <w:highlight w:val="none"/>
          <w:u w:val="single"/>
          <w:lang w:val="en-US" w:eastAsia="zh-CN"/>
        </w:rPr>
        <w:t>3</w:t>
      </w:r>
      <w:r>
        <w:rPr>
          <w:rFonts w:hint="eastAsia"/>
          <w:color w:val="auto"/>
          <w:highlight w:val="none"/>
          <w:u w:val="single"/>
        </w:rPr>
        <w:t>000元/天</w:t>
      </w:r>
      <w:r>
        <w:rPr>
          <w:rFonts w:hint="eastAsia"/>
          <w:color w:val="auto"/>
          <w:highlight w:val="none"/>
          <w:u w:val="single"/>
          <w:lang w:val="en-US" w:eastAsia="zh-CN"/>
        </w:rPr>
        <w:t>支付</w:t>
      </w:r>
      <w:r>
        <w:rPr>
          <w:rFonts w:hint="eastAsia"/>
          <w:color w:val="auto"/>
          <w:highlight w:val="none"/>
          <w:u w:val="single"/>
        </w:rPr>
        <w:t>违约金。</w:t>
      </w:r>
    </w:p>
    <w:p w14:paraId="63FAC64B">
      <w:pPr>
        <w:pStyle w:val="14"/>
        <w:pageBreakBefore w:val="0"/>
        <w:kinsoku/>
        <w:overflowPunct/>
        <w:topLinePunct w:val="0"/>
        <w:bidi w:val="0"/>
        <w:spacing w:after="0" w:afterLines="0" w:line="480" w:lineRule="exact"/>
        <w:ind w:left="0" w:leftChars="0" w:firstLine="420" w:firstLineChars="20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14:paraId="2F563CC4">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7.6 不利物质条件</w:t>
      </w:r>
    </w:p>
    <w:p w14:paraId="449DAF40">
      <w:pPr>
        <w:pageBreakBefore w:val="0"/>
        <w:kinsoku/>
        <w:overflowPunct/>
        <w:topLinePunct w:val="0"/>
        <w:bidi w:val="0"/>
        <w:snapToGrid w:val="0"/>
        <w:spacing w:line="480" w:lineRule="exact"/>
        <w:ind w:left="0" w:leftChars="0"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p w14:paraId="06069BE8">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7.7异常恶劣的气候条件</w:t>
      </w:r>
    </w:p>
    <w:p w14:paraId="0BB8B9D3">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59CFEEB4">
      <w:pPr>
        <w:pageBreakBefore w:val="0"/>
        <w:kinsoku/>
        <w:overflowPunct/>
        <w:topLinePunct w:val="0"/>
        <w:bidi w:val="0"/>
        <w:snapToGrid w:val="0"/>
        <w:spacing w:line="480" w:lineRule="exact"/>
        <w:ind w:left="0" w:leftChars="0" w:firstLine="420" w:firstLineChars="200"/>
        <w:jc w:val="left"/>
        <w:rPr>
          <w:rFonts w:hint="eastAsia" w:ascii="宋体" w:hAnsi="宋体" w:cs="宋体"/>
          <w:color w:val="auto"/>
          <w:highlight w:val="none"/>
        </w:rPr>
      </w:pPr>
      <w:r>
        <w:rPr>
          <w:rFonts w:hint="eastAsia" w:ascii="宋体" w:hAnsi="宋体" w:cs="宋体"/>
          <w:color w:val="auto"/>
          <w:highlight w:val="none"/>
        </w:rPr>
        <w:t xml:space="preserve">（1）   </w:t>
      </w:r>
      <w:r>
        <w:rPr>
          <w:rFonts w:hint="eastAsia" w:ascii="宋体" w:hAnsi="宋体" w:cs="宋体"/>
          <w:color w:val="auto"/>
          <w:highlight w:val="none"/>
          <w:lang w:val="en-US" w:eastAsia="zh-CN"/>
        </w:rPr>
        <w:t>七级以上（含七级）大风连续 8 小时</w:t>
      </w:r>
      <w:r>
        <w:rPr>
          <w:rFonts w:hint="eastAsia" w:ascii="宋体" w:hAnsi="宋体" w:cs="宋体"/>
          <w:color w:val="auto"/>
          <w:highlight w:val="none"/>
        </w:rPr>
        <w:t xml:space="preserve">  ；</w:t>
      </w:r>
    </w:p>
    <w:p w14:paraId="5D373740">
      <w:pPr>
        <w:pageBreakBefore w:val="0"/>
        <w:kinsoku/>
        <w:overflowPunct/>
        <w:topLinePunct w:val="0"/>
        <w:bidi w:val="0"/>
        <w:snapToGrid w:val="0"/>
        <w:spacing w:line="480" w:lineRule="exact"/>
        <w:ind w:left="0" w:leftChars="0" w:firstLine="420" w:firstLineChars="200"/>
        <w:jc w:val="left"/>
        <w:rPr>
          <w:rFonts w:hint="eastAsia" w:ascii="宋体" w:hAnsi="宋体" w:cs="宋体"/>
          <w:color w:val="auto"/>
          <w:highlight w:val="none"/>
        </w:rPr>
      </w:pPr>
      <w:r>
        <w:rPr>
          <w:rFonts w:hint="eastAsia" w:ascii="宋体" w:hAnsi="宋体" w:cs="宋体"/>
          <w:color w:val="auto"/>
          <w:highlight w:val="none"/>
        </w:rPr>
        <w:t xml:space="preserve">（2）  </w:t>
      </w:r>
      <w:r>
        <w:rPr>
          <w:rFonts w:hint="eastAsia" w:ascii="宋体" w:hAnsi="宋体" w:cs="宋体"/>
          <w:color w:val="auto"/>
          <w:highlight w:val="none"/>
          <w:lang w:val="en-US" w:eastAsia="zh-CN"/>
        </w:rPr>
        <w:t>日最高温度大于 40 摄氏度，日最低温度小于-4 摄氏度</w:t>
      </w:r>
      <w:r>
        <w:rPr>
          <w:rFonts w:hint="eastAsia" w:ascii="宋体" w:hAnsi="宋体" w:cs="宋体"/>
          <w:color w:val="auto"/>
          <w:highlight w:val="none"/>
        </w:rPr>
        <w:t xml:space="preserve"> ；</w:t>
      </w:r>
    </w:p>
    <w:p w14:paraId="0F5FDB28">
      <w:pPr>
        <w:pageBreakBefore w:val="0"/>
        <w:kinsoku/>
        <w:overflowPunct/>
        <w:topLinePunct w:val="0"/>
        <w:bidi w:val="0"/>
        <w:snapToGrid w:val="0"/>
        <w:spacing w:line="480" w:lineRule="exact"/>
        <w:ind w:left="0" w:leftChars="0" w:firstLine="420" w:firstLineChars="200"/>
        <w:jc w:val="left"/>
        <w:rPr>
          <w:rFonts w:hint="eastAsia" w:ascii="宋体" w:hAnsi="宋体" w:cs="宋体"/>
          <w:color w:val="auto"/>
          <w:highlight w:val="none"/>
        </w:rPr>
      </w:pPr>
      <w:r>
        <w:rPr>
          <w:rFonts w:hint="eastAsia" w:ascii="宋体" w:hAnsi="宋体" w:cs="宋体"/>
          <w:color w:val="auto"/>
          <w:highlight w:val="none"/>
        </w:rPr>
        <w:t xml:space="preserve">（3）  </w:t>
      </w:r>
      <w:r>
        <w:rPr>
          <w:rFonts w:hint="eastAsia" w:ascii="宋体" w:hAnsi="宋体" w:cs="宋体"/>
          <w:color w:val="auto"/>
          <w:highlight w:val="none"/>
          <w:lang w:val="en-US" w:eastAsia="zh-CN"/>
        </w:rPr>
        <w:t>日（昼夜）平均积雪量超过 200mm 的恶劣天气影响</w:t>
      </w:r>
      <w:r>
        <w:rPr>
          <w:rFonts w:hint="eastAsia" w:ascii="宋体" w:hAnsi="宋体" w:cs="宋体"/>
          <w:color w:val="auto"/>
          <w:highlight w:val="none"/>
        </w:rPr>
        <w:t xml:space="preserve">  。</w:t>
      </w:r>
    </w:p>
    <w:p w14:paraId="53745ECE">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14:paraId="4B22485D">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8.4材料与工程设备的保管与使用</w:t>
      </w:r>
    </w:p>
    <w:p w14:paraId="4BB33621">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szCs w:val="21"/>
          <w:highlight w:val="none"/>
        </w:rPr>
        <w:t>8.4.1发包人供应的苗木、材料设备的保管费用的承担：</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084DD643">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8.6 样品</w:t>
      </w:r>
    </w:p>
    <w:p w14:paraId="07550E0B">
      <w:pPr>
        <w:pageBreakBefore w:val="0"/>
        <w:kinsoku/>
        <w:overflowPunct/>
        <w:topLinePunct w:val="0"/>
        <w:autoSpaceDE w:val="0"/>
        <w:autoSpaceDN w:val="0"/>
        <w:bidi w:val="0"/>
        <w:adjustRightInd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8.6.1样品的报送与封存</w:t>
      </w:r>
    </w:p>
    <w:p w14:paraId="30B6CF55">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p>
    <w:p w14:paraId="3A119CDD">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8.8 施工设备和临时设施</w:t>
      </w:r>
    </w:p>
    <w:p w14:paraId="4EA819ED">
      <w:pPr>
        <w:pageBreakBefore w:val="0"/>
        <w:kinsoku/>
        <w:overflowPunct/>
        <w:topLinePunct w:val="0"/>
        <w:autoSpaceDE w:val="0"/>
        <w:autoSpaceDN w:val="0"/>
        <w:bidi w:val="0"/>
        <w:adjustRightInd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8.8.1 承包人提供的施工设备和临时设施</w:t>
      </w:r>
    </w:p>
    <w:p w14:paraId="2809F4A0">
      <w:pPr>
        <w:pageBreakBefore w:val="0"/>
        <w:kinsoku/>
        <w:overflowPunct/>
        <w:topLinePunct w:val="0"/>
        <w:autoSpaceDE w:val="0"/>
        <w:autoSpaceDN w:val="0"/>
        <w:bidi w:val="0"/>
        <w:adjustRightInd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14:paraId="6869ACC2">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14:paraId="4C4114D3">
      <w:pPr>
        <w:pageBreakBefore w:val="0"/>
        <w:kinsoku/>
        <w:overflowPunct/>
        <w:topLinePunct w:val="0"/>
        <w:autoSpaceDE w:val="0"/>
        <w:autoSpaceDN w:val="0"/>
        <w:bidi w:val="0"/>
        <w:adjustRightInd w:val="0"/>
        <w:spacing w:line="48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9.3.4 关于送检材料的约定：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执行市政工程送检规定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2697F9">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 xml:space="preserve">9.4 现场工艺试验 </w:t>
      </w:r>
    </w:p>
    <w:p w14:paraId="6DCDDF24">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按监理人指示    </w:t>
      </w:r>
      <w:r>
        <w:rPr>
          <w:rFonts w:hint="eastAsia" w:ascii="宋体" w:cs="宋体"/>
          <w:color w:val="auto"/>
          <w:szCs w:val="21"/>
          <w:highlight w:val="none"/>
        </w:rPr>
        <w:t>。</w:t>
      </w:r>
    </w:p>
    <w:p w14:paraId="42D7926B">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10. 变更</w:t>
      </w:r>
    </w:p>
    <w:p w14:paraId="4D12B2F2">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10.1变更的范围</w:t>
      </w:r>
    </w:p>
    <w:p w14:paraId="60BD4A06">
      <w:pPr>
        <w:pageBreakBefore w:val="0"/>
        <w:kinsoku/>
        <w:overflowPunct/>
        <w:topLinePunct w:val="0"/>
        <w:bidi w:val="0"/>
        <w:snapToGrid w:val="0"/>
        <w:spacing w:line="480" w:lineRule="exact"/>
        <w:ind w:left="0" w:leftChars="0" w:firstLine="420" w:firstLineChars="200"/>
        <w:jc w:val="left"/>
        <w:rPr>
          <w:rFonts w:hint="eastAsia" w:ascii="宋体" w:eastAsia="宋体" w:cs="宋体"/>
          <w:color w:val="auto"/>
          <w:szCs w:val="21"/>
          <w:highlight w:val="none"/>
          <w:u w:val="single"/>
          <w:lang w:eastAsia="zh-CN"/>
        </w:rPr>
      </w:pPr>
      <w:r>
        <w:rPr>
          <w:rFonts w:hint="eastAsia" w:ascii="宋体" w:cs="宋体"/>
          <w:color w:val="auto"/>
          <w:szCs w:val="21"/>
          <w:highlight w:val="none"/>
        </w:rPr>
        <w:t>关于变更范围的约定：</w:t>
      </w:r>
      <w:r>
        <w:rPr>
          <w:rFonts w:hint="eastAsia" w:ascii="宋体" w:cs="宋体"/>
          <w:color w:val="auto"/>
          <w:szCs w:val="21"/>
          <w:highlight w:val="none"/>
          <w:u w:val="single"/>
        </w:rPr>
        <w:t>执行合同通用条款</w:t>
      </w:r>
      <w:r>
        <w:rPr>
          <w:rFonts w:hint="eastAsia" w:ascii="宋体" w:cs="宋体"/>
          <w:color w:val="auto"/>
          <w:szCs w:val="21"/>
          <w:highlight w:val="none"/>
          <w:u w:val="single"/>
          <w:lang w:eastAsia="zh-CN"/>
        </w:rPr>
        <w:t>。</w:t>
      </w:r>
    </w:p>
    <w:p w14:paraId="251B04DA">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10.4 变更估价</w:t>
      </w:r>
    </w:p>
    <w:p w14:paraId="08EF75A8">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10.4.1变更估价原则</w:t>
      </w:r>
      <w:r>
        <w:rPr>
          <w:rFonts w:hint="eastAsia" w:ascii="宋体" w:cs="宋体"/>
          <w:color w:val="auto"/>
          <w:kern w:val="0"/>
          <w:szCs w:val="21"/>
          <w:highlight w:val="none"/>
        </w:rPr>
        <w:br w:type="textWrapping"/>
      </w:r>
      <w:r>
        <w:rPr>
          <w:rFonts w:hint="eastAsia" w:ascii="宋体" w:cs="宋体"/>
          <w:color w:val="auto"/>
          <w:kern w:val="0"/>
          <w:szCs w:val="21"/>
          <w:highlight w:val="none"/>
        </w:rPr>
        <w:t xml:space="preserve">   </w:t>
      </w:r>
      <w:r>
        <w:rPr>
          <w:rFonts w:hint="eastAsia" w:ascii="宋体" w:cs="宋体"/>
          <w:color w:val="auto"/>
          <w:szCs w:val="21"/>
          <w:highlight w:val="none"/>
        </w:rPr>
        <w:t>关于变更估价的约定:</w:t>
      </w:r>
    </w:p>
    <w:p w14:paraId="24A95957">
      <w:pPr>
        <w:pageBreakBefore w:val="0"/>
        <w:kinsoku/>
        <w:wordWrap/>
        <w:overflowPunct/>
        <w:topLinePunct w:val="0"/>
        <w:bidi w:val="0"/>
        <w:spacing w:line="480" w:lineRule="exact"/>
        <w:ind w:left="0" w:leftChars="0" w:firstLine="420" w:firstLineChars="200"/>
        <w:jc w:val="left"/>
        <w:textAlignment w:val="auto"/>
        <w:rPr>
          <w:rFonts w:hint="eastAsia" w:ascii="宋体" w:cs="宋体"/>
          <w:b/>
          <w:bCs/>
          <w:color w:val="auto"/>
          <w:szCs w:val="21"/>
          <w:highlight w:val="none"/>
          <w:u w:val="single"/>
        </w:rPr>
      </w:pPr>
      <w:r>
        <w:rPr>
          <w:rFonts w:hint="eastAsia" w:ascii="宋体" w:hAnsi="宋体" w:eastAsia="宋体" w:cs="宋体"/>
          <w:color w:val="auto"/>
          <w:kern w:val="2"/>
          <w:sz w:val="21"/>
          <w:szCs w:val="24"/>
          <w:highlight w:val="none"/>
          <w:u w:val="single"/>
          <w:lang w:val="en-US" w:eastAsia="zh-CN" w:bidi="ar-SA"/>
        </w:rPr>
        <w:t>合同清单内因工程量增加产生的变更按合同单价据实结算，合同清单以外的新增项目单价按照最高投标限价的编制原则重新组价×（1-中标下浮率）</w:t>
      </w:r>
      <w:r>
        <w:rPr>
          <w:rFonts w:hint="eastAsia" w:ascii="宋体" w:hAnsi="宋体" w:eastAsia="宋体" w:cs="宋体"/>
          <w:b/>
          <w:bCs/>
          <w:color w:val="auto"/>
          <w:sz w:val="21"/>
          <w:szCs w:val="21"/>
          <w:highlight w:val="none"/>
        </w:rPr>
        <w:t>。</w:t>
      </w:r>
    </w:p>
    <w:p w14:paraId="4D4F5AC4">
      <w:pPr>
        <w:pStyle w:val="14"/>
        <w:keepNext w:val="0"/>
        <w:keepLines w:val="0"/>
        <w:pageBreakBefore w:val="0"/>
        <w:widowControl w:val="0"/>
        <w:kinsoku/>
        <w:wordWrap/>
        <w:overflowPunct/>
        <w:topLinePunct w:val="0"/>
        <w:bidi w:val="0"/>
        <w:spacing w:after="0" w:afterLines="0" w:line="480" w:lineRule="exact"/>
        <w:ind w:left="0" w:leftChars="0" w:firstLine="422" w:firstLineChars="200"/>
        <w:textAlignment w:val="auto"/>
        <w:rPr>
          <w:rFonts w:hint="eastAsia" w:ascii="宋体" w:hAnsi="宋体" w:cs="宋体"/>
          <w:b/>
          <w:color w:val="auto"/>
          <w:highlight w:val="none"/>
          <w:u w:val="none"/>
        </w:rPr>
      </w:pPr>
      <w:r>
        <w:rPr>
          <w:rFonts w:hint="eastAsia" w:ascii="宋体" w:hAnsi="宋体" w:cs="宋体"/>
          <w:b/>
          <w:color w:val="auto"/>
          <w:highlight w:val="none"/>
          <w:u w:val="none"/>
        </w:rPr>
        <w:t>（1）已标价工程量清单或预算书有相同项目的，按照相同项目单价认定；</w:t>
      </w:r>
    </w:p>
    <w:p w14:paraId="4EA4AB0D">
      <w:pPr>
        <w:keepNext w:val="0"/>
        <w:keepLines w:val="0"/>
        <w:pageBreakBefore w:val="0"/>
        <w:widowControl w:val="0"/>
        <w:kinsoku/>
        <w:wordWrap/>
        <w:overflowPunct/>
        <w:topLinePunct w:val="0"/>
        <w:autoSpaceDE w:val="0"/>
        <w:autoSpaceDN w:val="0"/>
        <w:bidi w:val="0"/>
        <w:adjustRightInd w:val="0"/>
        <w:spacing w:line="480" w:lineRule="exact"/>
        <w:ind w:left="0" w:leftChars="0" w:firstLine="422" w:firstLineChars="200"/>
        <w:jc w:val="left"/>
        <w:textAlignment w:val="auto"/>
        <w:rPr>
          <w:rFonts w:hint="eastAsia" w:ascii="宋体" w:hAnsi="宋体" w:cs="宋体"/>
          <w:b/>
          <w:bCs/>
          <w:color w:val="auto"/>
          <w:szCs w:val="21"/>
          <w:highlight w:val="none"/>
          <w:u w:val="none"/>
        </w:rPr>
      </w:pPr>
      <w:r>
        <w:rPr>
          <w:rFonts w:hint="eastAsia" w:ascii="宋体" w:hAnsi="宋体" w:cs="宋体"/>
          <w:b/>
          <w:bCs/>
          <w:color w:val="auto"/>
          <w:szCs w:val="21"/>
          <w:highlight w:val="none"/>
          <w:u w:val="none"/>
        </w:rPr>
        <w:t>（2）</w:t>
      </w:r>
      <w:r>
        <w:rPr>
          <w:rFonts w:hint="eastAsia" w:ascii="宋体" w:hAnsi="宋体" w:cs="宋体"/>
          <w:b/>
          <w:color w:val="auto"/>
          <w:highlight w:val="none"/>
          <w:u w:val="none"/>
        </w:rPr>
        <w:t>已标价工程量清单或预算书中无相同项目，但有类似项目的，参照类似项目的单价认定。</w:t>
      </w:r>
    </w:p>
    <w:p w14:paraId="2FEEFF8E">
      <w:pPr>
        <w:pageBreakBefore w:val="0"/>
        <w:kinsoku/>
        <w:overflowPunct/>
        <w:topLinePunct w:val="0"/>
        <w:bidi w:val="0"/>
        <w:spacing w:line="48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10.4.3 变更估价的支付方式及时间</w:t>
      </w:r>
    </w:p>
    <w:p w14:paraId="1D6DEE30">
      <w:pPr>
        <w:pageBreakBefore w:val="0"/>
        <w:kinsoku/>
        <w:overflowPunct/>
        <w:topLinePunct w:val="0"/>
        <w:bidi w:val="0"/>
        <w:spacing w:line="48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关于变更价款的支付方式及时间的约定：</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1A9C02">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10.5承包人的合理化建议</w:t>
      </w:r>
    </w:p>
    <w:p w14:paraId="708D775A">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监理人审查承包人合理化建议的期限：</w:t>
      </w:r>
      <w:r>
        <w:rPr>
          <w:rFonts w:hint="eastAsia" w:ascii="宋体" w:cs="宋体"/>
          <w:color w:val="auto"/>
          <w:szCs w:val="21"/>
          <w:highlight w:val="none"/>
          <w:u w:val="single"/>
          <w:lang w:val="en-US" w:eastAsia="zh-CN"/>
        </w:rPr>
        <w:t>/</w:t>
      </w:r>
    </w:p>
    <w:p w14:paraId="441FE670">
      <w:pPr>
        <w:pageBreakBefore w:val="0"/>
        <w:kinsoku/>
        <w:overflowPunct/>
        <w:topLinePunct w:val="0"/>
        <w:bidi w:val="0"/>
        <w:snapToGrid w:val="0"/>
        <w:spacing w:line="480" w:lineRule="exact"/>
        <w:ind w:left="0" w:leftChars="0" w:firstLine="420" w:firstLineChars="200"/>
        <w:jc w:val="left"/>
        <w:rPr>
          <w:rFonts w:hint="eastAsia" w:ascii="宋体" w:cs="宋体"/>
          <w:strike/>
          <w:dstrike w:val="0"/>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p>
    <w:p w14:paraId="69F35A3E">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w:t>
      </w:r>
      <w:r>
        <w:rPr>
          <w:rFonts w:hint="eastAsia" w:ascii="宋体" w:cs="宋体"/>
          <w:color w:val="auto"/>
          <w:szCs w:val="21"/>
          <w:highlight w:val="none"/>
          <w:u w:val="single"/>
          <w:lang w:val="en-US" w:eastAsia="zh-CN"/>
        </w:rPr>
        <w:t>/</w:t>
      </w:r>
    </w:p>
    <w:p w14:paraId="2852E96A">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10.7 暂估价</w:t>
      </w:r>
    </w:p>
    <w:p w14:paraId="518E6859">
      <w:pPr>
        <w:pageBreakBefore w:val="0"/>
        <w:kinsoku/>
        <w:overflowPunct/>
        <w:topLinePunct w:val="0"/>
        <w:bidi w:val="0"/>
        <w:snapToGrid w:val="0"/>
        <w:spacing w:line="480" w:lineRule="exact"/>
        <w:ind w:left="0" w:leftChars="0" w:firstLine="420" w:firstLineChars="200"/>
        <w:jc w:val="left"/>
        <w:rPr>
          <w:rFonts w:hint="eastAsia" w:ascii="宋体" w:cs="宋体"/>
          <w:strike w:val="0"/>
          <w:dstrike w:val="0"/>
          <w:color w:val="auto"/>
          <w:kern w:val="0"/>
          <w:szCs w:val="21"/>
          <w:highlight w:val="none"/>
          <w:lang w:val="en-US" w:eastAsia="zh-CN"/>
        </w:rPr>
      </w:pPr>
      <w:r>
        <w:rPr>
          <w:rFonts w:hint="eastAsia" w:ascii="宋体" w:cs="宋体"/>
          <w:strike w:val="0"/>
          <w:dstrike w:val="0"/>
          <w:color w:val="auto"/>
          <w:kern w:val="0"/>
          <w:szCs w:val="21"/>
          <w:highlight w:val="none"/>
          <w:lang w:val="en-US" w:eastAsia="zh-CN"/>
        </w:rPr>
        <w:t xml:space="preserve">无。 </w:t>
      </w:r>
    </w:p>
    <w:p w14:paraId="12179FAE">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14:paraId="4CA3177C">
      <w:pPr>
        <w:pageBreakBefore w:val="0"/>
        <w:kinsoku/>
        <w:overflowPunct/>
        <w:topLinePunct w:val="0"/>
        <w:autoSpaceDE w:val="0"/>
        <w:autoSpaceDN w:val="0"/>
        <w:bidi w:val="0"/>
        <w:adjustRightInd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strike w:val="0"/>
          <w:dstrike w:val="0"/>
          <w:color w:val="auto"/>
          <w:kern w:val="0"/>
          <w:szCs w:val="21"/>
          <w:highlight w:val="none"/>
          <w:lang w:val="en-US" w:eastAsia="zh-CN"/>
        </w:rPr>
        <w:t>无。</w:t>
      </w:r>
    </w:p>
    <w:p w14:paraId="4A8AAFB7">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14:paraId="73405104">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11.1 市场价格波动引起的调整</w:t>
      </w:r>
    </w:p>
    <w:p w14:paraId="4B87F905">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不调整</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278AE4C">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 合同价格、计量与支付</w:t>
      </w:r>
    </w:p>
    <w:p w14:paraId="70FE627F">
      <w:pPr>
        <w:pageBreakBefore w:val="0"/>
        <w:kinsoku/>
        <w:overflowPunct/>
        <w:topLinePunct w:val="0"/>
        <w:bidi w:val="0"/>
        <w:snapToGrid w:val="0"/>
        <w:spacing w:line="48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合同价格形式</w:t>
      </w:r>
    </w:p>
    <w:p w14:paraId="745E7691">
      <w:pPr>
        <w:pageBreakBefore w:val="0"/>
        <w:kinsoku/>
        <w:overflowPunct/>
        <w:topLinePunct w:val="0"/>
        <w:bidi w:val="0"/>
        <w:snapToGrid w:val="0"/>
        <w:spacing w:line="48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固定</w:t>
      </w:r>
      <w:r>
        <w:rPr>
          <w:rFonts w:hint="eastAsia" w:ascii="宋体" w:hAnsi="宋体" w:cs="宋体"/>
          <w:color w:val="auto"/>
          <w:szCs w:val="21"/>
          <w:highlight w:val="none"/>
        </w:rPr>
        <w:t>单价合同。</w:t>
      </w:r>
    </w:p>
    <w:p w14:paraId="70255882">
      <w:pPr>
        <w:pageBreakBefore w:val="0"/>
        <w:kinsoku/>
        <w:overflowPunct/>
        <w:topLinePunct w:val="0"/>
        <w:bidi w:val="0"/>
        <w:snapToGrid w:val="0"/>
        <w:spacing w:line="480" w:lineRule="exact"/>
        <w:ind w:left="0" w:leftChars="0" w:firstLine="420" w:firstLineChars="200"/>
        <w:jc w:val="left"/>
        <w:rPr>
          <w:rFonts w:hint="eastAsia" w:ascii="宋体" w:hAnsi="宋体" w:cs="宋体"/>
          <w:color w:val="auto"/>
          <w:szCs w:val="21"/>
          <w:highlight w:val="none"/>
        </w:rPr>
      </w:pPr>
      <w:r>
        <w:rPr>
          <w:rFonts w:hint="eastAsia" w:ascii="宋体" w:hAnsi="宋体" w:eastAsia="宋体" w:cs="宋体"/>
          <w:color w:val="auto"/>
          <w:szCs w:val="21"/>
          <w:highlight w:val="none"/>
        </w:rPr>
        <w:t>综合单价包含范围：</w:t>
      </w:r>
      <w:r>
        <w:rPr>
          <w:rFonts w:hint="eastAsia" w:ascii="宋体" w:hAnsi="宋体" w:eastAsia="宋体" w:cs="宋体"/>
          <w:b/>
          <w:color w:val="auto"/>
          <w:szCs w:val="21"/>
          <w:highlight w:val="none"/>
          <w:u w:val="single"/>
          <w:lang w:eastAsia="zh-CN"/>
        </w:rPr>
        <w:t>包括但不限于</w:t>
      </w:r>
      <w:r>
        <w:rPr>
          <w:rFonts w:hint="eastAsia" w:ascii="宋体" w:hAnsi="宋体" w:eastAsia="宋体" w:cs="宋体"/>
          <w:b/>
          <w:color w:val="auto"/>
          <w:szCs w:val="21"/>
          <w:highlight w:val="none"/>
          <w:u w:val="single"/>
        </w:rPr>
        <w:t>人工、</w:t>
      </w:r>
      <w:r>
        <w:rPr>
          <w:rFonts w:hint="eastAsia" w:ascii="宋体" w:hAnsi="宋体" w:eastAsia="宋体" w:cs="宋体"/>
          <w:b/>
          <w:color w:val="auto"/>
          <w:szCs w:val="21"/>
          <w:highlight w:val="none"/>
          <w:u w:val="single"/>
          <w:lang w:eastAsia="zh-CN"/>
        </w:rPr>
        <w:t>材料、</w:t>
      </w:r>
      <w:r>
        <w:rPr>
          <w:rFonts w:hint="eastAsia" w:ascii="宋体" w:hAnsi="宋体" w:eastAsia="宋体" w:cs="宋体"/>
          <w:b/>
          <w:color w:val="auto"/>
          <w:szCs w:val="21"/>
          <w:highlight w:val="none"/>
          <w:u w:val="single"/>
        </w:rPr>
        <w:t>机械使用费以及管理费、</w:t>
      </w:r>
      <w:r>
        <w:rPr>
          <w:rFonts w:hint="eastAsia" w:ascii="宋体" w:hAnsi="宋体" w:eastAsia="宋体" w:cs="宋体"/>
          <w:b/>
          <w:color w:val="auto"/>
          <w:szCs w:val="21"/>
          <w:highlight w:val="none"/>
          <w:u w:val="single"/>
          <w:lang w:eastAsia="zh-CN"/>
        </w:rPr>
        <w:t>措施费、文明环保费、临时设施费，税费、保险费、</w:t>
      </w:r>
      <w:r>
        <w:rPr>
          <w:rFonts w:hint="eastAsia" w:ascii="宋体" w:hAnsi="宋体" w:eastAsia="宋体" w:cs="宋体"/>
          <w:b/>
          <w:color w:val="auto"/>
          <w:szCs w:val="21"/>
          <w:highlight w:val="none"/>
          <w:u w:val="single"/>
        </w:rPr>
        <w:t>利润</w:t>
      </w:r>
      <w:r>
        <w:rPr>
          <w:rFonts w:hint="eastAsia" w:ascii="宋体" w:hAnsi="宋体" w:eastAsia="宋体" w:cs="宋体"/>
          <w:b/>
          <w:color w:val="auto"/>
          <w:szCs w:val="21"/>
          <w:highlight w:val="none"/>
          <w:u w:val="single"/>
          <w:lang w:eastAsia="zh-CN"/>
        </w:rPr>
        <w:t>、竣工文件编制费</w:t>
      </w:r>
      <w:r>
        <w:rPr>
          <w:rFonts w:hint="eastAsia" w:ascii="宋体" w:hAnsi="宋体" w:eastAsia="宋体" w:cs="宋体"/>
          <w:b/>
          <w:color w:val="auto"/>
          <w:szCs w:val="21"/>
          <w:highlight w:val="none"/>
          <w:u w:val="single"/>
        </w:rPr>
        <w:t>等</w:t>
      </w:r>
      <w:r>
        <w:rPr>
          <w:rFonts w:hint="eastAsia" w:ascii="宋体" w:hAnsi="宋体" w:eastAsia="宋体" w:cs="宋体"/>
          <w:b/>
          <w:color w:val="auto"/>
          <w:szCs w:val="21"/>
          <w:highlight w:val="none"/>
          <w:u w:val="single"/>
          <w:lang w:eastAsia="zh-CN"/>
        </w:rPr>
        <w:t>除安全生产费用以外所有施工相关费用</w:t>
      </w:r>
      <w:r>
        <w:rPr>
          <w:rFonts w:hint="eastAsia" w:ascii="宋体" w:hAnsi="宋体" w:eastAsia="宋体" w:cs="宋体"/>
          <w:b/>
          <w:color w:val="auto"/>
          <w:szCs w:val="21"/>
          <w:highlight w:val="none"/>
          <w:u w:val="single"/>
        </w:rPr>
        <w:t>。</w:t>
      </w:r>
    </w:p>
    <w:p w14:paraId="3EA024B0">
      <w:pPr>
        <w:pageBreakBefore w:val="0"/>
        <w:kinsoku/>
        <w:overflowPunct/>
        <w:topLinePunct w:val="0"/>
        <w:bidi w:val="0"/>
        <w:snapToGrid w:val="0"/>
        <w:spacing w:line="480" w:lineRule="exact"/>
        <w:ind w:left="0" w:leftChars="0" w:firstLine="420" w:firstLineChars="200"/>
        <w:jc w:val="left"/>
        <w:rPr>
          <w:rFonts w:hint="eastAsia" w:ascii="宋体" w:hAnsi="宋体" w:cs="宋体"/>
          <w:b/>
          <w:color w:val="auto"/>
          <w:szCs w:val="21"/>
          <w:highlight w:val="none"/>
          <w:u w:val="single"/>
        </w:rPr>
      </w:pPr>
      <w:r>
        <w:rPr>
          <w:rFonts w:hint="eastAsia" w:ascii="宋体" w:hAnsi="宋体" w:cs="宋体"/>
          <w:color w:val="auto"/>
          <w:szCs w:val="21"/>
          <w:highlight w:val="none"/>
        </w:rPr>
        <w:t>综合单价包含的风险范围：</w:t>
      </w:r>
      <w:r>
        <w:rPr>
          <w:rFonts w:hint="eastAsia" w:ascii="宋体" w:hAnsi="宋体" w:cs="宋体"/>
          <w:b/>
          <w:color w:val="auto"/>
          <w:szCs w:val="21"/>
          <w:highlight w:val="none"/>
          <w:u w:val="single"/>
        </w:rPr>
        <w:t>各种因素引起的不属于本合同调价范围的市场材料价格、人工、机械使用费以及管理费、</w:t>
      </w:r>
      <w:r>
        <w:rPr>
          <w:rFonts w:hint="eastAsia" w:ascii="宋体" w:hAnsi="宋体" w:cs="宋体"/>
          <w:b/>
          <w:color w:val="auto"/>
          <w:szCs w:val="21"/>
          <w:highlight w:val="none"/>
          <w:u w:val="single"/>
          <w:lang w:eastAsia="zh-CN"/>
        </w:rPr>
        <w:t>措施费、文明环保费、保险费、</w:t>
      </w:r>
      <w:r>
        <w:rPr>
          <w:rFonts w:hint="eastAsia" w:ascii="宋体" w:hAnsi="宋体" w:cs="宋体"/>
          <w:b/>
          <w:color w:val="auto"/>
          <w:szCs w:val="21"/>
          <w:highlight w:val="none"/>
          <w:u w:val="single"/>
        </w:rPr>
        <w:t>利润的变化等。</w:t>
      </w:r>
    </w:p>
    <w:p w14:paraId="043ED645">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5FE6E560">
      <w:pPr>
        <w:pageBreakBefore w:val="0"/>
        <w:kinsoku/>
        <w:overflowPunct/>
        <w:topLinePunct w:val="0"/>
        <w:bidi w:val="0"/>
        <w:snapToGrid w:val="0"/>
        <w:spacing w:line="480" w:lineRule="exact"/>
        <w:ind w:left="0" w:leftChars="0" w:firstLine="420" w:firstLineChars="200"/>
        <w:jc w:val="left"/>
        <w:rPr>
          <w:rFonts w:hint="eastAsia" w:ascii="黑体" w:eastAsia="黑体" w:cs="宋体"/>
          <w:b/>
          <w:color w:val="auto"/>
          <w:szCs w:val="21"/>
          <w:highlight w:val="none"/>
          <w:u w:val="single"/>
        </w:rPr>
      </w:pPr>
      <w:r>
        <w:rPr>
          <w:rFonts w:hint="eastAsia"/>
          <w:color w:val="auto"/>
          <w:highlight w:val="none"/>
        </w:rPr>
        <w:t>风险范围以外合同价格的调整方法：</w:t>
      </w:r>
      <w:r>
        <w:rPr>
          <w:rFonts w:hint="eastAsia"/>
          <w:color w:val="auto"/>
          <w:highlight w:val="none"/>
          <w:u w:val="single"/>
          <w:lang w:val="en-US" w:eastAsia="zh-CN"/>
        </w:rPr>
        <w:t>无</w:t>
      </w:r>
      <w:r>
        <w:rPr>
          <w:rFonts w:hint="eastAsia" w:ascii="宋体" w:hAnsi="宋体" w:cs="宋体"/>
          <w:b/>
          <w:color w:val="auto"/>
          <w:szCs w:val="21"/>
          <w:highlight w:val="none"/>
          <w:u w:val="single"/>
        </w:rPr>
        <w:t xml:space="preserve"> </w:t>
      </w:r>
    </w:p>
    <w:p w14:paraId="7162D8B8">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24BE3985">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lang w:val="en-US" w:eastAsia="zh-CN"/>
        </w:rPr>
        <w:t>无。</w:t>
      </w:r>
    </w:p>
    <w:p w14:paraId="6AAE399A">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12.3 计量</w:t>
      </w:r>
    </w:p>
    <w:p w14:paraId="6BCE214A">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14:paraId="232B062F">
      <w:pPr>
        <w:pageBreakBefore w:val="0"/>
        <w:kinsoku/>
        <w:overflowPunct/>
        <w:topLinePunct w:val="0"/>
        <w:bidi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hAnsi="宋体" w:cs="宋体"/>
          <w:color w:val="auto"/>
          <w:szCs w:val="21"/>
          <w:highlight w:val="none"/>
          <w:u w:val="single"/>
        </w:rPr>
        <w:t xml:space="preserve">执行《2018版安徽省建设工程计价依据》相关专业工程量计算规则 </w:t>
      </w:r>
      <w:r>
        <w:rPr>
          <w:rFonts w:hint="eastAsia" w:ascii="宋体" w:cs="宋体"/>
          <w:color w:val="auto"/>
          <w:szCs w:val="21"/>
          <w:highlight w:val="none"/>
          <w:u w:val="single"/>
        </w:rPr>
        <w:t>。</w:t>
      </w:r>
    </w:p>
    <w:p w14:paraId="4CADE89E">
      <w:pPr>
        <w:pageBreakBefore w:val="0"/>
        <w:kinsoku/>
        <w:overflowPunct/>
        <w:topLinePunct w:val="0"/>
        <w:bidi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14:paraId="2BDBDE08">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lang w:val="en-US" w:eastAsia="zh-CN"/>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见招标文件合同支付相关说明。</w:t>
      </w:r>
    </w:p>
    <w:p w14:paraId="2ADD5C60">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14:paraId="53D953F7">
      <w:pPr>
        <w:pageBreakBefore w:val="0"/>
        <w:kinsoku/>
        <w:overflowPunct/>
        <w:topLinePunct w:val="0"/>
        <w:bidi w:val="0"/>
        <w:snapToGrid w:val="0"/>
        <w:spacing w:line="480" w:lineRule="exact"/>
        <w:ind w:left="0" w:leftChars="0" w:firstLine="420" w:firstLineChars="200"/>
        <w:jc w:val="left"/>
        <w:rPr>
          <w:rFonts w:hint="eastAsia" w:ascii="宋体" w:cs="宋体"/>
          <w:strike w:val="0"/>
          <w:dstrike w:val="0"/>
          <w:color w:val="auto"/>
          <w:szCs w:val="21"/>
          <w:highlight w:val="none"/>
        </w:rPr>
      </w:pPr>
      <w:r>
        <w:rPr>
          <w:rFonts w:hint="eastAsia" w:ascii="宋体" w:cs="宋体"/>
          <w:color w:val="auto"/>
          <w:szCs w:val="21"/>
          <w:highlight w:val="none"/>
        </w:rPr>
        <w:t>关于单价合同计量的约定：</w:t>
      </w:r>
      <w:r>
        <w:rPr>
          <w:rFonts w:hint="eastAsia" w:ascii="宋体" w:hAnsi="宋体" w:eastAsia="宋体" w:cs="宋体"/>
          <w:strike w:val="0"/>
          <w:dstrike w:val="0"/>
          <w:color w:val="auto"/>
          <w:szCs w:val="21"/>
          <w:highlight w:val="none"/>
          <w:u w:val="single"/>
          <w:lang w:val="en-US" w:eastAsia="zh-CN"/>
        </w:rPr>
        <w:t>工程量清单数量的误差按实计量，清单项目工程量的增减按实计量，变更引起新的工程量清单项目按实计量</w:t>
      </w:r>
      <w:r>
        <w:rPr>
          <w:rFonts w:hint="eastAsia" w:ascii="宋体" w:cs="宋体"/>
          <w:strike w:val="0"/>
          <w:dstrike w:val="0"/>
          <w:color w:val="auto"/>
          <w:szCs w:val="21"/>
          <w:highlight w:val="none"/>
          <w:u w:val="single"/>
        </w:rPr>
        <w:t>。</w:t>
      </w:r>
    </w:p>
    <w:p w14:paraId="1518D3A2">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14:paraId="53A53B82">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38156A4C">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0A77DD5A">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14:paraId="4FD92C6A">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514CD60F">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14:paraId="056631FC">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12.4.1 付款周期</w:t>
      </w:r>
    </w:p>
    <w:p w14:paraId="394E24A3">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详见支付方式</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7EC19FC">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14:paraId="069479D6">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lang w:val="en-US" w:eastAsia="zh-CN"/>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lang w:val="en-US" w:eastAsia="zh-CN"/>
        </w:rPr>
        <w:t>执行发包人统一内容格式。</w:t>
      </w:r>
    </w:p>
    <w:p w14:paraId="6C19BAC6">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12.4.3 进度付款申请单的提交</w:t>
      </w:r>
    </w:p>
    <w:p w14:paraId="05FEF70C">
      <w:pPr>
        <w:pageBreakBefore w:val="0"/>
        <w:kinsoku/>
        <w:overflowPunct/>
        <w:topLinePunct w:val="0"/>
        <w:bidi w:val="0"/>
        <w:snapToGrid w:val="0"/>
        <w:spacing w:line="480" w:lineRule="exact"/>
        <w:ind w:left="0" w:leftChars="0" w:firstLine="420" w:firstLineChars="200"/>
        <w:jc w:val="left"/>
        <w:rPr>
          <w:rFonts w:hint="default" w:ascii="宋体" w:eastAsia="宋体" w:cs="宋体"/>
          <w:color w:val="auto"/>
          <w:szCs w:val="21"/>
          <w:highlight w:val="none"/>
          <w:lang w:val="en-US" w:eastAsia="zh-CN"/>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lang w:val="en-US" w:eastAsia="zh-CN"/>
        </w:rPr>
        <w:t>详见支付方式。</w:t>
      </w:r>
    </w:p>
    <w:p w14:paraId="05395B17">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2E2082AD">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721690AA">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12.4.4 进度款审核和支付</w:t>
      </w:r>
    </w:p>
    <w:p w14:paraId="3D6E9969">
      <w:pPr>
        <w:pageBreakBefore w:val="0"/>
        <w:kinsoku/>
        <w:overflowPunct/>
        <w:topLinePunct w:val="0"/>
        <w:bidi w:val="0"/>
        <w:snapToGrid w:val="0"/>
        <w:spacing w:line="480" w:lineRule="exact"/>
        <w:ind w:left="0" w:leftChars="0" w:firstLine="420" w:firstLineChars="200"/>
        <w:jc w:val="left"/>
        <w:rPr>
          <w:rFonts w:hint="eastAsia"/>
          <w:color w:val="auto"/>
          <w:highlight w:val="none"/>
        </w:rPr>
      </w:pPr>
      <w:r>
        <w:rPr>
          <w:rFonts w:hint="eastAsia" w:ascii="宋体" w:cs="宋体"/>
          <w:color w:val="auto"/>
          <w:szCs w:val="21"/>
          <w:highlight w:val="none"/>
        </w:rPr>
        <w:t>（1）监理人审查并报送发包人的期限：</w:t>
      </w:r>
      <w:r>
        <w:rPr>
          <w:rFonts w:hint="eastAsia" w:ascii="宋体" w:cs="宋体"/>
          <w:color w:val="auto"/>
          <w:szCs w:val="21"/>
          <w:highlight w:val="none"/>
          <w:u w:val="single"/>
        </w:rPr>
        <w:t xml:space="preserve"> 监理人应在收到承包人进度付款申请单以及相关资料后7天内完成审查并报送发包人。</w:t>
      </w:r>
    </w:p>
    <w:p w14:paraId="378D4F29">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发包人完成审批并签发进度款支付证书的期限：</w:t>
      </w:r>
      <w:r>
        <w:rPr>
          <w:rFonts w:hint="eastAsia" w:ascii="宋体" w:cs="宋体"/>
          <w:color w:val="auto"/>
          <w:szCs w:val="21"/>
          <w:highlight w:val="none"/>
          <w:u w:val="single"/>
        </w:rPr>
        <w:t>发包人应在收到后7天内完成审批并签发进度款支付证书，跟踪审计人员审核时间除外</w:t>
      </w:r>
      <w:r>
        <w:rPr>
          <w:rFonts w:hint="eastAsia" w:ascii="宋体" w:cs="宋体"/>
          <w:color w:val="auto"/>
          <w:szCs w:val="21"/>
          <w:highlight w:val="none"/>
        </w:rPr>
        <w:t>。</w:t>
      </w:r>
    </w:p>
    <w:p w14:paraId="204F775E">
      <w:pPr>
        <w:pageBreakBefore w:val="0"/>
        <w:tabs>
          <w:tab w:val="left" w:pos="0"/>
        </w:tabs>
        <w:kinsoku/>
        <w:overflowPunct/>
        <w:topLinePunct w:val="0"/>
        <w:bidi w:val="0"/>
        <w:snapToGrid w:val="0"/>
        <w:spacing w:line="480" w:lineRule="exact"/>
        <w:ind w:left="0" w:leftChars="0" w:firstLine="420" w:firstLineChars="200"/>
        <w:rPr>
          <w:rFonts w:hint="eastAsia" w:ascii="宋体" w:cs="宋体"/>
          <w:b/>
          <w:color w:val="auto"/>
          <w:szCs w:val="21"/>
          <w:highlight w:val="none"/>
          <w:u w:val="single"/>
        </w:rPr>
      </w:pPr>
      <w:r>
        <w:rPr>
          <w:rFonts w:hint="eastAsia" w:ascii="宋体" w:cs="宋体"/>
          <w:color w:val="auto"/>
          <w:szCs w:val="21"/>
          <w:highlight w:val="none"/>
        </w:rPr>
        <w:t>（2）发包人支付进度款的期限：</w:t>
      </w:r>
      <w:r>
        <w:rPr>
          <w:rFonts w:hint="eastAsia" w:ascii="宋体" w:hAnsi="宋体" w:eastAsia="宋体" w:cs="宋体"/>
          <w:color w:val="auto"/>
          <w:szCs w:val="21"/>
          <w:highlight w:val="none"/>
          <w:u w:val="single"/>
          <w:lang w:val="en-US" w:eastAsia="zh-CN"/>
        </w:rPr>
        <w:t>详见12.4规定</w:t>
      </w:r>
      <w:r>
        <w:rPr>
          <w:rFonts w:hint="eastAsia" w:ascii="宋体" w:cs="宋体"/>
          <w:color w:val="auto"/>
          <w:szCs w:val="21"/>
          <w:highlight w:val="none"/>
        </w:rPr>
        <w:t>。</w:t>
      </w:r>
    </w:p>
    <w:p w14:paraId="3E83F158">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发包人逾期支付进度款的违约金的计算方式：</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7BAF19B">
      <w:pPr>
        <w:pageBreakBefore w:val="0"/>
        <w:numPr>
          <w:ilvl w:val="0"/>
          <w:numId w:val="4"/>
        </w:numPr>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承包人根据工程进度申请支付工程款，每期工程进度款按以下方式选择支付：</w:t>
      </w:r>
    </w:p>
    <w:p w14:paraId="12835F25">
      <w:pPr>
        <w:pageBreakBefore w:val="0"/>
        <w:kinsoku/>
        <w:overflowPunct/>
        <w:topLinePunct w:val="0"/>
        <w:bidi w:val="0"/>
        <w:spacing w:line="48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按实际完成工程量的百分比支付：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845C47">
      <w:pPr>
        <w:pageBreakBefore w:val="0"/>
        <w:kinsoku/>
        <w:overflowPunct/>
        <w:topLinePunct w:val="0"/>
        <w:bidi w:val="0"/>
        <w:spacing w:line="48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按形象进度支付：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80D97B">
      <w:pPr>
        <w:pageBreakBefore w:val="0"/>
        <w:kinsoku/>
        <w:overflowPunct/>
        <w:topLinePunct w:val="0"/>
        <w:bidi w:val="0"/>
        <w:spacing w:line="48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按月实际完成工程量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%支付；</w:t>
      </w:r>
    </w:p>
    <w:p w14:paraId="0BD3BA2B">
      <w:pPr>
        <w:spacing w:line="420" w:lineRule="exact"/>
        <w:ind w:firstLine="420" w:firstLineChars="200"/>
        <w:rPr>
          <w:rFonts w:hint="eastAsia" w:ascii="宋体" w:hAnsi="宋体" w:eastAsia="宋体" w:cs="宋体"/>
          <w:b/>
          <w:bCs/>
          <w:color w:val="auto"/>
          <w:highlight w:val="none"/>
          <w:lang w:val="en-US" w:eastAsia="zh-CN"/>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其它：</w:t>
      </w:r>
      <w:r>
        <w:rPr>
          <w:rFonts w:hint="eastAsia" w:ascii="宋体" w:hAnsi="宋体" w:eastAsia="宋体" w:cs="宋体"/>
          <w:b/>
          <w:bCs/>
          <w:color w:val="auto"/>
          <w:highlight w:val="none"/>
          <w:lang w:val="en-US" w:eastAsia="zh-CN"/>
        </w:rPr>
        <w:t>工程完工</w:t>
      </w:r>
      <w:r>
        <w:rPr>
          <w:rFonts w:hint="eastAsia" w:ascii="宋体" w:hAnsi="宋体" w:cs="宋体"/>
          <w:b/>
          <w:bCs/>
          <w:strike w:val="0"/>
          <w:dstrike w:val="0"/>
          <w:color w:val="auto"/>
          <w:highlight w:val="none"/>
          <w:lang w:val="en-US" w:eastAsia="zh-CN"/>
        </w:rPr>
        <w:t>初</w:t>
      </w:r>
      <w:r>
        <w:rPr>
          <w:rFonts w:hint="eastAsia" w:ascii="宋体" w:hAnsi="宋体" w:eastAsia="宋体" w:cs="宋体"/>
          <w:b/>
          <w:bCs/>
          <w:color w:val="auto"/>
          <w:highlight w:val="none"/>
          <w:lang w:val="en-US" w:eastAsia="zh-CN"/>
        </w:rPr>
        <w:t>验合格后，付至已完合格工程量的</w:t>
      </w:r>
      <w:r>
        <w:rPr>
          <w:rFonts w:hint="eastAsia" w:ascii="宋体" w:hAnsi="宋体" w:cs="宋体"/>
          <w:b/>
          <w:bCs/>
          <w:color w:val="auto"/>
          <w:highlight w:val="none"/>
          <w:lang w:val="en-US" w:eastAsia="zh-CN"/>
        </w:rPr>
        <w:t>70</w:t>
      </w: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一</w:t>
      </w:r>
      <w:r>
        <w:rPr>
          <w:rFonts w:hint="eastAsia" w:ascii="宋体" w:hAnsi="宋体" w:eastAsia="宋体" w:cs="宋体"/>
          <w:b/>
          <w:bCs/>
          <w:color w:val="auto"/>
          <w:highlight w:val="none"/>
          <w:lang w:val="en-US" w:eastAsia="zh-CN"/>
        </w:rPr>
        <w:t>年养护期满，</w:t>
      </w:r>
      <w:r>
        <w:rPr>
          <w:rFonts w:hint="eastAsia" w:ascii="宋体" w:hAnsi="宋体" w:cs="宋体"/>
          <w:b/>
          <w:bCs/>
          <w:color w:val="auto"/>
          <w:highlight w:val="none"/>
          <w:lang w:val="en-US" w:eastAsia="zh-CN"/>
        </w:rPr>
        <w:t>付</w:t>
      </w:r>
      <w:r>
        <w:rPr>
          <w:rFonts w:hint="eastAsia" w:ascii="宋体" w:hAnsi="宋体" w:eastAsia="宋体" w:cs="宋体"/>
          <w:b/>
          <w:bCs/>
          <w:color w:val="auto"/>
          <w:highlight w:val="none"/>
          <w:lang w:val="en-US" w:eastAsia="zh-CN"/>
        </w:rPr>
        <w:t>至已完合格工程量的</w:t>
      </w:r>
      <w:r>
        <w:rPr>
          <w:rFonts w:hint="eastAsia" w:ascii="宋体" w:hAnsi="宋体" w:cs="宋体"/>
          <w:b/>
          <w:bCs/>
          <w:color w:val="auto"/>
          <w:highlight w:val="none"/>
          <w:lang w:val="en-US" w:eastAsia="zh-CN"/>
        </w:rPr>
        <w:t>90</w:t>
      </w: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缺陷期</w:t>
      </w:r>
      <w:r>
        <w:rPr>
          <w:rFonts w:hint="eastAsia" w:ascii="宋体" w:hAnsi="宋体" w:eastAsia="宋体" w:cs="宋体"/>
          <w:b/>
          <w:bCs/>
          <w:color w:val="auto"/>
          <w:highlight w:val="none"/>
          <w:lang w:val="en-US" w:eastAsia="zh-CN"/>
        </w:rPr>
        <w:t>验收合格后一个月内付清余款。绿化成活率：100%。</w:t>
      </w:r>
    </w:p>
    <w:p w14:paraId="3F23C047">
      <w:pPr>
        <w:pStyle w:val="14"/>
        <w:ind w:left="0" w:leftChars="0" w:firstLine="422" w:firstLineChars="200"/>
        <w:jc w:val="left"/>
        <w:rPr>
          <w:rFonts w:hint="default"/>
          <w:b/>
          <w:bCs/>
          <w:color w:val="auto"/>
          <w:highlight w:val="none"/>
          <w:lang w:val="en-US" w:eastAsia="zh-CN"/>
        </w:rPr>
      </w:pPr>
      <w:r>
        <w:rPr>
          <w:rFonts w:hint="eastAsia"/>
          <w:b/>
          <w:bCs/>
          <w:color w:val="auto"/>
          <w:highlight w:val="none"/>
          <w:lang w:val="en-US" w:eastAsia="zh-CN"/>
        </w:rPr>
        <w:t>工期总日历天数指工程开工至工程完工初验天数。</w:t>
      </w:r>
    </w:p>
    <w:p w14:paraId="70345B6B">
      <w:pPr>
        <w:pStyle w:val="14"/>
        <w:ind w:left="0" w:leftChars="0" w:firstLine="0" w:firstLineChars="0"/>
        <w:jc w:val="left"/>
        <w:rPr>
          <w:rFonts w:hint="eastAsia"/>
          <w:b/>
          <w:bCs/>
          <w:color w:val="auto"/>
          <w:highlight w:val="none"/>
          <w:lang w:val="en-US" w:eastAsia="zh-CN"/>
        </w:rPr>
      </w:pPr>
      <w:r>
        <w:rPr>
          <w:rFonts w:hint="eastAsia"/>
          <w:color w:val="auto"/>
          <w:highlight w:val="none"/>
          <w:lang w:val="en-US" w:eastAsia="zh-CN"/>
        </w:rPr>
        <w:t>　　</w:t>
      </w:r>
      <w:r>
        <w:rPr>
          <w:rFonts w:hint="eastAsia"/>
          <w:b/>
          <w:bCs/>
          <w:color w:val="auto"/>
          <w:highlight w:val="none"/>
          <w:lang w:val="en-US" w:eastAsia="zh-CN"/>
        </w:rPr>
        <w:t>养护期从完工初验合格之日计算。</w:t>
      </w:r>
    </w:p>
    <w:p w14:paraId="5562282C">
      <w:pPr>
        <w:pageBreakBefore w:val="0"/>
        <w:kinsoku/>
        <w:overflowPunct/>
        <w:topLinePunct w:val="0"/>
        <w:bidi w:val="0"/>
        <w:spacing w:line="480" w:lineRule="exact"/>
        <w:ind w:left="0" w:leftChars="0" w:firstLine="422" w:firstLineChars="200"/>
        <w:jc w:val="left"/>
        <w:rPr>
          <w:rFonts w:hint="eastAsia" w:ascii="宋体" w:hAnsi="宋体" w:eastAsia="宋体" w:cs="宋体"/>
          <w:color w:val="auto"/>
          <w:sz w:val="21"/>
          <w:szCs w:val="21"/>
          <w:highlight w:val="none"/>
        </w:rPr>
      </w:pPr>
      <w:r>
        <w:rPr>
          <w:rFonts w:hint="eastAsia"/>
          <w:b/>
          <w:bCs/>
          <w:color w:val="auto"/>
          <w:highlight w:val="none"/>
          <w:lang w:val="en-US" w:eastAsia="zh-CN"/>
        </w:rPr>
        <w:t>缺陷期从养护期结束之日起算，</w:t>
      </w:r>
      <w:r>
        <w:rPr>
          <w:rFonts w:hint="eastAsia" w:ascii="Times New Roman" w:eastAsia="宋体"/>
          <w:b/>
          <w:bCs/>
          <w:color w:val="auto"/>
          <w:highlight w:val="none"/>
          <w:lang w:val="en-US" w:eastAsia="zh-CN"/>
        </w:rPr>
        <w:t>缺陷期</w:t>
      </w:r>
      <w:r>
        <w:rPr>
          <w:rFonts w:hint="eastAsia"/>
          <w:b/>
          <w:bCs/>
          <w:color w:val="auto"/>
          <w:highlight w:val="none"/>
          <w:lang w:val="en-US" w:eastAsia="zh-CN"/>
        </w:rPr>
        <w:t>为一年。</w:t>
      </w:r>
    </w:p>
    <w:p w14:paraId="7B8257A0">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14:paraId="04D3EBA8">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14:paraId="12521845">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13.1.2监理人不能按时进行验收时，应提前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7EB96C7F">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14:paraId="2F8AD271">
      <w:pPr>
        <w:pageBreakBefore w:val="0"/>
        <w:kinsoku/>
        <w:wordWrap w:val="0"/>
        <w:overflowPunct/>
        <w:topLinePunct w:val="0"/>
        <w:bidi w:val="0"/>
        <w:snapToGrid w:val="0"/>
        <w:spacing w:line="480" w:lineRule="exact"/>
        <w:ind w:left="0" w:leftChars="0" w:firstLine="420" w:firstLineChars="200"/>
        <w:textAlignment w:val="bottom"/>
        <w:rPr>
          <w:rFonts w:hint="eastAsia" w:ascii="宋体" w:cs="宋体"/>
          <w:color w:val="auto"/>
          <w:szCs w:val="21"/>
          <w:highlight w:val="none"/>
        </w:rPr>
      </w:pPr>
      <w:r>
        <w:rPr>
          <w:rFonts w:hint="eastAsia" w:ascii="宋体" w:cs="宋体"/>
          <w:color w:val="auto"/>
          <w:szCs w:val="21"/>
          <w:highlight w:val="none"/>
        </w:rPr>
        <w:t>13.2 竣工验收</w:t>
      </w:r>
    </w:p>
    <w:p w14:paraId="1D29EDF0">
      <w:pPr>
        <w:pageBreakBefore w:val="0"/>
        <w:kinsoku/>
        <w:overflowPunct/>
        <w:topLinePunct w:val="0"/>
        <w:bidi w:val="0"/>
        <w:spacing w:line="480" w:lineRule="exact"/>
        <w:ind w:left="0" w:leftChars="0"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（3）竣工资料内容和份数：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竣工资料三份纸质版，电子版一份</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D896EDF">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13.2.2竣工验收程序</w:t>
      </w:r>
    </w:p>
    <w:p w14:paraId="623B5E79">
      <w:pPr>
        <w:pageBreakBefore w:val="0"/>
        <w:kinsoku/>
        <w:wordWrap w:val="0"/>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rPr>
        <w:t>执行通用条款</w:t>
      </w:r>
      <w:r>
        <w:rPr>
          <w:rFonts w:hint="eastAsia" w:ascii="宋体" w:cs="宋体"/>
          <w:color w:val="auto"/>
          <w:szCs w:val="21"/>
          <w:highlight w:val="none"/>
          <w:u w:val="single"/>
        </w:rPr>
        <w:t>。</w:t>
      </w:r>
    </w:p>
    <w:p w14:paraId="426475D8">
      <w:pPr>
        <w:pageBreakBefore w:val="0"/>
        <w:kinsoku/>
        <w:wordWrap w:val="0"/>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执行通用条款</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197E9F93">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13.2.5移交、接收全部与部分工程</w:t>
      </w:r>
    </w:p>
    <w:p w14:paraId="426CA3C9">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承包人应当无条件配合发包人在30日内将工程移交给管养单位。</w:t>
      </w:r>
    </w:p>
    <w:p w14:paraId="5F16A8B1">
      <w:pPr>
        <w:pageBreakBefore w:val="0"/>
        <w:kinsoku/>
        <w:overflowPunct/>
        <w:topLinePunct w:val="0"/>
        <w:bidi w:val="0"/>
        <w:snapToGrid w:val="0"/>
        <w:spacing w:line="480" w:lineRule="exact"/>
        <w:ind w:left="0" w:lef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其他工程移交</w:t>
      </w:r>
      <w:r>
        <w:rPr>
          <w:rFonts w:hint="eastAsia" w:ascii="宋体" w:hAnsi="宋体" w:eastAsia="宋体" w:cs="宋体"/>
          <w:color w:val="auto"/>
          <w:sz w:val="21"/>
          <w:szCs w:val="21"/>
          <w:highlight w:val="none"/>
        </w:rPr>
        <w:t>期限</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3D9DC407">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42D01C3D">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  </w:t>
      </w:r>
      <w:r>
        <w:rPr>
          <w:rFonts w:hint="eastAsia" w:ascii="宋体" w:cs="宋体"/>
          <w:color w:val="auto"/>
          <w:szCs w:val="21"/>
          <w:highlight w:val="none"/>
        </w:rPr>
        <w:t>。</w:t>
      </w:r>
    </w:p>
    <w:p w14:paraId="51974C18">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13.6 竣工退场</w:t>
      </w:r>
    </w:p>
    <w:p w14:paraId="5CACF1D8">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14:paraId="7D88B35B">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72897F9C">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14:paraId="16A135D2">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14.1 竣工付款申请</w:t>
      </w:r>
    </w:p>
    <w:p w14:paraId="035BFA1C">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w:t>
      </w:r>
      <w:r>
        <w:rPr>
          <w:rFonts w:hint="eastAsia" w:ascii="宋体" w:cs="宋体"/>
          <w:color w:val="auto"/>
          <w:szCs w:val="21"/>
          <w:highlight w:val="none"/>
          <w:u w:val="single"/>
          <w:lang w:val="en-US" w:eastAsia="zh-CN"/>
        </w:rPr>
        <w:t>按</w:t>
      </w:r>
      <w:r>
        <w:rPr>
          <w:rFonts w:hint="eastAsia" w:ascii="宋体" w:cs="宋体"/>
          <w:color w:val="auto"/>
          <w:szCs w:val="21"/>
          <w:highlight w:val="none"/>
          <w:u w:val="single"/>
        </w:rPr>
        <w:t>10000元/月</w:t>
      </w:r>
      <w:r>
        <w:rPr>
          <w:rFonts w:hint="eastAsia" w:ascii="宋体" w:cs="宋体"/>
          <w:color w:val="auto"/>
          <w:szCs w:val="21"/>
          <w:highlight w:val="none"/>
          <w:u w:val="single"/>
          <w:lang w:val="en-US" w:eastAsia="zh-CN"/>
        </w:rPr>
        <w:t>支付</w:t>
      </w:r>
      <w:r>
        <w:rPr>
          <w:rFonts w:hint="eastAsia" w:ascii="宋体" w:cs="宋体"/>
          <w:color w:val="auto"/>
          <w:szCs w:val="21"/>
          <w:highlight w:val="none"/>
          <w:u w:val="single"/>
        </w:rPr>
        <w:t>违约金。情节严重的，招标人有权按已有资料或按已付款报审计部门办理结算。</w:t>
      </w:r>
    </w:p>
    <w:p w14:paraId="34C2FB34">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14:paraId="3330EDD6">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14.2 竣工结算审核</w:t>
      </w:r>
    </w:p>
    <w:p w14:paraId="15417574">
      <w:pPr>
        <w:pageBreakBefore w:val="0"/>
        <w:kinsoku/>
        <w:wordWrap/>
        <w:overflowPunct/>
        <w:topLinePunct w:val="0"/>
        <w:bidi w:val="0"/>
        <w:spacing w:line="480" w:lineRule="exact"/>
        <w:ind w:left="0" w:leftChars="0" w:firstLine="420" w:firstLineChars="200"/>
        <w:textAlignment w:val="auto"/>
        <w:outlineLvl w:val="2"/>
        <w:rPr>
          <w:rFonts w:hint="eastAsia" w:ascii="宋体" w:hAnsi="宋体" w:eastAsia="宋体" w:cs="宋体"/>
          <w:color w:val="auto"/>
          <w:sz w:val="21"/>
          <w:szCs w:val="21"/>
          <w:highlight w:val="none"/>
        </w:rPr>
      </w:pPr>
      <w:bookmarkStart w:id="841" w:name="_Toc1509410444"/>
      <w:bookmarkStart w:id="842" w:name="_Toc2011675479"/>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相关部门审核通过后7天内完成审批并签发结算款支付证书</w:t>
      </w:r>
      <w:r>
        <w:rPr>
          <w:rFonts w:hint="eastAsia" w:ascii="宋体" w:hAnsi="宋体" w:eastAsia="宋体" w:cs="宋体"/>
          <w:color w:val="auto"/>
          <w:sz w:val="21"/>
          <w:szCs w:val="21"/>
          <w:highlight w:val="none"/>
        </w:rPr>
        <w:t>。</w:t>
      </w:r>
      <w:bookmarkEnd w:id="841"/>
      <w:bookmarkEnd w:id="842"/>
    </w:p>
    <w:p w14:paraId="7205219D">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发包人应在签发竣工付款证书后的 </w:t>
      </w:r>
      <w:r>
        <w:rPr>
          <w:rFonts w:hint="eastAsia" w:ascii="宋体" w:cs="宋体"/>
          <w:color w:val="auto"/>
          <w:szCs w:val="21"/>
          <w:highlight w:val="none"/>
          <w:u w:val="single"/>
          <w:lang w:val="en-US" w:eastAsia="zh-CN"/>
        </w:rPr>
        <w:t>60</w:t>
      </w:r>
      <w:r>
        <w:rPr>
          <w:rFonts w:hint="eastAsia" w:ascii="宋体" w:cs="宋体"/>
          <w:color w:val="auto"/>
          <w:szCs w:val="21"/>
          <w:highlight w:val="none"/>
          <w:u w:val="single"/>
        </w:rPr>
        <w:t xml:space="preserve"> 天内，完成对承包人的竣工付款 。</w:t>
      </w:r>
    </w:p>
    <w:p w14:paraId="34AC861C">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 xml:space="preserve"> 按照第20条〔争议解决〕约定处理。</w:t>
      </w:r>
    </w:p>
    <w:p w14:paraId="0ED440B7">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14:paraId="61B21008">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14:paraId="07EF22A9">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14:paraId="18E2E570">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1CC74CBD">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14:paraId="0C9C1CF7">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5E1383D2">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hAnsi="宋体" w:cs="宋体"/>
          <w:color w:val="auto"/>
          <w:szCs w:val="21"/>
          <w:highlight w:val="none"/>
          <w:u w:val="single"/>
        </w:rPr>
        <w:t>颁发最终结清证书后7天内完成支付</w:t>
      </w:r>
      <w:r>
        <w:rPr>
          <w:rFonts w:hint="eastAsia" w:ascii="宋体" w:cs="宋体"/>
          <w:color w:val="auto"/>
          <w:szCs w:val="21"/>
          <w:highlight w:val="none"/>
        </w:rPr>
        <w:t>。</w:t>
      </w:r>
    </w:p>
    <w:p w14:paraId="57FEDCA2">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bookmarkStart w:id="843" w:name="_Toc19199"/>
      <w:r>
        <w:rPr>
          <w:rFonts w:hint="eastAsia" w:ascii="宋体" w:hAnsi="宋体" w:eastAsia="宋体" w:cs="宋体"/>
          <w:color w:val="auto"/>
          <w:sz w:val="21"/>
          <w:szCs w:val="21"/>
          <w:highlight w:val="none"/>
        </w:rPr>
        <w:t>14.5 竣工归档资料</w:t>
      </w:r>
      <w:bookmarkEnd w:id="843"/>
    </w:p>
    <w:p w14:paraId="2144EEFC">
      <w:pPr>
        <w:pageBreakBefore w:val="0"/>
        <w:kinsoku/>
        <w:overflowPunct/>
        <w:topLinePunct w:val="0"/>
        <w:bidi w:val="0"/>
        <w:spacing w:line="480" w:lineRule="exact"/>
        <w:ind w:left="0" w:leftChars="0"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 竣工归档资料的形式和格式：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纸质版、电子版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E8B34E0">
      <w:pPr>
        <w:pageBreakBefore w:val="0"/>
        <w:kinsoku/>
        <w:overflowPunct/>
        <w:topLinePunct w:val="0"/>
        <w:bidi w:val="0"/>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（4）因承包人拖延或不办理竣工归档资料时，经发包人催告，</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三 </w:t>
      </w:r>
      <w:r>
        <w:rPr>
          <w:rFonts w:hint="eastAsia" w:ascii="宋体" w:hAnsi="宋体" w:eastAsia="宋体" w:cs="宋体"/>
          <w:color w:val="auto"/>
          <w:kern w:val="0"/>
          <w:sz w:val="21"/>
          <w:szCs w:val="21"/>
          <w:highlight w:val="none"/>
        </w:rPr>
        <w:t>个月内未按发包人要求提供相关竣工归档资料的，发包人有权委托第三方机构整理，相关费用由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承担。</w:t>
      </w:r>
    </w:p>
    <w:p w14:paraId="5D9A82FE">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14:paraId="68900420">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15.2缺陷责任期</w:t>
      </w:r>
    </w:p>
    <w:p w14:paraId="3C3E30C9">
      <w:pPr>
        <w:pageBreakBefore w:val="0"/>
        <w:kinsoku/>
        <w:overflowPunct/>
        <w:topLinePunct w:val="0"/>
        <w:bidi w:val="0"/>
        <w:snapToGrid w:val="0"/>
        <w:spacing w:line="480" w:lineRule="exact"/>
        <w:ind w:left="0" w:leftChars="0" w:firstLine="420" w:firstLineChars="200"/>
        <w:rPr>
          <w:rFonts w:hint="default" w:ascii="宋体" w:cs="宋体"/>
          <w:color w:val="auto"/>
          <w:szCs w:val="21"/>
          <w:highlight w:val="none"/>
          <w:lang w:val="en-US"/>
        </w:rPr>
      </w:pPr>
      <w:r>
        <w:rPr>
          <w:rFonts w:hint="eastAsia" w:ascii="宋体" w:cs="宋体"/>
          <w:color w:val="auto"/>
          <w:szCs w:val="21"/>
          <w:highlight w:val="none"/>
        </w:rPr>
        <w:t>缺陷责任期的具体期限：</w:t>
      </w:r>
      <w:r>
        <w:rPr>
          <w:rFonts w:hint="eastAsia" w:ascii="宋体" w:cs="宋体"/>
          <w:color w:val="auto"/>
          <w:szCs w:val="21"/>
          <w:highlight w:val="none"/>
          <w:lang w:val="en-US" w:eastAsia="zh-CN"/>
        </w:rPr>
        <w:t>1年。</w:t>
      </w:r>
      <w:r>
        <w:rPr>
          <w:rFonts w:hint="eastAsia" w:ascii="宋体" w:cs="宋体"/>
          <w:color w:val="auto"/>
          <w:szCs w:val="21"/>
          <w:highlight w:val="none"/>
          <w:lang w:eastAsia="zh-CN"/>
        </w:rPr>
        <w:t>本项目养护期从</w:t>
      </w:r>
      <w:r>
        <w:rPr>
          <w:rFonts w:hint="eastAsia" w:ascii="Times New Roman" w:eastAsia="宋体"/>
          <w:color w:val="auto"/>
          <w:highlight w:val="none"/>
          <w:lang w:val="en-US" w:eastAsia="zh-CN"/>
        </w:rPr>
        <w:t>完工初验合格之日</w:t>
      </w:r>
      <w:r>
        <w:rPr>
          <w:rFonts w:hint="eastAsia"/>
          <w:color w:val="auto"/>
          <w:highlight w:val="none"/>
          <w:lang w:val="en-US" w:eastAsia="zh-CN"/>
        </w:rPr>
        <w:t>起1年，缺陷期从养护期结束之日起1年。</w:t>
      </w:r>
    </w:p>
    <w:p w14:paraId="2B070A03">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14:paraId="7FD39C6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关于是否扣留质量保证金的约定：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否</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7E01D598">
      <w:pPr>
        <w:pageBreakBefore w:val="0"/>
        <w:kinsoku/>
        <w:overflowPunct/>
        <w:topLinePunct w:val="0"/>
        <w:bidi w:val="0"/>
        <w:snapToGrid w:val="0"/>
        <w:spacing w:line="480" w:lineRule="exact"/>
        <w:ind w:left="0" w:leftChars="0" w:firstLine="420" w:firstLineChars="200"/>
        <w:rPr>
          <w:rFonts w:hint="eastAsia" w:ascii="宋体" w:eastAsia="宋体" w:cs="宋体"/>
          <w:color w:val="auto"/>
          <w:szCs w:val="21"/>
          <w:highlight w:val="none"/>
          <w:lang w:val="en-US" w:eastAsia="zh-CN"/>
        </w:rPr>
      </w:pPr>
      <w:r>
        <w:rPr>
          <w:rFonts w:hint="eastAsia" w:ascii="宋体" w:cs="宋体"/>
          <w:color w:val="auto"/>
          <w:szCs w:val="21"/>
          <w:highlight w:val="none"/>
        </w:rPr>
        <w:t>15.4保修</w:t>
      </w:r>
      <w:r>
        <w:rPr>
          <w:rFonts w:hint="eastAsia" w:ascii="宋体" w:cs="宋体"/>
          <w:color w:val="auto"/>
          <w:szCs w:val="21"/>
          <w:highlight w:val="none"/>
          <w:lang w:val="en-US" w:eastAsia="zh-CN"/>
        </w:rPr>
        <w:t xml:space="preserve"> </w:t>
      </w:r>
    </w:p>
    <w:p w14:paraId="67F952EB">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14:paraId="11C3346B">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     </w:t>
      </w:r>
    </w:p>
    <w:p w14:paraId="10CD0730">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 自承包人收到保修通知起24小时内到达工程现场。  </w:t>
      </w:r>
    </w:p>
    <w:p w14:paraId="78E45813">
      <w:pPr>
        <w:pageBreakBefore w:val="0"/>
        <w:kinsoku/>
        <w:overflowPunct/>
        <w:topLinePunct w:val="0"/>
        <w:bidi w:val="0"/>
        <w:spacing w:line="480" w:lineRule="exact"/>
        <w:ind w:left="0" w:leftChars="0" w:firstLine="420" w:firstLineChars="200"/>
        <w:outlineLvl w:val="2"/>
        <w:rPr>
          <w:rFonts w:hint="eastAsia" w:ascii="宋体" w:hAnsi="宋体" w:eastAsia="宋体" w:cs="宋体"/>
          <w:color w:val="auto"/>
          <w:sz w:val="21"/>
          <w:szCs w:val="21"/>
          <w:highlight w:val="none"/>
        </w:rPr>
      </w:pPr>
      <w:bookmarkStart w:id="844" w:name="_Toc652859120"/>
      <w:bookmarkStart w:id="845" w:name="_Toc1846040712"/>
      <w:r>
        <w:rPr>
          <w:rFonts w:hint="eastAsia" w:ascii="宋体" w:hAnsi="宋体" w:eastAsia="宋体" w:cs="宋体"/>
          <w:color w:val="auto"/>
          <w:sz w:val="21"/>
          <w:szCs w:val="21"/>
          <w:highlight w:val="none"/>
        </w:rPr>
        <w:t>15.5 绿化养护期</w:t>
      </w:r>
      <w:bookmarkEnd w:id="844"/>
      <w:bookmarkEnd w:id="845"/>
    </w:p>
    <w:p w14:paraId="5B1B9F2E">
      <w:pPr>
        <w:pageBreakBefore w:val="0"/>
        <w:kinsoku/>
        <w:overflowPunct/>
        <w:topLinePunct w:val="0"/>
        <w:bidi w:val="0"/>
        <w:spacing w:line="480" w:lineRule="exact"/>
        <w:ind w:left="0" w:lef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绿化养护期</w:t>
      </w:r>
      <w:r>
        <w:rPr>
          <w:rFonts w:hint="eastAsia" w:ascii="宋体" w:hAnsi="宋体" w:eastAsia="宋体" w:cs="宋体"/>
          <w:color w:val="auto"/>
          <w:sz w:val="21"/>
          <w:szCs w:val="21"/>
          <w:highlight w:val="none"/>
        </w:rPr>
        <w:t>的具体期限</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养护期</w:t>
      </w:r>
      <w:r>
        <w:rPr>
          <w:rFonts w:hint="eastAsia" w:ascii="宋体" w:hAnsi="宋体" w:cs="宋体"/>
          <w:color w:val="auto"/>
          <w:kern w:val="0"/>
          <w:sz w:val="21"/>
          <w:szCs w:val="21"/>
          <w:highlight w:val="none"/>
          <w:u w:val="single"/>
          <w:lang w:val="en-US" w:eastAsia="zh-CN"/>
        </w:rPr>
        <w:t>一</w:t>
      </w:r>
      <w:r>
        <w:rPr>
          <w:rFonts w:hint="eastAsia" w:ascii="宋体" w:hAnsi="宋体" w:eastAsia="宋体" w:cs="宋体"/>
          <w:color w:val="auto"/>
          <w:kern w:val="0"/>
          <w:sz w:val="21"/>
          <w:szCs w:val="21"/>
          <w:highlight w:val="none"/>
          <w:u w:val="single"/>
        </w:rPr>
        <w:t>年</w:t>
      </w:r>
      <w:r>
        <w:rPr>
          <w:rFonts w:hint="eastAsia" w:ascii="宋体" w:hAnsi="宋体" w:cs="宋体"/>
          <w:color w:val="auto"/>
          <w:kern w:val="0"/>
          <w:sz w:val="21"/>
          <w:szCs w:val="21"/>
          <w:highlight w:val="none"/>
          <w:u w:val="single"/>
          <w:lang w:eastAsia="zh-CN"/>
        </w:rPr>
        <w:t>，从完工初验合格之日计算。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F7BCC07">
      <w:pPr>
        <w:pageBreakBefore w:val="0"/>
        <w:kinsoku/>
        <w:overflowPunct/>
        <w:topLinePunct w:val="0"/>
        <w:bidi w:val="0"/>
        <w:spacing w:line="480" w:lineRule="exact"/>
        <w:ind w:left="0" w:lef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绿化养护期内双方责任约定：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执行招标文件规定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72CEF36">
      <w:pPr>
        <w:pageBreakBefore w:val="0"/>
        <w:kinsoku/>
        <w:overflowPunct/>
        <w:topLinePunct w:val="0"/>
        <w:bidi w:val="0"/>
        <w:spacing w:line="480" w:lineRule="exact"/>
        <w:ind w:left="0" w:lef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绿化养护期内水电费支付：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由承包人承担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5F5BB10">
      <w:pPr>
        <w:pStyle w:val="5"/>
        <w:pageBreakBefore w:val="0"/>
        <w:kinsoku/>
        <w:overflowPunct/>
        <w:topLinePunct w:val="0"/>
        <w:bidi w:val="0"/>
        <w:snapToGrid w:val="0"/>
        <w:spacing w:before="0" w:beforeLines="0" w:after="0" w:afterLines="0" w:line="480" w:lineRule="exact"/>
        <w:ind w:left="0" w:leftChars="0" w:firstLine="422" w:firstLineChars="200"/>
        <w:rPr>
          <w:rFonts w:hint="eastAsia" w:ascii="宋体" w:hAnsi="宋体" w:eastAsia="宋体" w:cs="宋体"/>
          <w:b/>
          <w:bCs/>
          <w:color w:val="auto"/>
          <w:kern w:val="0"/>
          <w:sz w:val="21"/>
          <w:szCs w:val="21"/>
          <w:highlight w:val="none"/>
          <w:u w:val="single"/>
          <w:lang w:val="en-US" w:eastAsia="zh-CN" w:bidi="ar-SA"/>
        </w:rPr>
      </w:pPr>
      <w:r>
        <w:rPr>
          <w:rFonts w:hint="eastAsia" w:ascii="宋体" w:hAnsi="宋体" w:eastAsia="宋体" w:cs="宋体"/>
          <w:b/>
          <w:bCs/>
          <w:color w:val="auto"/>
          <w:kern w:val="0"/>
          <w:sz w:val="21"/>
          <w:szCs w:val="21"/>
          <w:highlight w:val="none"/>
          <w:u w:val="single"/>
          <w:lang w:val="en-US" w:eastAsia="zh-CN" w:bidi="ar-SA"/>
        </w:rPr>
        <w:t>养护期内的施工相关费用已包括在投标综合单价中，不另计。</w:t>
      </w:r>
    </w:p>
    <w:p w14:paraId="0A282BD5">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14:paraId="092A238D">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14:paraId="081C051D">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14:paraId="61E9F97F">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D5B5C79">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14:paraId="120DBE4A">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73A05521">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2D0B854F">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 xml:space="preserve">  可按照中国人民银行发布的同期同类贷款基准利率支付违约金</w:t>
      </w:r>
      <w:r>
        <w:rPr>
          <w:rFonts w:hint="eastAsia" w:ascii="宋体" w:cs="宋体"/>
          <w:color w:val="auto"/>
          <w:kern w:val="0"/>
          <w:szCs w:val="21"/>
          <w:highlight w:val="none"/>
        </w:rPr>
        <w:t>。</w:t>
      </w:r>
    </w:p>
    <w:p w14:paraId="69407104">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   </w:t>
      </w:r>
      <w:r>
        <w:rPr>
          <w:rFonts w:hint="eastAsia" w:ascii="宋体" w:cs="宋体"/>
          <w:color w:val="auto"/>
          <w:kern w:val="0"/>
          <w:szCs w:val="21"/>
          <w:highlight w:val="none"/>
        </w:rPr>
        <w:t>。</w:t>
      </w:r>
    </w:p>
    <w:p w14:paraId="2EAA17F0">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   发包人可补足或更换材料、工程设备；对工期造成延误的可以顺延；增加承包人成本的可予以补偿  </w:t>
      </w:r>
      <w:r>
        <w:rPr>
          <w:rFonts w:hint="eastAsia" w:ascii="宋体" w:cs="宋体"/>
          <w:color w:val="auto"/>
          <w:kern w:val="0"/>
          <w:szCs w:val="21"/>
          <w:highlight w:val="none"/>
        </w:rPr>
        <w:t>。</w:t>
      </w:r>
    </w:p>
    <w:p w14:paraId="2B15F7AA">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79790B6F">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1FFF8B3A">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4B414C7">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14:paraId="70098C77">
      <w:pPr>
        <w:pageBreakBefore w:val="0"/>
        <w:kinsoku/>
        <w:overflowPunct/>
        <w:topLinePunct w:val="0"/>
        <w:autoSpaceDE w:val="0"/>
        <w:autoSpaceDN w:val="0"/>
        <w:bidi w:val="0"/>
        <w:adjustRightInd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0134FC13">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14:paraId="35C98D9C">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14:paraId="268128B3">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执行补充条款   </w:t>
      </w:r>
      <w:r>
        <w:rPr>
          <w:rFonts w:hint="eastAsia" w:ascii="宋体" w:cs="宋体"/>
          <w:color w:val="auto"/>
          <w:kern w:val="0"/>
          <w:szCs w:val="21"/>
          <w:highlight w:val="none"/>
        </w:rPr>
        <w:t>。</w:t>
      </w:r>
    </w:p>
    <w:p w14:paraId="44F797CE">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14:paraId="497D8B21">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执行补充条款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529127BB">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14:paraId="5081C0F9">
      <w:pPr>
        <w:pageBreakBefore w:val="0"/>
        <w:kinsoku/>
        <w:overflowPunct/>
        <w:topLinePunct w:val="0"/>
        <w:bidi w:val="0"/>
        <w:snapToGrid w:val="0"/>
        <w:spacing w:line="480" w:lineRule="exact"/>
        <w:ind w:left="0" w:leftChars="0"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rPr>
        <w:t>执行</w:t>
      </w:r>
      <w:r>
        <w:rPr>
          <w:rFonts w:hint="eastAsia" w:ascii="宋体" w:cs="宋体"/>
          <w:color w:val="auto"/>
          <w:szCs w:val="21"/>
          <w:highlight w:val="none"/>
          <w:u w:val="single"/>
        </w:rPr>
        <w:t>补充条款。</w:t>
      </w:r>
    </w:p>
    <w:p w14:paraId="3B216BE7">
      <w:pPr>
        <w:pageBreakBefore w:val="0"/>
        <w:kinsoku/>
        <w:overflowPunct/>
        <w:topLinePunct w:val="0"/>
        <w:bidi w:val="0"/>
        <w:snapToGrid w:val="0"/>
        <w:spacing w:line="480" w:lineRule="exact"/>
        <w:ind w:left="0" w:leftChars="0"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629441A5">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14:paraId="203B59E9">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14:paraId="5399107B">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3EED3FA2">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14:paraId="51D0E17E">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rPr>
      </w:pPr>
      <w:r>
        <w:rPr>
          <w:rFonts w:hint="eastAsia" w:ascii="宋体" w:hAnsi="宋体" w:cs="宋体"/>
          <w:color w:val="auto"/>
          <w:highlight w:val="none"/>
        </w:rPr>
        <w:t>合同解除后，发包人应在商定或确定发包人应支付款项后</w:t>
      </w:r>
      <w:r>
        <w:rPr>
          <w:rFonts w:hint="eastAsia" w:ascii="宋体" w:hAnsi="宋体" w:cs="宋体"/>
          <w:color w:val="auto"/>
          <w:szCs w:val="21"/>
          <w:highlight w:val="none"/>
          <w:u w:val="single"/>
        </w:rPr>
        <w:t>28</w:t>
      </w:r>
      <w:r>
        <w:rPr>
          <w:rFonts w:hint="eastAsia" w:ascii="宋体" w:hAnsi="宋体" w:cs="宋体"/>
          <w:color w:val="auto"/>
          <w:highlight w:val="none"/>
        </w:rPr>
        <w:t>天内完成款项的支付</w:t>
      </w:r>
      <w:r>
        <w:rPr>
          <w:rFonts w:hint="eastAsia" w:ascii="宋体" w:cs="宋体"/>
          <w:color w:val="auto"/>
          <w:szCs w:val="21"/>
          <w:highlight w:val="none"/>
        </w:rPr>
        <w:t>。</w:t>
      </w:r>
    </w:p>
    <w:p w14:paraId="03671BDD">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14:paraId="3A258BF7">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14:paraId="02F0CB6C">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hAnsi="Times New Roman" w:eastAsia="宋体" w:cs="宋体"/>
          <w:b w:val="0"/>
          <w:bCs w:val="0"/>
          <w:color w:val="auto"/>
          <w:kern w:val="0"/>
          <w:sz w:val="21"/>
          <w:szCs w:val="21"/>
          <w:highlight w:val="none"/>
          <w:u w:val="single"/>
          <w:lang w:val="en-US" w:eastAsia="zh-CN" w:bidi="ar-SA"/>
        </w:rPr>
      </w:pPr>
      <w:r>
        <w:rPr>
          <w:rFonts w:hint="eastAsia" w:ascii="宋体" w:hAnsi="Times New Roman" w:eastAsia="宋体" w:cs="宋体"/>
          <w:b w:val="0"/>
          <w:bCs w:val="0"/>
          <w:color w:val="auto"/>
          <w:kern w:val="0"/>
          <w:sz w:val="21"/>
          <w:szCs w:val="21"/>
          <w:highlight w:val="none"/>
          <w:u w:val="none"/>
          <w:lang w:val="en-US" w:eastAsia="zh-CN" w:bidi="ar-SA"/>
        </w:rPr>
        <w:t xml:space="preserve">关于工程保险的特别约定： </w:t>
      </w:r>
      <w:r>
        <w:rPr>
          <w:rFonts w:hint="eastAsia" w:ascii="宋体" w:hAnsi="Times New Roman" w:eastAsia="宋体" w:cs="宋体"/>
          <w:b w:val="0"/>
          <w:bCs w:val="0"/>
          <w:color w:val="auto"/>
          <w:kern w:val="0"/>
          <w:sz w:val="21"/>
          <w:szCs w:val="21"/>
          <w:highlight w:val="none"/>
          <w:u w:val="single"/>
          <w:lang w:val="en-US" w:eastAsia="zh-CN" w:bidi="ar-SA"/>
        </w:rPr>
        <w:t>承包人应按国家、省、市有关规定，办理相关保险，所产生的已包括在投标综合单价中，不另计  。</w:t>
      </w:r>
    </w:p>
    <w:p w14:paraId="468B739D">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18.3 其他保险</w:t>
      </w:r>
    </w:p>
    <w:p w14:paraId="3015BD88">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14:paraId="7297EBB1">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14:paraId="5CE76CB8">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18.7 通知义务</w:t>
      </w:r>
    </w:p>
    <w:p w14:paraId="183C1BEE">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发包人变更除工伤保险之外的保险合同时，应事先征得承包人同意，并通知监理人；承包人变更除工伤保险之外的保险合同时，应事先征得发包人同意，并通知监理人。</w:t>
      </w:r>
    </w:p>
    <w:p w14:paraId="576BFF56">
      <w:pPr>
        <w:pageBreakBefore w:val="0"/>
        <w:kinsoku/>
        <w:overflowPunct/>
        <w:topLinePunct w:val="0"/>
        <w:bidi w:val="0"/>
        <w:snapToGrid w:val="0"/>
        <w:spacing w:line="480" w:lineRule="exact"/>
        <w:ind w:left="0" w:leftChars="0"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14:paraId="09D7673D">
      <w:pPr>
        <w:pStyle w:val="5"/>
        <w:pageBreakBefore w:val="0"/>
        <w:kinsoku/>
        <w:overflowPunct/>
        <w:topLinePunct w:val="0"/>
        <w:bidi w:val="0"/>
        <w:snapToGrid w:val="0"/>
        <w:spacing w:before="0" w:beforeLines="0" w:after="0" w:afterLines="0" w:line="480" w:lineRule="exact"/>
        <w:ind w:left="0" w:leftChars="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14:paraId="59110208">
      <w:pPr>
        <w:pageBreakBefore w:val="0"/>
        <w:kinsoku/>
        <w:overflowPunct/>
        <w:topLinePunct w:val="0"/>
        <w:bidi w:val="0"/>
        <w:snapToGrid w:val="0"/>
        <w:spacing w:line="48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20.3 争议评审</w:t>
      </w:r>
    </w:p>
    <w:p w14:paraId="6489C1FC">
      <w:pPr>
        <w:pageBreakBefore w:val="0"/>
        <w:kinsoku/>
        <w:overflowPunct/>
        <w:topLinePunct w:val="0"/>
        <w:bidi w:val="0"/>
        <w:snapToGrid w:val="0"/>
        <w:spacing w:line="480" w:lineRule="exact"/>
        <w:ind w:left="0" w:leftChars="0"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33570919">
      <w:pPr>
        <w:pageBreakBefore w:val="0"/>
        <w:kinsoku/>
        <w:overflowPunct/>
        <w:topLinePunct w:val="0"/>
        <w:autoSpaceDE w:val="0"/>
        <w:autoSpaceDN w:val="0"/>
        <w:bidi w:val="0"/>
        <w:adjustRightInd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14:paraId="7F70635F">
      <w:pPr>
        <w:pageBreakBefore w:val="0"/>
        <w:kinsoku/>
        <w:overflowPunct/>
        <w:topLinePunct w:val="0"/>
        <w:autoSpaceDE w:val="0"/>
        <w:autoSpaceDN w:val="0"/>
        <w:bidi w:val="0"/>
        <w:adjustRightInd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14:paraId="306B8356">
      <w:pPr>
        <w:pageBreakBefore w:val="0"/>
        <w:numPr>
          <w:ilvl w:val="0"/>
          <w:numId w:val="5"/>
        </w:numPr>
        <w:kinsoku/>
        <w:overflowPunct/>
        <w:topLinePunct w:val="0"/>
        <w:autoSpaceDE w:val="0"/>
        <w:autoSpaceDN w:val="0"/>
        <w:bidi w:val="0"/>
        <w:adjustRightInd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rPr>
        <w:t>滁州</w:t>
      </w:r>
      <w:r>
        <w:rPr>
          <w:rFonts w:hint="eastAsia" w:ascii="宋体" w:cs="宋体"/>
          <w:color w:val="auto"/>
          <w:kern w:val="0"/>
          <w:szCs w:val="21"/>
          <w:highlight w:val="none"/>
          <w:u w:val="single"/>
          <w:lang w:val="en-US" w:eastAsia="zh-CN"/>
        </w:rPr>
        <w:t>市</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14:paraId="3D5849BD">
      <w:pPr>
        <w:pageBreakBefore w:val="0"/>
        <w:numPr>
          <w:ilvl w:val="0"/>
          <w:numId w:val="5"/>
        </w:numPr>
        <w:kinsoku/>
        <w:overflowPunct/>
        <w:topLinePunct w:val="0"/>
        <w:autoSpaceDE w:val="0"/>
        <w:autoSpaceDN w:val="0"/>
        <w:bidi w:val="0"/>
        <w:adjustRightInd w:val="0"/>
        <w:snapToGrid w:val="0"/>
        <w:spacing w:line="480" w:lineRule="exact"/>
        <w:ind w:left="0" w:leftChars="0"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w:t>
      </w:r>
      <w:r>
        <w:rPr>
          <w:rFonts w:hint="eastAsia" w:ascii="宋体" w:hAnsi="宋体" w:cs="宋体"/>
          <w:color w:val="auto"/>
          <w:szCs w:val="21"/>
          <w:highlight w:val="none"/>
          <w:u w:val="single"/>
          <w:lang w:val="en-US" w:eastAsia="zh-CN"/>
        </w:rPr>
        <w:t>项目所在地</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人民法院起诉。</w:t>
      </w:r>
    </w:p>
    <w:p w14:paraId="11DBFAF2">
      <w:pPr>
        <w:pageBreakBefore w:val="0"/>
        <w:kinsoku/>
        <w:overflowPunct/>
        <w:topLinePunct w:val="0"/>
        <w:bidi w:val="0"/>
        <w:spacing w:line="480" w:lineRule="exact"/>
        <w:ind w:left="0" w:leftChars="0" w:firstLine="420" w:firstLineChars="200"/>
        <w:outlineLvl w:val="2"/>
        <w:rPr>
          <w:rFonts w:hint="eastAsia" w:ascii="宋体" w:hAnsi="宋体" w:eastAsia="宋体" w:cs="宋体"/>
          <w:color w:val="auto"/>
          <w:sz w:val="21"/>
          <w:szCs w:val="21"/>
          <w:highlight w:val="none"/>
        </w:rPr>
      </w:pPr>
      <w:bookmarkStart w:id="846" w:name="_Toc452738762"/>
      <w:bookmarkStart w:id="847" w:name="_Toc365353596"/>
      <w:bookmarkStart w:id="848" w:name="_Toc6183"/>
      <w:r>
        <w:rPr>
          <w:rFonts w:hint="eastAsia" w:ascii="宋体" w:hAnsi="宋体" w:eastAsia="宋体" w:cs="宋体"/>
          <w:color w:val="auto"/>
          <w:sz w:val="21"/>
          <w:szCs w:val="21"/>
          <w:highlight w:val="none"/>
        </w:rPr>
        <w:t>20.6 通知送达</w:t>
      </w:r>
      <w:bookmarkEnd w:id="846"/>
      <w:bookmarkEnd w:id="847"/>
      <w:bookmarkEnd w:id="848"/>
    </w:p>
    <w:p w14:paraId="1569F5D5">
      <w:pPr>
        <w:pageBreakBefore w:val="0"/>
        <w:kinsoku/>
        <w:overflowPunct/>
        <w:topLinePunct w:val="0"/>
        <w:bidi w:val="0"/>
        <w:spacing w:line="480" w:lineRule="exact"/>
        <w:ind w:left="0" w:leftChars="0" w:firstLine="420" w:firstLineChars="200"/>
        <w:outlineLvl w:val="2"/>
        <w:rPr>
          <w:rFonts w:hint="eastAsia" w:ascii="宋体" w:hAnsi="宋体" w:eastAsia="宋体" w:cs="宋体"/>
          <w:color w:val="auto"/>
          <w:kern w:val="0"/>
          <w:sz w:val="21"/>
          <w:szCs w:val="21"/>
          <w:highlight w:val="none"/>
        </w:rPr>
      </w:pPr>
      <w:bookmarkStart w:id="849" w:name="_Toc1414635822"/>
      <w:bookmarkStart w:id="850" w:name="_Toc626862138"/>
      <w:r>
        <w:rPr>
          <w:rFonts w:hint="eastAsia" w:ascii="宋体" w:hAnsi="宋体" w:eastAsia="宋体" w:cs="宋体"/>
          <w:color w:val="auto"/>
          <w:kern w:val="0"/>
          <w:sz w:val="21"/>
          <w:szCs w:val="21"/>
          <w:highlight w:val="none"/>
        </w:rPr>
        <w:t>双方确认本合同载明的联系方式（联系电话、电子信箱、传真号码及通信地址）准确无误，如有变更应以书面方式及时通知另一方。由于一方联系方式错误、不详或者无法识别等导致无法送达，或者联系方式变更未及时通知另一方，以及其他不可归责于送达方原因造成相关通知或者文件无法送达、拒绝签收，则相关通知或文件自寄送或发送后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天起视为已送达。</w:t>
      </w:r>
      <w:bookmarkEnd w:id="849"/>
      <w:bookmarkEnd w:id="850"/>
    </w:p>
    <w:p w14:paraId="17DC9E1D">
      <w:pPr>
        <w:pageBreakBefore w:val="0"/>
        <w:kinsoku/>
        <w:overflowPunct/>
        <w:topLinePunct w:val="0"/>
        <w:bidi w:val="0"/>
        <w:spacing w:line="480" w:lineRule="exact"/>
        <w:ind w:left="0" w:leftChars="0" w:firstLine="420" w:firstLineChars="200"/>
        <w:rPr>
          <w:rFonts w:hint="eastAsia" w:ascii="宋体" w:hAnsi="宋体" w:eastAsia="宋体" w:cs="宋体"/>
          <w:color w:val="auto"/>
          <w:kern w:val="0"/>
          <w:sz w:val="21"/>
          <w:szCs w:val="21"/>
          <w:highlight w:val="none"/>
        </w:rPr>
      </w:pPr>
    </w:p>
    <w:p w14:paraId="45902933">
      <w:pPr>
        <w:pStyle w:val="14"/>
        <w:rPr>
          <w:rFonts w:hint="eastAsia" w:ascii="宋体" w:hAnsi="宋体" w:eastAsia="宋体" w:cs="宋体"/>
          <w:color w:val="auto"/>
          <w:kern w:val="0"/>
          <w:sz w:val="21"/>
          <w:szCs w:val="21"/>
          <w:highlight w:val="none"/>
        </w:rPr>
      </w:pPr>
    </w:p>
    <w:p w14:paraId="5F077FB3">
      <w:pPr>
        <w:rPr>
          <w:rFonts w:hint="eastAsia" w:ascii="宋体" w:hAnsi="宋体" w:eastAsia="宋体" w:cs="宋体"/>
          <w:color w:val="auto"/>
          <w:kern w:val="0"/>
          <w:sz w:val="21"/>
          <w:szCs w:val="21"/>
          <w:highlight w:val="none"/>
        </w:rPr>
      </w:pPr>
    </w:p>
    <w:p w14:paraId="4B2FC980">
      <w:pPr>
        <w:pStyle w:val="14"/>
        <w:rPr>
          <w:rFonts w:hint="eastAsia" w:ascii="宋体" w:hAnsi="宋体" w:eastAsia="宋体" w:cs="宋体"/>
          <w:color w:val="auto"/>
          <w:kern w:val="0"/>
          <w:sz w:val="21"/>
          <w:szCs w:val="21"/>
          <w:highlight w:val="none"/>
        </w:rPr>
      </w:pPr>
    </w:p>
    <w:p w14:paraId="7386ECD7">
      <w:pPr>
        <w:rPr>
          <w:rFonts w:hint="eastAsia" w:ascii="宋体" w:hAnsi="宋体" w:eastAsia="宋体" w:cs="宋体"/>
          <w:color w:val="auto"/>
          <w:kern w:val="0"/>
          <w:sz w:val="21"/>
          <w:szCs w:val="21"/>
          <w:highlight w:val="none"/>
        </w:rPr>
      </w:pPr>
    </w:p>
    <w:p w14:paraId="43D427F7">
      <w:pPr>
        <w:pStyle w:val="14"/>
        <w:rPr>
          <w:rFonts w:hint="eastAsia" w:ascii="宋体" w:hAnsi="宋体" w:eastAsia="宋体" w:cs="宋体"/>
          <w:color w:val="auto"/>
          <w:kern w:val="0"/>
          <w:sz w:val="21"/>
          <w:szCs w:val="21"/>
          <w:highlight w:val="none"/>
        </w:rPr>
      </w:pPr>
    </w:p>
    <w:p w14:paraId="5E15D995">
      <w:pPr>
        <w:rPr>
          <w:rFonts w:hint="eastAsia" w:ascii="宋体" w:hAnsi="宋体" w:eastAsia="宋体" w:cs="宋体"/>
          <w:color w:val="auto"/>
          <w:kern w:val="0"/>
          <w:sz w:val="21"/>
          <w:szCs w:val="21"/>
          <w:highlight w:val="none"/>
        </w:rPr>
      </w:pPr>
    </w:p>
    <w:p w14:paraId="0CE51570">
      <w:pPr>
        <w:pStyle w:val="14"/>
        <w:rPr>
          <w:rFonts w:hint="eastAsia" w:ascii="宋体" w:hAnsi="宋体" w:eastAsia="宋体" w:cs="宋体"/>
          <w:color w:val="auto"/>
          <w:kern w:val="0"/>
          <w:sz w:val="21"/>
          <w:szCs w:val="21"/>
          <w:highlight w:val="none"/>
        </w:rPr>
      </w:pPr>
    </w:p>
    <w:p w14:paraId="2649CB9F">
      <w:pPr>
        <w:rPr>
          <w:rFonts w:hint="eastAsia" w:ascii="宋体" w:hAnsi="宋体" w:eastAsia="宋体" w:cs="宋体"/>
          <w:color w:val="auto"/>
          <w:kern w:val="0"/>
          <w:sz w:val="21"/>
          <w:szCs w:val="21"/>
          <w:highlight w:val="none"/>
        </w:rPr>
      </w:pPr>
    </w:p>
    <w:p w14:paraId="4B6DE909">
      <w:pPr>
        <w:pStyle w:val="14"/>
        <w:rPr>
          <w:rFonts w:hint="eastAsia" w:ascii="宋体" w:hAnsi="宋体" w:eastAsia="宋体" w:cs="宋体"/>
          <w:color w:val="auto"/>
          <w:kern w:val="0"/>
          <w:sz w:val="21"/>
          <w:szCs w:val="21"/>
          <w:highlight w:val="none"/>
        </w:rPr>
      </w:pPr>
    </w:p>
    <w:p w14:paraId="08495170">
      <w:pPr>
        <w:rPr>
          <w:rFonts w:hint="eastAsia" w:ascii="宋体" w:hAnsi="宋体" w:eastAsia="宋体" w:cs="宋体"/>
          <w:color w:val="auto"/>
          <w:kern w:val="0"/>
          <w:sz w:val="21"/>
          <w:szCs w:val="21"/>
          <w:highlight w:val="none"/>
        </w:rPr>
      </w:pPr>
    </w:p>
    <w:p w14:paraId="1F0EE99C">
      <w:pPr>
        <w:pStyle w:val="14"/>
        <w:rPr>
          <w:rFonts w:hint="eastAsia" w:ascii="宋体" w:hAnsi="宋体" w:eastAsia="宋体" w:cs="宋体"/>
          <w:color w:val="auto"/>
          <w:kern w:val="0"/>
          <w:sz w:val="21"/>
          <w:szCs w:val="21"/>
          <w:highlight w:val="none"/>
        </w:rPr>
      </w:pPr>
    </w:p>
    <w:p w14:paraId="1C1F0F25">
      <w:pPr>
        <w:autoSpaceDE w:val="0"/>
        <w:autoSpaceDN w:val="0"/>
        <w:adjustRightInd w:val="0"/>
        <w:snapToGrid w:val="0"/>
        <w:spacing w:line="360" w:lineRule="auto"/>
        <w:jc w:val="center"/>
        <w:outlineLvl w:val="1"/>
        <w:rPr>
          <w:rFonts w:hint="eastAsia" w:ascii="黑体" w:hAnsi="黑体" w:eastAsia="黑体" w:cs="黑体"/>
          <w:color w:val="auto"/>
          <w:sz w:val="30"/>
          <w:szCs w:val="30"/>
          <w:highlight w:val="none"/>
        </w:rPr>
        <w:sectPr>
          <w:footerReference r:id="rId12" w:type="default"/>
          <w:pgSz w:w="11905" w:h="16838"/>
          <w:pgMar w:top="1417" w:right="1417" w:bottom="1417" w:left="1417" w:header="850" w:footer="1417" w:gutter="0"/>
          <w:pgNumType w:fmt="decimal"/>
          <w:cols w:space="720" w:num="1"/>
          <w:rtlGutter w:val="0"/>
          <w:docGrid w:type="lines" w:linePitch="318" w:charSpace="0"/>
        </w:sectPr>
      </w:pPr>
      <w:bookmarkStart w:id="851" w:name="_Toc25532"/>
      <w:bookmarkStart w:id="852" w:name="_Toc30667"/>
      <w:bookmarkStart w:id="853" w:name="_Toc8135"/>
      <w:bookmarkStart w:id="854" w:name="_Toc290402072"/>
      <w:bookmarkStart w:id="855" w:name="_Toc19812"/>
      <w:bookmarkStart w:id="856" w:name="_Toc1334624912"/>
      <w:bookmarkStart w:id="857" w:name="_Toc24448"/>
      <w:bookmarkStart w:id="858" w:name="_Toc26207"/>
    </w:p>
    <w:p w14:paraId="02547FB4">
      <w:pPr>
        <w:autoSpaceDE w:val="0"/>
        <w:autoSpaceDN w:val="0"/>
        <w:adjustRightInd w:val="0"/>
        <w:snapToGrid w:val="0"/>
        <w:spacing w:line="360" w:lineRule="auto"/>
        <w:jc w:val="both"/>
        <w:outlineLvl w:val="1"/>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承包人承揽工程项目一览表</w:t>
      </w:r>
    </w:p>
    <w:tbl>
      <w:tblPr>
        <w:tblStyle w:val="47"/>
        <w:tblW w:w="95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9"/>
        <w:gridCol w:w="1701"/>
        <w:gridCol w:w="1317"/>
        <w:gridCol w:w="2336"/>
        <w:gridCol w:w="1345"/>
        <w:gridCol w:w="1413"/>
      </w:tblGrid>
      <w:tr w14:paraId="65B8A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12" w:space="0"/>
              <w:bottom w:val="single" w:color="auto" w:sz="4" w:space="0"/>
              <w:right w:val="single" w:color="auto" w:sz="4" w:space="0"/>
            </w:tcBorders>
            <w:noWrap w:val="0"/>
            <w:vAlign w:val="center"/>
          </w:tcPr>
          <w:p w14:paraId="78E98ECD">
            <w:pPr>
              <w:pStyle w:val="20"/>
              <w:keepNext/>
              <w:spacing w:after="0" w:line="440" w:lineRule="exact"/>
              <w:ind w:left="63" w:right="63"/>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单位工程名</w:t>
            </w:r>
            <w:r>
              <w:rPr>
                <w:rFonts w:ascii="仿宋_GB2312" w:hAnsi="仿宋_GB2312" w:eastAsia="仿宋_GB2312" w:cs="仿宋_GB2312"/>
                <w:color w:val="auto"/>
                <w:kern w:val="2"/>
                <w:sz w:val="28"/>
                <w:szCs w:val="28"/>
                <w:highlight w:val="none"/>
              </w:rPr>
              <w:t xml:space="preserve">    </w:t>
            </w:r>
            <w:r>
              <w:rPr>
                <w:rFonts w:hint="eastAsia" w:ascii="仿宋_GB2312" w:hAnsi="仿宋_GB2312" w:eastAsia="仿宋_GB2312" w:cs="仿宋_GB2312"/>
                <w:color w:val="auto"/>
                <w:kern w:val="2"/>
                <w:sz w:val="28"/>
                <w:szCs w:val="28"/>
                <w:highlight w:val="none"/>
              </w:rPr>
              <w:t>称</w:t>
            </w:r>
          </w:p>
        </w:tc>
        <w:tc>
          <w:tcPr>
            <w:tcW w:w="1701" w:type="dxa"/>
            <w:tcBorders>
              <w:top w:val="single" w:color="auto" w:sz="12" w:space="0"/>
              <w:left w:val="single" w:color="auto" w:sz="4" w:space="0"/>
              <w:bottom w:val="single" w:color="auto" w:sz="4" w:space="0"/>
              <w:right w:val="single" w:color="auto" w:sz="4" w:space="0"/>
            </w:tcBorders>
            <w:noWrap w:val="0"/>
            <w:vAlign w:val="center"/>
          </w:tcPr>
          <w:p w14:paraId="3A3DC53B">
            <w:pPr>
              <w:pStyle w:val="20"/>
              <w:keepNext/>
              <w:spacing w:after="0" w:line="440" w:lineRule="exact"/>
              <w:ind w:left="63" w:right="63"/>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建设规模</w:t>
            </w:r>
          </w:p>
        </w:tc>
        <w:tc>
          <w:tcPr>
            <w:tcW w:w="1317" w:type="dxa"/>
            <w:tcBorders>
              <w:top w:val="single" w:color="auto" w:sz="12" w:space="0"/>
              <w:left w:val="single" w:color="auto" w:sz="4" w:space="0"/>
              <w:bottom w:val="single" w:color="auto" w:sz="4" w:space="0"/>
              <w:right w:val="single" w:color="auto" w:sz="4" w:space="0"/>
            </w:tcBorders>
            <w:noWrap w:val="0"/>
            <w:vAlign w:val="center"/>
          </w:tcPr>
          <w:p w14:paraId="7644EC0E">
            <w:pPr>
              <w:pStyle w:val="20"/>
              <w:keepNext/>
              <w:spacing w:after="0" w:line="440" w:lineRule="exact"/>
              <w:ind w:left="63" w:right="63"/>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主要内容</w:t>
            </w:r>
          </w:p>
        </w:tc>
        <w:tc>
          <w:tcPr>
            <w:tcW w:w="2336" w:type="dxa"/>
            <w:tcBorders>
              <w:top w:val="single" w:color="auto" w:sz="12" w:space="0"/>
              <w:left w:val="single" w:color="auto" w:sz="4" w:space="0"/>
              <w:bottom w:val="single" w:color="auto" w:sz="4" w:space="0"/>
              <w:right w:val="single" w:color="auto" w:sz="4" w:space="0"/>
            </w:tcBorders>
            <w:noWrap w:val="0"/>
            <w:vAlign w:val="center"/>
          </w:tcPr>
          <w:p w14:paraId="57770BF4">
            <w:pPr>
              <w:pStyle w:val="20"/>
              <w:keepNext/>
              <w:spacing w:after="0" w:line="440" w:lineRule="exact"/>
              <w:ind w:left="63" w:right="63"/>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合同价格（元）</w:t>
            </w:r>
          </w:p>
        </w:tc>
        <w:tc>
          <w:tcPr>
            <w:tcW w:w="1345" w:type="dxa"/>
            <w:tcBorders>
              <w:top w:val="single" w:color="auto" w:sz="12" w:space="0"/>
              <w:left w:val="single" w:color="auto" w:sz="4" w:space="0"/>
              <w:bottom w:val="single" w:color="auto" w:sz="4" w:space="0"/>
              <w:right w:val="single" w:color="auto" w:sz="4" w:space="0"/>
            </w:tcBorders>
            <w:noWrap w:val="0"/>
            <w:vAlign w:val="center"/>
          </w:tcPr>
          <w:p w14:paraId="12214EE8">
            <w:pPr>
              <w:pStyle w:val="20"/>
              <w:keepNext/>
              <w:spacing w:after="0" w:line="440" w:lineRule="exact"/>
              <w:ind w:left="63" w:right="63"/>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开工日期</w:t>
            </w:r>
          </w:p>
        </w:tc>
        <w:tc>
          <w:tcPr>
            <w:tcW w:w="1413" w:type="dxa"/>
            <w:tcBorders>
              <w:top w:val="single" w:color="auto" w:sz="12" w:space="0"/>
              <w:left w:val="single" w:color="auto" w:sz="4" w:space="0"/>
              <w:bottom w:val="single" w:color="auto" w:sz="4" w:space="0"/>
            </w:tcBorders>
            <w:noWrap w:val="0"/>
            <w:vAlign w:val="center"/>
          </w:tcPr>
          <w:p w14:paraId="248B5936">
            <w:pPr>
              <w:pStyle w:val="20"/>
              <w:keepNext/>
              <w:spacing w:after="0" w:line="440" w:lineRule="exact"/>
              <w:ind w:left="63" w:right="63"/>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竣工日期</w:t>
            </w:r>
          </w:p>
        </w:tc>
      </w:tr>
      <w:tr w14:paraId="3539A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noWrap w:val="0"/>
            <w:vAlign w:val="center"/>
          </w:tcPr>
          <w:p w14:paraId="10CB1394">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C1BEE3">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570A20C">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2336" w:type="dxa"/>
            <w:tcBorders>
              <w:top w:val="single" w:color="auto" w:sz="4" w:space="0"/>
              <w:left w:val="single" w:color="auto" w:sz="4" w:space="0"/>
              <w:bottom w:val="single" w:color="auto" w:sz="4" w:space="0"/>
              <w:right w:val="single" w:color="auto" w:sz="4" w:space="0"/>
            </w:tcBorders>
            <w:noWrap w:val="0"/>
            <w:vAlign w:val="center"/>
          </w:tcPr>
          <w:p w14:paraId="0608CC96">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386B6BD7">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413" w:type="dxa"/>
            <w:tcBorders>
              <w:top w:val="single" w:color="auto" w:sz="4" w:space="0"/>
              <w:left w:val="single" w:color="auto" w:sz="4" w:space="0"/>
              <w:bottom w:val="single" w:color="auto" w:sz="4" w:space="0"/>
            </w:tcBorders>
            <w:noWrap w:val="0"/>
            <w:vAlign w:val="center"/>
          </w:tcPr>
          <w:p w14:paraId="395BB7B7">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44F19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noWrap w:val="0"/>
            <w:vAlign w:val="center"/>
          </w:tcPr>
          <w:p w14:paraId="6E8AAE07">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C5318B">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8115808">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2336" w:type="dxa"/>
            <w:tcBorders>
              <w:top w:val="single" w:color="auto" w:sz="4" w:space="0"/>
              <w:left w:val="single" w:color="auto" w:sz="4" w:space="0"/>
              <w:bottom w:val="single" w:color="auto" w:sz="4" w:space="0"/>
              <w:right w:val="single" w:color="auto" w:sz="4" w:space="0"/>
            </w:tcBorders>
            <w:noWrap w:val="0"/>
            <w:vAlign w:val="center"/>
          </w:tcPr>
          <w:p w14:paraId="5363AE4B">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DF5CDD6">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413" w:type="dxa"/>
            <w:tcBorders>
              <w:top w:val="single" w:color="auto" w:sz="4" w:space="0"/>
              <w:left w:val="single" w:color="auto" w:sz="4" w:space="0"/>
              <w:bottom w:val="single" w:color="auto" w:sz="4" w:space="0"/>
            </w:tcBorders>
            <w:noWrap w:val="0"/>
            <w:vAlign w:val="center"/>
          </w:tcPr>
          <w:p w14:paraId="2F939368">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5BF6D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noWrap w:val="0"/>
            <w:vAlign w:val="center"/>
          </w:tcPr>
          <w:p w14:paraId="1CC993AF">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CDE07C8">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D6D648C">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2336" w:type="dxa"/>
            <w:tcBorders>
              <w:top w:val="single" w:color="auto" w:sz="4" w:space="0"/>
              <w:left w:val="single" w:color="auto" w:sz="4" w:space="0"/>
              <w:bottom w:val="single" w:color="auto" w:sz="4" w:space="0"/>
              <w:right w:val="single" w:color="auto" w:sz="4" w:space="0"/>
            </w:tcBorders>
            <w:noWrap w:val="0"/>
            <w:vAlign w:val="center"/>
          </w:tcPr>
          <w:p w14:paraId="7BDA93CC">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00EB02FE">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413" w:type="dxa"/>
            <w:tcBorders>
              <w:top w:val="single" w:color="auto" w:sz="4" w:space="0"/>
              <w:left w:val="single" w:color="auto" w:sz="4" w:space="0"/>
              <w:bottom w:val="single" w:color="auto" w:sz="4" w:space="0"/>
            </w:tcBorders>
            <w:noWrap w:val="0"/>
            <w:vAlign w:val="center"/>
          </w:tcPr>
          <w:p w14:paraId="51FDB3AF">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47AB5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noWrap w:val="0"/>
            <w:vAlign w:val="center"/>
          </w:tcPr>
          <w:p w14:paraId="0DDD98BC">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B2AC32B">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8224978">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2336" w:type="dxa"/>
            <w:tcBorders>
              <w:top w:val="single" w:color="auto" w:sz="4" w:space="0"/>
              <w:left w:val="single" w:color="auto" w:sz="4" w:space="0"/>
              <w:bottom w:val="single" w:color="auto" w:sz="4" w:space="0"/>
              <w:right w:val="single" w:color="auto" w:sz="4" w:space="0"/>
            </w:tcBorders>
            <w:noWrap w:val="0"/>
            <w:vAlign w:val="center"/>
          </w:tcPr>
          <w:p w14:paraId="5600CF40">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05005120">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413" w:type="dxa"/>
            <w:tcBorders>
              <w:top w:val="single" w:color="auto" w:sz="4" w:space="0"/>
              <w:left w:val="single" w:color="auto" w:sz="4" w:space="0"/>
              <w:bottom w:val="single" w:color="auto" w:sz="4" w:space="0"/>
            </w:tcBorders>
            <w:noWrap w:val="0"/>
            <w:vAlign w:val="center"/>
          </w:tcPr>
          <w:p w14:paraId="732C7D08">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6EEE9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noWrap w:val="0"/>
            <w:vAlign w:val="center"/>
          </w:tcPr>
          <w:p w14:paraId="31A499F1">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C573C0C">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6722688">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2336" w:type="dxa"/>
            <w:tcBorders>
              <w:top w:val="single" w:color="auto" w:sz="4" w:space="0"/>
              <w:left w:val="single" w:color="auto" w:sz="4" w:space="0"/>
              <w:bottom w:val="single" w:color="auto" w:sz="4" w:space="0"/>
              <w:right w:val="single" w:color="auto" w:sz="4" w:space="0"/>
            </w:tcBorders>
            <w:noWrap w:val="0"/>
            <w:vAlign w:val="center"/>
          </w:tcPr>
          <w:p w14:paraId="0D0CEB48">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4719126B">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413" w:type="dxa"/>
            <w:tcBorders>
              <w:top w:val="single" w:color="auto" w:sz="4" w:space="0"/>
              <w:left w:val="single" w:color="auto" w:sz="4" w:space="0"/>
              <w:bottom w:val="single" w:color="auto" w:sz="4" w:space="0"/>
            </w:tcBorders>
            <w:noWrap w:val="0"/>
            <w:vAlign w:val="center"/>
          </w:tcPr>
          <w:p w14:paraId="3889ECEE">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13883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noWrap w:val="0"/>
            <w:vAlign w:val="center"/>
          </w:tcPr>
          <w:p w14:paraId="751EF1E4">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262978E">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25C7616B">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2336" w:type="dxa"/>
            <w:tcBorders>
              <w:top w:val="single" w:color="auto" w:sz="4" w:space="0"/>
              <w:left w:val="single" w:color="auto" w:sz="4" w:space="0"/>
              <w:bottom w:val="single" w:color="auto" w:sz="4" w:space="0"/>
              <w:right w:val="single" w:color="auto" w:sz="4" w:space="0"/>
            </w:tcBorders>
            <w:noWrap w:val="0"/>
            <w:vAlign w:val="center"/>
          </w:tcPr>
          <w:p w14:paraId="1B24024C">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1B6126F7">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413" w:type="dxa"/>
            <w:tcBorders>
              <w:top w:val="single" w:color="auto" w:sz="4" w:space="0"/>
              <w:left w:val="single" w:color="auto" w:sz="4" w:space="0"/>
              <w:bottom w:val="single" w:color="auto" w:sz="4" w:space="0"/>
            </w:tcBorders>
            <w:noWrap w:val="0"/>
            <w:vAlign w:val="center"/>
          </w:tcPr>
          <w:p w14:paraId="5EED4C8A">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2DA20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noWrap w:val="0"/>
            <w:vAlign w:val="center"/>
          </w:tcPr>
          <w:p w14:paraId="5F286C32">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3033BE9">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76DB2BA">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2336" w:type="dxa"/>
            <w:tcBorders>
              <w:top w:val="single" w:color="auto" w:sz="4" w:space="0"/>
              <w:left w:val="single" w:color="auto" w:sz="4" w:space="0"/>
              <w:bottom w:val="single" w:color="auto" w:sz="4" w:space="0"/>
              <w:right w:val="single" w:color="auto" w:sz="4" w:space="0"/>
            </w:tcBorders>
            <w:noWrap w:val="0"/>
            <w:vAlign w:val="center"/>
          </w:tcPr>
          <w:p w14:paraId="1B1EA504">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0F8691F">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413" w:type="dxa"/>
            <w:tcBorders>
              <w:top w:val="single" w:color="auto" w:sz="4" w:space="0"/>
              <w:left w:val="single" w:color="auto" w:sz="4" w:space="0"/>
              <w:bottom w:val="single" w:color="auto" w:sz="4" w:space="0"/>
            </w:tcBorders>
            <w:noWrap w:val="0"/>
            <w:vAlign w:val="center"/>
          </w:tcPr>
          <w:p w14:paraId="45D28425">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5D41A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noWrap w:val="0"/>
            <w:vAlign w:val="center"/>
          </w:tcPr>
          <w:p w14:paraId="18ACE3D6">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08E9E65">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9C91177">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2336" w:type="dxa"/>
            <w:tcBorders>
              <w:top w:val="single" w:color="auto" w:sz="4" w:space="0"/>
              <w:left w:val="single" w:color="auto" w:sz="4" w:space="0"/>
              <w:bottom w:val="single" w:color="auto" w:sz="4" w:space="0"/>
              <w:right w:val="single" w:color="auto" w:sz="4" w:space="0"/>
            </w:tcBorders>
            <w:noWrap w:val="0"/>
            <w:vAlign w:val="center"/>
          </w:tcPr>
          <w:p w14:paraId="494580D8">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10D10055">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413" w:type="dxa"/>
            <w:tcBorders>
              <w:top w:val="single" w:color="auto" w:sz="4" w:space="0"/>
              <w:left w:val="single" w:color="auto" w:sz="4" w:space="0"/>
              <w:bottom w:val="single" w:color="auto" w:sz="4" w:space="0"/>
            </w:tcBorders>
            <w:noWrap w:val="0"/>
            <w:vAlign w:val="center"/>
          </w:tcPr>
          <w:p w14:paraId="286EC41F">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731A1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noWrap w:val="0"/>
            <w:vAlign w:val="center"/>
          </w:tcPr>
          <w:p w14:paraId="3B26D249">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2D1434B">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4E9831E">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2336" w:type="dxa"/>
            <w:tcBorders>
              <w:top w:val="single" w:color="auto" w:sz="4" w:space="0"/>
              <w:left w:val="single" w:color="auto" w:sz="4" w:space="0"/>
              <w:bottom w:val="single" w:color="auto" w:sz="4" w:space="0"/>
              <w:right w:val="single" w:color="auto" w:sz="4" w:space="0"/>
            </w:tcBorders>
            <w:noWrap w:val="0"/>
            <w:vAlign w:val="center"/>
          </w:tcPr>
          <w:p w14:paraId="538ABD9E">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753C5B0B">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413" w:type="dxa"/>
            <w:tcBorders>
              <w:top w:val="single" w:color="auto" w:sz="4" w:space="0"/>
              <w:left w:val="single" w:color="auto" w:sz="4" w:space="0"/>
              <w:bottom w:val="single" w:color="auto" w:sz="4" w:space="0"/>
            </w:tcBorders>
            <w:noWrap w:val="0"/>
            <w:vAlign w:val="center"/>
          </w:tcPr>
          <w:p w14:paraId="5A09E662">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3874B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12" w:space="0"/>
              <w:right w:val="single" w:color="auto" w:sz="4" w:space="0"/>
            </w:tcBorders>
            <w:noWrap w:val="0"/>
            <w:vAlign w:val="center"/>
          </w:tcPr>
          <w:p w14:paraId="3AC909B0">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701" w:type="dxa"/>
            <w:tcBorders>
              <w:top w:val="single" w:color="auto" w:sz="4" w:space="0"/>
              <w:left w:val="single" w:color="auto" w:sz="4" w:space="0"/>
              <w:bottom w:val="single" w:color="auto" w:sz="12" w:space="0"/>
              <w:right w:val="single" w:color="auto" w:sz="4" w:space="0"/>
            </w:tcBorders>
            <w:noWrap w:val="0"/>
            <w:vAlign w:val="center"/>
          </w:tcPr>
          <w:p w14:paraId="4BFB6C00">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17" w:type="dxa"/>
            <w:tcBorders>
              <w:top w:val="single" w:color="auto" w:sz="4" w:space="0"/>
              <w:left w:val="single" w:color="auto" w:sz="4" w:space="0"/>
              <w:bottom w:val="single" w:color="auto" w:sz="12" w:space="0"/>
              <w:right w:val="single" w:color="auto" w:sz="4" w:space="0"/>
            </w:tcBorders>
            <w:noWrap w:val="0"/>
            <w:vAlign w:val="center"/>
          </w:tcPr>
          <w:p w14:paraId="184B696D">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2336" w:type="dxa"/>
            <w:tcBorders>
              <w:top w:val="single" w:color="auto" w:sz="4" w:space="0"/>
              <w:left w:val="single" w:color="auto" w:sz="4" w:space="0"/>
              <w:bottom w:val="single" w:color="auto" w:sz="12" w:space="0"/>
              <w:right w:val="single" w:color="auto" w:sz="4" w:space="0"/>
            </w:tcBorders>
            <w:noWrap w:val="0"/>
            <w:vAlign w:val="center"/>
          </w:tcPr>
          <w:p w14:paraId="66A15928">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345" w:type="dxa"/>
            <w:tcBorders>
              <w:top w:val="single" w:color="auto" w:sz="4" w:space="0"/>
              <w:left w:val="single" w:color="auto" w:sz="4" w:space="0"/>
              <w:bottom w:val="single" w:color="auto" w:sz="12" w:space="0"/>
              <w:right w:val="single" w:color="auto" w:sz="4" w:space="0"/>
            </w:tcBorders>
            <w:noWrap w:val="0"/>
            <w:vAlign w:val="center"/>
          </w:tcPr>
          <w:p w14:paraId="6E490C20">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413" w:type="dxa"/>
            <w:tcBorders>
              <w:top w:val="single" w:color="auto" w:sz="4" w:space="0"/>
              <w:left w:val="single" w:color="auto" w:sz="4" w:space="0"/>
              <w:bottom w:val="single" w:color="auto" w:sz="12" w:space="0"/>
            </w:tcBorders>
            <w:noWrap w:val="0"/>
            <w:vAlign w:val="center"/>
          </w:tcPr>
          <w:p w14:paraId="05020F33">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bl>
    <w:p w14:paraId="10E96F2D">
      <w:pPr>
        <w:autoSpaceDE w:val="0"/>
        <w:autoSpaceDN w:val="0"/>
        <w:adjustRightInd w:val="0"/>
        <w:snapToGrid w:val="0"/>
        <w:spacing w:line="360" w:lineRule="auto"/>
        <w:outlineLvl w:val="9"/>
        <w:rPr>
          <w:rFonts w:ascii="黑体" w:hAnsi="黑体" w:eastAsia="黑体" w:cs="黑体"/>
          <w:color w:val="auto"/>
          <w:sz w:val="30"/>
          <w:szCs w:val="30"/>
          <w:highlight w:val="none"/>
        </w:rPr>
      </w:pPr>
    </w:p>
    <w:p w14:paraId="362EFBC6">
      <w:pPr>
        <w:rPr>
          <w:rFonts w:eastAsia="仿宋_GB2312"/>
          <w:color w:val="auto"/>
          <w:sz w:val="30"/>
          <w:szCs w:val="32"/>
          <w:highlight w:val="none"/>
        </w:rPr>
        <w:sectPr>
          <w:pgSz w:w="11905" w:h="16838"/>
          <w:pgMar w:top="1417" w:right="1417" w:bottom="1417" w:left="1417" w:header="850" w:footer="1417" w:gutter="0"/>
          <w:pgNumType w:fmt="decimal"/>
          <w:cols w:space="720" w:num="1"/>
          <w:rtlGutter w:val="0"/>
          <w:docGrid w:type="lines" w:linePitch="318" w:charSpace="0"/>
        </w:sectPr>
      </w:pPr>
    </w:p>
    <w:bookmarkEnd w:id="851"/>
    <w:bookmarkEnd w:id="852"/>
    <w:bookmarkEnd w:id="853"/>
    <w:bookmarkEnd w:id="854"/>
    <w:bookmarkEnd w:id="855"/>
    <w:bookmarkEnd w:id="856"/>
    <w:bookmarkEnd w:id="857"/>
    <w:bookmarkEnd w:id="858"/>
    <w:p w14:paraId="6A261FF6">
      <w:pPr>
        <w:outlineLvl w:val="1"/>
        <w:rPr>
          <w:rFonts w:ascii="仿宋_GB2312" w:hAnsi="仿宋_GB2312" w:eastAsia="仿宋_GB2312" w:cs="仿宋_GB2312"/>
          <w:color w:val="auto"/>
          <w:sz w:val="30"/>
          <w:szCs w:val="32"/>
          <w:highlight w:val="none"/>
        </w:rPr>
      </w:pPr>
      <w:bookmarkStart w:id="859" w:name="_Toc87754172"/>
      <w:bookmarkStart w:id="860" w:name="_Toc48854864"/>
      <w:bookmarkStart w:id="861" w:name="_Toc381252179"/>
      <w:r>
        <w:rPr>
          <w:rFonts w:hint="eastAsia" w:ascii="仿宋_GB2312" w:hAnsi="仿宋_GB2312" w:eastAsia="仿宋_GB2312" w:cs="仿宋_GB2312"/>
          <w:color w:val="auto"/>
          <w:sz w:val="30"/>
          <w:szCs w:val="32"/>
          <w:highlight w:val="none"/>
        </w:rPr>
        <w:t>附件</w:t>
      </w:r>
      <w:r>
        <w:rPr>
          <w:rFonts w:ascii="仿宋_GB2312" w:hAnsi="仿宋_GB2312" w:eastAsia="仿宋_GB2312" w:cs="仿宋_GB2312"/>
          <w:color w:val="auto"/>
          <w:sz w:val="30"/>
          <w:szCs w:val="32"/>
          <w:highlight w:val="none"/>
        </w:rPr>
        <w:t>2</w:t>
      </w:r>
      <w:r>
        <w:rPr>
          <w:rFonts w:hint="eastAsia" w:ascii="仿宋_GB2312" w:hAnsi="仿宋_GB2312" w:eastAsia="仿宋_GB2312" w:cs="仿宋_GB2312"/>
          <w:color w:val="auto"/>
          <w:sz w:val="30"/>
          <w:szCs w:val="32"/>
          <w:highlight w:val="none"/>
        </w:rPr>
        <w:t>：</w:t>
      </w:r>
      <w:bookmarkEnd w:id="859"/>
      <w:bookmarkEnd w:id="860"/>
      <w:bookmarkEnd w:id="861"/>
    </w:p>
    <w:p w14:paraId="09EEC5CC">
      <w:pPr>
        <w:autoSpaceDE w:val="0"/>
        <w:autoSpaceDN w:val="0"/>
        <w:adjustRightInd w:val="0"/>
        <w:snapToGrid w:val="0"/>
        <w:spacing w:line="360" w:lineRule="auto"/>
        <w:jc w:val="center"/>
        <w:outlineLvl w:val="1"/>
        <w:rPr>
          <w:rFonts w:ascii="黑体" w:hAnsi="黑体" w:eastAsia="黑体" w:cs="黑体"/>
          <w:color w:val="auto"/>
          <w:sz w:val="30"/>
          <w:szCs w:val="30"/>
          <w:highlight w:val="none"/>
        </w:rPr>
      </w:pPr>
      <w:bookmarkStart w:id="862" w:name="_Toc21439"/>
      <w:bookmarkStart w:id="863" w:name="_Toc5927"/>
      <w:bookmarkStart w:id="864" w:name="_Toc1905339115"/>
      <w:bookmarkStart w:id="865" w:name="_Toc32548"/>
      <w:bookmarkStart w:id="866" w:name="_Toc1215922451"/>
      <w:bookmarkStart w:id="867" w:name="_Toc24383"/>
      <w:r>
        <w:rPr>
          <w:rFonts w:hint="eastAsia" w:ascii="黑体" w:hAnsi="黑体" w:eastAsia="黑体" w:cs="黑体"/>
          <w:color w:val="auto"/>
          <w:sz w:val="30"/>
          <w:szCs w:val="30"/>
          <w:highlight w:val="none"/>
        </w:rPr>
        <w:t>现状树木一览表</w:t>
      </w:r>
      <w:bookmarkEnd w:id="862"/>
      <w:bookmarkEnd w:id="863"/>
      <w:bookmarkEnd w:id="864"/>
      <w:bookmarkEnd w:id="865"/>
      <w:bookmarkEnd w:id="866"/>
      <w:bookmarkEnd w:id="867"/>
    </w:p>
    <w:tbl>
      <w:tblPr>
        <w:tblStyle w:val="47"/>
        <w:tblpPr w:leftFromText="180" w:rightFromText="180" w:vertAnchor="text" w:horzAnchor="page" w:tblpX="1487" w:tblpY="20"/>
        <w:tblOverlap w:val="never"/>
        <w:tblW w:w="93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91"/>
        <w:gridCol w:w="1069"/>
        <w:gridCol w:w="703"/>
        <w:gridCol w:w="810"/>
        <w:gridCol w:w="903"/>
        <w:gridCol w:w="1245"/>
        <w:gridCol w:w="3027"/>
        <w:gridCol w:w="688"/>
      </w:tblGrid>
      <w:tr w14:paraId="28834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44" w:hRule="atLeast"/>
        </w:trPr>
        <w:tc>
          <w:tcPr>
            <w:tcW w:w="891" w:type="dxa"/>
            <w:tcBorders>
              <w:top w:val="single" w:color="auto" w:sz="12" w:space="0"/>
            </w:tcBorders>
            <w:noWrap w:val="0"/>
            <w:vAlign w:val="center"/>
          </w:tcPr>
          <w:p w14:paraId="667F1F9D">
            <w:pPr>
              <w:pStyle w:val="20"/>
              <w:keepNext/>
              <w:spacing w:after="0" w:line="440" w:lineRule="exact"/>
              <w:ind w:left="63" w:right="63"/>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树木名称</w:t>
            </w:r>
          </w:p>
        </w:tc>
        <w:tc>
          <w:tcPr>
            <w:tcW w:w="1069" w:type="dxa"/>
            <w:tcBorders>
              <w:top w:val="single" w:color="auto" w:sz="12" w:space="0"/>
            </w:tcBorders>
            <w:noWrap w:val="0"/>
            <w:vAlign w:val="center"/>
          </w:tcPr>
          <w:p w14:paraId="4BF49991">
            <w:pPr>
              <w:pStyle w:val="20"/>
              <w:keepNext/>
              <w:spacing w:after="0" w:line="440" w:lineRule="exact"/>
              <w:ind w:left="63" w:right="63"/>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规格</w:t>
            </w:r>
          </w:p>
        </w:tc>
        <w:tc>
          <w:tcPr>
            <w:tcW w:w="703" w:type="dxa"/>
            <w:tcBorders>
              <w:top w:val="single" w:color="auto" w:sz="12" w:space="0"/>
            </w:tcBorders>
            <w:noWrap w:val="0"/>
            <w:vAlign w:val="center"/>
          </w:tcPr>
          <w:p w14:paraId="4EA70800">
            <w:pPr>
              <w:pStyle w:val="20"/>
              <w:keepNext/>
              <w:spacing w:after="0" w:line="440" w:lineRule="exact"/>
              <w:ind w:left="63" w:right="63"/>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数量</w:t>
            </w:r>
          </w:p>
        </w:tc>
        <w:tc>
          <w:tcPr>
            <w:tcW w:w="810" w:type="dxa"/>
            <w:tcBorders>
              <w:top w:val="single" w:color="auto" w:sz="12" w:space="0"/>
            </w:tcBorders>
            <w:noWrap w:val="0"/>
            <w:vAlign w:val="center"/>
          </w:tcPr>
          <w:p w14:paraId="505DDF20">
            <w:pPr>
              <w:pStyle w:val="20"/>
              <w:keepNext/>
              <w:spacing w:after="0" w:line="440" w:lineRule="exact"/>
              <w:ind w:left="63" w:right="63"/>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单位</w:t>
            </w:r>
          </w:p>
        </w:tc>
        <w:tc>
          <w:tcPr>
            <w:tcW w:w="903" w:type="dxa"/>
            <w:tcBorders>
              <w:top w:val="single" w:color="auto" w:sz="12" w:space="0"/>
            </w:tcBorders>
            <w:noWrap w:val="0"/>
            <w:vAlign w:val="center"/>
          </w:tcPr>
          <w:p w14:paraId="7B93CD8C">
            <w:pPr>
              <w:pStyle w:val="20"/>
              <w:keepNext/>
              <w:spacing w:after="0" w:line="440" w:lineRule="exact"/>
              <w:ind w:left="63" w:right="63"/>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生长情况</w:t>
            </w:r>
          </w:p>
        </w:tc>
        <w:tc>
          <w:tcPr>
            <w:tcW w:w="1245" w:type="dxa"/>
            <w:tcBorders>
              <w:top w:val="single" w:color="auto" w:sz="12" w:space="0"/>
            </w:tcBorders>
            <w:noWrap w:val="0"/>
            <w:vAlign w:val="center"/>
          </w:tcPr>
          <w:p w14:paraId="654539AC">
            <w:pPr>
              <w:pStyle w:val="20"/>
              <w:keepNext/>
              <w:spacing w:after="0" w:line="440" w:lineRule="exact"/>
              <w:ind w:left="63" w:right="63"/>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是否古树名木</w:t>
            </w:r>
          </w:p>
        </w:tc>
        <w:tc>
          <w:tcPr>
            <w:tcW w:w="3027" w:type="dxa"/>
            <w:tcBorders>
              <w:top w:val="single" w:color="auto" w:sz="12" w:space="0"/>
            </w:tcBorders>
            <w:noWrap w:val="0"/>
            <w:vAlign w:val="center"/>
          </w:tcPr>
          <w:p w14:paraId="16A753E4">
            <w:pPr>
              <w:pStyle w:val="20"/>
              <w:keepNext/>
              <w:spacing w:after="0" w:line="440" w:lineRule="exact"/>
              <w:ind w:left="63" w:right="63"/>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处置情况</w:t>
            </w:r>
          </w:p>
        </w:tc>
        <w:tc>
          <w:tcPr>
            <w:tcW w:w="688" w:type="dxa"/>
            <w:tcBorders>
              <w:top w:val="single" w:color="auto" w:sz="12" w:space="0"/>
            </w:tcBorders>
            <w:noWrap w:val="0"/>
            <w:vAlign w:val="center"/>
          </w:tcPr>
          <w:p w14:paraId="75483480">
            <w:pPr>
              <w:pStyle w:val="20"/>
              <w:keepNext/>
              <w:spacing w:after="0" w:line="440" w:lineRule="exact"/>
              <w:ind w:left="63" w:right="63"/>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备注</w:t>
            </w:r>
          </w:p>
        </w:tc>
      </w:tr>
      <w:tr w14:paraId="6EF09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3" w:hRule="atLeast"/>
        </w:trPr>
        <w:tc>
          <w:tcPr>
            <w:tcW w:w="891" w:type="dxa"/>
            <w:noWrap w:val="0"/>
            <w:vAlign w:val="center"/>
          </w:tcPr>
          <w:p w14:paraId="22078E9B">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069" w:type="dxa"/>
            <w:noWrap w:val="0"/>
            <w:vAlign w:val="center"/>
          </w:tcPr>
          <w:p w14:paraId="45DACEA8">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703" w:type="dxa"/>
            <w:noWrap w:val="0"/>
            <w:vAlign w:val="center"/>
          </w:tcPr>
          <w:p w14:paraId="13B07719">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810" w:type="dxa"/>
            <w:noWrap w:val="0"/>
            <w:vAlign w:val="center"/>
          </w:tcPr>
          <w:p w14:paraId="5BEC48FB">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903" w:type="dxa"/>
            <w:noWrap w:val="0"/>
            <w:vAlign w:val="center"/>
          </w:tcPr>
          <w:p w14:paraId="3F3C2A32">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245" w:type="dxa"/>
            <w:noWrap w:val="0"/>
            <w:vAlign w:val="center"/>
          </w:tcPr>
          <w:p w14:paraId="1CF63149">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3027" w:type="dxa"/>
            <w:noWrap w:val="0"/>
            <w:vAlign w:val="center"/>
          </w:tcPr>
          <w:p w14:paraId="01466A59">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688" w:type="dxa"/>
            <w:noWrap w:val="0"/>
            <w:vAlign w:val="center"/>
          </w:tcPr>
          <w:p w14:paraId="674A3CDA">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64938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6" w:hRule="atLeast"/>
        </w:trPr>
        <w:tc>
          <w:tcPr>
            <w:tcW w:w="891" w:type="dxa"/>
            <w:noWrap w:val="0"/>
            <w:vAlign w:val="center"/>
          </w:tcPr>
          <w:p w14:paraId="3C9D5BBC">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069" w:type="dxa"/>
            <w:noWrap w:val="0"/>
            <w:vAlign w:val="center"/>
          </w:tcPr>
          <w:p w14:paraId="4ED6DC28">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703" w:type="dxa"/>
            <w:noWrap w:val="0"/>
            <w:vAlign w:val="center"/>
          </w:tcPr>
          <w:p w14:paraId="3CFB1B2F">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810" w:type="dxa"/>
            <w:noWrap w:val="0"/>
            <w:vAlign w:val="center"/>
          </w:tcPr>
          <w:p w14:paraId="5F5AD5F7">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903" w:type="dxa"/>
            <w:noWrap w:val="0"/>
            <w:vAlign w:val="center"/>
          </w:tcPr>
          <w:p w14:paraId="751754A0">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245" w:type="dxa"/>
            <w:noWrap w:val="0"/>
            <w:vAlign w:val="center"/>
          </w:tcPr>
          <w:p w14:paraId="53C02AA7">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3027" w:type="dxa"/>
            <w:noWrap w:val="0"/>
            <w:vAlign w:val="center"/>
          </w:tcPr>
          <w:p w14:paraId="137DD639">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688" w:type="dxa"/>
            <w:noWrap w:val="0"/>
            <w:vAlign w:val="center"/>
          </w:tcPr>
          <w:p w14:paraId="36A842F4">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38699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6" w:hRule="atLeast"/>
        </w:trPr>
        <w:tc>
          <w:tcPr>
            <w:tcW w:w="891" w:type="dxa"/>
            <w:noWrap w:val="0"/>
            <w:vAlign w:val="center"/>
          </w:tcPr>
          <w:p w14:paraId="1424E324">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069" w:type="dxa"/>
            <w:noWrap w:val="0"/>
            <w:vAlign w:val="center"/>
          </w:tcPr>
          <w:p w14:paraId="19C2AB97">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703" w:type="dxa"/>
            <w:noWrap w:val="0"/>
            <w:vAlign w:val="center"/>
          </w:tcPr>
          <w:p w14:paraId="11A35EF9">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810" w:type="dxa"/>
            <w:noWrap w:val="0"/>
            <w:vAlign w:val="center"/>
          </w:tcPr>
          <w:p w14:paraId="709C1E19">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903" w:type="dxa"/>
            <w:noWrap w:val="0"/>
            <w:vAlign w:val="center"/>
          </w:tcPr>
          <w:p w14:paraId="1E8AE84D">
            <w:pPr>
              <w:pStyle w:val="20"/>
              <w:keepNext/>
              <w:spacing w:after="0" w:line="440" w:lineRule="exact"/>
              <w:ind w:right="63"/>
              <w:rPr>
                <w:rFonts w:ascii="仿宋_GB2312" w:hAnsi="仿宋_GB2312" w:eastAsia="仿宋_GB2312" w:cs="仿宋_GB2312"/>
                <w:color w:val="auto"/>
                <w:kern w:val="2"/>
                <w:sz w:val="28"/>
                <w:szCs w:val="28"/>
                <w:highlight w:val="none"/>
              </w:rPr>
            </w:pPr>
          </w:p>
        </w:tc>
        <w:tc>
          <w:tcPr>
            <w:tcW w:w="1245" w:type="dxa"/>
            <w:noWrap w:val="0"/>
            <w:vAlign w:val="center"/>
          </w:tcPr>
          <w:p w14:paraId="1145FA38">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3027" w:type="dxa"/>
            <w:noWrap w:val="0"/>
            <w:vAlign w:val="center"/>
          </w:tcPr>
          <w:p w14:paraId="61807966">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688" w:type="dxa"/>
            <w:noWrap w:val="0"/>
            <w:vAlign w:val="center"/>
          </w:tcPr>
          <w:p w14:paraId="3A38BEB0">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131E4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6" w:hRule="atLeast"/>
        </w:trPr>
        <w:tc>
          <w:tcPr>
            <w:tcW w:w="891" w:type="dxa"/>
            <w:noWrap w:val="0"/>
            <w:vAlign w:val="center"/>
          </w:tcPr>
          <w:p w14:paraId="2725E138">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069" w:type="dxa"/>
            <w:noWrap w:val="0"/>
            <w:vAlign w:val="center"/>
          </w:tcPr>
          <w:p w14:paraId="733075BC">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703" w:type="dxa"/>
            <w:noWrap w:val="0"/>
            <w:vAlign w:val="center"/>
          </w:tcPr>
          <w:p w14:paraId="69A2ED5C">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810" w:type="dxa"/>
            <w:noWrap w:val="0"/>
            <w:vAlign w:val="center"/>
          </w:tcPr>
          <w:p w14:paraId="74591CA6">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903" w:type="dxa"/>
            <w:noWrap w:val="0"/>
            <w:vAlign w:val="center"/>
          </w:tcPr>
          <w:p w14:paraId="74E87E19">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245" w:type="dxa"/>
            <w:noWrap w:val="0"/>
            <w:vAlign w:val="center"/>
          </w:tcPr>
          <w:p w14:paraId="1E5C6BAB">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3027" w:type="dxa"/>
            <w:noWrap w:val="0"/>
            <w:vAlign w:val="center"/>
          </w:tcPr>
          <w:p w14:paraId="168EB18D">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688" w:type="dxa"/>
            <w:noWrap w:val="0"/>
            <w:vAlign w:val="center"/>
          </w:tcPr>
          <w:p w14:paraId="204C6384">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4815D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6" w:hRule="atLeast"/>
        </w:trPr>
        <w:tc>
          <w:tcPr>
            <w:tcW w:w="891" w:type="dxa"/>
            <w:noWrap w:val="0"/>
            <w:vAlign w:val="center"/>
          </w:tcPr>
          <w:p w14:paraId="3A4E6C10">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069" w:type="dxa"/>
            <w:noWrap w:val="0"/>
            <w:vAlign w:val="center"/>
          </w:tcPr>
          <w:p w14:paraId="5BB039EE">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703" w:type="dxa"/>
            <w:noWrap w:val="0"/>
            <w:vAlign w:val="center"/>
          </w:tcPr>
          <w:p w14:paraId="13D236E9">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810" w:type="dxa"/>
            <w:noWrap w:val="0"/>
            <w:vAlign w:val="center"/>
          </w:tcPr>
          <w:p w14:paraId="62881D8B">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903" w:type="dxa"/>
            <w:noWrap w:val="0"/>
            <w:vAlign w:val="center"/>
          </w:tcPr>
          <w:p w14:paraId="31D908B5">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245" w:type="dxa"/>
            <w:noWrap w:val="0"/>
            <w:vAlign w:val="center"/>
          </w:tcPr>
          <w:p w14:paraId="79E7C636">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3027" w:type="dxa"/>
            <w:noWrap w:val="0"/>
            <w:vAlign w:val="center"/>
          </w:tcPr>
          <w:p w14:paraId="3B14BA7B">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688" w:type="dxa"/>
            <w:noWrap w:val="0"/>
            <w:vAlign w:val="center"/>
          </w:tcPr>
          <w:p w14:paraId="322D59F0">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1076A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6" w:hRule="atLeast"/>
        </w:trPr>
        <w:tc>
          <w:tcPr>
            <w:tcW w:w="891" w:type="dxa"/>
            <w:noWrap w:val="0"/>
            <w:vAlign w:val="center"/>
          </w:tcPr>
          <w:p w14:paraId="1218B6E0">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069" w:type="dxa"/>
            <w:noWrap w:val="0"/>
            <w:vAlign w:val="center"/>
          </w:tcPr>
          <w:p w14:paraId="732B7F79">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703" w:type="dxa"/>
            <w:noWrap w:val="0"/>
            <w:vAlign w:val="center"/>
          </w:tcPr>
          <w:p w14:paraId="6B34F4BF">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810" w:type="dxa"/>
            <w:noWrap w:val="0"/>
            <w:vAlign w:val="center"/>
          </w:tcPr>
          <w:p w14:paraId="4DA4DA6F">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903" w:type="dxa"/>
            <w:noWrap w:val="0"/>
            <w:vAlign w:val="center"/>
          </w:tcPr>
          <w:p w14:paraId="5AA60BA4">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245" w:type="dxa"/>
            <w:noWrap w:val="0"/>
            <w:vAlign w:val="center"/>
          </w:tcPr>
          <w:p w14:paraId="5A0B5989">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3027" w:type="dxa"/>
            <w:noWrap w:val="0"/>
            <w:vAlign w:val="center"/>
          </w:tcPr>
          <w:p w14:paraId="131466E6">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688" w:type="dxa"/>
            <w:noWrap w:val="0"/>
            <w:vAlign w:val="center"/>
          </w:tcPr>
          <w:p w14:paraId="5F480132">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08099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6" w:hRule="atLeast"/>
        </w:trPr>
        <w:tc>
          <w:tcPr>
            <w:tcW w:w="891" w:type="dxa"/>
            <w:noWrap w:val="0"/>
            <w:vAlign w:val="center"/>
          </w:tcPr>
          <w:p w14:paraId="67165181">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069" w:type="dxa"/>
            <w:noWrap w:val="0"/>
            <w:vAlign w:val="center"/>
          </w:tcPr>
          <w:p w14:paraId="44C9B64C">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703" w:type="dxa"/>
            <w:noWrap w:val="0"/>
            <w:vAlign w:val="center"/>
          </w:tcPr>
          <w:p w14:paraId="02351C58">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810" w:type="dxa"/>
            <w:noWrap w:val="0"/>
            <w:vAlign w:val="center"/>
          </w:tcPr>
          <w:p w14:paraId="2C4FEF64">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903" w:type="dxa"/>
            <w:noWrap w:val="0"/>
            <w:vAlign w:val="center"/>
          </w:tcPr>
          <w:p w14:paraId="1F8BF2C3">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245" w:type="dxa"/>
            <w:noWrap w:val="0"/>
            <w:vAlign w:val="center"/>
          </w:tcPr>
          <w:p w14:paraId="26FBE637">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3027" w:type="dxa"/>
            <w:noWrap w:val="0"/>
            <w:vAlign w:val="center"/>
          </w:tcPr>
          <w:p w14:paraId="3CB1AE88">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688" w:type="dxa"/>
            <w:noWrap w:val="0"/>
            <w:vAlign w:val="center"/>
          </w:tcPr>
          <w:p w14:paraId="32715296">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3E8B0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6" w:hRule="atLeast"/>
        </w:trPr>
        <w:tc>
          <w:tcPr>
            <w:tcW w:w="891" w:type="dxa"/>
            <w:noWrap w:val="0"/>
            <w:vAlign w:val="center"/>
          </w:tcPr>
          <w:p w14:paraId="0D5D6888">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069" w:type="dxa"/>
            <w:noWrap w:val="0"/>
            <w:vAlign w:val="center"/>
          </w:tcPr>
          <w:p w14:paraId="73B2D454">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703" w:type="dxa"/>
            <w:noWrap w:val="0"/>
            <w:vAlign w:val="center"/>
          </w:tcPr>
          <w:p w14:paraId="01B360A9">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810" w:type="dxa"/>
            <w:noWrap w:val="0"/>
            <w:vAlign w:val="center"/>
          </w:tcPr>
          <w:p w14:paraId="064F7529">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903" w:type="dxa"/>
            <w:noWrap w:val="0"/>
            <w:vAlign w:val="center"/>
          </w:tcPr>
          <w:p w14:paraId="037A9C08">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245" w:type="dxa"/>
            <w:noWrap w:val="0"/>
            <w:vAlign w:val="center"/>
          </w:tcPr>
          <w:p w14:paraId="1EB17DA2">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3027" w:type="dxa"/>
            <w:noWrap w:val="0"/>
            <w:vAlign w:val="center"/>
          </w:tcPr>
          <w:p w14:paraId="67EF2146">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688" w:type="dxa"/>
            <w:noWrap w:val="0"/>
            <w:vAlign w:val="center"/>
          </w:tcPr>
          <w:p w14:paraId="0FC48BB5">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699EB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6" w:hRule="atLeast"/>
        </w:trPr>
        <w:tc>
          <w:tcPr>
            <w:tcW w:w="891" w:type="dxa"/>
            <w:noWrap w:val="0"/>
            <w:vAlign w:val="center"/>
          </w:tcPr>
          <w:p w14:paraId="3714749C">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069" w:type="dxa"/>
            <w:noWrap w:val="0"/>
            <w:vAlign w:val="center"/>
          </w:tcPr>
          <w:p w14:paraId="5927A225">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703" w:type="dxa"/>
            <w:noWrap w:val="0"/>
            <w:vAlign w:val="center"/>
          </w:tcPr>
          <w:p w14:paraId="327EF3B0">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810" w:type="dxa"/>
            <w:noWrap w:val="0"/>
            <w:vAlign w:val="center"/>
          </w:tcPr>
          <w:p w14:paraId="01FD1DD6">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903" w:type="dxa"/>
            <w:noWrap w:val="0"/>
            <w:vAlign w:val="center"/>
          </w:tcPr>
          <w:p w14:paraId="7958F1FF">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245" w:type="dxa"/>
            <w:noWrap w:val="0"/>
            <w:vAlign w:val="center"/>
          </w:tcPr>
          <w:p w14:paraId="52292115">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3027" w:type="dxa"/>
            <w:noWrap w:val="0"/>
            <w:vAlign w:val="center"/>
          </w:tcPr>
          <w:p w14:paraId="270C9B21">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688" w:type="dxa"/>
            <w:noWrap w:val="0"/>
            <w:vAlign w:val="center"/>
          </w:tcPr>
          <w:p w14:paraId="3D7AA9C7">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r w14:paraId="6BC93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81" w:hRule="atLeast"/>
        </w:trPr>
        <w:tc>
          <w:tcPr>
            <w:tcW w:w="891" w:type="dxa"/>
            <w:tcBorders>
              <w:bottom w:val="single" w:color="auto" w:sz="12" w:space="0"/>
            </w:tcBorders>
            <w:noWrap w:val="0"/>
            <w:vAlign w:val="center"/>
          </w:tcPr>
          <w:p w14:paraId="2963B73E">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069" w:type="dxa"/>
            <w:tcBorders>
              <w:bottom w:val="single" w:color="auto" w:sz="12" w:space="0"/>
            </w:tcBorders>
            <w:noWrap w:val="0"/>
            <w:vAlign w:val="center"/>
          </w:tcPr>
          <w:p w14:paraId="3A879FB1">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703" w:type="dxa"/>
            <w:tcBorders>
              <w:bottom w:val="single" w:color="auto" w:sz="12" w:space="0"/>
            </w:tcBorders>
            <w:noWrap w:val="0"/>
            <w:vAlign w:val="center"/>
          </w:tcPr>
          <w:p w14:paraId="15DE553C">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810" w:type="dxa"/>
            <w:tcBorders>
              <w:bottom w:val="single" w:color="auto" w:sz="12" w:space="0"/>
            </w:tcBorders>
            <w:noWrap w:val="0"/>
            <w:vAlign w:val="center"/>
          </w:tcPr>
          <w:p w14:paraId="2EC22469">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903" w:type="dxa"/>
            <w:tcBorders>
              <w:bottom w:val="single" w:color="auto" w:sz="12" w:space="0"/>
            </w:tcBorders>
            <w:noWrap w:val="0"/>
            <w:vAlign w:val="center"/>
          </w:tcPr>
          <w:p w14:paraId="7BFBC06D">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1245" w:type="dxa"/>
            <w:tcBorders>
              <w:bottom w:val="single" w:color="auto" w:sz="12" w:space="0"/>
            </w:tcBorders>
            <w:noWrap w:val="0"/>
            <w:vAlign w:val="center"/>
          </w:tcPr>
          <w:p w14:paraId="3476DD59">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3027" w:type="dxa"/>
            <w:tcBorders>
              <w:bottom w:val="single" w:color="auto" w:sz="12" w:space="0"/>
            </w:tcBorders>
            <w:noWrap w:val="0"/>
            <w:vAlign w:val="center"/>
          </w:tcPr>
          <w:p w14:paraId="7BE28AEA">
            <w:pPr>
              <w:pStyle w:val="20"/>
              <w:keepNext/>
              <w:spacing w:after="0" w:line="440" w:lineRule="exact"/>
              <w:ind w:left="63" w:right="63"/>
              <w:rPr>
                <w:rFonts w:ascii="仿宋_GB2312" w:hAnsi="仿宋_GB2312" w:eastAsia="仿宋_GB2312" w:cs="仿宋_GB2312"/>
                <w:color w:val="auto"/>
                <w:kern w:val="2"/>
                <w:sz w:val="28"/>
                <w:szCs w:val="28"/>
                <w:highlight w:val="none"/>
              </w:rPr>
            </w:pPr>
          </w:p>
        </w:tc>
        <w:tc>
          <w:tcPr>
            <w:tcW w:w="688" w:type="dxa"/>
            <w:tcBorders>
              <w:bottom w:val="single" w:color="auto" w:sz="12" w:space="0"/>
            </w:tcBorders>
            <w:noWrap w:val="0"/>
            <w:vAlign w:val="center"/>
          </w:tcPr>
          <w:p w14:paraId="574775FE">
            <w:pPr>
              <w:pStyle w:val="20"/>
              <w:keepNext/>
              <w:spacing w:after="0" w:line="440" w:lineRule="exact"/>
              <w:ind w:left="63" w:right="63"/>
              <w:rPr>
                <w:rFonts w:ascii="仿宋_GB2312" w:hAnsi="仿宋_GB2312" w:eastAsia="仿宋_GB2312" w:cs="仿宋_GB2312"/>
                <w:color w:val="auto"/>
                <w:kern w:val="2"/>
                <w:sz w:val="28"/>
                <w:szCs w:val="28"/>
                <w:highlight w:val="none"/>
              </w:rPr>
            </w:pPr>
          </w:p>
        </w:tc>
      </w:tr>
    </w:tbl>
    <w:p w14:paraId="5C203C33">
      <w:pPr>
        <w:outlineLvl w:val="9"/>
        <w:rPr>
          <w:rFonts w:ascii="仿宋_GB2312" w:hAnsi="仿宋_GB2312" w:eastAsia="仿宋_GB2312" w:cs="仿宋_GB2312"/>
          <w:color w:val="auto"/>
          <w:sz w:val="30"/>
          <w:szCs w:val="32"/>
          <w:highlight w:val="none"/>
        </w:rPr>
        <w:sectPr>
          <w:pgSz w:w="11905" w:h="16838"/>
          <w:pgMar w:top="1417" w:right="1417" w:bottom="1417" w:left="1417" w:header="850" w:footer="1417" w:gutter="0"/>
          <w:pgNumType w:fmt="decimal"/>
          <w:cols w:space="720" w:num="1"/>
          <w:rtlGutter w:val="0"/>
          <w:docGrid w:type="lines" w:linePitch="318" w:charSpace="0"/>
        </w:sectPr>
      </w:pPr>
    </w:p>
    <w:p w14:paraId="6A0E4F47">
      <w:pPr>
        <w:spacing w:line="360" w:lineRule="auto"/>
        <w:outlineLvl w:val="1"/>
        <w:rPr>
          <w:rFonts w:ascii="仿宋_GB2312" w:hAnsi="仿宋_GB2312" w:eastAsia="仿宋_GB2312" w:cs="仿宋_GB2312"/>
          <w:color w:val="auto"/>
          <w:sz w:val="30"/>
          <w:szCs w:val="32"/>
          <w:highlight w:val="none"/>
        </w:rPr>
      </w:pPr>
      <w:bookmarkStart w:id="868" w:name="_Toc1799881692"/>
      <w:bookmarkStart w:id="869" w:name="_Toc1357349786"/>
      <w:bookmarkStart w:id="870" w:name="_Toc2144979508"/>
      <w:r>
        <w:rPr>
          <w:rFonts w:hint="eastAsia" w:ascii="仿宋_GB2312" w:hAnsi="仿宋_GB2312" w:eastAsia="仿宋_GB2312" w:cs="仿宋_GB2312"/>
          <w:b/>
          <w:bCs/>
          <w:color w:val="auto"/>
          <w:sz w:val="30"/>
          <w:szCs w:val="32"/>
          <w:highlight w:val="none"/>
        </w:rPr>
        <w:t>附件</w:t>
      </w:r>
      <w:r>
        <w:rPr>
          <w:rFonts w:hint="eastAsia" w:ascii="仿宋_GB2312" w:hAnsi="仿宋_GB2312" w:eastAsia="仿宋_GB2312" w:cs="仿宋_GB2312"/>
          <w:b/>
          <w:bCs/>
          <w:color w:val="auto"/>
          <w:sz w:val="30"/>
          <w:szCs w:val="32"/>
          <w:highlight w:val="none"/>
          <w:lang w:val="en-US" w:eastAsia="zh-CN"/>
        </w:rPr>
        <w:t>3</w:t>
      </w:r>
      <w:r>
        <w:rPr>
          <w:rFonts w:ascii="仿宋_GB2312" w:hAnsi="仿宋_GB2312" w:eastAsia="仿宋_GB2312" w:cs="仿宋_GB2312"/>
          <w:b/>
          <w:bCs/>
          <w:color w:val="auto"/>
          <w:sz w:val="30"/>
          <w:szCs w:val="32"/>
          <w:highlight w:val="none"/>
        </w:rPr>
        <w:t>:</w:t>
      </w:r>
      <w:bookmarkEnd w:id="868"/>
      <w:bookmarkEnd w:id="869"/>
      <w:bookmarkEnd w:id="870"/>
    </w:p>
    <w:p w14:paraId="647DB96B">
      <w:pPr>
        <w:pStyle w:val="3"/>
        <w:pageBreakBefore w:val="0"/>
        <w:widowControl w:val="0"/>
        <w:kinsoku/>
        <w:wordWrap/>
        <w:overflowPunct/>
        <w:topLinePunct w:val="0"/>
        <w:autoSpaceDE/>
        <w:autoSpaceDN/>
        <w:bidi w:val="0"/>
        <w:adjustRightInd/>
        <w:spacing w:before="0" w:beforeLines="0" w:after="0" w:afterLines="0" w:line="480" w:lineRule="exact"/>
        <w:ind w:left="0" w:leftChars="0" w:firstLine="482" w:firstLineChars="200"/>
        <w:jc w:val="center"/>
        <w:textAlignment w:val="auto"/>
        <w:rPr>
          <w:rFonts w:hint="eastAsia" w:ascii="宋体" w:hAnsi="宋体" w:eastAsia="宋体" w:cs="宋体"/>
          <w:b/>
          <w:bCs w:val="0"/>
          <w:color w:val="auto"/>
          <w:sz w:val="24"/>
          <w:szCs w:val="24"/>
          <w:highlight w:val="none"/>
        </w:rPr>
      </w:pPr>
      <w:bookmarkStart w:id="871" w:name="_Toc2133128467"/>
      <w:bookmarkStart w:id="872" w:name="_Toc1792836188"/>
      <w:r>
        <w:rPr>
          <w:rFonts w:hint="eastAsia" w:ascii="宋体" w:hAnsi="宋体" w:eastAsia="宋体" w:cs="宋体"/>
          <w:b/>
          <w:bCs w:val="0"/>
          <w:color w:val="auto"/>
          <w:sz w:val="24"/>
          <w:szCs w:val="24"/>
          <w:highlight w:val="none"/>
        </w:rPr>
        <w:t>绿化养护责任书</w:t>
      </w:r>
      <w:bookmarkEnd w:id="871"/>
      <w:bookmarkEnd w:id="872"/>
    </w:p>
    <w:p w14:paraId="01051BA9">
      <w:pPr>
        <w:keepNext w:val="0"/>
        <w:keepLines w:val="0"/>
        <w:pageBreakBefore w:val="0"/>
        <w:widowControl w:val="0"/>
        <w:kinsoku/>
        <w:wordWrap w:val="0"/>
        <w:overflowPunct/>
        <w:topLinePunct w:val="0"/>
        <w:autoSpaceDE/>
        <w:autoSpaceDN/>
        <w:bidi w:val="0"/>
        <w:adjustRightInd/>
        <w:snapToGrid w:val="0"/>
        <w:spacing w:line="48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发包人和承包人根据《园林绿化养护标准》（CJJ/T287）关规定，经协商一致就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（工程全称）签订绿化养护责任书。</w:t>
      </w:r>
    </w:p>
    <w:p w14:paraId="3135FA18">
      <w:pPr>
        <w:pageBreakBefore w:val="0"/>
        <w:widowControl w:val="0"/>
        <w:kinsoku/>
        <w:wordWrap/>
        <w:overflowPunct/>
        <w:topLinePunct w:val="0"/>
        <w:autoSpaceDE/>
        <w:autoSpaceDN/>
        <w:bidi w:val="0"/>
        <w:adjustRightInd/>
        <w:snapToGrid w:val="0"/>
        <w:spacing w:line="48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一、责任范围和内容</w:t>
      </w:r>
    </w:p>
    <w:p w14:paraId="77769BB9">
      <w:pPr>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承包人在绿化养护期内，按照有关法律规定和合同约定，承担施工范围内的绿化养护责任。</w:t>
      </w:r>
    </w:p>
    <w:p w14:paraId="46CA77EC">
      <w:pPr>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内容包括对养护范围内植物采取的整形修剪、松土除草、灌溉与排水、施肥、有害生物防治、改植与补植、绿地防护（如防台风、防寒）等技术措施。</w:t>
      </w:r>
    </w:p>
    <w:p w14:paraId="7F240E50">
      <w:pPr>
        <w:pageBreakBefore w:val="0"/>
        <w:widowControl w:val="0"/>
        <w:kinsoku/>
        <w:wordWrap/>
        <w:overflowPunct/>
        <w:topLinePunct w:val="0"/>
        <w:autoSpaceDE/>
        <w:autoSpaceDN/>
        <w:bidi w:val="0"/>
        <w:adjustRightInd/>
        <w:snapToGrid w:val="0"/>
        <w:spacing w:line="48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二、养护标准</w:t>
      </w:r>
    </w:p>
    <w:p w14:paraId="4274D59E">
      <w:pPr>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绿化养护质量按照</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《园林绿化养护标准》（CJJ/T287）中</w:t>
      </w:r>
      <w:r>
        <w:rPr>
          <w:rFonts w:hint="eastAsia" w:ascii="宋体" w:hAnsi="宋体" w:eastAsia="宋体" w:cs="宋体"/>
          <w:color w:val="auto"/>
          <w:sz w:val="24"/>
          <w:szCs w:val="24"/>
          <w:highlight w:val="none"/>
          <w:u w:val="single"/>
          <w:lang w:eastAsia="zh-CN"/>
        </w:rPr>
        <w:t>二</w:t>
      </w:r>
      <w:r>
        <w:rPr>
          <w:rFonts w:hint="eastAsia" w:ascii="宋体" w:hAnsi="宋体" w:eastAsia="宋体" w:cs="宋体"/>
          <w:color w:val="auto"/>
          <w:sz w:val="24"/>
          <w:szCs w:val="24"/>
          <w:highlight w:val="none"/>
        </w:rPr>
        <w:t>级标准。</w:t>
      </w:r>
    </w:p>
    <w:p w14:paraId="3C93F92D">
      <w:pPr>
        <w:pageBreakBefore w:val="0"/>
        <w:widowControl w:val="0"/>
        <w:kinsoku/>
        <w:wordWrap/>
        <w:overflowPunct/>
        <w:topLinePunct w:val="0"/>
        <w:autoSpaceDE/>
        <w:autoSpaceDN/>
        <w:bidi w:val="0"/>
        <w:adjustRightInd/>
        <w:snapToGrid w:val="0"/>
        <w:spacing w:line="48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三、考核标准</w:t>
      </w:r>
    </w:p>
    <w:p w14:paraId="1DC6F138">
      <w:pPr>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由发包人按（</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国家标准</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行业标准</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地方标准）中</w:t>
      </w:r>
      <w:r>
        <w:rPr>
          <w:rFonts w:hint="eastAsia" w:ascii="宋体" w:hAnsi="宋体" w:eastAsia="宋体" w:cs="宋体"/>
          <w:color w:val="auto"/>
          <w:sz w:val="24"/>
          <w:szCs w:val="24"/>
          <w:highlight w:val="none"/>
          <w:u w:val="single"/>
          <w:lang w:eastAsia="zh-CN"/>
        </w:rPr>
        <w:t>二</w:t>
      </w:r>
      <w:r>
        <w:rPr>
          <w:rFonts w:hint="eastAsia" w:ascii="宋体" w:hAnsi="宋体" w:eastAsia="宋体" w:cs="宋体"/>
          <w:color w:val="auto"/>
          <w:sz w:val="24"/>
          <w:szCs w:val="24"/>
          <w:highlight w:val="none"/>
        </w:rPr>
        <w:t>级标准进行考核，相关费用从质量保证金中扣除。</w:t>
      </w:r>
    </w:p>
    <w:p w14:paraId="2E0333DF">
      <w:pPr>
        <w:pageBreakBefore w:val="0"/>
        <w:widowControl w:val="0"/>
        <w:kinsoku/>
        <w:wordWrap/>
        <w:overflowPunct/>
        <w:topLinePunct w:val="0"/>
        <w:autoSpaceDE/>
        <w:autoSpaceDN/>
        <w:bidi w:val="0"/>
        <w:adjustRightInd/>
        <w:snapToGrid w:val="0"/>
        <w:spacing w:line="48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四、绿化养护期</w:t>
      </w:r>
    </w:p>
    <w:p w14:paraId="23489C00">
      <w:pPr>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绿化养护期</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1年</w:t>
      </w:r>
      <w:r>
        <w:rPr>
          <w:rFonts w:hint="eastAsia" w:ascii="宋体" w:hAnsi="宋体" w:eastAsia="宋体" w:cs="宋体"/>
          <w:color w:val="auto"/>
          <w:sz w:val="24"/>
          <w:szCs w:val="24"/>
          <w:highlight w:val="none"/>
        </w:rPr>
        <w:t>，从完工初验合格之日计算。</w:t>
      </w:r>
    </w:p>
    <w:p w14:paraId="3D4EA5C8">
      <w:pPr>
        <w:pageBreakBefore w:val="0"/>
        <w:widowControl w:val="0"/>
        <w:kinsoku/>
        <w:wordWrap/>
        <w:overflowPunct/>
        <w:topLinePunct w:val="0"/>
        <w:autoSpaceDE/>
        <w:autoSpaceDN/>
        <w:bidi w:val="0"/>
        <w:adjustRightInd/>
        <w:snapToGrid w:val="0"/>
        <w:spacing w:line="48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五、养护责任</w:t>
      </w:r>
    </w:p>
    <w:p w14:paraId="46E38A88">
      <w:pPr>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1．为确保养护质量，承包人应安排专业队伍和人员进行养护管理。</w:t>
      </w:r>
    </w:p>
    <w:p w14:paraId="7136822A">
      <w:pPr>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在养护过程中应采取安全措施，避免造成对第三方人身和财产的损害。因承包人操作不当、管理不善而造成人身伤害或财产损失的，由承包人承担。发生紧急事故需处置的，承包人在接到事故通知后，应当立即到达事故现场处置。</w:t>
      </w:r>
    </w:p>
    <w:p w14:paraId="471AF07D">
      <w:pPr>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3．苗木成活率按合同约定执行，发生苗木等植物材料死亡，须按原设计品种和规格及时更换，更换费用由承包人承担。</w:t>
      </w:r>
    </w:p>
    <w:p w14:paraId="2340E4F2">
      <w:pPr>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4．绿化养护期满后，由发包人组织验收。</w:t>
      </w:r>
    </w:p>
    <w:p w14:paraId="083340E9">
      <w:pPr>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5．其他责任约定：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4D6FCB2">
      <w:pPr>
        <w:pageBreakBefore w:val="0"/>
        <w:widowControl w:val="0"/>
        <w:kinsoku/>
        <w:wordWrap/>
        <w:overflowPunct/>
        <w:topLinePunct w:val="0"/>
        <w:autoSpaceDE/>
        <w:autoSpaceDN/>
        <w:bidi w:val="0"/>
        <w:adjustRightInd/>
        <w:snapToGrid w:val="0"/>
        <w:spacing w:line="48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六、养护费用</w:t>
      </w:r>
    </w:p>
    <w:p w14:paraId="7231EA1D">
      <w:pPr>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养护费用由承包人承担。</w:t>
      </w:r>
    </w:p>
    <w:p w14:paraId="6B6AAA40">
      <w:pPr>
        <w:pageBreakBefore w:val="0"/>
        <w:widowControl w:val="0"/>
        <w:kinsoku/>
        <w:wordWrap/>
        <w:overflowPunct/>
        <w:topLinePunct w:val="0"/>
        <w:autoSpaceDE/>
        <w:autoSpaceDN/>
        <w:bidi w:val="0"/>
        <w:adjustRightInd/>
        <w:snapToGrid w:val="0"/>
        <w:spacing w:line="480" w:lineRule="exact"/>
        <w:ind w:left="0" w:lef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七、其他约定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46FAC2">
      <w:pPr>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绿化养护责任书由发包人、承包人在工程</w:t>
      </w:r>
      <w:r>
        <w:rPr>
          <w:rFonts w:hint="eastAsia" w:ascii="宋体" w:hAnsi="宋体" w:cs="宋体"/>
          <w:strike w:val="0"/>
          <w:dstrike w:val="0"/>
          <w:color w:val="auto"/>
          <w:kern w:val="0"/>
          <w:sz w:val="24"/>
          <w:szCs w:val="24"/>
          <w:highlight w:val="none"/>
          <w:lang w:val="en-US" w:eastAsia="zh-CN"/>
        </w:rPr>
        <w:t>完工初验合格后，第一次付款前</w:t>
      </w:r>
      <w:r>
        <w:rPr>
          <w:rFonts w:hint="eastAsia" w:ascii="宋体" w:hAnsi="宋体" w:eastAsia="宋体" w:cs="宋体"/>
          <w:color w:val="auto"/>
          <w:sz w:val="24"/>
          <w:szCs w:val="24"/>
          <w:highlight w:val="none"/>
        </w:rPr>
        <w:t>共同签署，作为施工合同附件，其有效期限至绿化养护期满。</w:t>
      </w:r>
    </w:p>
    <w:p w14:paraId="4C62B63A">
      <w:pPr>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发包人:（公章）                        承包人：（公章）</w:t>
      </w:r>
    </w:p>
    <w:p w14:paraId="41085668">
      <w:pPr>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p>
    <w:p w14:paraId="04184D37">
      <w:pPr>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 xml:space="preserve">法定代表人或其委托代理人：（签字）     法定代表人或其委托代理人：（签字）     </w:t>
      </w:r>
    </w:p>
    <w:p w14:paraId="7F4183AE">
      <w:pPr>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color w:val="auto"/>
          <w:sz w:val="24"/>
          <w:szCs w:val="24"/>
          <w:highlight w:val="none"/>
        </w:rPr>
      </w:pPr>
    </w:p>
    <w:p w14:paraId="0C6E6EA0">
      <w:pPr>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                                      地  址</w:t>
      </w:r>
    </w:p>
    <w:p w14:paraId="54639FBB">
      <w:pPr>
        <w:rPr>
          <w:rFonts w:hint="eastAsia" w:ascii="宋体" w:hAnsi="宋体" w:eastAsia="宋体" w:cs="宋体"/>
          <w:color w:val="auto"/>
          <w:sz w:val="21"/>
          <w:szCs w:val="21"/>
          <w:highlight w:val="none"/>
          <w:lang w:val="en-US" w:eastAsia="zh-CN"/>
        </w:rPr>
      </w:pPr>
    </w:p>
    <w:p w14:paraId="0389E46C">
      <w:pPr>
        <w:adjustRightInd w:val="0"/>
        <w:snapToGrid w:val="0"/>
        <w:jc w:val="center"/>
        <w:rPr>
          <w:rFonts w:hint="eastAsia" w:eastAsia="仿宋_GB2312"/>
          <w:bCs/>
          <w:color w:val="auto"/>
          <w:sz w:val="32"/>
          <w:szCs w:val="32"/>
          <w:highlight w:val="none"/>
        </w:rPr>
      </w:pPr>
    </w:p>
    <w:p w14:paraId="47224168">
      <w:pPr>
        <w:jc w:val="center"/>
        <w:outlineLvl w:val="1"/>
        <w:rPr>
          <w:rFonts w:hint="eastAsia" w:ascii="黑体" w:hAnsi="黑体" w:eastAsia="黑体" w:cs="黑体"/>
          <w:b w:val="0"/>
          <w:color w:val="auto"/>
          <w:sz w:val="30"/>
          <w:szCs w:val="30"/>
          <w:highlight w:val="none"/>
        </w:rPr>
      </w:pPr>
    </w:p>
    <w:p w14:paraId="582E01D0">
      <w:pPr>
        <w:jc w:val="center"/>
        <w:outlineLvl w:val="1"/>
        <w:rPr>
          <w:rFonts w:hint="eastAsia" w:ascii="黑体" w:hAnsi="黑体" w:eastAsia="黑体" w:cs="黑体"/>
          <w:b w:val="0"/>
          <w:color w:val="auto"/>
          <w:sz w:val="30"/>
          <w:szCs w:val="30"/>
          <w:highlight w:val="none"/>
        </w:rPr>
      </w:pPr>
    </w:p>
    <w:p w14:paraId="1E71AF11">
      <w:pPr>
        <w:jc w:val="center"/>
        <w:outlineLvl w:val="1"/>
        <w:rPr>
          <w:rFonts w:hint="eastAsia" w:ascii="黑体" w:hAnsi="黑体" w:eastAsia="黑体" w:cs="黑体"/>
          <w:b w:val="0"/>
          <w:color w:val="auto"/>
          <w:sz w:val="30"/>
          <w:szCs w:val="30"/>
          <w:highlight w:val="none"/>
        </w:rPr>
      </w:pPr>
    </w:p>
    <w:p w14:paraId="63D2D028">
      <w:pPr>
        <w:jc w:val="center"/>
        <w:outlineLvl w:val="1"/>
        <w:rPr>
          <w:rFonts w:hint="eastAsia" w:ascii="黑体" w:hAnsi="黑体" w:eastAsia="黑体" w:cs="黑体"/>
          <w:b w:val="0"/>
          <w:color w:val="auto"/>
          <w:sz w:val="30"/>
          <w:szCs w:val="30"/>
          <w:highlight w:val="none"/>
        </w:rPr>
      </w:pPr>
    </w:p>
    <w:p w14:paraId="4191A683">
      <w:pPr>
        <w:jc w:val="center"/>
        <w:outlineLvl w:val="1"/>
        <w:rPr>
          <w:rFonts w:hint="eastAsia" w:ascii="黑体" w:hAnsi="黑体" w:eastAsia="黑体" w:cs="黑体"/>
          <w:b w:val="0"/>
          <w:color w:val="auto"/>
          <w:sz w:val="30"/>
          <w:szCs w:val="30"/>
          <w:highlight w:val="none"/>
        </w:rPr>
      </w:pPr>
    </w:p>
    <w:p w14:paraId="58A85880">
      <w:pPr>
        <w:jc w:val="center"/>
        <w:outlineLvl w:val="1"/>
        <w:rPr>
          <w:rFonts w:hint="eastAsia" w:ascii="黑体" w:hAnsi="黑体" w:eastAsia="黑体" w:cs="黑体"/>
          <w:b w:val="0"/>
          <w:color w:val="auto"/>
          <w:sz w:val="30"/>
          <w:szCs w:val="30"/>
          <w:highlight w:val="none"/>
        </w:rPr>
      </w:pPr>
    </w:p>
    <w:p w14:paraId="3FCF2256">
      <w:pPr>
        <w:jc w:val="center"/>
        <w:outlineLvl w:val="1"/>
        <w:rPr>
          <w:rFonts w:hint="eastAsia" w:ascii="黑体" w:hAnsi="黑体" w:eastAsia="黑体" w:cs="黑体"/>
          <w:b w:val="0"/>
          <w:color w:val="auto"/>
          <w:sz w:val="30"/>
          <w:szCs w:val="30"/>
          <w:highlight w:val="none"/>
        </w:rPr>
      </w:pPr>
    </w:p>
    <w:p w14:paraId="468A08FA">
      <w:pPr>
        <w:jc w:val="center"/>
        <w:outlineLvl w:val="1"/>
        <w:rPr>
          <w:rFonts w:hint="eastAsia" w:ascii="黑体" w:hAnsi="黑体" w:eastAsia="黑体" w:cs="黑体"/>
          <w:b w:val="0"/>
          <w:color w:val="auto"/>
          <w:sz w:val="30"/>
          <w:szCs w:val="30"/>
          <w:highlight w:val="none"/>
        </w:rPr>
      </w:pPr>
    </w:p>
    <w:p w14:paraId="611B83A6">
      <w:pPr>
        <w:jc w:val="center"/>
        <w:outlineLvl w:val="1"/>
        <w:rPr>
          <w:rFonts w:hint="eastAsia" w:ascii="黑体" w:hAnsi="黑体" w:eastAsia="黑体" w:cs="黑体"/>
          <w:b w:val="0"/>
          <w:color w:val="auto"/>
          <w:sz w:val="30"/>
          <w:szCs w:val="30"/>
          <w:highlight w:val="none"/>
        </w:rPr>
      </w:pPr>
    </w:p>
    <w:p w14:paraId="20A8B1DA">
      <w:pPr>
        <w:jc w:val="center"/>
        <w:outlineLvl w:val="1"/>
        <w:rPr>
          <w:rFonts w:hint="eastAsia" w:ascii="黑体" w:hAnsi="黑体" w:eastAsia="黑体" w:cs="黑体"/>
          <w:b w:val="0"/>
          <w:color w:val="auto"/>
          <w:sz w:val="30"/>
          <w:szCs w:val="30"/>
          <w:highlight w:val="none"/>
        </w:rPr>
      </w:pPr>
    </w:p>
    <w:p w14:paraId="60C37DE8">
      <w:pPr>
        <w:jc w:val="center"/>
        <w:outlineLvl w:val="1"/>
        <w:rPr>
          <w:rFonts w:hint="eastAsia" w:ascii="黑体" w:hAnsi="黑体" w:eastAsia="黑体" w:cs="黑体"/>
          <w:b w:val="0"/>
          <w:color w:val="auto"/>
          <w:sz w:val="30"/>
          <w:szCs w:val="30"/>
          <w:highlight w:val="none"/>
        </w:rPr>
      </w:pPr>
    </w:p>
    <w:p w14:paraId="4E352433">
      <w:pPr>
        <w:jc w:val="center"/>
        <w:outlineLvl w:val="1"/>
        <w:rPr>
          <w:rFonts w:hint="eastAsia" w:ascii="黑体" w:hAnsi="黑体" w:eastAsia="黑体" w:cs="黑体"/>
          <w:b w:val="0"/>
          <w:color w:val="auto"/>
          <w:sz w:val="30"/>
          <w:szCs w:val="30"/>
          <w:highlight w:val="none"/>
        </w:rPr>
      </w:pPr>
    </w:p>
    <w:p w14:paraId="2C0C8C59">
      <w:pPr>
        <w:jc w:val="center"/>
        <w:outlineLvl w:val="1"/>
        <w:rPr>
          <w:rFonts w:hint="eastAsia" w:ascii="黑体" w:hAnsi="黑体" w:eastAsia="黑体" w:cs="黑体"/>
          <w:b w:val="0"/>
          <w:color w:val="auto"/>
          <w:sz w:val="30"/>
          <w:szCs w:val="30"/>
          <w:highlight w:val="none"/>
        </w:rPr>
      </w:pPr>
    </w:p>
    <w:p w14:paraId="5DFD32DC">
      <w:pPr>
        <w:rPr>
          <w:rFonts w:hint="eastAsia" w:ascii="宋体" w:hAnsi="宋体" w:cs="宋体"/>
          <w:bCs/>
          <w:color w:val="auto"/>
          <w:sz w:val="24"/>
          <w:highlight w:val="none"/>
        </w:rPr>
      </w:pPr>
      <w:bookmarkStart w:id="873" w:name="_Toc25726"/>
      <w:bookmarkStart w:id="874" w:name="_Toc7655"/>
      <w:bookmarkStart w:id="875" w:name="_Toc95223495"/>
      <w:r>
        <w:rPr>
          <w:rFonts w:hint="eastAsia" w:ascii="宋体" w:hAnsi="宋体" w:cs="宋体"/>
          <w:bCs/>
          <w:color w:val="auto"/>
          <w:sz w:val="24"/>
          <w:highlight w:val="none"/>
        </w:rPr>
        <w:br w:type="page"/>
      </w:r>
    </w:p>
    <w:p w14:paraId="37E9A8FE">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876" w:name="_Toc296503231"/>
      <w:bookmarkStart w:id="877" w:name="_Toc296346732"/>
      <w:bookmarkStart w:id="878" w:name="_Toc296891271"/>
      <w:bookmarkStart w:id="879" w:name="_Toc296891059"/>
      <w:bookmarkStart w:id="880" w:name="_Toc296347230"/>
      <w:bookmarkStart w:id="881" w:name="_Toc296944570"/>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：廉政协议</w:t>
      </w:r>
      <w:bookmarkEnd w:id="873"/>
      <w:bookmarkEnd w:id="874"/>
      <w:bookmarkEnd w:id="875"/>
    </w:p>
    <w:bookmarkEnd w:id="876"/>
    <w:bookmarkEnd w:id="877"/>
    <w:bookmarkEnd w:id="878"/>
    <w:bookmarkEnd w:id="879"/>
    <w:bookmarkEnd w:id="880"/>
    <w:bookmarkEnd w:id="881"/>
    <w:p w14:paraId="17E226FC">
      <w:pPr>
        <w:widowControl/>
        <w:spacing w:line="360" w:lineRule="auto"/>
        <w:ind w:firstLine="641"/>
        <w:jc w:val="center"/>
        <w:rPr>
          <w:rFonts w:hint="eastAsia" w:ascii="宋体" w:hAnsi="宋体" w:cs="宋体"/>
          <w:b/>
          <w:bCs/>
          <w:color w:val="auto"/>
          <w:kern w:val="0"/>
          <w:sz w:val="32"/>
          <w:szCs w:val="32"/>
          <w:highlight w:val="none"/>
        </w:rPr>
      </w:pPr>
      <w:bookmarkStart w:id="882" w:name="_Toc95223496"/>
      <w:bookmarkStart w:id="883" w:name="_Toc7607"/>
      <w:bookmarkStart w:id="884" w:name="_Toc9808"/>
      <w:r>
        <w:rPr>
          <w:rFonts w:hint="eastAsia" w:ascii="宋体" w:hAnsi="宋体" w:cs="宋体"/>
          <w:b/>
          <w:bCs/>
          <w:color w:val="auto"/>
          <w:kern w:val="0"/>
          <w:sz w:val="32"/>
          <w:szCs w:val="32"/>
          <w:highlight w:val="none"/>
        </w:rPr>
        <w:t>廉 政 协 议</w:t>
      </w:r>
      <w:bookmarkEnd w:id="882"/>
      <w:bookmarkEnd w:id="883"/>
      <w:bookmarkEnd w:id="884"/>
    </w:p>
    <w:p w14:paraId="37BB1B3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(以下称甲方)与</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(以下称乙方)，特此订立本协议共同遵照执行。</w:t>
      </w:r>
    </w:p>
    <w:p w14:paraId="56E2CA7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bookmarkStart w:id="885" w:name="_Toc9888"/>
      <w:bookmarkStart w:id="886" w:name="_Toc21306"/>
      <w:bookmarkStart w:id="887" w:name="_Toc95223497"/>
      <w:r>
        <w:rPr>
          <w:rFonts w:hint="eastAsia" w:ascii="宋体" w:hAnsi="宋体" w:cs="宋体"/>
          <w:color w:val="auto"/>
          <w:kern w:val="0"/>
          <w:sz w:val="24"/>
          <w:szCs w:val="24"/>
          <w:highlight w:val="none"/>
        </w:rPr>
        <w:t>第一条 甲乙双方的权利和义务</w:t>
      </w:r>
      <w:bookmarkEnd w:id="885"/>
      <w:bookmarkEnd w:id="886"/>
      <w:bookmarkEnd w:id="887"/>
    </w:p>
    <w:p w14:paraId="5680EE1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9F40CA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（二）严格执行</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的合同要求，自觉履行合同约定的相关义务。</w:t>
      </w:r>
    </w:p>
    <w:p w14:paraId="2F03F70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（三）在业务活动中坚持公开、公正、诚信、透明的原则，不得损害国家、集体利益。</w:t>
      </w:r>
    </w:p>
    <w:p w14:paraId="0FA312E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（四）建立健全廉政制度，开展廉政教育，公布举报电话，监督并认真查处违法违纪行为。</w:t>
      </w:r>
    </w:p>
    <w:p w14:paraId="7282B06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（五）发现对方在业务活动中有违反廉政规定的行为，应及时提醒对方纠正。情节严重的，应向其上级有关部门举报、建议给予处理，并有权要求告知处理结果。</w:t>
      </w:r>
    </w:p>
    <w:p w14:paraId="7D91192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bookmarkStart w:id="888" w:name="_Toc1917"/>
      <w:bookmarkStart w:id="889" w:name="_Toc95223498"/>
      <w:bookmarkStart w:id="890" w:name="_Toc3866"/>
      <w:r>
        <w:rPr>
          <w:rFonts w:hint="eastAsia" w:ascii="宋体" w:hAnsi="宋体" w:cs="宋体"/>
          <w:color w:val="auto"/>
          <w:kern w:val="0"/>
          <w:sz w:val="24"/>
          <w:szCs w:val="24"/>
          <w:highlight w:val="none"/>
        </w:rPr>
        <w:t>第二条 甲方的义务</w:t>
      </w:r>
      <w:bookmarkEnd w:id="888"/>
      <w:bookmarkEnd w:id="889"/>
      <w:bookmarkEnd w:id="890"/>
    </w:p>
    <w:p w14:paraId="077699C9">
      <w:pPr>
        <w:keepNext w:val="0"/>
        <w:keepLines w:val="0"/>
        <w:pageBreakBefore w:val="0"/>
        <w:widowControl/>
        <w:kinsoku/>
        <w:wordWrap/>
        <w:overflowPunct/>
        <w:topLinePunct w:val="0"/>
        <w:autoSpaceDE/>
        <w:autoSpaceDN/>
        <w:bidi w:val="0"/>
        <w:adjustRightInd/>
        <w:snapToGrid/>
        <w:spacing w:line="480" w:lineRule="exact"/>
        <w:ind w:firstLine="600" w:firstLineChars="25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(一)甲方及其工作人员不得索要或接受乙方的礼金、有价证券和贵重物品，不得在乙方报销任何应由甲方单位或个人支付的费用等。</w:t>
      </w:r>
    </w:p>
    <w:p w14:paraId="26D49C6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489AB7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 甲方及其工作人员不得要求或者接受乙方为其住房装修、婚丧嫁娶活动、配偶子女工作安排以及出国出境、旅游等提供方便等。</w:t>
      </w:r>
    </w:p>
    <w:p w14:paraId="5E4E350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 甲方工作人员不得在乙方有股权关联的企业兼职，不得向乙方介绍家属或者亲友从事与甲方业务有关的经济活动。</w:t>
      </w:r>
    </w:p>
    <w:p w14:paraId="0F0AB4D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（五）甲方工作人员不得以明显低于市场的价格向乙方购买房屋、汽车等物品；不得以明显高于市场的价格向乙方出售房屋、汽车等物品；不得以其他交易形式非法收受请托人财物。</w:t>
      </w:r>
    </w:p>
    <w:p w14:paraId="60C22B1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（六）甲方工作人员不得利用职务之便收受乙方以回扣、手续费、加班费、咨询费、劳务费、协调费、辛苦费等各种名义给予或赠送的钱物。</w:t>
      </w:r>
    </w:p>
    <w:p w14:paraId="47974EE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（七）甲方工作人员不得接受乙方给予或赠送的干股或红利。</w:t>
      </w:r>
    </w:p>
    <w:p w14:paraId="3E5AF57A">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（八）甲方任何人不得以个人的名义向乙方推荐设备、部件等供货商以及其他合作单位。</w:t>
      </w:r>
    </w:p>
    <w:p w14:paraId="4AD81EF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bookmarkStart w:id="891" w:name="_Toc20831"/>
      <w:bookmarkStart w:id="892" w:name="_Toc10556"/>
      <w:bookmarkStart w:id="893" w:name="_Toc95223499"/>
      <w:r>
        <w:rPr>
          <w:rFonts w:hint="eastAsia" w:ascii="宋体" w:hAnsi="宋体" w:cs="宋体"/>
          <w:color w:val="auto"/>
          <w:kern w:val="0"/>
          <w:sz w:val="24"/>
          <w:szCs w:val="24"/>
          <w:highlight w:val="none"/>
        </w:rPr>
        <w:t>第三条 乙方的义务</w:t>
      </w:r>
      <w:bookmarkEnd w:id="891"/>
      <w:bookmarkEnd w:id="892"/>
      <w:bookmarkEnd w:id="893"/>
    </w:p>
    <w:p w14:paraId="6E998A10">
      <w:pPr>
        <w:keepNext w:val="0"/>
        <w:keepLines w:val="0"/>
        <w:pageBreakBefore w:val="0"/>
        <w:widowControl/>
        <w:kinsoku/>
        <w:wordWrap/>
        <w:overflowPunct/>
        <w:topLinePunct w:val="0"/>
        <w:autoSpaceDE/>
        <w:autoSpaceDN/>
        <w:bidi w:val="0"/>
        <w:adjustRightInd/>
        <w:snapToGrid/>
        <w:spacing w:line="480" w:lineRule="exact"/>
        <w:ind w:firstLine="600" w:firstLineChars="25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(一)乙方不得以任何理由向甲方及其工作人员行贿或馈赠礼金、有价证券、贵重礼品。</w:t>
      </w:r>
    </w:p>
    <w:p w14:paraId="2896BD9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（二)乙方不得以任何名义为甲方及其工作人员报销应由甲方单位或个人支付的任何费用。</w:t>
      </w:r>
    </w:p>
    <w:p w14:paraId="5189391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(三)乙方不得以任何理由安排甲方工作人员参加可能影响相关业务公开、公正、公平性的宴请及娱乐活动。</w:t>
      </w:r>
    </w:p>
    <w:p w14:paraId="758B886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（四）乙方不得为甲方单位和个人购置或提供通讯工具和高档办公用品等物品，也不得为甲方提供与工作无关的房屋、汽车等。</w:t>
      </w:r>
    </w:p>
    <w:p w14:paraId="5FCF4FA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（五）乙方不得与甲方工作人员就合同中的质量、数量、价格、工程量、验收等条款进行私下商谈或者达成默契。</w:t>
      </w:r>
    </w:p>
    <w:p w14:paraId="540DC2F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（六）乙方不得以回扣、手续费、加班费、咨询费、劳务费、协调费、辛苦费等各种名义向甲方工作人员给予或赠送钱物。</w:t>
      </w:r>
    </w:p>
    <w:p w14:paraId="2941F57D">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（七）乙方不得向甲方工作人员提供干股或红利。</w:t>
      </w:r>
    </w:p>
    <w:p w14:paraId="503A57A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（八）乙方须按</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专项纪检监察工作组(如有)要求开展相关工作。</w:t>
      </w:r>
    </w:p>
    <w:p w14:paraId="71B1450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bookmarkStart w:id="894" w:name="_Toc95223500"/>
      <w:bookmarkStart w:id="895" w:name="_Toc2198"/>
      <w:bookmarkStart w:id="896" w:name="_Toc14507"/>
      <w:r>
        <w:rPr>
          <w:rFonts w:hint="eastAsia" w:ascii="宋体" w:hAnsi="宋体" w:cs="宋体"/>
          <w:color w:val="auto"/>
          <w:kern w:val="0"/>
          <w:sz w:val="24"/>
          <w:szCs w:val="24"/>
          <w:highlight w:val="none"/>
        </w:rPr>
        <w:t>第四条 违约责任</w:t>
      </w:r>
      <w:bookmarkEnd w:id="894"/>
      <w:bookmarkEnd w:id="895"/>
      <w:bookmarkEnd w:id="896"/>
    </w:p>
    <w:p w14:paraId="30CFFA7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A38371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甲方投诉联系部门：</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，联系电话：</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14:paraId="44868FF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（二）乙方及其工作人员违反本协议第一、三条规定。根据具体情节和造成的后果，甲方有权对乙方采取以下一种或多种处理办法：</w:t>
      </w:r>
    </w:p>
    <w:p w14:paraId="5B77BB5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 全额收取乙方合同履约保证金不予退还； </w:t>
      </w:r>
    </w:p>
    <w:p w14:paraId="5941906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 追究乙方其他违约责任；</w:t>
      </w:r>
    </w:p>
    <w:p w14:paraId="0C685BB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 终止或解除双方已签订的包括本合同在内的所有合同；</w:t>
      </w:r>
    </w:p>
    <w:p w14:paraId="5D8605B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 乙方一定期限内（6个月至3年，具体由甲方根据情况而定）不得参与甲方作为发包人（业主）的工程项目投标。</w:t>
      </w:r>
    </w:p>
    <w:p w14:paraId="31419CB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甲方作出的处理意见，乙方应无条件接受并承担给甲方造成的损失，全额返还通过不正当手段从甲方获取的非法所得，并承担相应的法律责任。</w:t>
      </w:r>
    </w:p>
    <w:p w14:paraId="12600AB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bookmarkStart w:id="897" w:name="_Toc2334"/>
      <w:bookmarkStart w:id="898" w:name="_Toc10228"/>
      <w:bookmarkStart w:id="899" w:name="_Toc95223501"/>
      <w:r>
        <w:rPr>
          <w:rFonts w:hint="eastAsia" w:ascii="宋体" w:hAnsi="宋体" w:cs="宋体"/>
          <w:color w:val="auto"/>
          <w:kern w:val="0"/>
          <w:sz w:val="24"/>
          <w:szCs w:val="24"/>
          <w:highlight w:val="none"/>
        </w:rPr>
        <w:t>第五条 双方约定</w:t>
      </w:r>
      <w:bookmarkEnd w:id="897"/>
      <w:bookmarkEnd w:id="898"/>
      <w:bookmarkEnd w:id="899"/>
    </w:p>
    <w:p w14:paraId="4DDA7A2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5263F2A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bookmarkStart w:id="900" w:name="_Toc32140"/>
      <w:bookmarkStart w:id="901" w:name="_Toc95223502"/>
      <w:bookmarkStart w:id="902" w:name="_Toc17717"/>
      <w:r>
        <w:rPr>
          <w:rFonts w:hint="eastAsia" w:ascii="宋体" w:hAnsi="宋体" w:cs="宋体"/>
          <w:color w:val="auto"/>
          <w:kern w:val="0"/>
          <w:sz w:val="24"/>
          <w:szCs w:val="24"/>
          <w:highlight w:val="none"/>
        </w:rPr>
        <w:t>第六条  本协议有效期为甲乙双方签署之日起至合同终止。</w:t>
      </w:r>
      <w:bookmarkEnd w:id="900"/>
      <w:bookmarkEnd w:id="901"/>
      <w:bookmarkEnd w:id="902"/>
      <w:r>
        <w:rPr>
          <w:rFonts w:hint="eastAsia" w:ascii="宋体" w:hAnsi="宋体" w:cs="宋体"/>
          <w:color w:val="auto"/>
          <w:kern w:val="0"/>
          <w:sz w:val="24"/>
          <w:szCs w:val="24"/>
          <w:highlight w:val="none"/>
        </w:rPr>
        <w:t xml:space="preserve">  </w:t>
      </w:r>
    </w:p>
    <w:p w14:paraId="55DB703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bookmarkStart w:id="903" w:name="_Toc1871"/>
      <w:bookmarkStart w:id="904" w:name="_Toc95223503"/>
      <w:bookmarkStart w:id="905" w:name="_Toc24032"/>
      <w:r>
        <w:rPr>
          <w:rFonts w:hint="eastAsia" w:ascii="宋体" w:hAnsi="宋体" w:cs="宋体"/>
          <w:color w:val="auto"/>
          <w:kern w:val="0"/>
          <w:sz w:val="24"/>
          <w:szCs w:val="24"/>
          <w:highlight w:val="none"/>
        </w:rPr>
        <w:t>第七条  本协议作为合同的附件，与本合同具有同等法律效力。</w:t>
      </w:r>
      <w:bookmarkEnd w:id="903"/>
      <w:bookmarkEnd w:id="904"/>
      <w:bookmarkEnd w:id="905"/>
    </w:p>
    <w:p w14:paraId="6100A1F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14:paraId="3AA58C98">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甲方（盖章）：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乙方（盖章）：</w:t>
      </w:r>
      <w:r>
        <w:rPr>
          <w:rFonts w:hint="eastAsia" w:ascii="宋体" w:hAnsi="宋体" w:cs="宋体"/>
          <w:color w:val="auto"/>
          <w:kern w:val="0"/>
          <w:sz w:val="24"/>
          <w:szCs w:val="24"/>
          <w:highlight w:val="none"/>
          <w:u w:val="single"/>
        </w:rPr>
        <w:t xml:space="preserve">                      </w:t>
      </w:r>
    </w:p>
    <w:p w14:paraId="1CE8BB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                                法定代表人或</w:t>
      </w:r>
    </w:p>
    <w:p w14:paraId="2B3C5ED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授权代表：</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(职务)              授权代表：</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(职务)</w:t>
      </w:r>
    </w:p>
    <w:p w14:paraId="5F3685E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姓名：</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姓名：</w:t>
      </w:r>
      <w:r>
        <w:rPr>
          <w:rFonts w:hint="eastAsia" w:ascii="宋体" w:hAnsi="宋体" w:cs="宋体"/>
          <w:color w:val="auto"/>
          <w:kern w:val="0"/>
          <w:sz w:val="24"/>
          <w:szCs w:val="24"/>
          <w:highlight w:val="none"/>
          <w:u w:val="single"/>
        </w:rPr>
        <w:t xml:space="preserve">             </w:t>
      </w:r>
    </w:p>
    <w:p w14:paraId="0F92476D">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签字：</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签字：</w:t>
      </w:r>
      <w:r>
        <w:rPr>
          <w:rFonts w:hint="eastAsia" w:ascii="宋体" w:hAnsi="宋体" w:cs="宋体"/>
          <w:color w:val="auto"/>
          <w:kern w:val="0"/>
          <w:sz w:val="24"/>
          <w:szCs w:val="24"/>
          <w:highlight w:val="none"/>
          <w:u w:val="single"/>
        </w:rPr>
        <w:t xml:space="preserve">             </w:t>
      </w:r>
    </w:p>
    <w:p w14:paraId="3494674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cs="宋体"/>
          <w:color w:val="auto"/>
          <w:kern w:val="0"/>
          <w:sz w:val="24"/>
          <w:szCs w:val="24"/>
          <w:highlight w:val="none"/>
        </w:rPr>
      </w:pPr>
    </w:p>
    <w:p w14:paraId="5C74901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廉政监督联系人                              廉政监督联系人</w:t>
      </w:r>
    </w:p>
    <w:p w14:paraId="641D6D7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姓名：</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姓名：</w:t>
      </w:r>
      <w:r>
        <w:rPr>
          <w:rFonts w:hint="eastAsia" w:ascii="宋体" w:hAnsi="宋体" w:cs="宋体"/>
          <w:color w:val="auto"/>
          <w:kern w:val="0"/>
          <w:sz w:val="24"/>
          <w:szCs w:val="24"/>
          <w:highlight w:val="none"/>
          <w:u w:val="single"/>
        </w:rPr>
        <w:t xml:space="preserve">                       </w:t>
      </w:r>
    </w:p>
    <w:p w14:paraId="4C7405D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签字：</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签字：</w:t>
      </w:r>
      <w:r>
        <w:rPr>
          <w:rFonts w:hint="eastAsia" w:ascii="宋体" w:hAnsi="宋体" w:cs="宋体"/>
          <w:color w:val="auto"/>
          <w:kern w:val="0"/>
          <w:sz w:val="24"/>
          <w:szCs w:val="24"/>
          <w:highlight w:val="none"/>
          <w:u w:val="single"/>
        </w:rPr>
        <w:t xml:space="preserve">                       </w:t>
      </w:r>
    </w:p>
    <w:p w14:paraId="778DE16B">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电话：</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电话：</w:t>
      </w:r>
      <w:r>
        <w:rPr>
          <w:rFonts w:hint="eastAsia" w:ascii="宋体" w:hAnsi="宋体" w:cs="宋体"/>
          <w:color w:val="auto"/>
          <w:kern w:val="0"/>
          <w:sz w:val="24"/>
          <w:szCs w:val="24"/>
          <w:highlight w:val="none"/>
          <w:u w:val="single"/>
        </w:rPr>
        <w:t xml:space="preserve">                       </w:t>
      </w:r>
    </w:p>
    <w:p w14:paraId="06880B48">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地址：</w:t>
      </w:r>
      <w:r>
        <w:rPr>
          <w:rFonts w:hint="eastAsia" w:ascii="宋体" w:hAnsi="宋体" w:cs="宋体"/>
          <w:color w:val="auto"/>
          <w:kern w:val="0"/>
          <w:sz w:val="24"/>
          <w:szCs w:val="24"/>
          <w:highlight w:val="none"/>
          <w:u w:val="single"/>
        </w:rPr>
        <w:t xml:space="preserve">                       </w:t>
      </w:r>
    </w:p>
    <w:p w14:paraId="39BD72EF">
      <w:pPr>
        <w:rPr>
          <w:rFonts w:hint="eastAsia"/>
          <w:color w:val="auto"/>
          <w:highlight w:val="none"/>
        </w:rPr>
      </w:pPr>
      <w:r>
        <w:rPr>
          <w:rFonts w:hint="eastAsia" w:ascii="宋体" w:hAnsi="宋体" w:cs="宋体"/>
          <w:color w:val="auto"/>
          <w:kern w:val="0"/>
          <w:sz w:val="24"/>
          <w:szCs w:val="24"/>
          <w:highlight w:val="none"/>
        </w:rPr>
        <w:t>日期：</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日期：</w:t>
      </w:r>
      <w:r>
        <w:rPr>
          <w:rFonts w:hint="eastAsia" w:ascii="宋体" w:hAnsi="宋体" w:cs="宋体"/>
          <w:color w:val="auto"/>
          <w:kern w:val="0"/>
          <w:sz w:val="24"/>
          <w:szCs w:val="24"/>
          <w:highlight w:val="none"/>
          <w:u w:val="single"/>
        </w:rPr>
        <w:t xml:space="preserve">                      </w:t>
      </w:r>
    </w:p>
    <w:bookmarkEnd w:id="785"/>
    <w:bookmarkEnd w:id="786"/>
    <w:bookmarkEnd w:id="787"/>
    <w:bookmarkEnd w:id="788"/>
    <w:p w14:paraId="7019BAB1">
      <w:pPr>
        <w:rPr>
          <w:rFonts w:hint="eastAsia" w:ascii="宋体" w:hAnsi="宋体" w:cs="宋体"/>
          <w:bCs/>
          <w:color w:val="auto"/>
          <w:kern w:val="44"/>
          <w:sz w:val="36"/>
          <w:szCs w:val="36"/>
          <w:highlight w:val="none"/>
        </w:rPr>
      </w:pPr>
      <w:bookmarkStart w:id="906" w:name="_Toc4767"/>
      <w:bookmarkStart w:id="907" w:name="_Toc95223515"/>
      <w:bookmarkStart w:id="908" w:name="_Toc152045786"/>
      <w:bookmarkStart w:id="909" w:name="_Toc324404888"/>
      <w:bookmarkStart w:id="910" w:name="_Toc246997097"/>
      <w:bookmarkStart w:id="911" w:name="_Toc506107340"/>
      <w:bookmarkStart w:id="912" w:name="_Toc179632806"/>
      <w:bookmarkStart w:id="913" w:name="_Toc35425136"/>
      <w:bookmarkStart w:id="914" w:name="_Toc246996354"/>
      <w:bookmarkStart w:id="915" w:name="_Toc152042575"/>
      <w:bookmarkStart w:id="916" w:name="_Toc15058934"/>
      <w:bookmarkStart w:id="917" w:name="_Toc247085872"/>
      <w:bookmarkStart w:id="918" w:name="_Toc78803398"/>
      <w:bookmarkStart w:id="919" w:name="_Toc35424970"/>
      <w:bookmarkStart w:id="920" w:name="_Toc144974855"/>
      <w:r>
        <w:rPr>
          <w:rFonts w:hint="eastAsia" w:ascii="宋体" w:hAnsi="宋体" w:cs="宋体"/>
          <w:bCs/>
          <w:color w:val="auto"/>
          <w:kern w:val="44"/>
          <w:sz w:val="36"/>
          <w:szCs w:val="36"/>
          <w:highlight w:val="none"/>
        </w:rPr>
        <w:br w:type="page"/>
      </w:r>
    </w:p>
    <w:p w14:paraId="1A8499CE">
      <w:pPr>
        <w:pStyle w:val="14"/>
        <w:ind w:left="0" w:leftChars="0" w:firstLine="0" w:firstLineChars="0"/>
        <w:jc w:val="center"/>
        <w:outlineLvl w:val="0"/>
        <w:rPr>
          <w:rFonts w:hint="eastAsia"/>
          <w:color w:val="auto"/>
          <w:highlight w:val="none"/>
        </w:rPr>
      </w:pPr>
      <w:r>
        <w:rPr>
          <w:rFonts w:hint="eastAsia" w:ascii="宋体" w:hAnsi="宋体" w:cs="宋体"/>
          <w:bCs/>
          <w:color w:val="auto"/>
          <w:kern w:val="44"/>
          <w:sz w:val="36"/>
          <w:szCs w:val="36"/>
          <w:highlight w:val="none"/>
        </w:rPr>
        <w:t>第六章  工程量清单</w:t>
      </w:r>
      <w:bookmarkEnd w:id="906"/>
      <w:bookmarkEnd w:id="907"/>
    </w:p>
    <w:p w14:paraId="2A8C1C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auto"/>
          <w:kern w:val="44"/>
          <w:sz w:val="32"/>
          <w:szCs w:val="44"/>
          <w:highlight w:val="none"/>
        </w:rPr>
      </w:pPr>
      <w:r>
        <w:rPr>
          <w:rFonts w:hint="eastAsia" w:ascii="宋体" w:hAnsi="宋体" w:cs="宋体"/>
          <w:color w:val="auto"/>
          <w:szCs w:val="21"/>
          <w:highlight w:val="none"/>
        </w:rPr>
        <w:t>另册。</w:t>
      </w:r>
    </w:p>
    <w:p w14:paraId="0C2CCCBA">
      <w:pPr>
        <w:rPr>
          <w:rFonts w:hint="eastAsia" w:ascii="宋体" w:hAnsi="宋体" w:cs="宋体"/>
          <w:b/>
          <w:color w:val="auto"/>
          <w:highlight w:val="none"/>
        </w:rPr>
      </w:pPr>
    </w:p>
    <w:p w14:paraId="087D1176">
      <w:pPr>
        <w:keepNext/>
        <w:keepLines/>
        <w:spacing w:line="360" w:lineRule="auto"/>
        <w:jc w:val="center"/>
        <w:outlineLvl w:val="0"/>
        <w:rPr>
          <w:rFonts w:hint="eastAsia" w:ascii="宋体" w:hAnsi="宋体" w:cs="宋体"/>
          <w:b/>
          <w:bCs/>
          <w:color w:val="auto"/>
          <w:kern w:val="44"/>
          <w:sz w:val="32"/>
          <w:szCs w:val="44"/>
          <w:highlight w:val="none"/>
        </w:rPr>
      </w:pPr>
      <w:bookmarkStart w:id="921" w:name="_Toc95223522"/>
      <w:r>
        <w:rPr>
          <w:rFonts w:hint="eastAsia" w:ascii="宋体" w:hAnsi="宋体" w:cs="宋体"/>
          <w:b/>
          <w:bCs/>
          <w:color w:val="auto"/>
          <w:kern w:val="44"/>
          <w:sz w:val="32"/>
          <w:szCs w:val="44"/>
          <w:highlight w:val="none"/>
        </w:rPr>
        <w:t xml:space="preserve">第七章 </w:t>
      </w:r>
      <w:bookmarkStart w:id="922" w:name="_Toc10656"/>
      <w:r>
        <w:rPr>
          <w:rFonts w:hint="eastAsia" w:ascii="宋体" w:hAnsi="宋体" w:cs="宋体"/>
          <w:b/>
          <w:bCs/>
          <w:color w:val="auto"/>
          <w:kern w:val="44"/>
          <w:sz w:val="32"/>
          <w:szCs w:val="44"/>
          <w:highlight w:val="none"/>
        </w:rPr>
        <w:t>图  纸</w:t>
      </w:r>
      <w:bookmarkEnd w:id="921"/>
      <w:bookmarkEnd w:id="922"/>
    </w:p>
    <w:p w14:paraId="0C219A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auto"/>
          <w:kern w:val="44"/>
          <w:sz w:val="32"/>
          <w:szCs w:val="44"/>
          <w:highlight w:val="none"/>
        </w:rPr>
      </w:pP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p w14:paraId="111AFB31">
      <w:pPr>
        <w:outlineLvl w:val="1"/>
        <w:rPr>
          <w:rFonts w:hint="eastAsia" w:ascii="宋体" w:hAnsi="宋体" w:cs="宋体"/>
          <w:color w:val="auto"/>
          <w:highlight w:val="none"/>
        </w:rPr>
      </w:pPr>
    </w:p>
    <w:p w14:paraId="48B5E51C">
      <w:pPr>
        <w:rPr>
          <w:rFonts w:hint="eastAsia" w:ascii="宋体" w:hAnsi="宋体" w:cs="宋体"/>
          <w:color w:val="auto"/>
          <w:highlight w:val="none"/>
        </w:rPr>
      </w:pPr>
    </w:p>
    <w:p w14:paraId="09483549">
      <w:pPr>
        <w:pStyle w:val="2"/>
        <w:adjustRightInd w:val="0"/>
        <w:snapToGrid w:val="0"/>
        <w:spacing w:before="0" w:after="0" w:line="560" w:lineRule="exact"/>
        <w:jc w:val="center"/>
        <w:rPr>
          <w:rFonts w:hint="eastAsia" w:ascii="宋体" w:hAnsi="宋体" w:cs="宋体"/>
          <w:bCs w:val="0"/>
          <w:color w:val="auto"/>
          <w:sz w:val="32"/>
          <w:highlight w:val="none"/>
        </w:rPr>
      </w:pPr>
      <w:r>
        <w:rPr>
          <w:rFonts w:hint="eastAsia" w:ascii="宋体" w:hAnsi="宋体" w:cs="宋体"/>
          <w:b w:val="0"/>
          <w:bCs w:val="0"/>
          <w:color w:val="auto"/>
          <w:sz w:val="32"/>
          <w:highlight w:val="none"/>
        </w:rPr>
        <w:br w:type="page"/>
      </w:r>
      <w:bookmarkStart w:id="923" w:name="_Toc4608"/>
      <w:bookmarkStart w:id="924" w:name="_Toc95223525"/>
      <w:r>
        <w:rPr>
          <w:rFonts w:hint="eastAsia"/>
          <w:color w:val="auto"/>
          <w:highlight w:val="none"/>
        </w:rPr>
        <w:t>第八章  技术标准和要求</w:t>
      </w:r>
      <w:bookmarkEnd w:id="923"/>
      <w:bookmarkEnd w:id="924"/>
    </w:p>
    <w:p w14:paraId="691196A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color w:val="auto"/>
          <w:highlight w:val="none"/>
        </w:rPr>
      </w:pPr>
      <w:bookmarkStart w:id="925" w:name="_Toc95223526"/>
      <w:bookmarkStart w:id="926" w:name="_Toc32647"/>
      <w:r>
        <w:rPr>
          <w:rFonts w:hint="eastAsia" w:ascii="宋体" w:hAnsi="宋体" w:cs="宋体"/>
          <w:color w:val="auto"/>
          <w:highlight w:val="none"/>
        </w:rPr>
        <w:t>1. 一般要求</w:t>
      </w:r>
      <w:bookmarkEnd w:id="925"/>
      <w:bookmarkEnd w:id="926"/>
    </w:p>
    <w:p w14:paraId="488746F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color w:val="auto"/>
          <w:highlight w:val="none"/>
          <w:lang w:val="en-US" w:eastAsia="zh-CN"/>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无</w:t>
      </w:r>
    </w:p>
    <w:p w14:paraId="215AD8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color w:val="auto"/>
          <w:highlight w:val="none"/>
        </w:rPr>
      </w:pPr>
      <w:bookmarkStart w:id="927" w:name="_Toc26107"/>
      <w:bookmarkStart w:id="928" w:name="_Toc95223527"/>
      <w:r>
        <w:rPr>
          <w:rFonts w:hint="eastAsia" w:ascii="宋体" w:hAnsi="宋体" w:cs="宋体"/>
          <w:color w:val="auto"/>
          <w:highlight w:val="none"/>
        </w:rPr>
        <w:t>2. 特殊技术标准和要求</w:t>
      </w:r>
      <w:bookmarkEnd w:id="927"/>
      <w:bookmarkEnd w:id="928"/>
    </w:p>
    <w:p w14:paraId="097B6B9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color w:val="auto"/>
          <w:highlight w:val="none"/>
          <w:lang w:val="en-US" w:eastAsia="zh-CN"/>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无</w:t>
      </w:r>
    </w:p>
    <w:p w14:paraId="7ECBB3F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color w:val="auto"/>
          <w:highlight w:val="none"/>
        </w:rPr>
      </w:pPr>
      <w:bookmarkStart w:id="929" w:name="_Toc30517"/>
      <w:bookmarkStart w:id="930" w:name="_Toc95223528"/>
      <w:r>
        <w:rPr>
          <w:rFonts w:hint="eastAsia" w:ascii="宋体" w:hAnsi="宋体" w:cs="宋体"/>
          <w:color w:val="auto"/>
          <w:highlight w:val="none"/>
        </w:rPr>
        <w:t>3. 适用的国家、行业以及地方标准、规范和规程</w:t>
      </w:r>
      <w:bookmarkEnd w:id="929"/>
      <w:bookmarkEnd w:id="930"/>
    </w:p>
    <w:p w14:paraId="6DA9761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color w:val="auto"/>
          <w:highlight w:val="none"/>
          <w:lang w:val="en-US" w:eastAsia="zh-CN"/>
        </w:rPr>
      </w:pPr>
      <w:r>
        <w:rPr>
          <w:rFonts w:hint="eastAsia" w:ascii="宋体" w:hAnsi="宋体" w:cs="宋体"/>
          <w:color w:val="auto"/>
          <w:highlight w:val="none"/>
          <w:lang w:val="en-US" w:eastAsia="zh-CN"/>
        </w:rPr>
        <w:t>本招标项目施工、验收须达到设计文件的要求和国家及有关部委、安徽省、项目所在市现行的工程建设标准、规范、规定的要求（文件标准之间相互冲突的，以标准较高者为准）。</w:t>
      </w:r>
    </w:p>
    <w:p w14:paraId="41E8890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color w:val="auto"/>
          <w:highlight w:val="none"/>
        </w:rPr>
      </w:pPr>
    </w:p>
    <w:p w14:paraId="3A3DFD1F">
      <w:pPr>
        <w:pStyle w:val="44"/>
        <w:spacing w:beforeLines="50" w:afterLines="50" w:line="440" w:lineRule="exact"/>
        <w:jc w:val="center"/>
        <w:rPr>
          <w:bCs/>
          <w:color w:val="auto"/>
          <w:szCs w:val="32"/>
          <w:highlight w:val="none"/>
        </w:rPr>
      </w:pPr>
      <w:r>
        <w:rPr>
          <w:rFonts w:hint="eastAsia"/>
          <w:bCs/>
          <w:color w:val="auto"/>
          <w:szCs w:val="32"/>
          <w:highlight w:val="none"/>
        </w:rPr>
        <w:br w:type="page"/>
      </w:r>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投标文件格式</w:t>
      </w:r>
      <w:bookmarkEnd w:id="908"/>
      <w:bookmarkEnd w:id="909"/>
      <w:bookmarkEnd w:id="910"/>
      <w:bookmarkEnd w:id="911"/>
      <w:bookmarkEnd w:id="912"/>
      <w:bookmarkEnd w:id="913"/>
      <w:bookmarkEnd w:id="914"/>
      <w:bookmarkEnd w:id="915"/>
      <w:bookmarkEnd w:id="916"/>
      <w:bookmarkEnd w:id="917"/>
      <w:bookmarkEnd w:id="918"/>
      <w:bookmarkEnd w:id="919"/>
      <w:bookmarkEnd w:id="920"/>
    </w:p>
    <w:p w14:paraId="7B05D42C">
      <w:pPr>
        <w:rPr>
          <w:color w:val="auto"/>
          <w:highlight w:val="none"/>
        </w:rPr>
      </w:pPr>
    </w:p>
    <w:p w14:paraId="082E4B32">
      <w:pPr>
        <w:rPr>
          <w:color w:val="auto"/>
          <w:highlight w:val="none"/>
        </w:rPr>
      </w:pPr>
    </w:p>
    <w:p w14:paraId="5069B979">
      <w:pPr>
        <w:rPr>
          <w:color w:val="auto"/>
          <w:highlight w:val="none"/>
        </w:rPr>
      </w:pPr>
    </w:p>
    <w:p w14:paraId="56143D65">
      <w:pPr>
        <w:jc w:val="center"/>
        <w:rPr>
          <w:rFonts w:eastAsia="黑体"/>
          <w:color w:val="auto"/>
          <w:sz w:val="20"/>
          <w:szCs w:val="20"/>
          <w:highlight w:val="none"/>
        </w:rPr>
      </w:pPr>
      <w:r>
        <w:rPr>
          <w:rFonts w:eastAsia="黑体"/>
          <w:color w:val="auto"/>
          <w:sz w:val="28"/>
          <w:szCs w:val="28"/>
          <w:highlight w:val="none"/>
        </w:rPr>
        <w:t>（项目名称）</w:t>
      </w:r>
    </w:p>
    <w:p w14:paraId="7576ABA9">
      <w:pPr>
        <w:jc w:val="center"/>
        <w:rPr>
          <w:rFonts w:eastAsia="黑体"/>
          <w:color w:val="auto"/>
          <w:sz w:val="20"/>
          <w:szCs w:val="20"/>
          <w:highlight w:val="none"/>
        </w:rPr>
      </w:pPr>
    </w:p>
    <w:p w14:paraId="7FF06958">
      <w:pPr>
        <w:jc w:val="center"/>
        <w:rPr>
          <w:rFonts w:eastAsia="黑体"/>
          <w:color w:val="auto"/>
          <w:sz w:val="20"/>
          <w:szCs w:val="20"/>
          <w:highlight w:val="none"/>
        </w:rPr>
      </w:pPr>
    </w:p>
    <w:p w14:paraId="3165CB1E">
      <w:pPr>
        <w:jc w:val="center"/>
        <w:rPr>
          <w:rFonts w:eastAsia="黑体"/>
          <w:color w:val="auto"/>
          <w:sz w:val="20"/>
          <w:szCs w:val="20"/>
          <w:highlight w:val="none"/>
        </w:rPr>
      </w:pPr>
    </w:p>
    <w:p w14:paraId="75BA9D51">
      <w:pPr>
        <w:rPr>
          <w:rFonts w:eastAsia="黑体"/>
          <w:color w:val="auto"/>
          <w:sz w:val="20"/>
          <w:szCs w:val="20"/>
          <w:highlight w:val="none"/>
        </w:rPr>
      </w:pPr>
    </w:p>
    <w:p w14:paraId="347DEE05">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4404D72F">
      <w:pPr>
        <w:jc w:val="center"/>
        <w:rPr>
          <w:rFonts w:eastAsia="黑体"/>
          <w:color w:val="auto"/>
          <w:sz w:val="44"/>
          <w:szCs w:val="44"/>
          <w:highlight w:val="none"/>
        </w:rPr>
      </w:pPr>
      <w:r>
        <w:rPr>
          <w:rFonts w:hint="eastAsia" w:eastAsia="黑体"/>
          <w:color w:val="auto"/>
          <w:sz w:val="44"/>
          <w:szCs w:val="44"/>
          <w:highlight w:val="none"/>
        </w:rPr>
        <w:t>（资信证明文件）</w:t>
      </w:r>
    </w:p>
    <w:p w14:paraId="69FD5586">
      <w:pPr>
        <w:rPr>
          <w:rFonts w:eastAsia="黑体"/>
          <w:color w:val="auto"/>
          <w:sz w:val="28"/>
          <w:szCs w:val="28"/>
          <w:highlight w:val="none"/>
        </w:rPr>
      </w:pPr>
    </w:p>
    <w:p w14:paraId="61671114">
      <w:pPr>
        <w:rPr>
          <w:rFonts w:eastAsia="黑体"/>
          <w:color w:val="auto"/>
          <w:sz w:val="28"/>
          <w:szCs w:val="28"/>
          <w:highlight w:val="none"/>
        </w:rPr>
      </w:pPr>
    </w:p>
    <w:p w14:paraId="7707CE46">
      <w:pPr>
        <w:rPr>
          <w:rFonts w:eastAsia="黑体"/>
          <w:color w:val="auto"/>
          <w:sz w:val="28"/>
          <w:szCs w:val="28"/>
          <w:highlight w:val="none"/>
        </w:rPr>
      </w:pPr>
    </w:p>
    <w:p w14:paraId="3E29662A">
      <w:pPr>
        <w:rPr>
          <w:rFonts w:eastAsia="黑体"/>
          <w:color w:val="auto"/>
          <w:sz w:val="28"/>
          <w:szCs w:val="28"/>
          <w:highlight w:val="none"/>
        </w:rPr>
      </w:pPr>
    </w:p>
    <w:p w14:paraId="69D02104">
      <w:pPr>
        <w:pStyle w:val="14"/>
        <w:ind w:firstLine="420"/>
        <w:rPr>
          <w:rFonts w:ascii="Times New Roman"/>
          <w:color w:val="auto"/>
          <w:szCs w:val="24"/>
          <w:highlight w:val="none"/>
        </w:rPr>
      </w:pPr>
    </w:p>
    <w:p w14:paraId="3062FE47">
      <w:pPr>
        <w:rPr>
          <w:rFonts w:ascii="Times New Roman"/>
          <w:color w:val="auto"/>
          <w:szCs w:val="24"/>
          <w:highlight w:val="none"/>
        </w:rPr>
      </w:pPr>
    </w:p>
    <w:p w14:paraId="78F93F73">
      <w:pPr>
        <w:pStyle w:val="14"/>
        <w:rPr>
          <w:rFonts w:ascii="Times New Roman"/>
          <w:color w:val="auto"/>
          <w:szCs w:val="24"/>
          <w:highlight w:val="none"/>
        </w:rPr>
      </w:pPr>
    </w:p>
    <w:p w14:paraId="1E9D0BD8">
      <w:pPr>
        <w:rPr>
          <w:rFonts w:ascii="Times New Roman"/>
          <w:color w:val="auto"/>
          <w:szCs w:val="24"/>
          <w:highlight w:val="none"/>
        </w:rPr>
      </w:pPr>
    </w:p>
    <w:p w14:paraId="13AFD6AD">
      <w:pPr>
        <w:pStyle w:val="14"/>
        <w:rPr>
          <w:color w:val="auto"/>
          <w:highlight w:val="none"/>
        </w:rPr>
      </w:pPr>
    </w:p>
    <w:p w14:paraId="0799C826">
      <w:pPr>
        <w:pStyle w:val="14"/>
        <w:ind w:firstLine="420"/>
        <w:rPr>
          <w:color w:val="auto"/>
          <w:highlight w:val="none"/>
        </w:rPr>
      </w:pPr>
    </w:p>
    <w:p w14:paraId="63F5BB9B">
      <w:pPr>
        <w:rPr>
          <w:rFonts w:eastAsia="黑体"/>
          <w:color w:val="auto"/>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color w:val="auto"/>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211A5DC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802AEA0">
      <w:pPr>
        <w:rPr>
          <w:color w:val="auto"/>
          <w:highlight w:val="none"/>
        </w:rPr>
      </w:pPr>
      <w:bookmarkStart w:id="931" w:name="_Toc35425137"/>
      <w:bookmarkStart w:id="932" w:name="_Toc12683"/>
      <w:bookmarkStart w:id="933" w:name="_Toc35424971"/>
    </w:p>
    <w:p w14:paraId="0EBCA57C">
      <w:pPr>
        <w:spacing w:beforeLines="50" w:afterLines="50" w:line="440" w:lineRule="exact"/>
        <w:ind w:firstLine="643" w:firstLineChars="200"/>
        <w:jc w:val="left"/>
        <w:rPr>
          <w:rFonts w:ascii="宋体" w:hAnsi="宋体" w:cs="宋体"/>
          <w:b/>
          <w:color w:val="auto"/>
          <w:sz w:val="28"/>
          <w:szCs w:val="28"/>
          <w:highlight w:val="none"/>
        </w:rPr>
      </w:pPr>
      <w:bookmarkStart w:id="934" w:name="_Toc78803399"/>
      <w:r>
        <w:rPr>
          <w:rStyle w:val="120"/>
          <w:rFonts w:hint="eastAsia" w:ascii="宋体" w:hAnsi="宋体" w:cs="宋体"/>
          <w:color w:val="auto"/>
          <w:sz w:val="32"/>
          <w:highlight w:val="none"/>
        </w:rPr>
        <w:br w:type="page"/>
      </w:r>
      <w:r>
        <w:rPr>
          <w:rStyle w:val="120"/>
          <w:rFonts w:hint="eastAsia" w:ascii="宋体" w:hAnsi="宋体" w:cs="宋体"/>
          <w:color w:val="auto"/>
          <w:sz w:val="32"/>
          <w:highlight w:val="none"/>
        </w:rPr>
        <w:t>投标文件一</w:t>
      </w:r>
      <w:bookmarkEnd w:id="931"/>
      <w:bookmarkEnd w:id="932"/>
      <w:bookmarkEnd w:id="933"/>
      <w:bookmarkEnd w:id="934"/>
      <w:r>
        <w:rPr>
          <w:rFonts w:hint="eastAsia" w:ascii="宋体" w:hAnsi="宋体" w:cs="宋体"/>
          <w:b/>
          <w:color w:val="auto"/>
          <w:sz w:val="28"/>
          <w:szCs w:val="28"/>
          <w:highlight w:val="none"/>
        </w:rPr>
        <w:t>：资信证明文件目录</w:t>
      </w:r>
    </w:p>
    <w:p w14:paraId="649C76E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（1）法定代表人身份证明文件和本人有效身份证(或法定代表人授权委托书和委托代理人有效身份证)；</w:t>
      </w:r>
    </w:p>
    <w:p w14:paraId="50C7D52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4E5CBE1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548842A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项目经理有效身份证、园林绿化相关专业中级及以上技术职称【或建造师注册证书、安全生产考核合格证书（B 证）】</w:t>
      </w:r>
      <w:r>
        <w:rPr>
          <w:rFonts w:hint="eastAsia" w:ascii="宋体" w:hAnsi="宋体" w:cs="宋体"/>
          <w:color w:val="auto"/>
          <w:szCs w:val="21"/>
          <w:highlight w:val="none"/>
        </w:rPr>
        <w:t>；</w:t>
      </w:r>
    </w:p>
    <w:p w14:paraId="01EE2524">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的法定代表人(或委托代理人)和拟任项目经理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auto"/>
          <w:szCs w:val="21"/>
          <w:highlight w:val="none"/>
          <w:lang w:eastAsia="zh-CN"/>
        </w:rPr>
        <w:t>；</w:t>
      </w:r>
    </w:p>
    <w:p w14:paraId="2737E4A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需要提供的所有证明材料</w:t>
      </w:r>
      <w:r>
        <w:rPr>
          <w:rFonts w:hint="eastAsia" w:ascii="宋体" w:hAnsi="宋体" w:cs="宋体"/>
          <w:color w:val="auto"/>
          <w:szCs w:val="21"/>
          <w:highlight w:val="none"/>
          <w:lang w:eastAsia="zh-CN"/>
        </w:rPr>
        <w:t>。</w:t>
      </w:r>
    </w:p>
    <w:p w14:paraId="59163E6F">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935" w:name="_Toc26598"/>
      <w:bookmarkStart w:id="936" w:name="_Toc503196197"/>
      <w:bookmarkStart w:id="937" w:name="_Toc506107356"/>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color w:val="auto"/>
          <w:highlight w:val="none"/>
        </w:rPr>
      </w:pPr>
      <w:r>
        <w:rPr>
          <w:rFonts w:hint="eastAsia" w:ascii="宋体"/>
          <w:color w:val="auto"/>
          <w:sz w:val="24"/>
          <w:highlight w:val="none"/>
        </w:rPr>
        <w:t>附：</w:t>
      </w:r>
      <w:r>
        <w:rPr>
          <w:rFonts w:hint="eastAsia" w:ascii="宋体"/>
          <w:b/>
          <w:color w:val="auto"/>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color w:val="auto"/>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666987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color w:val="auto"/>
          <w:sz w:val="28"/>
          <w:szCs w:val="28"/>
          <w:highlight w:val="none"/>
        </w:rPr>
      </w:pPr>
    </w:p>
    <w:p w14:paraId="1DB5A0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color w:val="auto"/>
          <w:sz w:val="28"/>
          <w:szCs w:val="28"/>
          <w:highlight w:val="none"/>
        </w:rPr>
      </w:pPr>
    </w:p>
    <w:p w14:paraId="1B932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color w:val="auto"/>
          <w:sz w:val="28"/>
          <w:szCs w:val="28"/>
          <w:highlight w:val="none"/>
        </w:rPr>
      </w:pPr>
    </w:p>
    <w:p w14:paraId="52876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color w:val="auto"/>
          <w:sz w:val="28"/>
          <w:szCs w:val="28"/>
          <w:highlight w:val="none"/>
        </w:rPr>
      </w:pPr>
      <w:r>
        <w:rPr>
          <w:rFonts w:hint="eastAsia"/>
          <w:b/>
          <w:color w:val="auto"/>
          <w:sz w:val="28"/>
          <w:szCs w:val="28"/>
          <w:highlight w:val="none"/>
        </w:rPr>
        <w:t>（2）诚信投标承诺书</w:t>
      </w:r>
      <w:bookmarkEnd w:id="935"/>
      <w:bookmarkEnd w:id="936"/>
      <w:bookmarkEnd w:id="937"/>
    </w:p>
    <w:p w14:paraId="4F449F9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六、</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（企业名称）或</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（企业名称）法定代表人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或拟派项目经理（负责人）      没有下列情形：</w:t>
      </w:r>
      <w:bookmarkStart w:id="938" w:name="OLE_LINK134"/>
      <w:bookmarkStart w:id="939" w:name="OLE_LINK133"/>
      <w:r>
        <w:rPr>
          <w:rFonts w:hint="eastAsia" w:ascii="宋体" w:hAnsi="宋体" w:eastAsia="宋体" w:cs="Times New Roman"/>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38"/>
      <w:bookmarkEnd w:id="939"/>
      <w:r>
        <w:rPr>
          <w:rFonts w:hint="eastAsia" w:ascii="宋体" w:hAnsi="宋体" w:eastAsia="宋体" w:cs="Times New Roman"/>
          <w:color w:val="auto"/>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、保证中标后不转包及使用挂靠施工队伍，若有分包征得建设单位同意；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九</w:t>
      </w:r>
      <w:r>
        <w:rPr>
          <w:rFonts w:hint="eastAsia" w:ascii="宋体" w:hAnsi="宋体" w:eastAsia="宋体" w:cs="Times New Roman"/>
          <w:color w:val="auto"/>
          <w:szCs w:val="21"/>
          <w:highlight w:val="none"/>
        </w:rPr>
        <w:t>、保证企业及所属相关人员在本次投标中无行贿等犯罪行为；</w:t>
      </w:r>
    </w:p>
    <w:p w14:paraId="598F4B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十、</w:t>
      </w:r>
      <w:r>
        <w:rPr>
          <w:rFonts w:hint="eastAsia" w:ascii="宋体" w:hAnsi="宋体" w:eastAsia="宋体" w:cs="Times New Roman"/>
          <w:color w:val="auto"/>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7B3ACF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十</w:t>
      </w:r>
      <w:r>
        <w:rPr>
          <w:rFonts w:hint="eastAsia" w:ascii="宋体" w:hAnsi="宋体" w:eastAsia="宋体" w:cs="Times New Roman"/>
          <w:color w:val="auto"/>
          <w:szCs w:val="21"/>
          <w:highlight w:val="none"/>
          <w:lang w:val="en-US" w:eastAsia="zh-CN"/>
        </w:rPr>
        <w:t>一</w:t>
      </w:r>
      <w:r>
        <w:rPr>
          <w:rFonts w:hint="eastAsia" w:ascii="宋体" w:hAnsi="宋体" w:eastAsia="宋体" w:cs="Times New Roman"/>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355D5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十</w:t>
      </w:r>
      <w:r>
        <w:rPr>
          <w:rFonts w:hint="eastAsia" w:ascii="宋体" w:hAnsi="宋体" w:eastAsia="宋体" w:cs="Times New Roman"/>
          <w:color w:val="auto"/>
          <w:szCs w:val="21"/>
          <w:highlight w:val="none"/>
          <w:lang w:val="en-US" w:eastAsia="zh-CN"/>
        </w:rPr>
        <w:t>二</w:t>
      </w:r>
      <w:r>
        <w:rPr>
          <w:rFonts w:hint="eastAsia" w:ascii="宋体" w:hAnsi="宋体" w:eastAsia="宋体" w:cs="Times New Roman"/>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68E945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十</w:t>
      </w:r>
      <w:r>
        <w:rPr>
          <w:rFonts w:hint="eastAsia" w:ascii="宋体" w:hAnsi="宋体" w:eastAsia="宋体" w:cs="Times New Roman"/>
          <w:color w:val="auto"/>
          <w:szCs w:val="21"/>
          <w:highlight w:val="none"/>
          <w:lang w:val="en-US" w:eastAsia="zh-CN"/>
        </w:rPr>
        <w:t>三</w:t>
      </w:r>
      <w:r>
        <w:rPr>
          <w:rFonts w:hint="eastAsia" w:ascii="宋体" w:hAnsi="宋体" w:eastAsia="宋体" w:cs="Times New Roman"/>
          <w:color w:val="auto"/>
          <w:szCs w:val="21"/>
          <w:highlight w:val="none"/>
        </w:rPr>
        <w:t>、我公司拟任项目经理（建造师）不是投标截止时间前六个月内在滁州市区域内办理过项目经理（建造师）变更备案手续的原项目经理（建造师）。</w:t>
      </w:r>
    </w:p>
    <w:p w14:paraId="6535A9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0612BC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p>
    <w:p w14:paraId="635156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投标人（盖章）：              法定代表人（签字或</w:t>
      </w:r>
      <w:r>
        <w:rPr>
          <w:rFonts w:hint="eastAsia" w:ascii="宋体" w:hAnsi="宋体"/>
          <w:color w:val="auto"/>
          <w:szCs w:val="21"/>
          <w:highlight w:val="none"/>
          <w:lang w:val="en-US" w:eastAsia="zh-CN"/>
        </w:rPr>
        <w:t>盖</w:t>
      </w:r>
      <w:r>
        <w:rPr>
          <w:rFonts w:hint="eastAsia" w:ascii="宋体" w:hAnsi="宋体"/>
          <w:color w:val="auto"/>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440" w:lineRule="exact"/>
        <w:ind w:firstLine="5250" w:firstLineChars="2500"/>
        <w:textAlignment w:val="auto"/>
        <w:rPr>
          <w:color w:val="auto"/>
          <w:highlight w:val="none"/>
        </w:rPr>
      </w:pPr>
      <w:r>
        <w:rPr>
          <w:rFonts w:hint="eastAsia" w:ascii="宋体" w:hAnsi="宋体"/>
          <w:color w:val="auto"/>
          <w:szCs w:val="21"/>
          <w:highlight w:val="none"/>
        </w:rPr>
        <w:t>日期：    年   月   日</w:t>
      </w:r>
    </w:p>
    <w:p w14:paraId="364DDAFB">
      <w:pPr>
        <w:rPr>
          <w:rFonts w:eastAsia="黑体"/>
          <w:color w:val="auto"/>
          <w:sz w:val="28"/>
          <w:szCs w:val="28"/>
          <w:highlight w:val="none"/>
          <w:u w:val="single"/>
        </w:rPr>
      </w:pPr>
      <w:r>
        <w:rPr>
          <w:rFonts w:hint="eastAsia" w:ascii="宋体" w:hAnsi="宋体"/>
          <w:b/>
          <w:color w:val="auto"/>
          <w:sz w:val="32"/>
          <w:szCs w:val="32"/>
          <w:highlight w:val="none"/>
        </w:rPr>
        <w:br w:type="page"/>
      </w:r>
    </w:p>
    <w:p w14:paraId="45062D82">
      <w:pPr>
        <w:adjustRightInd w:val="0"/>
        <w:snapToGrid w:val="0"/>
        <w:spacing w:line="560" w:lineRule="exact"/>
        <w:jc w:val="center"/>
        <w:rPr>
          <w:rFonts w:hint="eastAsia" w:eastAsia="黑体"/>
          <w:color w:val="auto"/>
          <w:sz w:val="28"/>
          <w:szCs w:val="28"/>
          <w:highlight w:val="none"/>
          <w:u w:val="single"/>
        </w:rPr>
      </w:pPr>
    </w:p>
    <w:p w14:paraId="650957C7">
      <w:pPr>
        <w:adjustRightInd w:val="0"/>
        <w:snapToGrid w:val="0"/>
        <w:spacing w:line="560" w:lineRule="exact"/>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34CAF67E">
      <w:pPr>
        <w:adjustRightInd w:val="0"/>
        <w:snapToGrid w:val="0"/>
        <w:spacing w:line="560" w:lineRule="exact"/>
        <w:jc w:val="center"/>
        <w:rPr>
          <w:rFonts w:hint="eastAsia" w:eastAsia="黑体"/>
          <w:color w:val="auto"/>
          <w:sz w:val="20"/>
          <w:szCs w:val="20"/>
          <w:highlight w:val="none"/>
        </w:rPr>
      </w:pPr>
    </w:p>
    <w:p w14:paraId="51C60653">
      <w:pPr>
        <w:adjustRightInd w:val="0"/>
        <w:snapToGrid w:val="0"/>
        <w:spacing w:line="560" w:lineRule="exact"/>
        <w:rPr>
          <w:rFonts w:hint="eastAsia" w:eastAsia="黑体"/>
          <w:color w:val="auto"/>
          <w:sz w:val="20"/>
          <w:szCs w:val="20"/>
          <w:highlight w:val="none"/>
        </w:rPr>
      </w:pPr>
    </w:p>
    <w:p w14:paraId="04FBF58C">
      <w:pPr>
        <w:adjustRightInd w:val="0"/>
        <w:snapToGrid w:val="0"/>
        <w:spacing w:line="560" w:lineRule="exact"/>
        <w:jc w:val="center"/>
        <w:rPr>
          <w:rFonts w:hint="eastAsia"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14:paraId="4D9A83AD">
      <w:pPr>
        <w:jc w:val="center"/>
        <w:rPr>
          <w:rFonts w:eastAsia="黑体"/>
          <w:color w:val="auto"/>
          <w:sz w:val="44"/>
          <w:szCs w:val="44"/>
          <w:highlight w:val="none"/>
        </w:rPr>
      </w:pPr>
      <w:r>
        <w:rPr>
          <w:rFonts w:hint="eastAsia" w:eastAsia="黑体"/>
          <w:color w:val="auto"/>
          <w:sz w:val="44"/>
          <w:szCs w:val="44"/>
          <w:highlight w:val="none"/>
        </w:rPr>
        <w:t>（商务标文件）</w:t>
      </w:r>
    </w:p>
    <w:p w14:paraId="00AD4571">
      <w:pPr>
        <w:rPr>
          <w:rFonts w:eastAsia="黑体"/>
          <w:color w:val="auto"/>
          <w:sz w:val="28"/>
          <w:szCs w:val="28"/>
          <w:highlight w:val="none"/>
        </w:rPr>
      </w:pPr>
    </w:p>
    <w:p w14:paraId="03FF9373">
      <w:pPr>
        <w:rPr>
          <w:rFonts w:eastAsia="黑体"/>
          <w:color w:val="auto"/>
          <w:sz w:val="28"/>
          <w:szCs w:val="28"/>
          <w:highlight w:val="none"/>
        </w:rPr>
      </w:pPr>
    </w:p>
    <w:p w14:paraId="6F4198FD">
      <w:pPr>
        <w:rPr>
          <w:rFonts w:eastAsia="黑体"/>
          <w:color w:val="auto"/>
          <w:sz w:val="28"/>
          <w:szCs w:val="28"/>
          <w:highlight w:val="none"/>
        </w:rPr>
      </w:pPr>
    </w:p>
    <w:p w14:paraId="18D553B1">
      <w:pPr>
        <w:rPr>
          <w:rFonts w:eastAsia="黑体"/>
          <w:color w:val="auto"/>
          <w:sz w:val="28"/>
          <w:szCs w:val="28"/>
          <w:highlight w:val="none"/>
        </w:rPr>
      </w:pPr>
    </w:p>
    <w:p w14:paraId="0E5FE50F">
      <w:pPr>
        <w:rPr>
          <w:rFonts w:eastAsia="黑体"/>
          <w:color w:val="auto"/>
          <w:sz w:val="28"/>
          <w:szCs w:val="28"/>
          <w:highlight w:val="none"/>
        </w:rPr>
      </w:pPr>
    </w:p>
    <w:p w14:paraId="74AFA9E2">
      <w:pPr>
        <w:rPr>
          <w:rFonts w:eastAsia="黑体"/>
          <w:color w:val="auto"/>
          <w:sz w:val="28"/>
          <w:szCs w:val="28"/>
          <w:highlight w:val="none"/>
        </w:rPr>
      </w:pPr>
    </w:p>
    <w:p w14:paraId="078AB10D">
      <w:pPr>
        <w:rPr>
          <w:rFonts w:eastAsia="黑体"/>
          <w:color w:val="auto"/>
          <w:sz w:val="28"/>
          <w:szCs w:val="28"/>
          <w:highlight w:val="none"/>
        </w:rPr>
      </w:pPr>
    </w:p>
    <w:p w14:paraId="5C03182B">
      <w:pPr>
        <w:rPr>
          <w:rFonts w:eastAsia="黑体"/>
          <w:color w:val="auto"/>
          <w:sz w:val="28"/>
          <w:szCs w:val="28"/>
          <w:highlight w:val="none"/>
        </w:rPr>
      </w:pPr>
    </w:p>
    <w:p w14:paraId="50FB798D">
      <w:pPr>
        <w:rPr>
          <w:rFonts w:eastAsia="黑体"/>
          <w:color w:val="auto"/>
          <w:sz w:val="28"/>
          <w:szCs w:val="28"/>
          <w:highlight w:val="none"/>
        </w:rPr>
      </w:pPr>
    </w:p>
    <w:p w14:paraId="3118FFCA">
      <w:pPr>
        <w:pStyle w:val="14"/>
        <w:rPr>
          <w:rFonts w:eastAsia="黑体"/>
          <w:color w:val="auto"/>
          <w:sz w:val="28"/>
          <w:szCs w:val="28"/>
          <w:highlight w:val="none"/>
        </w:rPr>
      </w:pPr>
    </w:p>
    <w:p w14:paraId="01BE5E84">
      <w:pPr>
        <w:rPr>
          <w:rFonts w:eastAsia="黑体"/>
          <w:color w:val="auto"/>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2EE77B13">
      <w:pPr>
        <w:rPr>
          <w:color w:val="auto"/>
          <w:highlight w:val="none"/>
        </w:rPr>
      </w:pPr>
    </w:p>
    <w:p w14:paraId="2F4494A4">
      <w:pPr>
        <w:pStyle w:val="14"/>
        <w:ind w:firstLine="420"/>
        <w:rPr>
          <w:color w:val="auto"/>
          <w:highlight w:val="none"/>
        </w:rPr>
      </w:pPr>
    </w:p>
    <w:p w14:paraId="3AB72A24">
      <w:pPr>
        <w:rPr>
          <w:color w:val="auto"/>
          <w:highlight w:val="none"/>
        </w:rPr>
      </w:pPr>
    </w:p>
    <w:p w14:paraId="60A767E1">
      <w:pPr>
        <w:spacing w:beforeLines="50" w:afterLines="50" w:line="440" w:lineRule="exact"/>
        <w:ind w:firstLine="643" w:firstLineChars="200"/>
        <w:jc w:val="left"/>
        <w:rPr>
          <w:rStyle w:val="120"/>
          <w:rFonts w:ascii="宋体" w:hAnsi="宋体" w:cs="宋体"/>
          <w:color w:val="auto"/>
          <w:sz w:val="32"/>
          <w:highlight w:val="none"/>
        </w:rPr>
      </w:pPr>
      <w:bookmarkStart w:id="940" w:name="_Toc19174"/>
      <w:bookmarkStart w:id="941" w:name="_Toc35424973"/>
      <w:bookmarkStart w:id="942" w:name="_Toc35425139"/>
      <w:bookmarkStart w:id="943" w:name="_Toc78803401"/>
      <w:r>
        <w:rPr>
          <w:rStyle w:val="120"/>
          <w:rFonts w:hint="eastAsia" w:ascii="宋体" w:hAnsi="宋体" w:cs="宋体"/>
          <w:color w:val="auto"/>
          <w:sz w:val="32"/>
          <w:highlight w:val="none"/>
        </w:rPr>
        <w:t>投标文件</w:t>
      </w:r>
      <w:bookmarkEnd w:id="940"/>
      <w:bookmarkEnd w:id="941"/>
      <w:bookmarkEnd w:id="942"/>
      <w:r>
        <w:rPr>
          <w:rStyle w:val="120"/>
          <w:rFonts w:hint="eastAsia" w:ascii="宋体" w:hAnsi="宋体" w:cs="宋体"/>
          <w:color w:val="auto"/>
          <w:sz w:val="32"/>
          <w:highlight w:val="none"/>
          <w:lang w:val="en-US"/>
        </w:rPr>
        <w:t>二</w:t>
      </w:r>
      <w:r>
        <w:rPr>
          <w:rStyle w:val="120"/>
          <w:rFonts w:hint="eastAsia" w:ascii="宋体" w:hAnsi="宋体" w:cs="宋体"/>
          <w:color w:val="auto"/>
          <w:sz w:val="32"/>
          <w:highlight w:val="none"/>
        </w:rPr>
        <w:t>：商务标目录</w:t>
      </w:r>
      <w:bookmarkEnd w:id="943"/>
    </w:p>
    <w:p w14:paraId="3318E4A9">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（1）投标函；</w:t>
      </w:r>
    </w:p>
    <w:p w14:paraId="4E3CCDEE">
      <w:pPr>
        <w:adjustRightInd w:val="0"/>
        <w:snapToGrid w:val="0"/>
        <w:spacing w:line="560" w:lineRule="exact"/>
        <w:ind w:firstLine="420" w:firstLineChars="200"/>
        <w:rPr>
          <w:rFonts w:hint="eastAsia" w:eastAsia="宋体"/>
          <w:color w:val="auto"/>
          <w:highlight w:val="none"/>
          <w:lang w:eastAsia="zh-CN"/>
        </w:rPr>
      </w:pPr>
      <w:r>
        <w:rPr>
          <w:rFonts w:hint="eastAsia" w:ascii="宋体" w:hAnsi="宋体"/>
          <w:color w:val="auto"/>
          <w:szCs w:val="21"/>
          <w:highlight w:val="none"/>
        </w:rPr>
        <w:t>（2）工程量清单报价</w:t>
      </w:r>
      <w:r>
        <w:rPr>
          <w:rFonts w:hint="eastAsia" w:ascii="宋体" w:hAnsi="宋体"/>
          <w:color w:val="auto"/>
          <w:szCs w:val="21"/>
          <w:highlight w:val="none"/>
          <w:lang w:val="en-US" w:eastAsia="zh-CN"/>
        </w:rPr>
        <w:t>表</w:t>
      </w:r>
      <w:r>
        <w:rPr>
          <w:rFonts w:hint="eastAsia" w:ascii="宋体" w:hAnsi="宋体"/>
          <w:color w:val="auto"/>
          <w:szCs w:val="21"/>
          <w:highlight w:val="none"/>
          <w:lang w:eastAsia="zh-CN"/>
        </w:rPr>
        <w:t>；</w:t>
      </w:r>
    </w:p>
    <w:p w14:paraId="66686266">
      <w:pPr>
        <w:adjustRightInd w:val="0"/>
        <w:snapToGrid w:val="0"/>
        <w:spacing w:line="560" w:lineRule="exact"/>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（3）</w:t>
      </w:r>
      <w:r>
        <w:rPr>
          <w:rFonts w:hint="eastAsia" w:ascii="宋体" w:hAnsi="宋体" w:eastAsia="宋体" w:cs="Times New Roman"/>
          <w:color w:val="auto"/>
          <w:szCs w:val="21"/>
          <w:highlight w:val="none"/>
        </w:rPr>
        <w:t>详细评审所需其他材料。</w:t>
      </w:r>
    </w:p>
    <w:p w14:paraId="03122088">
      <w:pPr>
        <w:spacing w:line="540" w:lineRule="exact"/>
        <w:rPr>
          <w:rFonts w:eastAsia="黑体"/>
          <w:color w:val="auto"/>
          <w:sz w:val="20"/>
          <w:szCs w:val="20"/>
          <w:highlight w:val="none"/>
        </w:rPr>
      </w:pPr>
    </w:p>
    <w:p w14:paraId="3338FC9F">
      <w:pPr>
        <w:spacing w:line="540" w:lineRule="exact"/>
        <w:rPr>
          <w:rFonts w:eastAsia="黑体"/>
          <w:color w:val="auto"/>
          <w:sz w:val="20"/>
          <w:szCs w:val="20"/>
          <w:highlight w:val="none"/>
        </w:rPr>
      </w:pPr>
    </w:p>
    <w:p w14:paraId="3D5F9903">
      <w:pPr>
        <w:spacing w:line="540" w:lineRule="exact"/>
        <w:rPr>
          <w:rFonts w:eastAsia="黑体"/>
          <w:color w:val="auto"/>
          <w:sz w:val="20"/>
          <w:szCs w:val="20"/>
          <w:highlight w:val="none"/>
        </w:rPr>
      </w:pPr>
    </w:p>
    <w:p w14:paraId="6FEF5B0D">
      <w:pPr>
        <w:spacing w:line="360" w:lineRule="auto"/>
        <w:ind w:firstLine="420" w:firstLineChars="200"/>
        <w:jc w:val="right"/>
        <w:rPr>
          <w:color w:val="auto"/>
          <w:szCs w:val="21"/>
          <w:highlight w:val="none"/>
          <w:u w:val="single"/>
        </w:rPr>
      </w:pPr>
    </w:p>
    <w:p w14:paraId="70F20168">
      <w:pPr>
        <w:spacing w:line="360" w:lineRule="auto"/>
        <w:ind w:firstLine="420" w:firstLineChars="200"/>
        <w:jc w:val="right"/>
        <w:rPr>
          <w:color w:val="auto"/>
          <w:szCs w:val="21"/>
          <w:highlight w:val="none"/>
          <w:u w:val="single"/>
        </w:rPr>
      </w:pPr>
    </w:p>
    <w:p w14:paraId="5BDCA848">
      <w:pPr>
        <w:spacing w:line="360" w:lineRule="auto"/>
        <w:ind w:firstLine="420" w:firstLineChars="200"/>
        <w:jc w:val="right"/>
        <w:rPr>
          <w:color w:val="auto"/>
          <w:szCs w:val="21"/>
          <w:highlight w:val="none"/>
          <w:u w:val="single"/>
        </w:rPr>
      </w:pPr>
    </w:p>
    <w:p w14:paraId="5B4A47D5">
      <w:pPr>
        <w:spacing w:line="360" w:lineRule="auto"/>
        <w:ind w:firstLine="420" w:firstLineChars="200"/>
        <w:jc w:val="right"/>
        <w:rPr>
          <w:color w:val="auto"/>
          <w:szCs w:val="21"/>
          <w:highlight w:val="none"/>
          <w:u w:val="single"/>
        </w:rPr>
      </w:pPr>
    </w:p>
    <w:p w14:paraId="6AF87BBA">
      <w:pPr>
        <w:spacing w:line="360" w:lineRule="auto"/>
        <w:ind w:firstLine="420" w:firstLineChars="200"/>
        <w:jc w:val="right"/>
        <w:rPr>
          <w:color w:val="auto"/>
          <w:szCs w:val="21"/>
          <w:highlight w:val="none"/>
          <w:u w:val="single"/>
        </w:rPr>
      </w:pPr>
    </w:p>
    <w:p w14:paraId="49A7FE35">
      <w:pPr>
        <w:spacing w:line="360" w:lineRule="auto"/>
        <w:ind w:firstLine="420" w:firstLineChars="200"/>
        <w:jc w:val="right"/>
        <w:rPr>
          <w:color w:val="auto"/>
          <w:szCs w:val="21"/>
          <w:highlight w:val="none"/>
          <w:u w:val="single"/>
        </w:rPr>
      </w:pPr>
    </w:p>
    <w:p w14:paraId="7EAE036F">
      <w:pPr>
        <w:spacing w:line="360" w:lineRule="auto"/>
        <w:ind w:firstLine="420" w:firstLineChars="200"/>
        <w:jc w:val="right"/>
        <w:rPr>
          <w:color w:val="auto"/>
          <w:szCs w:val="21"/>
          <w:highlight w:val="none"/>
          <w:u w:val="single"/>
        </w:rPr>
      </w:pPr>
    </w:p>
    <w:p w14:paraId="39D3A8B9">
      <w:pPr>
        <w:spacing w:line="360" w:lineRule="auto"/>
        <w:ind w:firstLine="420" w:firstLineChars="200"/>
        <w:jc w:val="right"/>
        <w:rPr>
          <w:color w:val="auto"/>
          <w:szCs w:val="21"/>
          <w:highlight w:val="none"/>
          <w:u w:val="single"/>
        </w:rPr>
      </w:pPr>
    </w:p>
    <w:p w14:paraId="042B576F">
      <w:pPr>
        <w:jc w:val="center"/>
        <w:rPr>
          <w:b/>
          <w:color w:val="auto"/>
          <w:sz w:val="32"/>
          <w:szCs w:val="32"/>
          <w:highlight w:val="none"/>
        </w:rPr>
      </w:pPr>
    </w:p>
    <w:p w14:paraId="29EE3D81">
      <w:pPr>
        <w:jc w:val="center"/>
        <w:rPr>
          <w:b/>
          <w:color w:val="auto"/>
          <w:sz w:val="32"/>
          <w:szCs w:val="32"/>
          <w:highlight w:val="none"/>
        </w:rPr>
      </w:pPr>
    </w:p>
    <w:p w14:paraId="569DA32B">
      <w:pPr>
        <w:jc w:val="center"/>
        <w:rPr>
          <w:b/>
          <w:color w:val="auto"/>
          <w:sz w:val="32"/>
          <w:szCs w:val="32"/>
          <w:highlight w:val="none"/>
        </w:rPr>
      </w:pPr>
    </w:p>
    <w:p w14:paraId="30415CF4">
      <w:pPr>
        <w:jc w:val="center"/>
        <w:rPr>
          <w:b/>
          <w:color w:val="auto"/>
          <w:sz w:val="32"/>
          <w:szCs w:val="32"/>
          <w:highlight w:val="none"/>
        </w:rPr>
      </w:pPr>
    </w:p>
    <w:p w14:paraId="1AAF50B0">
      <w:pPr>
        <w:jc w:val="center"/>
        <w:rPr>
          <w:b/>
          <w:color w:val="auto"/>
          <w:sz w:val="32"/>
          <w:szCs w:val="32"/>
          <w:highlight w:val="none"/>
        </w:rPr>
      </w:pPr>
    </w:p>
    <w:p w14:paraId="5BCCA520">
      <w:pPr>
        <w:jc w:val="center"/>
        <w:rPr>
          <w:b/>
          <w:color w:val="auto"/>
          <w:sz w:val="32"/>
          <w:szCs w:val="32"/>
          <w:highlight w:val="none"/>
        </w:rPr>
      </w:pPr>
    </w:p>
    <w:p w14:paraId="194A658F">
      <w:pPr>
        <w:jc w:val="center"/>
        <w:rPr>
          <w:b/>
          <w:color w:val="auto"/>
          <w:sz w:val="32"/>
          <w:szCs w:val="32"/>
          <w:highlight w:val="none"/>
        </w:rPr>
      </w:pPr>
    </w:p>
    <w:p w14:paraId="3F1030A3">
      <w:pPr>
        <w:spacing w:line="360" w:lineRule="auto"/>
        <w:rPr>
          <w:b/>
          <w:bCs/>
          <w:color w:val="auto"/>
          <w:sz w:val="32"/>
          <w:szCs w:val="32"/>
          <w:highlight w:val="none"/>
        </w:rPr>
      </w:pPr>
    </w:p>
    <w:p w14:paraId="5D358DCD">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44" w:name="_Toc35424974"/>
      <w:bookmarkStart w:id="945" w:name="_Toc15058950"/>
      <w:bookmarkStart w:id="946" w:name="_Toc506107366"/>
      <w:bookmarkStart w:id="947" w:name="_Toc3542514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4655D6FB">
      <w:pPr>
        <w:adjustRightInd w:val="0"/>
        <w:snapToGrid w:val="0"/>
        <w:spacing w:line="5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1、根据你方招</w:t>
      </w:r>
      <w:bookmarkStart w:id="948" w:name="_Toc60061591"/>
      <w:r>
        <w:rPr>
          <w:rFonts w:hint="eastAsia" w:ascii="宋体" w:hAnsi="宋体"/>
          <w:color w:val="auto"/>
          <w:sz w:val="21"/>
          <w:szCs w:val="21"/>
          <w:highlight w:val="none"/>
        </w:rPr>
        <w:t>标项目编号为</w:t>
      </w:r>
      <w:r>
        <w:rPr>
          <w:rFonts w:ascii="宋体" w:hAnsi="宋体"/>
          <w:color w:val="auto"/>
          <w:sz w:val="21"/>
          <w:szCs w:val="21"/>
          <w:highlight w:val="none"/>
          <w:u w:val="single"/>
        </w:rPr>
        <w:t xml:space="preserve">  </w:t>
      </w:r>
      <w:bookmarkEnd w:id="948"/>
      <w:r>
        <w:rPr>
          <w:rFonts w:ascii="宋体" w:hAnsi="宋体"/>
          <w:color w:val="auto"/>
          <w:sz w:val="21"/>
          <w:szCs w:val="21"/>
          <w:highlight w:val="none"/>
          <w:u w:val="singl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的</w:t>
      </w:r>
      <w:r>
        <w:rPr>
          <w:rFonts w:ascii="宋体" w:hAnsi="宋体"/>
          <w:color w:val="auto"/>
          <w:sz w:val="21"/>
          <w:szCs w:val="21"/>
          <w:highlight w:val="non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招标文件，遵照《中华人民共和国招标投标法》等有关规定，经踏勘项目现场和研究上述招标文件的投标须知、合同条件、技术规范、工程量清单和其他有关文件后，我方愿以</w:t>
      </w:r>
      <w:r>
        <w:rPr>
          <w:rFonts w:ascii="宋体" w:hAnsi="宋体"/>
          <w:color w:val="auto"/>
          <w:sz w:val="21"/>
          <w:szCs w:val="21"/>
          <w:highlight w:val="none"/>
        </w:rPr>
        <w:t xml:space="preserve"> </w:t>
      </w:r>
      <w:r>
        <w:rPr>
          <w:rFonts w:hint="eastAsia" w:ascii="宋体" w:hAnsi="宋体"/>
          <w:color w:val="auto"/>
          <w:sz w:val="21"/>
          <w:szCs w:val="21"/>
          <w:highlight w:val="none"/>
        </w:rPr>
        <w:t>（币种，金额、单位）</w:t>
      </w:r>
      <w:r>
        <w:rPr>
          <w:rFonts w:hint="eastAsia" w:ascii="宋体" w:hAnsi="宋体"/>
          <w:color w:val="auto"/>
          <w:sz w:val="21"/>
          <w:szCs w:val="21"/>
          <w:highlight w:val="none"/>
          <w:u w:val="single"/>
        </w:rPr>
        <w:t xml:space="preserve">人民币           元                  </w:t>
      </w:r>
      <w:r>
        <w:rPr>
          <w:rFonts w:hint="eastAsia" w:ascii="宋体" w:hAnsi="宋体"/>
          <w:color w:val="auto"/>
          <w:sz w:val="21"/>
          <w:szCs w:val="21"/>
          <w:highlight w:val="none"/>
        </w:rPr>
        <w:t>的投标总报价承包上述工程的施工、竣工，并承担任何质量缺陷保修责任。</w:t>
      </w:r>
    </w:p>
    <w:p w14:paraId="5F0C98BD">
      <w:pPr>
        <w:tabs>
          <w:tab w:val="left" w:pos="840"/>
        </w:tabs>
        <w:adjustRightInd w:val="0"/>
        <w:snapToGrid w:val="0"/>
        <w:spacing w:line="5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2、我方已详细审核全部招标文件及有关附件，承诺招标文件及有关附件中所有条款。</w:t>
      </w:r>
    </w:p>
    <w:p w14:paraId="5408D59F">
      <w:pPr>
        <w:adjustRightInd w:val="0"/>
        <w:snapToGrid w:val="0"/>
        <w:spacing w:line="5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3、一旦我方中标，我方将派出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为本工程项目经理，保证按照招标人要求开始本工程的施工，并在</w:t>
      </w:r>
      <w:r>
        <w:rPr>
          <w:rFonts w:ascii="宋体" w:hAnsi="宋体"/>
          <w:color w:val="auto"/>
          <w:sz w:val="21"/>
          <w:szCs w:val="21"/>
          <w:highlight w:val="none"/>
          <w:u w:val="single"/>
        </w:rPr>
        <w:t xml:space="preserve">       </w:t>
      </w:r>
      <w:r>
        <w:rPr>
          <w:rFonts w:hint="eastAsia" w:ascii="宋体" w:hAnsi="宋体"/>
          <w:color w:val="auto"/>
          <w:sz w:val="21"/>
          <w:szCs w:val="21"/>
          <w:highlight w:val="none"/>
        </w:rPr>
        <w:t>个日历天（工期）内完成本合同的施工，并移交整个工程，工程质量达到</w:t>
      </w:r>
    </w:p>
    <w:p w14:paraId="3FE6622D">
      <w:pPr>
        <w:adjustRightInd w:val="0"/>
        <w:snapToGrid w:val="0"/>
        <w:spacing w:line="560" w:lineRule="exact"/>
        <w:rPr>
          <w:rFonts w:ascii="宋体" w:hAnsi="宋体"/>
          <w:color w:val="auto"/>
          <w:sz w:val="21"/>
          <w:szCs w:val="21"/>
          <w:highlight w:val="none"/>
        </w:rPr>
      </w:pPr>
      <w:r>
        <w:rPr>
          <w:rFonts w:ascii="宋体" w:hAnsi="宋体"/>
          <w:color w:val="auto"/>
          <w:sz w:val="21"/>
          <w:szCs w:val="21"/>
          <w:highlight w:val="none"/>
          <w:u w:val="single"/>
        </w:rPr>
        <w:t xml:space="preserve">          </w:t>
      </w:r>
      <w:r>
        <w:rPr>
          <w:rFonts w:hint="eastAsia" w:ascii="宋体" w:hAnsi="宋体"/>
          <w:color w:val="auto"/>
          <w:sz w:val="21"/>
          <w:szCs w:val="21"/>
          <w:highlight w:val="none"/>
        </w:rPr>
        <w:t xml:space="preserve"> 标准。</w:t>
      </w:r>
    </w:p>
    <w:p w14:paraId="68274B7B">
      <w:pPr>
        <w:adjustRightInd w:val="0"/>
        <w:snapToGrid w:val="0"/>
        <w:spacing w:line="5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、如果我方中标我方将按照招标文件的规定提交履约担保。工程验收合格后，方可退还。</w:t>
      </w:r>
    </w:p>
    <w:p w14:paraId="3E40DC48">
      <w:pPr>
        <w:adjustRightInd w:val="0"/>
        <w:snapToGrid w:val="0"/>
        <w:spacing w:line="56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、我方承诺在招标文件规定的投标有效期内不撤销投标文件。</w:t>
      </w:r>
    </w:p>
    <w:p w14:paraId="4B7069B8">
      <w:pPr>
        <w:adjustRightInd w:val="0"/>
        <w:snapToGrid w:val="0"/>
        <w:spacing w:line="56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、我单位提供如下通讯地址：</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电子邮箱（地址），确认本项目相关法律文书均通过提供的以上地址送达，相关文书只要发送至以上电子邮箱（地址）即视为送达，投标人愿意承担一切法律后果。</w:t>
      </w:r>
    </w:p>
    <w:p w14:paraId="3E0C4000">
      <w:pPr>
        <w:adjustRightInd w:val="0"/>
        <w:snapToGrid w:val="0"/>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color w:val="auto"/>
          <w:sz w:val="21"/>
          <w:szCs w:val="21"/>
          <w:highlight w:val="none"/>
          <w:lang w:val="en-US" w:eastAsia="zh-CN"/>
        </w:rPr>
        <w:t>7</w:t>
      </w:r>
      <w:r>
        <w:rPr>
          <w:rFonts w:hint="eastAsia" w:ascii="宋体" w:hAnsi="宋体"/>
          <w:color w:val="auto"/>
          <w:sz w:val="21"/>
          <w:szCs w:val="21"/>
          <w:highlight w:val="none"/>
          <w:lang w:eastAsia="zh-CN"/>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（其他补充说明）</w:t>
      </w:r>
    </w:p>
    <w:p w14:paraId="2504D90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41B57621">
      <w:pPr>
        <w:spacing w:line="600" w:lineRule="exact"/>
        <w:ind w:firstLine="2310" w:firstLineChars="1100"/>
        <w:jc w:val="lef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val="en-US" w:eastAsia="zh-CN"/>
        </w:rPr>
        <w:t>或委托代理人</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签字或盖章</w:t>
      </w:r>
      <w:r>
        <w:rPr>
          <w:rFonts w:hint="eastAsia" w:ascii="宋体" w:hAnsi="宋体"/>
          <w:color w:val="auto"/>
          <w:szCs w:val="21"/>
          <w:highlight w:val="none"/>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809622B">
      <w:pPr>
        <w:pStyle w:val="4"/>
        <w:numPr>
          <w:ilvl w:val="0"/>
          <w:numId w:val="0"/>
        </w:numPr>
        <w:adjustRightInd w:val="0"/>
        <w:snapToGrid w:val="0"/>
        <w:spacing w:before="0" w:after="0" w:line="560" w:lineRule="exact"/>
        <w:ind w:leftChars="200"/>
        <w:jc w:val="center"/>
        <w:rPr>
          <w:rFonts w:hint="eastAsia"/>
          <w:color w:val="auto"/>
          <w:highlight w:val="none"/>
          <w:lang w:val="en-US" w:eastAsia="zh-CN"/>
        </w:rPr>
      </w:pPr>
      <w:r>
        <w:rPr>
          <w:rFonts w:hint="eastAsia"/>
          <w:color w:val="auto"/>
          <w:sz w:val="32"/>
          <w:szCs w:val="32"/>
          <w:highlight w:val="none"/>
        </w:rPr>
        <w:br w:type="page"/>
      </w:r>
      <w:bookmarkEnd w:id="7"/>
      <w:bookmarkEnd w:id="8"/>
      <w:bookmarkEnd w:id="9"/>
      <w:bookmarkEnd w:id="10"/>
      <w:bookmarkEnd w:id="11"/>
      <w:bookmarkEnd w:id="944"/>
      <w:bookmarkEnd w:id="945"/>
      <w:bookmarkEnd w:id="946"/>
      <w:bookmarkEnd w:id="947"/>
      <w:bookmarkStart w:id="949" w:name="_Toc78803402"/>
      <w:r>
        <w:rPr>
          <w:rFonts w:hint="eastAsia"/>
          <w:color w:val="auto"/>
          <w:sz w:val="32"/>
          <w:szCs w:val="32"/>
          <w:highlight w:val="none"/>
          <w:lang w:eastAsia="zh-CN"/>
        </w:rPr>
        <w:t>（</w:t>
      </w:r>
      <w:r>
        <w:rPr>
          <w:rFonts w:hint="eastAsia"/>
          <w:color w:val="auto"/>
          <w:sz w:val="32"/>
          <w:szCs w:val="32"/>
          <w:highlight w:val="none"/>
          <w:lang w:val="en-US" w:eastAsia="zh-CN"/>
        </w:rPr>
        <w:t>2</w:t>
      </w:r>
      <w:r>
        <w:rPr>
          <w:rFonts w:hint="eastAsia"/>
          <w:color w:val="auto"/>
          <w:sz w:val="32"/>
          <w:szCs w:val="32"/>
          <w:highlight w:val="none"/>
          <w:lang w:eastAsia="zh-CN"/>
        </w:rPr>
        <w:t>）</w:t>
      </w:r>
      <w:r>
        <w:rPr>
          <w:rFonts w:hint="eastAsia"/>
          <w:color w:val="auto"/>
          <w:highlight w:val="none"/>
        </w:rPr>
        <w:t>工程量清单报价</w:t>
      </w:r>
      <w:r>
        <w:rPr>
          <w:rFonts w:hint="eastAsia"/>
          <w:color w:val="auto"/>
          <w:highlight w:val="none"/>
          <w:lang w:val="en-US" w:eastAsia="zh-CN"/>
        </w:rPr>
        <w:t>表</w:t>
      </w:r>
    </w:p>
    <w:tbl>
      <w:tblPr>
        <w:tblStyle w:val="47"/>
        <w:tblW w:w="10757" w:type="dxa"/>
        <w:tblInd w:w="-4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1162"/>
        <w:gridCol w:w="1138"/>
        <w:gridCol w:w="4608"/>
        <w:gridCol w:w="489"/>
        <w:gridCol w:w="955"/>
        <w:gridCol w:w="846"/>
        <w:gridCol w:w="846"/>
      </w:tblGrid>
      <w:tr w14:paraId="3A9B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713"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405627B">
            <w:pPr>
              <w:keepNext w:val="0"/>
              <w:keepLines w:val="0"/>
              <w:widowControl/>
              <w:suppressLineNumbers w:val="0"/>
              <w:jc w:val="center"/>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序号</w:t>
            </w:r>
          </w:p>
        </w:tc>
        <w:tc>
          <w:tcPr>
            <w:tcW w:w="116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26458C">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项目编码</w:t>
            </w:r>
          </w:p>
        </w:tc>
        <w:tc>
          <w:tcPr>
            <w:tcW w:w="113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56443E2">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清单名称</w:t>
            </w:r>
          </w:p>
        </w:tc>
        <w:tc>
          <w:tcPr>
            <w:tcW w:w="460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92A1D61">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清单特征</w:t>
            </w:r>
          </w:p>
        </w:tc>
        <w:tc>
          <w:tcPr>
            <w:tcW w:w="48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BD31502">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单位</w:t>
            </w:r>
          </w:p>
        </w:tc>
        <w:tc>
          <w:tcPr>
            <w:tcW w:w="9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9C98AD4">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工程量</w:t>
            </w:r>
          </w:p>
        </w:tc>
        <w:tc>
          <w:tcPr>
            <w:tcW w:w="84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2975470">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综合单价（元）</w:t>
            </w:r>
          </w:p>
        </w:tc>
        <w:tc>
          <w:tcPr>
            <w:tcW w:w="84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471CF7A">
            <w:pPr>
              <w:jc w:val="center"/>
              <w:rPr>
                <w:rFonts w:hint="eastAsia" w:ascii="黑体" w:hAnsi="宋体" w:eastAsia="黑体" w:cs="黑体"/>
                <w:i w:val="0"/>
                <w:iCs w:val="0"/>
                <w:color w:val="auto"/>
                <w:sz w:val="21"/>
                <w:szCs w:val="21"/>
                <w:highlight w:val="none"/>
                <w:u w:val="none"/>
                <w:lang w:val="en-US" w:eastAsia="zh-CN"/>
              </w:rPr>
            </w:pPr>
            <w:r>
              <w:rPr>
                <w:rFonts w:hint="eastAsia" w:ascii="黑体" w:hAnsi="宋体" w:eastAsia="黑体" w:cs="黑体"/>
                <w:i w:val="0"/>
                <w:iCs w:val="0"/>
                <w:color w:val="auto"/>
                <w:sz w:val="21"/>
                <w:szCs w:val="21"/>
                <w:highlight w:val="none"/>
                <w:u w:val="none"/>
                <w:lang w:val="en-US" w:eastAsia="zh-CN"/>
              </w:rPr>
              <w:t>合计（元）</w:t>
            </w:r>
          </w:p>
        </w:tc>
      </w:tr>
      <w:tr w14:paraId="0144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9" w:hRule="atLeast"/>
        </w:trPr>
        <w:tc>
          <w:tcPr>
            <w:tcW w:w="7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0E6C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3F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050101010001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41E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整理绿化用地</w:t>
            </w:r>
          </w:p>
        </w:tc>
        <w:tc>
          <w:tcPr>
            <w:tcW w:w="4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EFC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1、整理绿化用地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2、取土运距：自行考虑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3、包含清理表土及垃圾，清理后表土及垃圾外运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4、其他未尽事宜详见图纸、图集、答疑、招标文件、政府相关文件、规范等其他资料，满足验收要求</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1A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C27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14141.6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9E7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BBC5">
            <w:pPr>
              <w:jc w:val="right"/>
              <w:rPr>
                <w:rFonts w:hint="eastAsia" w:ascii="宋体" w:hAnsi="宋体" w:eastAsia="宋体" w:cs="宋体"/>
                <w:i w:val="0"/>
                <w:iCs w:val="0"/>
                <w:color w:val="auto"/>
                <w:sz w:val="21"/>
                <w:szCs w:val="21"/>
                <w:highlight w:val="none"/>
                <w:u w:val="none"/>
              </w:rPr>
            </w:pPr>
          </w:p>
        </w:tc>
      </w:tr>
      <w:tr w14:paraId="5470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7" w:hRule="atLeast"/>
        </w:trPr>
        <w:tc>
          <w:tcPr>
            <w:tcW w:w="7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6052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52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050101009001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8FE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种植土回（换）填</w:t>
            </w:r>
          </w:p>
        </w:tc>
        <w:tc>
          <w:tcPr>
            <w:tcW w:w="4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BDB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1．回填土质要求：满足设计要求（营养土）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2．取土运距：自行考虑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3．回填厚度：10cm厚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自行勘察现场，自行考虑场地杂草、树木等的清理、迁移费用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其他未尽事宜详见图纸、图集、答疑、招标文件、政府相关文件、规范等其他资料，满足验收要求</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63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EF9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1414.16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E2F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88D7">
            <w:pPr>
              <w:jc w:val="right"/>
              <w:rPr>
                <w:rFonts w:hint="eastAsia" w:ascii="宋体" w:hAnsi="宋体" w:eastAsia="宋体" w:cs="宋体"/>
                <w:i w:val="0"/>
                <w:iCs w:val="0"/>
                <w:color w:val="auto"/>
                <w:sz w:val="21"/>
                <w:szCs w:val="21"/>
                <w:highlight w:val="none"/>
                <w:u w:val="none"/>
              </w:rPr>
            </w:pPr>
          </w:p>
        </w:tc>
      </w:tr>
      <w:tr w14:paraId="381E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4" w:hRule="atLeast"/>
        </w:trPr>
        <w:tc>
          <w:tcPr>
            <w:tcW w:w="7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3DEF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21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050102012004</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CDE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铺种草皮</w:t>
            </w:r>
          </w:p>
        </w:tc>
        <w:tc>
          <w:tcPr>
            <w:tcW w:w="4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421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1．草皮种类：矮生百慕大+秋季补播黑麦草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2．养护期：二级养护，成活养护1个月，日常养护11个月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3．其他未尽事宜详见图纸、图集、答疑、招标文件、政府相关文件、规范等其他资料，满足验收要求</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0C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831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14141.6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FB9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1D77">
            <w:pPr>
              <w:jc w:val="right"/>
              <w:rPr>
                <w:rFonts w:hint="eastAsia" w:ascii="宋体" w:hAnsi="宋体" w:eastAsia="宋体" w:cs="宋体"/>
                <w:i w:val="0"/>
                <w:iCs w:val="0"/>
                <w:color w:val="auto"/>
                <w:sz w:val="21"/>
                <w:szCs w:val="21"/>
                <w:highlight w:val="none"/>
                <w:u w:val="none"/>
              </w:rPr>
            </w:pPr>
          </w:p>
        </w:tc>
      </w:tr>
      <w:tr w14:paraId="034D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1875" w:type="dxa"/>
            <w:gridSpan w:val="2"/>
            <w:tcBorders>
              <w:top w:val="nil"/>
              <w:left w:val="single" w:color="000000" w:sz="8" w:space="0"/>
              <w:bottom w:val="single" w:color="000000" w:sz="8" w:space="0"/>
              <w:right w:val="single" w:color="000000" w:sz="4" w:space="0"/>
            </w:tcBorders>
            <w:shd w:val="clear" w:color="auto" w:fill="auto"/>
            <w:vAlign w:val="center"/>
          </w:tcPr>
          <w:p w14:paraId="432B1A59">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合计（1+2+3）</w:t>
            </w:r>
          </w:p>
        </w:tc>
        <w:tc>
          <w:tcPr>
            <w:tcW w:w="8882" w:type="dxa"/>
            <w:gridSpan w:val="6"/>
            <w:tcBorders>
              <w:top w:val="nil"/>
              <w:left w:val="single" w:color="000000" w:sz="4" w:space="0"/>
              <w:bottom w:val="single" w:color="000000" w:sz="8" w:space="0"/>
              <w:right w:val="single" w:color="000000" w:sz="4" w:space="0"/>
            </w:tcBorders>
            <w:shd w:val="clear" w:color="auto" w:fill="auto"/>
            <w:vAlign w:val="center"/>
          </w:tcPr>
          <w:p w14:paraId="6059C589">
            <w:pPr>
              <w:jc w:val="both"/>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大写：          元，小写：       元（填入投标函）</w:t>
            </w:r>
          </w:p>
        </w:tc>
      </w:tr>
    </w:tbl>
    <w:p w14:paraId="087AF73D">
      <w:pPr>
        <w:numPr>
          <w:ilvl w:val="0"/>
          <w:numId w:val="0"/>
        </w:numPr>
        <w:ind w:leftChars="200"/>
        <w:rPr>
          <w:rFonts w:hint="eastAsia"/>
          <w:color w:val="auto"/>
          <w:highlight w:val="none"/>
          <w:lang w:eastAsia="zh-CN"/>
        </w:rPr>
      </w:pPr>
    </w:p>
    <w:p w14:paraId="4C36CA04">
      <w:pPr>
        <w:adjustRightInd w:val="0"/>
        <w:snapToGrid w:val="0"/>
        <w:spacing w:line="560" w:lineRule="exact"/>
        <w:ind w:firstLine="4340" w:firstLineChars="1550"/>
        <w:rPr>
          <w:rFonts w:hint="eastAsia" w:ascii="宋体"/>
          <w:color w:val="auto"/>
          <w:sz w:val="28"/>
          <w:szCs w:val="28"/>
          <w:highlight w:val="non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294AE7C">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 xml:space="preserve">                                        年    月     日</w:t>
      </w:r>
    </w:p>
    <w:p w14:paraId="049591E1">
      <w:pPr>
        <w:rPr>
          <w:rFonts w:hint="eastAsia"/>
          <w:bCs/>
          <w:color w:val="auto"/>
          <w:szCs w:val="32"/>
          <w:highlight w:val="none"/>
        </w:rPr>
      </w:pPr>
    </w:p>
    <w:p w14:paraId="0295A78C">
      <w:pPr>
        <w:rPr>
          <w:rFonts w:hint="eastAsia"/>
          <w:bCs/>
          <w:color w:val="auto"/>
          <w:szCs w:val="32"/>
          <w:highlight w:val="none"/>
        </w:rPr>
      </w:pPr>
      <w:r>
        <w:rPr>
          <w:rFonts w:hint="eastAsia"/>
          <w:bCs/>
          <w:color w:val="auto"/>
          <w:szCs w:val="32"/>
          <w:highlight w:val="none"/>
        </w:rPr>
        <w:br w:type="page"/>
      </w:r>
    </w:p>
    <w:p w14:paraId="172B3F58">
      <w:pPr>
        <w:pStyle w:val="44"/>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十</w:t>
      </w:r>
      <w:r>
        <w:rPr>
          <w:rFonts w:hint="eastAsia"/>
          <w:bCs/>
          <w:color w:val="auto"/>
          <w:szCs w:val="32"/>
          <w:highlight w:val="none"/>
        </w:rPr>
        <w:t>章  招标单位、招标代理机构对本招标文件的确认</w:t>
      </w:r>
      <w:bookmarkEnd w:id="949"/>
    </w:p>
    <w:p w14:paraId="7D391125">
      <w:pPr>
        <w:pStyle w:val="20"/>
        <w:rPr>
          <w:color w:val="auto"/>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color w:val="auto"/>
                <w:sz w:val="30"/>
                <w:highlight w:val="none"/>
              </w:rPr>
            </w:pPr>
          </w:p>
          <w:p w14:paraId="3CB446EA">
            <w:pPr>
              <w:wordWrap w:val="0"/>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滁宁公司院内绿化提升工程</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安徽滁宁高速公路股份有限公司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任磊</w:t>
            </w:r>
            <w:r>
              <w:rPr>
                <w:rFonts w:hint="eastAsia" w:ascii="宋体" w:hAnsi="宋体" w:eastAsia="宋体" w:cs="Times New Roman"/>
                <w:color w:val="auto"/>
                <w:sz w:val="28"/>
                <w:szCs w:val="28"/>
                <w:highlight w:val="none"/>
                <w:lang w:val="en-US" w:eastAsia="zh-CN"/>
              </w:rPr>
              <w:t xml:space="preserve"> </w:t>
            </w:r>
          </w:p>
          <w:p w14:paraId="27CF026B">
            <w:pPr>
              <w:spacing w:line="56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val="en-US" w:eastAsia="zh-CN"/>
              </w:rPr>
              <w:t>0550-3568105</w:t>
            </w:r>
          </w:p>
          <w:p w14:paraId="01C3939A">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p>
          <w:p w14:paraId="01C406FE">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color w:val="auto"/>
                <w:sz w:val="28"/>
                <w:szCs w:val="28"/>
                <w:highlight w:val="none"/>
              </w:rPr>
            </w:pPr>
          </w:p>
          <w:p w14:paraId="3879E6FD">
            <w:pPr>
              <w:wordWrap w:val="0"/>
              <w:spacing w:line="560" w:lineRule="exact"/>
              <w:ind w:firstLine="560" w:firstLineChars="200"/>
              <w:rPr>
                <w:rFonts w:ascii="宋体" w:hAnsi="宋体"/>
                <w:color w:val="auto"/>
                <w:sz w:val="28"/>
                <w:szCs w:val="28"/>
                <w:highlight w:val="none"/>
              </w:rPr>
            </w:pPr>
          </w:p>
          <w:p w14:paraId="6BD2A618">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14:paraId="0DB51C41">
            <w:pPr>
              <w:spacing w:line="560" w:lineRule="exact"/>
              <w:ind w:firstLine="5880" w:firstLineChars="2100"/>
              <w:rPr>
                <w:rFonts w:ascii="宋体" w:hAnsi="宋体"/>
                <w:color w:val="auto"/>
                <w:sz w:val="28"/>
                <w:szCs w:val="28"/>
                <w:highlight w:val="none"/>
              </w:rPr>
            </w:pPr>
            <w:r>
              <w:rPr>
                <w:rFonts w:hint="eastAsia" w:ascii="宋体" w:hAnsi="宋体"/>
                <w:color w:val="auto"/>
                <w:sz w:val="28"/>
                <w:szCs w:val="28"/>
                <w:highlight w:val="none"/>
                <w:lang w:eastAsia="zh-CN"/>
              </w:rPr>
              <w:t>2026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p>
          <w:p w14:paraId="72A7FF77">
            <w:pPr>
              <w:pStyle w:val="14"/>
              <w:ind w:firstLine="420"/>
              <w:rPr>
                <w:color w:val="auto"/>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2080D8D4">
            <w:pPr>
              <w:spacing w:line="560" w:lineRule="exact"/>
              <w:ind w:firstLine="560" w:firstLineChars="200"/>
              <w:rPr>
                <w:rFonts w:ascii="宋体" w:hAnsi="宋体" w:cs="宋体"/>
                <w:color w:val="auto"/>
                <w:sz w:val="28"/>
                <w:szCs w:val="28"/>
                <w:highlight w:val="none"/>
              </w:rPr>
            </w:pPr>
          </w:p>
          <w:p w14:paraId="297A006E">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val="en-US" w:eastAsia="zh-CN"/>
              </w:rPr>
              <w:t>王芳</w:t>
            </w:r>
          </w:p>
          <w:p w14:paraId="47E8E678">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联系电话：0550-351951</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18955055067</w:t>
            </w:r>
          </w:p>
          <w:p w14:paraId="60018F68">
            <w:pPr>
              <w:spacing w:line="560" w:lineRule="exact"/>
              <w:ind w:firstLine="5040" w:firstLineChars="1800"/>
              <w:rPr>
                <w:rFonts w:ascii="宋体" w:hAnsi="宋体" w:cs="宋体"/>
                <w:color w:val="auto"/>
                <w:sz w:val="28"/>
                <w:szCs w:val="28"/>
                <w:highlight w:val="none"/>
              </w:rPr>
            </w:pPr>
          </w:p>
          <w:p w14:paraId="0781C8CF">
            <w:pPr>
              <w:spacing w:line="560" w:lineRule="exact"/>
              <w:ind w:firstLine="5460" w:firstLineChars="1950"/>
              <w:rPr>
                <w:rFonts w:ascii="宋体" w:hAnsi="宋体" w:cs="宋体"/>
                <w:color w:val="auto"/>
                <w:sz w:val="28"/>
                <w:szCs w:val="28"/>
                <w:highlight w:val="none"/>
              </w:rPr>
            </w:pPr>
          </w:p>
          <w:p w14:paraId="0A1FE158">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14:paraId="144B0D1C">
            <w:pPr>
              <w:spacing w:line="560" w:lineRule="exact"/>
              <w:ind w:firstLine="6020" w:firstLineChars="2150"/>
              <w:rPr>
                <w:rFonts w:ascii="宋体" w:hAnsi="宋体"/>
                <w:color w:val="auto"/>
                <w:sz w:val="28"/>
                <w:szCs w:val="28"/>
                <w:highlight w:val="none"/>
              </w:rPr>
            </w:pPr>
            <w:r>
              <w:rPr>
                <w:rFonts w:hint="eastAsia" w:ascii="宋体" w:hAnsi="宋体"/>
                <w:color w:val="auto"/>
                <w:sz w:val="28"/>
                <w:szCs w:val="28"/>
                <w:highlight w:val="none"/>
                <w:lang w:eastAsia="zh-CN"/>
              </w:rPr>
              <w:t>2026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p>
          <w:p w14:paraId="4EDF8AEB">
            <w:pPr>
              <w:pStyle w:val="14"/>
              <w:ind w:firstLine="420"/>
              <w:rPr>
                <w:color w:val="auto"/>
                <w:highlight w:val="none"/>
              </w:rPr>
            </w:pPr>
          </w:p>
        </w:tc>
      </w:tr>
    </w:tbl>
    <w:p w14:paraId="2D7DD9E9">
      <w:pPr>
        <w:rPr>
          <w:color w:val="auto"/>
          <w:highlight w:val="none"/>
        </w:rPr>
      </w:pPr>
      <w:r>
        <w:rPr>
          <w:color w:val="auto"/>
          <w:highlight w:val="none"/>
        </w:rPr>
        <w:br w:type="page"/>
      </w:r>
    </w:p>
    <w:p w14:paraId="034D9A8E">
      <w:pPr>
        <w:keepNext/>
        <w:keepLines/>
        <w:spacing w:before="200" w:after="200" w:line="600" w:lineRule="exact"/>
        <w:outlineLvl w:val="0"/>
        <w:rPr>
          <w:rFonts w:ascii="黑体" w:hAnsi="黑体" w:eastAsia="黑体"/>
          <w:b/>
          <w:bCs/>
          <w:color w:val="auto"/>
          <w:kern w:val="44"/>
          <w:sz w:val="28"/>
          <w:szCs w:val="28"/>
          <w:highlight w:val="none"/>
        </w:rPr>
      </w:pPr>
      <w:bookmarkStart w:id="950" w:name="OLE_LINK25"/>
      <w:bookmarkStart w:id="951" w:name="OLE_LINK24"/>
      <w:r>
        <w:rPr>
          <w:rFonts w:hint="eastAsia" w:ascii="黑体" w:hAnsi="黑体" w:eastAsia="黑体"/>
          <w:b/>
          <w:bCs/>
          <w:color w:val="auto"/>
          <w:kern w:val="44"/>
          <w:sz w:val="36"/>
          <w:szCs w:val="28"/>
          <w:highlight w:val="none"/>
        </w:rPr>
        <w:t>附件1 关于联合惩戒失信行为加强信用查询管理的通知</w:t>
      </w:r>
    </w:p>
    <w:p w14:paraId="7D78D1E5">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2BD7121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28C6AAAB">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950"/>
    <w:bookmarkEnd w:id="951"/>
    <w:p w14:paraId="7F29E75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952" w:name="OLE_LINK103"/>
      <w:bookmarkStart w:id="953" w:name="OLE_LINK92"/>
      <w:bookmarkStart w:id="954" w:name="OLE_LINK91"/>
      <w:bookmarkStart w:id="955" w:name="OLE_LINK93"/>
      <w:r>
        <w:rPr>
          <w:rFonts w:hint="eastAsia" w:ascii="仿宋_GB2312" w:hAnsi="宋体" w:eastAsia="仿宋_GB2312"/>
          <w:color w:val="auto"/>
          <w:sz w:val="28"/>
          <w:szCs w:val="28"/>
          <w:highlight w:val="none"/>
        </w:rPr>
        <w:t>投标人、法定代表人及其项目经理(建造师)</w:t>
      </w:r>
      <w:bookmarkEnd w:id="952"/>
      <w:bookmarkEnd w:id="953"/>
      <w:bookmarkEnd w:id="954"/>
      <w:bookmarkEnd w:id="955"/>
      <w:r>
        <w:rPr>
          <w:rFonts w:hint="eastAsia" w:ascii="仿宋_GB2312" w:hAnsi="宋体" w:eastAsia="仿宋_GB2312"/>
          <w:color w:val="auto"/>
          <w:sz w:val="28"/>
          <w:szCs w:val="28"/>
          <w:highlight w:val="none"/>
        </w:rPr>
        <w:t>以下失信行为：</w:t>
      </w:r>
    </w:p>
    <w:p w14:paraId="39E02CAC">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956" w:name="OLE_LINK119"/>
      <w:bookmarkStart w:id="957" w:name="OLE_LINK21"/>
      <w:bookmarkStart w:id="958" w:name="OLE_LINK86"/>
      <w:bookmarkStart w:id="959" w:name="OLE_LINK94"/>
      <w:bookmarkStart w:id="960" w:name="OLE_LINK87"/>
      <w:r>
        <w:rPr>
          <w:rFonts w:hint="eastAsia" w:ascii="仿宋_GB2312" w:hAnsi="宋体" w:eastAsia="仿宋_GB2312"/>
          <w:color w:val="auto"/>
          <w:sz w:val="28"/>
          <w:szCs w:val="28"/>
          <w:highlight w:val="none"/>
        </w:rPr>
        <w:t>①被列入“失信被执行人”的;</w:t>
      </w:r>
    </w:p>
    <w:p w14:paraId="7047C0E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961" w:name="OLE_LINK115"/>
      <w:bookmarkStart w:id="962" w:name="OLE_LINK118"/>
      <w:bookmarkStart w:id="963" w:name="OLE_LINK117"/>
      <w:bookmarkStart w:id="964" w:name="OLE_LINK116"/>
      <w:r>
        <w:rPr>
          <w:rFonts w:hint="eastAsia" w:ascii="仿宋_GB2312" w:hAnsi="宋体" w:eastAsia="仿宋_GB2312"/>
          <w:color w:val="auto"/>
          <w:sz w:val="28"/>
          <w:szCs w:val="28"/>
          <w:highlight w:val="none"/>
        </w:rPr>
        <w:t>“重大税收违法失信主体”</w:t>
      </w:r>
      <w:bookmarkEnd w:id="961"/>
      <w:bookmarkEnd w:id="962"/>
      <w:bookmarkEnd w:id="963"/>
      <w:bookmarkEnd w:id="964"/>
      <w:r>
        <w:rPr>
          <w:rFonts w:hint="eastAsia" w:ascii="仿宋_GB2312" w:hAnsi="宋体" w:eastAsia="仿宋_GB2312"/>
          <w:color w:val="auto"/>
          <w:sz w:val="28"/>
          <w:szCs w:val="28"/>
          <w:highlight w:val="none"/>
        </w:rPr>
        <w:t>的；</w:t>
      </w:r>
    </w:p>
    <w:p w14:paraId="7DC992D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965" w:name="OLE_LINK84"/>
      <w:bookmarkStart w:id="966" w:name="OLE_LINK85"/>
      <w:r>
        <w:rPr>
          <w:rFonts w:hint="eastAsia" w:ascii="仿宋_GB2312" w:hAnsi="宋体" w:eastAsia="仿宋_GB2312"/>
          <w:color w:val="auto"/>
          <w:sz w:val="28"/>
          <w:szCs w:val="28"/>
          <w:highlight w:val="none"/>
        </w:rPr>
        <w:t>农民工工资失信联合惩戒对象</w:t>
      </w:r>
      <w:bookmarkEnd w:id="965"/>
      <w:bookmarkEnd w:id="966"/>
      <w:r>
        <w:rPr>
          <w:rFonts w:hint="eastAsia" w:ascii="仿宋_GB2312" w:hAnsi="宋体" w:eastAsia="仿宋_GB2312"/>
          <w:color w:val="auto"/>
          <w:sz w:val="28"/>
          <w:szCs w:val="28"/>
          <w:highlight w:val="none"/>
        </w:rPr>
        <w:t>名单”的；</w:t>
      </w:r>
    </w:p>
    <w:p w14:paraId="43D5EFC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7F86043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956"/>
    <w:bookmarkEnd w:id="957"/>
    <w:bookmarkEnd w:id="958"/>
    <w:bookmarkEnd w:id="959"/>
    <w:bookmarkEnd w:id="960"/>
    <w:p w14:paraId="1B61F2E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967" w:name="OLE_LINK130"/>
      <w:r>
        <w:rPr>
          <w:rFonts w:hint="eastAsia" w:ascii="仿宋_GB2312" w:hAnsi="宋体" w:eastAsia="仿宋_GB2312"/>
          <w:color w:val="auto"/>
          <w:sz w:val="28"/>
          <w:szCs w:val="28"/>
          <w:highlight w:val="none"/>
        </w:rPr>
        <w:t>国家企业信用信息公示系统网站</w:t>
      </w:r>
      <w:bookmarkEnd w:id="967"/>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968" w:name="OLE_LINK89"/>
      <w:bookmarkStart w:id="969" w:name="OLE_LINK90"/>
      <w:r>
        <w:rPr>
          <w:rStyle w:val="58"/>
          <w:rFonts w:hint="eastAsia" w:ascii="仿宋_GB2312" w:hAnsi="宋体" w:eastAsia="仿宋_GB2312"/>
          <w:color w:val="auto"/>
          <w:sz w:val="28"/>
          <w:szCs w:val="28"/>
          <w:highlight w:val="none"/>
        </w:rPr>
        <w:t>www.gsxt.gov.cn</w:t>
      </w:r>
      <w:bookmarkEnd w:id="968"/>
      <w:bookmarkEnd w:id="969"/>
      <w:r>
        <w:rPr>
          <w:rStyle w:val="58"/>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2345EFB3">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970" w:name="OLE_LINK120"/>
      <w:bookmarkStart w:id="971" w:name="OLE_LINK122"/>
      <w:bookmarkStart w:id="972" w:name="OLE_LINK121"/>
      <w:r>
        <w:rPr>
          <w:rFonts w:hint="eastAsia" w:ascii="仿宋_GB2312" w:hAnsi="宋体" w:eastAsia="仿宋_GB2312"/>
          <w:color w:val="auto"/>
          <w:sz w:val="28"/>
          <w:szCs w:val="28"/>
          <w:highlight w:val="none"/>
        </w:rPr>
        <w:t>①被列入“经营异常名录”或者“严重违法失信名单”的。</w:t>
      </w:r>
      <w:bookmarkEnd w:id="970"/>
      <w:bookmarkEnd w:id="971"/>
      <w:bookmarkEnd w:id="972"/>
    </w:p>
    <w:p w14:paraId="034FA39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003358AB">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973" w:name="OLE_LINK124"/>
      <w:bookmarkStart w:id="974"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3967021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4FBE87E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5AD426C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975" w:name="OLE_LINK107"/>
      <w:bookmarkStart w:id="976" w:name="OLE_LINK108"/>
      <w:r>
        <w:rPr>
          <w:rFonts w:hint="eastAsia" w:ascii="仿宋_GB2312" w:hAnsi="宋体" w:eastAsia="仿宋_GB2312"/>
          <w:color w:val="auto"/>
          <w:sz w:val="28"/>
          <w:szCs w:val="28"/>
          <w:highlight w:val="none"/>
        </w:rPr>
        <w:t>县级及以上有关行政主管部门限制投标资格且在限制期限内的</w:t>
      </w:r>
      <w:bookmarkEnd w:id="975"/>
      <w:bookmarkEnd w:id="976"/>
      <w:r>
        <w:rPr>
          <w:rFonts w:hint="eastAsia" w:ascii="仿宋_GB2312" w:hAnsi="宋体" w:eastAsia="仿宋_GB2312"/>
          <w:color w:val="auto"/>
          <w:sz w:val="28"/>
          <w:szCs w:val="28"/>
          <w:highlight w:val="none"/>
        </w:rPr>
        <w:t>；</w:t>
      </w:r>
    </w:p>
    <w:p w14:paraId="3C3CBF7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973"/>
    <w:bookmarkEnd w:id="974"/>
    <w:p w14:paraId="374AA87B">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4C8C011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58"/>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66110A55">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7690530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224CBA4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19BC191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2673F94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3F17E67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58"/>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3D63D8A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977" w:name="OLE_LINK100"/>
      <w:bookmarkStart w:id="978" w:name="OLE_LINK101"/>
      <w:bookmarkStart w:id="979" w:name="OLE_LINK102"/>
      <w:r>
        <w:rPr>
          <w:rFonts w:hint="eastAsia" w:ascii="仿宋_GB2312" w:hAnsi="宋体" w:eastAsia="仿宋_GB2312"/>
          <w:color w:val="auto"/>
          <w:sz w:val="28"/>
          <w:szCs w:val="28"/>
          <w:highlight w:val="none"/>
        </w:rPr>
        <w:t>被列入“经营异常名录”或者“严重违法失信名单”的</w:t>
      </w:r>
      <w:bookmarkEnd w:id="977"/>
      <w:bookmarkEnd w:id="978"/>
      <w:bookmarkEnd w:id="979"/>
      <w:r>
        <w:rPr>
          <w:rFonts w:hint="eastAsia" w:ascii="仿宋_GB2312" w:hAnsi="宋体" w:eastAsia="仿宋_GB2312"/>
          <w:color w:val="auto"/>
          <w:sz w:val="28"/>
          <w:szCs w:val="28"/>
          <w:highlight w:val="none"/>
        </w:rPr>
        <w:t>。</w:t>
      </w:r>
    </w:p>
    <w:p w14:paraId="5C07D31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980" w:name="OLE_LINK96"/>
      <w:bookmarkStart w:id="981"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58"/>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980"/>
      <w:bookmarkEnd w:id="981"/>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2C0E0F88">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982" w:name="OLE_LINK106"/>
      <w:bookmarkStart w:id="983" w:name="OLE_LINK104"/>
      <w:bookmarkStart w:id="984" w:name="OLE_LINK105"/>
      <w:r>
        <w:rPr>
          <w:rFonts w:hint="eastAsia" w:ascii="仿宋_GB2312" w:hAnsi="宋体" w:eastAsia="仿宋_GB2312"/>
          <w:color w:val="auto"/>
          <w:sz w:val="28"/>
          <w:szCs w:val="28"/>
          <w:highlight w:val="none"/>
        </w:rPr>
        <w:t>被列入“政府采购严重违法失信行为信息记录”的</w:t>
      </w:r>
      <w:bookmarkEnd w:id="982"/>
      <w:bookmarkEnd w:id="983"/>
      <w:bookmarkEnd w:id="984"/>
      <w:r>
        <w:rPr>
          <w:rFonts w:hint="eastAsia" w:ascii="仿宋_GB2312" w:hAnsi="宋体" w:eastAsia="仿宋_GB2312" w:cs="楷体"/>
          <w:color w:val="auto"/>
          <w:sz w:val="28"/>
          <w:szCs w:val="28"/>
          <w:highlight w:val="none"/>
        </w:rPr>
        <w:t>。</w:t>
      </w:r>
    </w:p>
    <w:p w14:paraId="3AE2308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04F6184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4C55428A">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1BF8CF4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0E7CEF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D8223D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3CA3F24E">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1E376C0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5F921B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3C0FF21">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58"/>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BF6EE59">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0B92108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249D7A08">
      <w:pPr>
        <w:ind w:right="960"/>
        <w:rPr>
          <w:rFonts w:hint="eastAsia" w:ascii="仿宋" w:hAnsi="仿宋" w:eastAsia="仿宋"/>
          <w:color w:val="auto"/>
          <w:sz w:val="32"/>
          <w:szCs w:val="32"/>
          <w:highlight w:val="none"/>
        </w:rPr>
      </w:pPr>
    </w:p>
    <w:p w14:paraId="6A4FB55B">
      <w:pPr>
        <w:ind w:right="960"/>
        <w:rPr>
          <w:rFonts w:hint="eastAsia" w:ascii="仿宋" w:hAnsi="仿宋" w:eastAsia="仿宋"/>
          <w:color w:val="auto"/>
          <w:sz w:val="32"/>
          <w:szCs w:val="32"/>
          <w:highlight w:val="none"/>
        </w:rPr>
      </w:pPr>
    </w:p>
    <w:p w14:paraId="249B4F5E">
      <w:pPr>
        <w:ind w:right="960"/>
        <w:rPr>
          <w:rFonts w:hint="eastAsia" w:ascii="仿宋" w:hAnsi="仿宋" w:eastAsia="仿宋"/>
          <w:color w:val="auto"/>
          <w:sz w:val="32"/>
          <w:szCs w:val="32"/>
          <w:highlight w:val="none"/>
        </w:rPr>
      </w:pPr>
    </w:p>
    <w:p w14:paraId="67A9ADF0">
      <w:pPr>
        <w:ind w:right="960"/>
        <w:rPr>
          <w:rFonts w:hint="eastAsia" w:ascii="仿宋" w:hAnsi="仿宋" w:eastAsia="仿宋"/>
          <w:color w:val="auto"/>
          <w:sz w:val="32"/>
          <w:szCs w:val="32"/>
          <w:highlight w:val="none"/>
        </w:rPr>
      </w:pPr>
    </w:p>
    <w:p w14:paraId="3FEE74D5">
      <w:pPr>
        <w:ind w:right="960"/>
        <w:rPr>
          <w:rFonts w:hint="eastAsia" w:ascii="仿宋" w:hAnsi="仿宋" w:eastAsia="仿宋"/>
          <w:color w:val="auto"/>
          <w:sz w:val="32"/>
          <w:szCs w:val="32"/>
          <w:highlight w:val="none"/>
        </w:rPr>
      </w:pPr>
    </w:p>
    <w:p w14:paraId="7AF46EEF">
      <w:pPr>
        <w:ind w:right="960"/>
        <w:rPr>
          <w:rFonts w:hint="eastAsia" w:ascii="仿宋" w:hAnsi="仿宋" w:eastAsia="仿宋"/>
          <w:color w:val="auto"/>
          <w:sz w:val="32"/>
          <w:szCs w:val="32"/>
          <w:highlight w:val="none"/>
        </w:rPr>
      </w:pPr>
    </w:p>
    <w:p w14:paraId="687E9AFF">
      <w:pPr>
        <w:ind w:right="960"/>
        <w:rPr>
          <w:rFonts w:hint="eastAsia" w:ascii="仿宋" w:hAnsi="仿宋" w:eastAsia="仿宋"/>
          <w:color w:val="auto"/>
          <w:sz w:val="32"/>
          <w:szCs w:val="32"/>
          <w:highlight w:val="none"/>
        </w:rPr>
      </w:pPr>
    </w:p>
    <w:p w14:paraId="0D7FF19D">
      <w:pPr>
        <w:ind w:right="960"/>
        <w:rPr>
          <w:rFonts w:hint="eastAsia" w:ascii="仿宋" w:hAnsi="仿宋" w:eastAsia="仿宋"/>
          <w:color w:val="auto"/>
          <w:sz w:val="32"/>
          <w:szCs w:val="32"/>
          <w:highlight w:val="none"/>
        </w:rPr>
      </w:pPr>
    </w:p>
    <w:p w14:paraId="061F0099">
      <w:pPr>
        <w:pStyle w:val="14"/>
        <w:rPr>
          <w:rFonts w:hint="eastAsia"/>
          <w:color w:val="auto"/>
          <w:highlight w:val="none"/>
        </w:rPr>
      </w:pPr>
    </w:p>
    <w:p w14:paraId="2100EB53">
      <w:pPr>
        <w:rPr>
          <w:color w:val="auto"/>
          <w:highlight w:val="none"/>
        </w:rPr>
      </w:pPr>
    </w:p>
    <w:p w14:paraId="2D5FFC9A">
      <w:pPr>
        <w:pStyle w:val="14"/>
        <w:rPr>
          <w:color w:val="auto"/>
          <w:highlight w:val="none"/>
        </w:rPr>
      </w:pPr>
    </w:p>
    <w:p w14:paraId="034683CA">
      <w:pPr>
        <w:rPr>
          <w:color w:val="auto"/>
          <w:highlight w:val="none"/>
        </w:rPr>
      </w:pPr>
    </w:p>
    <w:p w14:paraId="19A45D62">
      <w:pPr>
        <w:pStyle w:val="14"/>
        <w:rPr>
          <w:color w:val="auto"/>
          <w:highlight w:val="none"/>
        </w:rPr>
      </w:pPr>
    </w:p>
    <w:p w14:paraId="1927032A">
      <w:pPr>
        <w:rPr>
          <w:color w:val="auto"/>
          <w:highlight w:val="none"/>
        </w:rPr>
      </w:pPr>
    </w:p>
    <w:p w14:paraId="2F2382EE">
      <w:pPr>
        <w:pStyle w:val="14"/>
        <w:rPr>
          <w:color w:val="auto"/>
          <w:highlight w:val="none"/>
        </w:rPr>
      </w:pPr>
    </w:p>
    <w:p w14:paraId="55C6220E">
      <w:pPr>
        <w:rPr>
          <w:color w:val="auto"/>
          <w:highlight w:val="none"/>
        </w:rPr>
      </w:pPr>
    </w:p>
    <w:p w14:paraId="1FC6910E">
      <w:pPr>
        <w:ind w:right="960"/>
        <w:rPr>
          <w:rFonts w:ascii="仿宋" w:hAnsi="仿宋" w:eastAsia="仿宋"/>
          <w:color w:val="auto"/>
          <w:sz w:val="32"/>
          <w:szCs w:val="32"/>
          <w:highlight w:val="none"/>
        </w:rPr>
      </w:pPr>
    </w:p>
    <w:p w14:paraId="5C6A6E33">
      <w:pPr>
        <w:keepNext/>
        <w:keepLines/>
        <w:spacing w:before="200" w:after="200" w:line="600" w:lineRule="exact"/>
        <w:outlineLvl w:val="0"/>
        <w:rPr>
          <w:rFonts w:hint="eastAsia" w:ascii="黑体" w:hAnsi="黑体" w:eastAsia="黑体"/>
          <w:b/>
          <w:bCs/>
          <w:color w:val="auto"/>
          <w:kern w:val="44"/>
          <w:sz w:val="36"/>
          <w:szCs w:val="28"/>
          <w:highlight w:val="none"/>
        </w:rPr>
      </w:pPr>
      <w:bookmarkStart w:id="985" w:name="_Toc95223549"/>
      <w:bookmarkStart w:id="986" w:name="OLE_LINK41"/>
      <w:bookmarkStart w:id="987" w:name="OLE_LINK31"/>
      <w:r>
        <w:rPr>
          <w:rFonts w:hint="eastAsia" w:ascii="黑体" w:hAnsi="黑体" w:eastAsia="黑体"/>
          <w:b/>
          <w:bCs/>
          <w:color w:val="auto"/>
          <w:kern w:val="44"/>
          <w:sz w:val="36"/>
          <w:szCs w:val="28"/>
          <w:highlight w:val="none"/>
        </w:rPr>
        <w:t xml:space="preserve">附件2 </w:t>
      </w:r>
      <w:bookmarkStart w:id="988" w:name="OLE_LINK75"/>
      <w:bookmarkStart w:id="989" w:name="OLE_LINK74"/>
      <w:r>
        <w:rPr>
          <w:rFonts w:hint="eastAsia" w:ascii="黑体" w:hAnsi="黑体" w:eastAsia="黑体"/>
          <w:b/>
          <w:bCs/>
          <w:color w:val="auto"/>
          <w:kern w:val="44"/>
          <w:sz w:val="36"/>
          <w:szCs w:val="28"/>
          <w:highlight w:val="none"/>
        </w:rPr>
        <w:t>“信用中国”查询的严重失信行为</w:t>
      </w:r>
      <w:bookmarkStart w:id="990" w:name="OLE_LINK76"/>
      <w:bookmarkStart w:id="991" w:name="OLE_LINK38"/>
      <w:bookmarkStart w:id="992" w:name="OLE_LINK40"/>
      <w:bookmarkStart w:id="993" w:name="OLE_LINK39"/>
      <w:r>
        <w:rPr>
          <w:rFonts w:hint="eastAsia" w:ascii="黑体" w:hAnsi="黑体" w:eastAsia="黑体"/>
          <w:b/>
          <w:bCs/>
          <w:color w:val="auto"/>
          <w:kern w:val="44"/>
          <w:sz w:val="36"/>
          <w:szCs w:val="28"/>
          <w:highlight w:val="none"/>
        </w:rPr>
        <w:t>类别及判定依据</w:t>
      </w:r>
      <w:bookmarkEnd w:id="985"/>
      <w:bookmarkEnd w:id="988"/>
      <w:bookmarkEnd w:id="989"/>
      <w:bookmarkEnd w:id="990"/>
      <w:bookmarkEnd w:id="991"/>
      <w:bookmarkEnd w:id="992"/>
      <w:bookmarkEnd w:id="993"/>
    </w:p>
    <w:bookmarkEnd w:id="986"/>
    <w:bookmarkEnd w:id="987"/>
    <w:p w14:paraId="628BE8C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2F1F6A7C">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25EB275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00AB77B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333E6C2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7B8C2E1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7CCF81C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3783DCB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4C878CC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7DF570C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2923941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5EF465D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531E655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3CA155C7">
      <w:pPr>
        <w:adjustRightInd w:val="0"/>
        <w:snapToGrid w:val="0"/>
        <w:spacing w:line="560" w:lineRule="exact"/>
        <w:ind w:firstLine="645"/>
        <w:jc w:val="left"/>
        <w:rPr>
          <w:rFonts w:hint="eastAsia"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7A1EC75C">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51C84A1C">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1F64C3A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24F90AF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289B4A6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7100E25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41C35C8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6286EC3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4D5E504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4DD2392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64D9193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1075BC1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2E70139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283F36D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0A4ECC2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0CC1D9A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29D35320">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依据：《关于对环境保护领域失信生产经营单位及其有关人员开展联合惩戒的合作备忘录》、《</w:t>
      </w:r>
      <w:bookmarkStart w:id="994" w:name="OLE_LINK12"/>
      <w:r>
        <w:rPr>
          <w:rFonts w:hint="eastAsia" w:ascii="仿宋_GB2312" w:hAnsi="宋体" w:eastAsia="仿宋_GB2312"/>
          <w:b/>
          <w:color w:val="auto"/>
          <w:sz w:val="28"/>
          <w:szCs w:val="28"/>
          <w:highlight w:val="none"/>
        </w:rPr>
        <w:t>企业环境信用评价办法（试行）</w:t>
      </w:r>
      <w:bookmarkEnd w:id="994"/>
      <w:r>
        <w:rPr>
          <w:rFonts w:hint="eastAsia" w:ascii="仿宋_GB2312" w:hAnsi="宋体" w:eastAsia="仿宋_GB2312"/>
          <w:b/>
          <w:color w:val="auto"/>
          <w:sz w:val="28"/>
          <w:szCs w:val="28"/>
          <w:highlight w:val="none"/>
        </w:rPr>
        <w:t>》（环发〔2013〕150号）</w:t>
      </w:r>
    </w:p>
    <w:p w14:paraId="40AE7F7B">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2A4C250A">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728DBF8E">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667DBF9D">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E87BD1E">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4077E94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3DFC823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0943AFF2">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315DDD54">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77131B6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AB2229C">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168C24E3">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A6D6C8">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7127FAC0">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344AB44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033427C">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D627371">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3842F2E3">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767271E7">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FD9B2FD">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5AEF4A25">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1DE2E9D9">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995" w:name="OLE_LINK13"/>
      <w:r>
        <w:rPr>
          <w:rFonts w:hint="eastAsia" w:ascii="仿宋_GB2312" w:hAnsi="宋体" w:eastAsia="仿宋_GB2312"/>
          <w:b/>
          <w:color w:val="auto"/>
          <w:sz w:val="28"/>
          <w:szCs w:val="28"/>
          <w:highlight w:val="none"/>
        </w:rPr>
        <w:t>关于对公共资源交易领域严重失信主体开展联合惩戒的备忘录</w:t>
      </w:r>
      <w:bookmarkEnd w:id="995"/>
      <w:r>
        <w:rPr>
          <w:rFonts w:hint="eastAsia" w:ascii="仿宋_GB2312" w:hAnsi="宋体" w:eastAsia="仿宋_GB2312"/>
          <w:b/>
          <w:color w:val="auto"/>
          <w:sz w:val="28"/>
          <w:szCs w:val="28"/>
          <w:highlight w:val="none"/>
        </w:rPr>
        <w:t>》（发改法规〔2018〕457号）</w:t>
      </w:r>
    </w:p>
    <w:p w14:paraId="5F50F06C">
      <w:pPr>
        <w:adjustRightInd w:val="0"/>
        <w:snapToGrid w:val="0"/>
        <w:spacing w:line="560" w:lineRule="exact"/>
        <w:ind w:firstLine="645"/>
        <w:jc w:val="left"/>
        <w:rPr>
          <w:rFonts w:hint="eastAsia" w:ascii="仿宋_GB2312" w:hAnsi="宋体" w:eastAsia="仿宋_GB2312"/>
          <w:color w:val="auto"/>
          <w:sz w:val="28"/>
          <w:szCs w:val="28"/>
          <w:highlight w:val="none"/>
        </w:rPr>
      </w:pPr>
    </w:p>
    <w:p w14:paraId="7EABA4A8">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45C93F7D">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2EEC539A">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7DF3259F">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6AA46D6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7ADBED04">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0107A6CA">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2378E82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688D696E">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400396C9">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787E64C2">
      <w:pPr>
        <w:adjustRightInd w:val="0"/>
        <w:snapToGrid w:val="0"/>
        <w:spacing w:line="560" w:lineRule="exact"/>
        <w:ind w:firstLine="551" w:firstLineChars="196"/>
        <w:jc w:val="left"/>
        <w:rPr>
          <w:rFonts w:hint="eastAsia"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依据：《关于对社会保险领域严重失信企业及其有关人员实施联合惩戒的合作备忘录》（发改财金〔2018〕1704号）</w:t>
      </w:r>
    </w:p>
    <w:p w14:paraId="11D7DDFD">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4070699D">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2111A551">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78D3179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1684216C">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522B82F8">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23450082">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A48083A">
      <w:pPr>
        <w:ind w:firstLine="562" w:firstLineChars="200"/>
        <w:jc w:val="left"/>
        <w:rPr>
          <w:rFonts w:hint="eastAsia"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996" w:name="OLE_LINK18"/>
      <w:r>
        <w:rPr>
          <w:rFonts w:hint="eastAsia" w:ascii="仿宋_GB2312" w:hAnsi="Calibri" w:eastAsia="仿宋_GB2312"/>
          <w:b/>
          <w:color w:val="auto"/>
          <w:sz w:val="28"/>
          <w:szCs w:val="28"/>
          <w:highlight w:val="none"/>
        </w:rPr>
        <w:t>建筑市场信用管理暂行办法</w:t>
      </w:r>
      <w:bookmarkEnd w:id="996"/>
      <w:r>
        <w:rPr>
          <w:rFonts w:hint="eastAsia" w:ascii="仿宋_GB2312" w:hAnsi="Calibri" w:eastAsia="仿宋_GB2312"/>
          <w:b/>
          <w:color w:val="auto"/>
          <w:sz w:val="28"/>
          <w:szCs w:val="28"/>
          <w:highlight w:val="none"/>
        </w:rPr>
        <w:t>》（建市〔2017〕241号）</w:t>
      </w:r>
    </w:p>
    <w:p w14:paraId="0AD755F2">
      <w:pPr>
        <w:adjustRightInd w:val="0"/>
        <w:snapToGrid w:val="0"/>
        <w:spacing w:line="560" w:lineRule="exact"/>
        <w:rPr>
          <w:rFonts w:hint="eastAsia" w:ascii="仿宋_GB2312" w:hAnsi="宋体" w:eastAsia="仿宋_GB2312"/>
          <w:b/>
          <w:color w:val="auto"/>
          <w:sz w:val="28"/>
          <w:szCs w:val="28"/>
          <w:highlight w:val="none"/>
        </w:rPr>
      </w:pPr>
    </w:p>
    <w:p w14:paraId="01F2BFBF">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997" w:name="OLE_LINK19"/>
      <w:bookmarkStart w:id="998" w:name="OLE_LINK20"/>
      <w:r>
        <w:rPr>
          <w:rFonts w:hint="eastAsia" w:ascii="仿宋_GB2312" w:hAnsi="宋体" w:eastAsia="仿宋_GB2312"/>
          <w:b/>
          <w:color w:val="auto"/>
          <w:sz w:val="28"/>
          <w:szCs w:val="28"/>
          <w:highlight w:val="none"/>
        </w:rPr>
        <w:t>政府采购严重失信行为</w:t>
      </w:r>
      <w:bookmarkEnd w:id="997"/>
      <w:bookmarkEnd w:id="998"/>
    </w:p>
    <w:p w14:paraId="28483B0E">
      <w:pPr>
        <w:adjustRightInd w:val="0"/>
        <w:snapToGrid w:val="0"/>
        <w:spacing w:line="560" w:lineRule="exact"/>
        <w:ind w:firstLine="615"/>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16A3FFB2">
      <w:pPr>
        <w:adjustRightInd w:val="0"/>
        <w:snapToGrid w:val="0"/>
        <w:spacing w:line="560" w:lineRule="exact"/>
        <w:ind w:firstLine="562" w:firstLineChars="200"/>
        <w:jc w:val="left"/>
        <w:rPr>
          <w:rFonts w:hint="eastAsia"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224FA00F">
      <w:pPr>
        <w:adjustRightInd w:val="0"/>
        <w:snapToGrid w:val="0"/>
        <w:spacing w:line="560" w:lineRule="exact"/>
        <w:rPr>
          <w:rFonts w:hint="eastAsia" w:ascii="仿宋_GB2312" w:hAnsi="宋体" w:eastAsia="仿宋_GB2312"/>
          <w:b/>
          <w:color w:val="auto"/>
          <w:sz w:val="28"/>
          <w:szCs w:val="28"/>
          <w:highlight w:val="none"/>
        </w:rPr>
      </w:pPr>
    </w:p>
    <w:p w14:paraId="0A91B9BD">
      <w:pPr>
        <w:adjustRightInd w:val="0"/>
        <w:snapToGrid w:val="0"/>
        <w:spacing w:line="560" w:lineRule="exact"/>
        <w:ind w:firstLine="615"/>
        <w:rPr>
          <w:rFonts w:hint="eastAsia" w:ascii="仿宋_GB2312" w:hAnsi="Calibri"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715B92A1">
      <w:pPr>
        <w:pStyle w:val="14"/>
        <w:rPr>
          <w:color w:val="auto"/>
          <w:highlight w:val="none"/>
        </w:rPr>
      </w:pPr>
    </w:p>
    <w:sectPr>
      <w:headerReference r:id="rId13" w:type="default"/>
      <w:footerReference r:id="rId14"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9"/>
      <w:rPr>
        <w:rStyle w:val="51"/>
      </w:rPr>
    </w:pPr>
  </w:p>
  <w:p w14:paraId="5343591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76F67">
    <w:pPr>
      <w:pStyle w:val="29"/>
      <w:ind w:firstLine="400"/>
      <w:jc w:val="center"/>
      <w:rPr>
        <w:rFonts w:eastAsia="仿宋_GB2312"/>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0ED8F7">
                          <w:pPr>
                            <w:pStyle w:val="29"/>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1A0ED8F7">
                    <w:pPr>
                      <w:pStyle w:val="2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1CD7A">
    <w:pPr>
      <w:pStyle w:val="2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1CAAE">
    <w:pPr>
      <w:pStyle w:val="29"/>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3C10E8">
                          <w:pPr>
                            <w:pStyle w:val="29"/>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323C10E8">
                    <w:pPr>
                      <w:pStyle w:val="2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458EB">
    <w:pPr>
      <w:pStyle w:val="29"/>
      <w:ind w:firstLine="400"/>
      <w:jc w:val="center"/>
      <w:rPr>
        <w:rFonts w:eastAsia="仿宋_GB2312"/>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1262EF7">
                          <w:pPr>
                            <w:pStyle w:val="29"/>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71262EF7">
                    <w:pPr>
                      <w:pStyle w:val="2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3331">
    <w:pPr>
      <w:pStyle w:val="3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DBFDF">
    <w:pPr>
      <w:ind w:left="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3700A">
    <w:pPr>
      <w:pStyle w:val="3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D831">
    <w:pPr>
      <w:ind w:left="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6B6A7"/>
    <w:multiLevelType w:val="singleLevel"/>
    <w:tmpl w:val="AFA6B6A7"/>
    <w:lvl w:ilvl="0" w:tentative="0">
      <w:start w:val="1"/>
      <w:numFmt w:val="decimal"/>
      <w:suff w:val="nothing"/>
      <w:lvlText w:val="（%1）"/>
      <w:lvlJc w:val="left"/>
    </w:lvl>
  </w:abstractNum>
  <w:abstractNum w:abstractNumId="1">
    <w:nsid w:val="DBA42958"/>
    <w:multiLevelType w:val="singleLevel"/>
    <w:tmpl w:val="DBA42958"/>
    <w:lvl w:ilvl="0" w:tentative="0">
      <w:start w:val="2"/>
      <w:numFmt w:val="decimal"/>
      <w:suff w:val="nothing"/>
      <w:lvlText w:val="（%1）"/>
      <w:lvlJc w:val="left"/>
      <w:rPr>
        <w:rFonts w:cs="Times New Roman"/>
      </w:rPr>
    </w:lvl>
  </w:abstractNum>
  <w:abstractNum w:abstractNumId="2">
    <w:nsid w:val="152B3C79"/>
    <w:multiLevelType w:val="singleLevel"/>
    <w:tmpl w:val="152B3C79"/>
    <w:lvl w:ilvl="0" w:tentative="0">
      <w:start w:val="1"/>
      <w:numFmt w:val="decimal"/>
      <w:suff w:val="nothing"/>
      <w:lvlText w:val="（%1）"/>
      <w:lvlJc w:val="left"/>
    </w:lvl>
  </w:abstractNum>
  <w:abstractNum w:abstractNumId="3">
    <w:nsid w:val="17A77041"/>
    <w:multiLevelType w:val="singleLevel"/>
    <w:tmpl w:val="17A77041"/>
    <w:lvl w:ilvl="0" w:tentative="0">
      <w:start w:val="4"/>
      <w:numFmt w:val="chineseCounting"/>
      <w:suff w:val="space"/>
      <w:lvlText w:val="第%1章"/>
      <w:lvlJc w:val="left"/>
      <w:rPr>
        <w:rFonts w:hint="eastAsia"/>
      </w:rPr>
    </w:lvl>
  </w:abstractNum>
  <w:abstractNum w:abstractNumId="4">
    <w:nsid w:val="45A1E0C6"/>
    <w:multiLevelType w:val="singleLevel"/>
    <w:tmpl w:val="45A1E0C6"/>
    <w:lvl w:ilvl="0" w:tentative="0">
      <w:start w:val="10"/>
      <w:numFmt w:val="decimal"/>
      <w:suff w:val="nothing"/>
      <w:lvlText w:val="（%1）"/>
      <w:lvlJc w:val="left"/>
      <w:pPr>
        <w:tabs>
          <w:tab w:val="left" w:pos="0"/>
        </w:tabs>
        <w:ind w:left="0" w:firstLine="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099E"/>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36C"/>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07BC1"/>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6A6C48"/>
    <w:rsid w:val="027520D7"/>
    <w:rsid w:val="02910656"/>
    <w:rsid w:val="029452C8"/>
    <w:rsid w:val="0299330C"/>
    <w:rsid w:val="029E3E12"/>
    <w:rsid w:val="02AE28B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207E21"/>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31361E"/>
    <w:rsid w:val="0643158D"/>
    <w:rsid w:val="06606ACF"/>
    <w:rsid w:val="06632C8A"/>
    <w:rsid w:val="066C44D0"/>
    <w:rsid w:val="06780BE4"/>
    <w:rsid w:val="067D77AC"/>
    <w:rsid w:val="0688298E"/>
    <w:rsid w:val="06A978A6"/>
    <w:rsid w:val="06AD62E4"/>
    <w:rsid w:val="06BA577F"/>
    <w:rsid w:val="06C373A0"/>
    <w:rsid w:val="06CA61EA"/>
    <w:rsid w:val="06CE3AAD"/>
    <w:rsid w:val="06D3256B"/>
    <w:rsid w:val="06E93094"/>
    <w:rsid w:val="06FF4708"/>
    <w:rsid w:val="07142FC9"/>
    <w:rsid w:val="0716354A"/>
    <w:rsid w:val="071A113A"/>
    <w:rsid w:val="071A5532"/>
    <w:rsid w:val="073F7F68"/>
    <w:rsid w:val="07433326"/>
    <w:rsid w:val="074D1200"/>
    <w:rsid w:val="07701435"/>
    <w:rsid w:val="07783EDF"/>
    <w:rsid w:val="078057A6"/>
    <w:rsid w:val="0791006E"/>
    <w:rsid w:val="07A93817"/>
    <w:rsid w:val="07AA51F7"/>
    <w:rsid w:val="07C16E32"/>
    <w:rsid w:val="07C956F1"/>
    <w:rsid w:val="07DE071F"/>
    <w:rsid w:val="07E724F1"/>
    <w:rsid w:val="07F54B10"/>
    <w:rsid w:val="0805246C"/>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810082"/>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04839"/>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7D7D6B"/>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53E86"/>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CE40CE"/>
    <w:rsid w:val="10DC2325"/>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813668"/>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51542"/>
    <w:rsid w:val="13474541"/>
    <w:rsid w:val="13492893"/>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8384A"/>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22142"/>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01227"/>
    <w:rsid w:val="1654148B"/>
    <w:rsid w:val="165710DF"/>
    <w:rsid w:val="16573B76"/>
    <w:rsid w:val="165B71D5"/>
    <w:rsid w:val="16700A7A"/>
    <w:rsid w:val="16734728"/>
    <w:rsid w:val="167D1103"/>
    <w:rsid w:val="1683572D"/>
    <w:rsid w:val="169E0BEA"/>
    <w:rsid w:val="16AF7EFC"/>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2F6FCF"/>
    <w:rsid w:val="18365CFA"/>
    <w:rsid w:val="184114A1"/>
    <w:rsid w:val="18425C49"/>
    <w:rsid w:val="186969E3"/>
    <w:rsid w:val="188C7694"/>
    <w:rsid w:val="18B34FD9"/>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B0EED"/>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397563"/>
    <w:rsid w:val="1B403FA5"/>
    <w:rsid w:val="1B450A9E"/>
    <w:rsid w:val="1B481CDF"/>
    <w:rsid w:val="1B4B17D0"/>
    <w:rsid w:val="1B524326"/>
    <w:rsid w:val="1B55168B"/>
    <w:rsid w:val="1B63458F"/>
    <w:rsid w:val="1B645069"/>
    <w:rsid w:val="1B7D1BE7"/>
    <w:rsid w:val="1B7D1D15"/>
    <w:rsid w:val="1B8637EA"/>
    <w:rsid w:val="1B966EEF"/>
    <w:rsid w:val="1BBC15EB"/>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9F6277"/>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A21F3"/>
    <w:rsid w:val="1D3F2887"/>
    <w:rsid w:val="1D413DD6"/>
    <w:rsid w:val="1D442082"/>
    <w:rsid w:val="1D467DF1"/>
    <w:rsid w:val="1D494085"/>
    <w:rsid w:val="1D6104E9"/>
    <w:rsid w:val="1D6D5E73"/>
    <w:rsid w:val="1D6E2EA0"/>
    <w:rsid w:val="1D7C0366"/>
    <w:rsid w:val="1D90430C"/>
    <w:rsid w:val="1DA228F6"/>
    <w:rsid w:val="1DA26C67"/>
    <w:rsid w:val="1DB571C9"/>
    <w:rsid w:val="1DBF6F58"/>
    <w:rsid w:val="1DFC5003"/>
    <w:rsid w:val="1E2527AC"/>
    <w:rsid w:val="1E2851F8"/>
    <w:rsid w:val="1E2A3F9F"/>
    <w:rsid w:val="1E65546D"/>
    <w:rsid w:val="1E7B6900"/>
    <w:rsid w:val="1E933E22"/>
    <w:rsid w:val="1EA26876"/>
    <w:rsid w:val="1EB60A31"/>
    <w:rsid w:val="1EC6457D"/>
    <w:rsid w:val="1EC7170B"/>
    <w:rsid w:val="1EC7534C"/>
    <w:rsid w:val="1ECD7160"/>
    <w:rsid w:val="1ED34F83"/>
    <w:rsid w:val="1ED4353F"/>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4F46FD"/>
    <w:rsid w:val="205050F3"/>
    <w:rsid w:val="205E1FA5"/>
    <w:rsid w:val="20665891"/>
    <w:rsid w:val="208241B4"/>
    <w:rsid w:val="208F5999"/>
    <w:rsid w:val="20B05494"/>
    <w:rsid w:val="20BD4F1E"/>
    <w:rsid w:val="20D109C9"/>
    <w:rsid w:val="20EE5770"/>
    <w:rsid w:val="2107261C"/>
    <w:rsid w:val="21147FEE"/>
    <w:rsid w:val="21154D5A"/>
    <w:rsid w:val="2123408C"/>
    <w:rsid w:val="2132760F"/>
    <w:rsid w:val="213F7E47"/>
    <w:rsid w:val="21592FEC"/>
    <w:rsid w:val="215B2DFE"/>
    <w:rsid w:val="215C5CD9"/>
    <w:rsid w:val="215E3FAB"/>
    <w:rsid w:val="215F2E6D"/>
    <w:rsid w:val="218B2E3C"/>
    <w:rsid w:val="219E13DD"/>
    <w:rsid w:val="21B5456C"/>
    <w:rsid w:val="21C0289A"/>
    <w:rsid w:val="21C314C7"/>
    <w:rsid w:val="21CB366A"/>
    <w:rsid w:val="21DC0B20"/>
    <w:rsid w:val="21E53DD4"/>
    <w:rsid w:val="21FE67C3"/>
    <w:rsid w:val="21FF567A"/>
    <w:rsid w:val="220019CB"/>
    <w:rsid w:val="22080E1D"/>
    <w:rsid w:val="222E4A4B"/>
    <w:rsid w:val="224564ED"/>
    <w:rsid w:val="225B1C1A"/>
    <w:rsid w:val="22655D1C"/>
    <w:rsid w:val="227A5579"/>
    <w:rsid w:val="227B3EC3"/>
    <w:rsid w:val="228B3A51"/>
    <w:rsid w:val="22AC6E9D"/>
    <w:rsid w:val="22AF6B28"/>
    <w:rsid w:val="22BF1959"/>
    <w:rsid w:val="22FE3A70"/>
    <w:rsid w:val="23007343"/>
    <w:rsid w:val="230A1D1E"/>
    <w:rsid w:val="230F3D0A"/>
    <w:rsid w:val="232E3EB1"/>
    <w:rsid w:val="23341448"/>
    <w:rsid w:val="23385650"/>
    <w:rsid w:val="23425BAE"/>
    <w:rsid w:val="23517B9F"/>
    <w:rsid w:val="23531B69"/>
    <w:rsid w:val="235C6C70"/>
    <w:rsid w:val="23694EE9"/>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5A6E2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9599F"/>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30ADD"/>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45C43"/>
    <w:rsid w:val="2C8A76F4"/>
    <w:rsid w:val="2C931BC6"/>
    <w:rsid w:val="2CA45E14"/>
    <w:rsid w:val="2CB43679"/>
    <w:rsid w:val="2CB62CA6"/>
    <w:rsid w:val="2CD40261"/>
    <w:rsid w:val="2CEE34EF"/>
    <w:rsid w:val="2CF605F7"/>
    <w:rsid w:val="2D016FE9"/>
    <w:rsid w:val="2D14362B"/>
    <w:rsid w:val="2D2E304F"/>
    <w:rsid w:val="2D3B49D6"/>
    <w:rsid w:val="2D3C07FE"/>
    <w:rsid w:val="2D5756FC"/>
    <w:rsid w:val="2D5D5591"/>
    <w:rsid w:val="2D74743A"/>
    <w:rsid w:val="2D7C11D4"/>
    <w:rsid w:val="2D7F4766"/>
    <w:rsid w:val="2D8D3A62"/>
    <w:rsid w:val="2D904E85"/>
    <w:rsid w:val="2DAF3E40"/>
    <w:rsid w:val="2DBE7F60"/>
    <w:rsid w:val="2DF22E0E"/>
    <w:rsid w:val="2DF6381D"/>
    <w:rsid w:val="2DF6788C"/>
    <w:rsid w:val="2E081658"/>
    <w:rsid w:val="2E0D1588"/>
    <w:rsid w:val="2E3944B7"/>
    <w:rsid w:val="2E4749F8"/>
    <w:rsid w:val="2E4C1B78"/>
    <w:rsid w:val="2E544E1A"/>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228CB"/>
    <w:rsid w:val="2F475C7E"/>
    <w:rsid w:val="2F486024"/>
    <w:rsid w:val="2F523B34"/>
    <w:rsid w:val="2F5E78CC"/>
    <w:rsid w:val="2F681310"/>
    <w:rsid w:val="2F6C283B"/>
    <w:rsid w:val="2F743B89"/>
    <w:rsid w:val="2F7D19D9"/>
    <w:rsid w:val="2F7E2877"/>
    <w:rsid w:val="2F8567D8"/>
    <w:rsid w:val="2F8B5040"/>
    <w:rsid w:val="2F9107C4"/>
    <w:rsid w:val="2F961B57"/>
    <w:rsid w:val="2FA0209F"/>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BD57E4"/>
    <w:rsid w:val="30C2619E"/>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D079C4"/>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04BC"/>
    <w:rsid w:val="35E06512"/>
    <w:rsid w:val="35E33F92"/>
    <w:rsid w:val="36010FB1"/>
    <w:rsid w:val="360212D1"/>
    <w:rsid w:val="360C7B72"/>
    <w:rsid w:val="360E2480"/>
    <w:rsid w:val="361327DB"/>
    <w:rsid w:val="361F1CFE"/>
    <w:rsid w:val="36371201"/>
    <w:rsid w:val="363720E3"/>
    <w:rsid w:val="3639711B"/>
    <w:rsid w:val="363E765D"/>
    <w:rsid w:val="36592830"/>
    <w:rsid w:val="365C028F"/>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8648EE"/>
    <w:rsid w:val="39972B1A"/>
    <w:rsid w:val="399A1410"/>
    <w:rsid w:val="39C47D94"/>
    <w:rsid w:val="39CD1539"/>
    <w:rsid w:val="39CD5D32"/>
    <w:rsid w:val="39D0322E"/>
    <w:rsid w:val="39DA1DFA"/>
    <w:rsid w:val="39DC71EB"/>
    <w:rsid w:val="39DD5D2E"/>
    <w:rsid w:val="39E01A69"/>
    <w:rsid w:val="39E47FA2"/>
    <w:rsid w:val="3A045F91"/>
    <w:rsid w:val="3A076679"/>
    <w:rsid w:val="3A0A0953"/>
    <w:rsid w:val="3A211C22"/>
    <w:rsid w:val="3A2C4127"/>
    <w:rsid w:val="3A4F0AA8"/>
    <w:rsid w:val="3A543DA5"/>
    <w:rsid w:val="3A5576B6"/>
    <w:rsid w:val="3A682780"/>
    <w:rsid w:val="3A697EB7"/>
    <w:rsid w:val="3A6D47AB"/>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05D9E"/>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64E66"/>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B413A1"/>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AC48C4"/>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3DB6FAC"/>
    <w:rsid w:val="4405353A"/>
    <w:rsid w:val="44063CF3"/>
    <w:rsid w:val="44072973"/>
    <w:rsid w:val="44095C00"/>
    <w:rsid w:val="44117E2D"/>
    <w:rsid w:val="441822E7"/>
    <w:rsid w:val="442F13DF"/>
    <w:rsid w:val="44426345"/>
    <w:rsid w:val="4449223E"/>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3B493D"/>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497500"/>
    <w:rsid w:val="46534E0B"/>
    <w:rsid w:val="4670640B"/>
    <w:rsid w:val="46753897"/>
    <w:rsid w:val="467A71EB"/>
    <w:rsid w:val="468615C6"/>
    <w:rsid w:val="46867477"/>
    <w:rsid w:val="468A02AD"/>
    <w:rsid w:val="468B3DD1"/>
    <w:rsid w:val="469043B7"/>
    <w:rsid w:val="46BF4C9C"/>
    <w:rsid w:val="46C936C8"/>
    <w:rsid w:val="46CB1893"/>
    <w:rsid w:val="46CF18AB"/>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00ECE"/>
    <w:rsid w:val="478A7058"/>
    <w:rsid w:val="478F0B12"/>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3723A"/>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C26B3"/>
    <w:rsid w:val="496F2CCC"/>
    <w:rsid w:val="498F64FC"/>
    <w:rsid w:val="499E510F"/>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678A8"/>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04FA"/>
    <w:rsid w:val="4E1E3790"/>
    <w:rsid w:val="4E2E44B5"/>
    <w:rsid w:val="4E4C57ED"/>
    <w:rsid w:val="4E5505A6"/>
    <w:rsid w:val="4E7B0CB2"/>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4F791D"/>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7D4695"/>
    <w:rsid w:val="52823400"/>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6EC52F3"/>
    <w:rsid w:val="5707525A"/>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65AFF"/>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5E16C1"/>
    <w:rsid w:val="59700D18"/>
    <w:rsid w:val="5970491E"/>
    <w:rsid w:val="597304CA"/>
    <w:rsid w:val="59794C92"/>
    <w:rsid w:val="597A0373"/>
    <w:rsid w:val="598803B1"/>
    <w:rsid w:val="59A5117A"/>
    <w:rsid w:val="59A937D5"/>
    <w:rsid w:val="59BA6CB3"/>
    <w:rsid w:val="59BA6CC4"/>
    <w:rsid w:val="59D360CF"/>
    <w:rsid w:val="59DB746A"/>
    <w:rsid w:val="59F2154E"/>
    <w:rsid w:val="59F9691A"/>
    <w:rsid w:val="5A012975"/>
    <w:rsid w:val="5A0233C6"/>
    <w:rsid w:val="5A097A39"/>
    <w:rsid w:val="5A112448"/>
    <w:rsid w:val="5A1A6330"/>
    <w:rsid w:val="5A1E417A"/>
    <w:rsid w:val="5A266C4C"/>
    <w:rsid w:val="5A2D3B53"/>
    <w:rsid w:val="5A3B2434"/>
    <w:rsid w:val="5A427C66"/>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8401C7"/>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27178B"/>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2B584D"/>
    <w:rsid w:val="5E352C38"/>
    <w:rsid w:val="5E3E40FF"/>
    <w:rsid w:val="5E3F3871"/>
    <w:rsid w:val="5E40706E"/>
    <w:rsid w:val="5E4C1080"/>
    <w:rsid w:val="5E4E1C8A"/>
    <w:rsid w:val="5E5D7A78"/>
    <w:rsid w:val="5E7833A1"/>
    <w:rsid w:val="5E8274BA"/>
    <w:rsid w:val="5EA06D09"/>
    <w:rsid w:val="5EA53C9A"/>
    <w:rsid w:val="5EB822A5"/>
    <w:rsid w:val="5EBC7F37"/>
    <w:rsid w:val="5ECE7D1A"/>
    <w:rsid w:val="5ED36C86"/>
    <w:rsid w:val="5EDA60B0"/>
    <w:rsid w:val="5EDE0F33"/>
    <w:rsid w:val="5EE35A57"/>
    <w:rsid w:val="5F1645A7"/>
    <w:rsid w:val="5F6A54DD"/>
    <w:rsid w:val="5F815969"/>
    <w:rsid w:val="5F8B4FA7"/>
    <w:rsid w:val="5F9B72D1"/>
    <w:rsid w:val="5FAB0A44"/>
    <w:rsid w:val="5FB17C29"/>
    <w:rsid w:val="5FB34738"/>
    <w:rsid w:val="5FB95E1C"/>
    <w:rsid w:val="5FC85F82"/>
    <w:rsid w:val="5FCB3FE5"/>
    <w:rsid w:val="5FD8170F"/>
    <w:rsid w:val="5FDC5EDE"/>
    <w:rsid w:val="5FEB2206"/>
    <w:rsid w:val="5FED772C"/>
    <w:rsid w:val="5FF97EAE"/>
    <w:rsid w:val="60155C27"/>
    <w:rsid w:val="60162D11"/>
    <w:rsid w:val="601A6070"/>
    <w:rsid w:val="60226F8B"/>
    <w:rsid w:val="60325E9F"/>
    <w:rsid w:val="603B4F3C"/>
    <w:rsid w:val="60477ABF"/>
    <w:rsid w:val="604B06AE"/>
    <w:rsid w:val="60526566"/>
    <w:rsid w:val="607F756F"/>
    <w:rsid w:val="60917251"/>
    <w:rsid w:val="60982996"/>
    <w:rsid w:val="60C53D01"/>
    <w:rsid w:val="60C9018D"/>
    <w:rsid w:val="61012C93"/>
    <w:rsid w:val="61053FC5"/>
    <w:rsid w:val="610C088E"/>
    <w:rsid w:val="61171717"/>
    <w:rsid w:val="614A03E6"/>
    <w:rsid w:val="61531A50"/>
    <w:rsid w:val="61532201"/>
    <w:rsid w:val="61651210"/>
    <w:rsid w:val="61666018"/>
    <w:rsid w:val="616B46BB"/>
    <w:rsid w:val="616E5EB6"/>
    <w:rsid w:val="617526CF"/>
    <w:rsid w:val="618560EB"/>
    <w:rsid w:val="618E3791"/>
    <w:rsid w:val="619B5D77"/>
    <w:rsid w:val="61B10243"/>
    <w:rsid w:val="61BB0889"/>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AC7EFE"/>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4179"/>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B6FB9"/>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3C5648"/>
    <w:rsid w:val="683D35C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04811"/>
    <w:rsid w:val="6A9C6F1F"/>
    <w:rsid w:val="6AC034F3"/>
    <w:rsid w:val="6AC31AF5"/>
    <w:rsid w:val="6AC96987"/>
    <w:rsid w:val="6AD01849"/>
    <w:rsid w:val="6AD24017"/>
    <w:rsid w:val="6AD42C61"/>
    <w:rsid w:val="6AE14092"/>
    <w:rsid w:val="6AEA323D"/>
    <w:rsid w:val="6AF07997"/>
    <w:rsid w:val="6AF5032D"/>
    <w:rsid w:val="6AFB2812"/>
    <w:rsid w:val="6AFF182D"/>
    <w:rsid w:val="6B032C8C"/>
    <w:rsid w:val="6B243303"/>
    <w:rsid w:val="6B2D524E"/>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0A4C21"/>
    <w:rsid w:val="6C114575"/>
    <w:rsid w:val="6C3E2214"/>
    <w:rsid w:val="6C427652"/>
    <w:rsid w:val="6C4D48CD"/>
    <w:rsid w:val="6C8202CD"/>
    <w:rsid w:val="6C8639E2"/>
    <w:rsid w:val="6C961621"/>
    <w:rsid w:val="6C9D5038"/>
    <w:rsid w:val="6CBB7DE1"/>
    <w:rsid w:val="6CC445CB"/>
    <w:rsid w:val="6CCE0EE6"/>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8750E6"/>
    <w:rsid w:val="6DA610B2"/>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088C"/>
    <w:rsid w:val="6F4656AB"/>
    <w:rsid w:val="6F5C1867"/>
    <w:rsid w:val="6F5C3F48"/>
    <w:rsid w:val="6F61462B"/>
    <w:rsid w:val="6F6D6714"/>
    <w:rsid w:val="6F7927AD"/>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AC7D5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97FEB"/>
    <w:rsid w:val="777B5097"/>
    <w:rsid w:val="777E55F4"/>
    <w:rsid w:val="777F79AC"/>
    <w:rsid w:val="77820DEB"/>
    <w:rsid w:val="7792671F"/>
    <w:rsid w:val="7797445D"/>
    <w:rsid w:val="77986D62"/>
    <w:rsid w:val="77A015C8"/>
    <w:rsid w:val="77A92E90"/>
    <w:rsid w:val="77B650A0"/>
    <w:rsid w:val="77BB5477"/>
    <w:rsid w:val="77CC0FDF"/>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1759A"/>
    <w:rsid w:val="785250C1"/>
    <w:rsid w:val="78564BB1"/>
    <w:rsid w:val="78581051"/>
    <w:rsid w:val="786228CD"/>
    <w:rsid w:val="786F0FB8"/>
    <w:rsid w:val="78714DF4"/>
    <w:rsid w:val="78721CEF"/>
    <w:rsid w:val="787234C6"/>
    <w:rsid w:val="78756296"/>
    <w:rsid w:val="788334CC"/>
    <w:rsid w:val="78845F33"/>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6B0755"/>
    <w:rsid w:val="7A8D6E37"/>
    <w:rsid w:val="7A9559AF"/>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15C44"/>
    <w:rsid w:val="7BAB0D70"/>
    <w:rsid w:val="7BBC11CF"/>
    <w:rsid w:val="7BBF79A8"/>
    <w:rsid w:val="7BC24F1F"/>
    <w:rsid w:val="7BE129E3"/>
    <w:rsid w:val="7BE23EB3"/>
    <w:rsid w:val="7BE91898"/>
    <w:rsid w:val="7BF72207"/>
    <w:rsid w:val="7C101909"/>
    <w:rsid w:val="7C161B08"/>
    <w:rsid w:val="7C3A2FA7"/>
    <w:rsid w:val="7C541407"/>
    <w:rsid w:val="7C5840BF"/>
    <w:rsid w:val="7C6D071B"/>
    <w:rsid w:val="7C7A7EC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D32800"/>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443B8F"/>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line="440" w:lineRule="exact"/>
      <w:jc w:val="center"/>
      <w:outlineLvl w:val="0"/>
    </w:pPr>
    <w:rPr>
      <w:b/>
      <w:bCs/>
      <w:kern w:val="44"/>
      <w:sz w:val="44"/>
      <w:szCs w:val="44"/>
    </w:rPr>
  </w:style>
  <w:style w:type="paragraph" w:styleId="3">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3"/>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9"/>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next w:val="14"/>
    <w:qFormat/>
    <w:uiPriority w:val="0"/>
    <w:pPr>
      <w:ind w:firstLine="420" w:firstLineChars="200"/>
    </w:pPr>
  </w:style>
  <w:style w:type="paragraph" w:styleId="14">
    <w:name w:val="Body Text First Indent 2"/>
    <w:basedOn w:val="15"/>
    <w:next w:val="1"/>
    <w:qFormat/>
    <w:uiPriority w:val="0"/>
    <w:pPr>
      <w:spacing w:line="360" w:lineRule="auto"/>
      <w:ind w:firstLine="200" w:firstLineChars="200"/>
    </w:pPr>
    <w:rPr>
      <w:rFonts w:ascii="宋体"/>
      <w:szCs w:val="20"/>
    </w:rPr>
  </w:style>
  <w:style w:type="paragraph" w:styleId="15">
    <w:name w:val="Body Text Indent"/>
    <w:basedOn w:val="1"/>
    <w:next w:val="16"/>
    <w:qFormat/>
    <w:uiPriority w:val="0"/>
    <w:pPr>
      <w:ind w:left="420" w:leftChars="200"/>
    </w:pPr>
  </w:style>
  <w:style w:type="paragraph" w:styleId="16">
    <w:name w:val="envelope return"/>
    <w:basedOn w:val="1"/>
    <w:next w:val="11"/>
    <w:qFormat/>
    <w:uiPriority w:val="0"/>
    <w:pPr>
      <w:snapToGrid w:val="0"/>
    </w:pPr>
    <w:rPr>
      <w:rFonts w:ascii="Arial" w:hAnsi="Arial"/>
    </w:r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4"/>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2"/>
    <w:qFormat/>
    <w:uiPriority w:val="0"/>
    <w:pPr>
      <w:jc w:val="left"/>
    </w:pPr>
    <w:rPr>
      <w:rFonts w:ascii="黑体" w:hAnsi="黑体" w:eastAsia="黑体"/>
      <w:sz w:val="21"/>
    </w:rPr>
  </w:style>
  <w:style w:type="paragraph" w:customStyle="1" w:styleId="77">
    <w:name w:val="样式4"/>
    <w:basedOn w:val="4"/>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2">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4"/>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4"/>
    <w:qFormat/>
    <w:uiPriority w:val="0"/>
    <w:rPr>
      <w:rFonts w:eastAsia="Arial"/>
    </w:rPr>
  </w:style>
  <w:style w:type="paragraph" w:customStyle="1" w:styleId="95">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1"/>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6"/>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4"/>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3"/>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83</Pages>
  <Words>12500</Words>
  <Characters>13847</Characters>
  <Lines>411</Lines>
  <Paragraphs>115</Paragraphs>
  <TotalTime>24</TotalTime>
  <ScaleCrop>false</ScaleCrop>
  <LinksUpToDate>false</LinksUpToDate>
  <CharactersWithSpaces>14099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朱启</cp:lastModifiedBy>
  <cp:lastPrinted>2023-06-08T00:43:00Z</cp:lastPrinted>
  <dcterms:modified xsi:type="dcterms:W3CDTF">2026-04-01T06:58:45Z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5C3F1BDBB8A04B448A07B448A6E2A1D1_13</vt:lpwstr>
  </property>
  <property fmtid="{D5CDD505-2E9C-101B-9397-08002B2CF9AE}" pid="4" name="KSOTemplateDocerSaveRecord">
    <vt:lpwstr>eyJoZGlkIjoiZTQ4OTM2MTIyODI3Njc5MTE5MDBiNjA4NzIzYTUzZmEiLCJ1c2VySWQiOiI3MDAwNjg2OTUifQ==</vt:lpwstr>
  </property>
</Properties>
</file>