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AED29">
      <w:pPr>
        <w:autoSpaceDE w:val="0"/>
        <w:autoSpaceDN w:val="0"/>
        <w:adjustRightInd w:val="0"/>
        <w:spacing w:line="380" w:lineRule="exact"/>
        <w:jc w:val="center"/>
        <w:rPr>
          <w:rFonts w:hint="eastAsia" w:ascii="宋体" w:hAnsi="宋体" w:eastAsia="宋体" w:cs="宋体"/>
          <w:b/>
          <w:bCs/>
          <w:color w:val="000000"/>
          <w:sz w:val="32"/>
          <w:szCs w:val="32"/>
          <w:u w:val="single"/>
          <w:lang w:eastAsia="zh-CN"/>
        </w:rPr>
      </w:pPr>
      <w:r>
        <w:rPr>
          <w:rFonts w:hint="eastAsia" w:ascii="仿宋" w:hAnsi="仿宋" w:eastAsia="仿宋" w:cs="仿宋"/>
          <w:b/>
          <w:bCs/>
          <w:color w:val="000000"/>
          <w:sz w:val="36"/>
          <w:szCs w:val="36"/>
          <w:u w:val="single"/>
          <w:lang w:eastAsia="zh-CN"/>
        </w:rPr>
        <w:t>G36宁洛高速公路来安至明光段改扩建工程服务区、收费站维修改造工程</w:t>
      </w:r>
    </w:p>
    <w:p w14:paraId="77A46C77">
      <w:pPr>
        <w:spacing w:line="600" w:lineRule="auto"/>
        <w:jc w:val="center"/>
        <w:rPr>
          <w:rFonts w:hint="eastAsia" w:ascii="宋体" w:hAnsi="宋体"/>
          <w:b/>
          <w:sz w:val="36"/>
          <w:szCs w:val="36"/>
        </w:rPr>
      </w:pPr>
      <w:r>
        <w:rPr>
          <w:rFonts w:hint="eastAsia" w:ascii="Arial" w:hAnsi="Arial" w:cs="Arial"/>
          <w:b/>
          <w:bCs/>
          <w:kern w:val="0"/>
          <w:sz w:val="36"/>
          <w:szCs w:val="36"/>
          <w:lang w:val="en-US" w:eastAsia="zh-CN"/>
        </w:rPr>
        <w:t>清单工程量</w:t>
      </w:r>
      <w:r>
        <w:rPr>
          <w:rFonts w:hint="eastAsia" w:ascii="宋体" w:hAnsi="宋体"/>
          <w:b/>
          <w:sz w:val="36"/>
          <w:szCs w:val="36"/>
        </w:rPr>
        <w:t>编制说明</w:t>
      </w:r>
    </w:p>
    <w:p w14:paraId="5F556908">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宋体" w:hAnsi="宋体" w:eastAsia="宋体" w:cs="宋体"/>
          <w:b/>
          <w:bCs/>
          <w:sz w:val="32"/>
          <w:szCs w:val="32"/>
          <w:u w:val="none"/>
        </w:rPr>
      </w:pPr>
      <w:r>
        <w:rPr>
          <w:rFonts w:hint="eastAsia" w:ascii="宋体" w:hAnsi="宋体" w:eastAsia="宋体" w:cs="宋体"/>
          <w:b/>
          <w:bCs/>
          <w:sz w:val="32"/>
          <w:szCs w:val="32"/>
          <w:u w:val="none"/>
        </w:rPr>
        <w:t>一、工程概况：</w:t>
      </w:r>
    </w:p>
    <w:p w14:paraId="6DBF7A43">
      <w:pPr>
        <w:keepNext w:val="0"/>
        <w:keepLines w:val="0"/>
        <w:pageBreakBefore w:val="0"/>
        <w:widowControl w:val="0"/>
        <w:kinsoku/>
        <w:wordWrap/>
        <w:overflowPunct/>
        <w:topLinePunct w:val="0"/>
        <w:autoSpaceDE w:val="0"/>
        <w:autoSpaceDN w:val="0"/>
        <w:bidi w:val="0"/>
        <w:adjustRightInd w:val="0"/>
        <w:snapToGrid/>
        <w:spacing w:line="44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本工程为</w:t>
      </w:r>
      <w:r>
        <w:rPr>
          <w:rFonts w:hint="eastAsia" w:ascii="宋体" w:hAnsi="宋体" w:cs="宋体"/>
          <w:sz w:val="24"/>
          <w:szCs w:val="24"/>
          <w:lang w:val="en-US" w:eastAsia="zh-CN"/>
        </w:rPr>
        <w:t>G36宁洛高速公路来安至明光段改扩建工程服务区、收费站维修改造工程</w:t>
      </w:r>
      <w:r>
        <w:rPr>
          <w:rFonts w:hint="eastAsia" w:ascii="宋体" w:hAnsi="宋体" w:eastAsia="宋体" w:cs="宋体"/>
          <w:sz w:val="24"/>
          <w:szCs w:val="24"/>
          <w:lang w:val="en-US" w:eastAsia="zh-CN"/>
        </w:rPr>
        <w:t>，具体内容为</w:t>
      </w:r>
      <w:r>
        <w:rPr>
          <w:rFonts w:hint="eastAsia" w:ascii="宋体" w:hAnsi="宋体" w:cs="宋体"/>
          <w:sz w:val="24"/>
          <w:szCs w:val="24"/>
          <w:lang w:val="en-US" w:eastAsia="zh-CN"/>
        </w:rPr>
        <w:t>：林东半岛服务区综合楼卫生间原址翻新，广场停车区、道路路面、路缘石改扩建，新建雨水管道、生活、消防供水管道；黄泥岗食堂改造；滁州管理中心连廊改造，路政楼漏水维修；曹庄收费站综合楼门厅翻新</w:t>
      </w:r>
      <w:r>
        <w:rPr>
          <w:rFonts w:hint="eastAsia" w:ascii="宋体" w:hAnsi="宋体" w:eastAsia="宋体" w:cs="宋体"/>
          <w:sz w:val="24"/>
          <w:szCs w:val="24"/>
          <w:lang w:val="en-US" w:eastAsia="zh-CN"/>
        </w:rPr>
        <w:t>等工程</w:t>
      </w:r>
      <w:r>
        <w:rPr>
          <w:rFonts w:hint="eastAsia" w:ascii="宋体" w:hAnsi="宋体" w:cs="宋体"/>
          <w:sz w:val="24"/>
          <w:szCs w:val="24"/>
          <w:lang w:val="en-US" w:eastAsia="zh-CN"/>
        </w:rPr>
        <w:t>，</w:t>
      </w:r>
      <w:r>
        <w:rPr>
          <w:rFonts w:hint="eastAsia" w:ascii="宋体" w:hAnsi="宋体" w:eastAsia="宋体" w:cs="宋体"/>
          <w:kern w:val="0"/>
          <w:sz w:val="24"/>
          <w:szCs w:val="24"/>
        </w:rPr>
        <w:t>具体</w:t>
      </w:r>
      <w:r>
        <w:rPr>
          <w:rFonts w:hint="eastAsia" w:ascii="宋体" w:hAnsi="宋体" w:cs="宋体"/>
          <w:kern w:val="0"/>
          <w:sz w:val="24"/>
          <w:szCs w:val="24"/>
          <w:lang w:eastAsia="zh-CN"/>
        </w:rPr>
        <w:t>工程内容</w:t>
      </w:r>
      <w:r>
        <w:rPr>
          <w:rFonts w:hint="eastAsia" w:ascii="宋体" w:hAnsi="宋体" w:eastAsia="宋体" w:cs="宋体"/>
          <w:kern w:val="0"/>
          <w:sz w:val="24"/>
          <w:szCs w:val="24"/>
          <w:lang w:eastAsia="zh-CN"/>
        </w:rPr>
        <w:t>详</w:t>
      </w:r>
      <w:r>
        <w:rPr>
          <w:rFonts w:hint="eastAsia" w:ascii="宋体" w:hAnsi="宋体" w:eastAsia="宋体" w:cs="宋体"/>
          <w:kern w:val="0"/>
          <w:sz w:val="24"/>
          <w:szCs w:val="24"/>
        </w:rPr>
        <w:t>见</w:t>
      </w:r>
      <w:r>
        <w:rPr>
          <w:rFonts w:hint="eastAsia" w:ascii="宋体" w:hAnsi="宋体" w:eastAsia="宋体" w:cs="宋体"/>
          <w:kern w:val="0"/>
          <w:sz w:val="24"/>
          <w:szCs w:val="24"/>
          <w:lang w:eastAsia="zh-CN"/>
        </w:rPr>
        <w:t>工程量清单</w:t>
      </w:r>
      <w:r>
        <w:rPr>
          <w:rFonts w:hint="eastAsia" w:ascii="宋体" w:hAnsi="宋体" w:cs="宋体"/>
          <w:kern w:val="0"/>
          <w:sz w:val="24"/>
          <w:szCs w:val="24"/>
          <w:lang w:eastAsia="zh-CN"/>
        </w:rPr>
        <w:t>。</w:t>
      </w:r>
    </w:p>
    <w:p w14:paraId="7478F54E">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宋体" w:hAnsi="宋体" w:eastAsia="宋体" w:cs="宋体"/>
          <w:b/>
          <w:bCs/>
          <w:sz w:val="32"/>
          <w:szCs w:val="32"/>
          <w:u w:val="none"/>
        </w:rPr>
      </w:pPr>
      <w:r>
        <w:rPr>
          <w:rFonts w:hint="eastAsia" w:ascii="宋体" w:hAnsi="宋体" w:eastAsia="宋体" w:cs="宋体"/>
          <w:b/>
          <w:bCs/>
          <w:sz w:val="32"/>
          <w:szCs w:val="32"/>
          <w:u w:val="none"/>
        </w:rPr>
        <w:t>二、编制依据：</w:t>
      </w:r>
    </w:p>
    <w:p w14:paraId="1ED1EFC2">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1、《建设工程工程量清单计价规范》（GB50500-2013）；</w:t>
      </w:r>
    </w:p>
    <w:p w14:paraId="32C11EDB">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2、《市政工程工程量计算规范》（GB 50857-2013）、《园林绿化工程工程量计算规范》（GB 50858-2013）、《房屋建筑与装饰工程工程量计算规范》（GB 50854-2013）、《通用安装工程工程量计算规范》（GB 50856-2013）等；</w:t>
      </w:r>
    </w:p>
    <w:p w14:paraId="586F691A">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2018版《安徽省建设工程工程量清单计价办法》、《安徽省市政工程计价定额》、《安徽省建筑工程计价定额》、《安徽省装饰装修工程计价定额》、《安徽省安装工程计价定额》、《安徽省建设工程计价定额》（公用册）、《安徽省</w:t>
      </w:r>
      <w:r>
        <w:rPr>
          <w:rFonts w:hint="eastAsia" w:ascii="宋体" w:hAnsi="宋体" w:cs="宋体"/>
          <w:sz w:val="24"/>
          <w:szCs w:val="24"/>
          <w:lang w:val="en-US" w:eastAsia="zh-CN"/>
        </w:rPr>
        <w:t>房屋修缮</w:t>
      </w:r>
      <w:r>
        <w:rPr>
          <w:rFonts w:hint="eastAsia" w:ascii="宋体" w:hAnsi="宋体" w:eastAsia="宋体" w:cs="宋体"/>
          <w:sz w:val="24"/>
          <w:szCs w:val="24"/>
          <w:lang w:val="en-US" w:eastAsia="zh-CN"/>
        </w:rPr>
        <w:t>工程计价定额》、《安徽省建设工程费用定额》、《安徽省建设工程施工机械台班费用编制规则》等；</w:t>
      </w:r>
    </w:p>
    <w:p w14:paraId="00779EBE">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本工程</w:t>
      </w:r>
      <w:r>
        <w:rPr>
          <w:rFonts w:hint="eastAsia" w:ascii="宋体" w:hAnsi="宋体" w:eastAsia="宋体" w:cs="宋体"/>
          <w:sz w:val="24"/>
          <w:szCs w:val="24"/>
          <w:lang w:val="en-US" w:eastAsia="zh-CN"/>
        </w:rPr>
        <w:t>清单单价采用</w:t>
      </w:r>
      <w:r>
        <w:rPr>
          <w:rFonts w:hint="eastAsia" w:ascii="宋体" w:hAnsi="宋体" w:cs="宋体"/>
          <w:sz w:val="24"/>
          <w:szCs w:val="24"/>
          <w:lang w:val="en-US" w:eastAsia="zh-CN"/>
        </w:rPr>
        <w:t>清单</w:t>
      </w:r>
      <w:r>
        <w:rPr>
          <w:rFonts w:hint="eastAsia" w:ascii="宋体" w:hAnsi="宋体" w:eastAsia="宋体" w:cs="宋体"/>
          <w:sz w:val="24"/>
          <w:szCs w:val="24"/>
          <w:lang w:val="en-US" w:eastAsia="zh-CN"/>
        </w:rPr>
        <w:t>单价模式；</w:t>
      </w:r>
    </w:p>
    <w:p w14:paraId="1CCE4A54">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本工程混凝土采用商品混凝土</w:t>
      </w:r>
      <w:r>
        <w:rPr>
          <w:rFonts w:hint="eastAsia" w:ascii="宋体" w:hAnsi="宋体" w:cs="宋体"/>
          <w:color w:val="auto"/>
          <w:sz w:val="24"/>
          <w:szCs w:val="24"/>
          <w:lang w:val="en-US" w:eastAsia="zh-CN"/>
        </w:rPr>
        <w:t>、预拌砂浆</w:t>
      </w:r>
      <w:r>
        <w:rPr>
          <w:rFonts w:hint="eastAsia" w:ascii="宋体" w:hAnsi="宋体" w:cs="宋体"/>
          <w:sz w:val="24"/>
          <w:szCs w:val="24"/>
          <w:lang w:val="en-US" w:eastAsia="zh-CN"/>
        </w:rPr>
        <w:t>；</w:t>
      </w:r>
    </w:p>
    <w:p w14:paraId="22FFAE63">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人工费依据《滁州市202</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年第</w:t>
      </w:r>
      <w:r>
        <w:rPr>
          <w:rFonts w:hint="eastAsia" w:ascii="宋体" w:hAnsi="宋体" w:cs="宋体"/>
          <w:sz w:val="24"/>
          <w:szCs w:val="24"/>
          <w:lang w:val="en-US" w:eastAsia="zh-CN"/>
        </w:rPr>
        <w:t>一</w:t>
      </w:r>
      <w:r>
        <w:rPr>
          <w:rFonts w:hint="eastAsia" w:ascii="宋体" w:hAnsi="宋体" w:eastAsia="宋体" w:cs="宋体"/>
          <w:sz w:val="24"/>
          <w:szCs w:val="24"/>
          <w:lang w:val="en-US" w:eastAsia="zh-CN"/>
        </w:rPr>
        <w:t>季度建设工程人工价格信息》；</w:t>
      </w:r>
    </w:p>
    <w:p w14:paraId="713365EC">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本工程定额采用《安徽省建设工程计价依据动态调整（第1期）》；</w:t>
      </w:r>
    </w:p>
    <w:p w14:paraId="5E7BEB2B">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本工程招标文件及国家现行相关规范；</w:t>
      </w:r>
    </w:p>
    <w:p w14:paraId="5B2A185F">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施工图纸、施工现场情况及招标人提供的其他有关文件。</w:t>
      </w:r>
    </w:p>
    <w:p w14:paraId="0A5951C3">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宋体" w:hAnsi="宋体" w:eastAsia="宋体" w:cs="宋体"/>
          <w:b/>
          <w:bCs/>
          <w:sz w:val="32"/>
          <w:szCs w:val="32"/>
          <w:u w:val="none"/>
        </w:rPr>
      </w:pPr>
      <w:r>
        <w:rPr>
          <w:rFonts w:hint="eastAsia" w:ascii="宋体" w:hAnsi="宋体" w:eastAsia="宋体" w:cs="宋体"/>
          <w:b/>
          <w:bCs/>
          <w:sz w:val="32"/>
          <w:szCs w:val="32"/>
          <w:u w:val="none"/>
        </w:rPr>
        <w:t>三、有关说明：</w:t>
      </w:r>
    </w:p>
    <w:p w14:paraId="2E522841">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1、材料价格依据2025年</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 xml:space="preserve">月份《滁州工程造价信息》，滁州信息价缺失部分依次参照同期合肥信息价，无信息价部分根据市场询价综合考虑。  </w:t>
      </w:r>
    </w:p>
    <w:p w14:paraId="22BC3DE9">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2、清单内工程量均为暂定量，结算按实调整；</w:t>
      </w:r>
    </w:p>
    <w:p w14:paraId="5C572327">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b w:val="0"/>
          <w:bCs w:val="0"/>
          <w:kern w:val="2"/>
          <w:sz w:val="24"/>
          <w:szCs w:val="24"/>
          <w:lang w:val="en-US" w:eastAsia="zh-CN" w:bidi="ar-SA"/>
        </w:rPr>
        <w:t>本工程清单编制中，</w:t>
      </w:r>
      <w:r>
        <w:rPr>
          <w:rFonts w:hint="eastAsia" w:ascii="宋体" w:hAnsi="宋体" w:cs="宋体"/>
          <w:b w:val="0"/>
          <w:bCs w:val="0"/>
          <w:kern w:val="2"/>
          <w:sz w:val="24"/>
          <w:szCs w:val="24"/>
          <w:lang w:val="en-US" w:eastAsia="zh-CN" w:bidi="ar-SA"/>
        </w:rPr>
        <w:t>土石方、建筑垃圾、清理绿化外运按照3km考虑，</w:t>
      </w:r>
      <w:r>
        <w:rPr>
          <w:rFonts w:hint="eastAsia" w:ascii="宋体" w:hAnsi="宋体" w:eastAsia="宋体" w:cs="宋体"/>
          <w:b w:val="0"/>
          <w:bCs w:val="0"/>
          <w:kern w:val="2"/>
          <w:sz w:val="24"/>
          <w:szCs w:val="24"/>
          <w:lang w:val="en-US" w:eastAsia="zh-CN" w:bidi="ar-SA"/>
        </w:rPr>
        <w:t>土方弃置场地使用费已包含于土方外运综合单价内，相关费用已纳入土方外运综合单价包干计列。施工单位须自行统筹考虑取土场与弃土场的选址及使用成本，运输作业须严格遵循滁州市文明施工及扬尘污染防治相关规定。本项工程结算时不再因实际运距差异或其他变量因素予以调增综合单价</w:t>
      </w:r>
      <w:r>
        <w:rPr>
          <w:rFonts w:hint="eastAsia" w:ascii="宋体" w:hAnsi="宋体" w:eastAsia="宋体" w:cs="宋体"/>
          <w:sz w:val="24"/>
          <w:szCs w:val="24"/>
          <w:lang w:val="en-US" w:eastAsia="zh-CN"/>
        </w:rPr>
        <w:t>；</w:t>
      </w:r>
    </w:p>
    <w:p w14:paraId="7CB22315">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b w:val="0"/>
          <w:bCs w:val="0"/>
          <w:kern w:val="2"/>
          <w:sz w:val="24"/>
          <w:szCs w:val="24"/>
          <w:lang w:val="en-US" w:eastAsia="zh-CN" w:bidi="ar-SA"/>
        </w:rPr>
        <w:t>本工程涉及场区内灌木、杂树及杂草的伐除、根除及外运处置工作，投标人须</w:t>
      </w:r>
      <w:r>
        <w:rPr>
          <w:rFonts w:hint="eastAsia" w:ascii="宋体" w:hAnsi="宋体" w:eastAsia="宋体" w:cs="宋体"/>
          <w:b w:val="0"/>
          <w:bCs w:val="0"/>
          <w:color w:val="auto"/>
          <w:kern w:val="2"/>
          <w:sz w:val="24"/>
          <w:szCs w:val="24"/>
          <w:lang w:val="en-US" w:eastAsia="zh-CN" w:bidi="ar-SA"/>
        </w:rPr>
        <w:t>自行开展现场踏勘，对施工该类因素进行全面评估</w:t>
      </w:r>
      <w:r>
        <w:rPr>
          <w:rFonts w:hint="eastAsia" w:hAnsi="宋体" w:eastAsia="宋体" w:cs="宋体"/>
          <w:color w:val="auto"/>
          <w:sz w:val="24"/>
          <w:szCs w:val="24"/>
          <w:lang w:val="en-US" w:eastAsia="zh-CN"/>
        </w:rPr>
        <w:t>投标人自行考虑报价风险，结算时单价不予调整</w:t>
      </w:r>
      <w:r>
        <w:rPr>
          <w:rFonts w:hint="eastAsia" w:ascii="宋体" w:hAnsi="宋体" w:eastAsia="宋体" w:cs="宋体"/>
          <w:color w:val="auto"/>
          <w:sz w:val="24"/>
          <w:szCs w:val="24"/>
          <w:lang w:val="en-US" w:eastAsia="zh-CN"/>
        </w:rPr>
        <w:t>；</w:t>
      </w:r>
    </w:p>
    <w:p w14:paraId="300ED370">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cs="宋体"/>
          <w:b w:val="0"/>
          <w:bCs w:val="0"/>
          <w:kern w:val="2"/>
          <w:sz w:val="24"/>
          <w:szCs w:val="24"/>
          <w:lang w:val="en-US" w:eastAsia="zh-CN" w:bidi="ar-SA"/>
        </w:rPr>
      </w:pPr>
      <w:r>
        <w:rPr>
          <w:rFonts w:hint="eastAsia" w:ascii="宋体" w:hAnsi="宋体" w:cs="宋体"/>
          <w:sz w:val="24"/>
          <w:szCs w:val="24"/>
          <w:lang w:val="en-US" w:eastAsia="zh-CN"/>
        </w:rPr>
        <w:t>5</w:t>
      </w:r>
      <w:r>
        <w:rPr>
          <w:rFonts w:hint="eastAsia" w:ascii="宋体" w:hAnsi="宋体" w:eastAsia="宋体" w:cs="宋体"/>
          <w:sz w:val="24"/>
          <w:szCs w:val="24"/>
          <w:lang w:val="en-US" w:eastAsia="zh-CN"/>
        </w:rPr>
        <w:t>、</w:t>
      </w:r>
      <w:r>
        <w:rPr>
          <w:rFonts w:hint="eastAsia" w:ascii="宋体" w:hAnsi="宋体" w:eastAsia="宋体" w:cs="宋体"/>
          <w:b w:val="0"/>
          <w:bCs w:val="0"/>
          <w:kern w:val="2"/>
          <w:sz w:val="24"/>
          <w:szCs w:val="24"/>
          <w:lang w:val="en-US" w:eastAsia="zh-CN" w:bidi="ar-SA"/>
        </w:rPr>
        <w:t>大型机械设备进出场及安拆台次费用已在工程量清单计列，工程结算时不再增列相关台次费用。投标人须依据招标文件载明的工期要求及施工组织方案，投标报价综合考量，结算阶段不增加该类费用</w:t>
      </w:r>
      <w:r>
        <w:rPr>
          <w:rFonts w:hint="eastAsia" w:ascii="宋体" w:hAnsi="宋体" w:cs="宋体"/>
          <w:b w:val="0"/>
          <w:bCs w:val="0"/>
          <w:kern w:val="2"/>
          <w:sz w:val="24"/>
          <w:szCs w:val="24"/>
          <w:lang w:val="en-US" w:eastAsia="zh-CN" w:bidi="ar-SA"/>
        </w:rPr>
        <w:t>；</w:t>
      </w:r>
    </w:p>
    <w:p w14:paraId="0585348D">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6、本工程所有混凝土均按商品混凝土进行计价核。无论工程量清单特征描述中是否包含泵送工艺要求，投标人均须依据施工技术方案要求，在综合单价中统筹考量，相关费用计入综合单价中</w:t>
      </w:r>
      <w:r>
        <w:rPr>
          <w:rFonts w:hint="eastAsia" w:ascii="宋体" w:hAnsi="宋体" w:cs="宋体"/>
          <w:b w:val="0"/>
          <w:bCs w:val="0"/>
          <w:kern w:val="2"/>
          <w:sz w:val="24"/>
          <w:szCs w:val="24"/>
          <w:lang w:val="en-US" w:eastAsia="zh-CN" w:bidi="ar-SA"/>
        </w:rPr>
        <w:t>；</w:t>
      </w:r>
    </w:p>
    <w:p w14:paraId="5E90FC5E">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cs="宋体"/>
          <w:color w:val="000000"/>
          <w:sz w:val="24"/>
          <w:szCs w:val="24"/>
          <w:lang w:val="en-US" w:eastAsia="zh-CN"/>
        </w:rPr>
      </w:pPr>
      <w:r>
        <w:rPr>
          <w:rFonts w:hint="eastAsia" w:ascii="宋体" w:hAnsi="宋体" w:cs="宋体"/>
          <w:b w:val="0"/>
          <w:bCs w:val="0"/>
          <w:kern w:val="2"/>
          <w:sz w:val="24"/>
          <w:szCs w:val="24"/>
          <w:lang w:val="en-US" w:eastAsia="zh-CN" w:bidi="ar-SA"/>
        </w:rPr>
        <w:t>7、</w:t>
      </w:r>
      <w:r>
        <w:rPr>
          <w:rFonts w:hint="eastAsia" w:ascii="宋体" w:hAnsi="宋体" w:cs="宋体"/>
          <w:color w:val="000000"/>
          <w:sz w:val="24"/>
          <w:szCs w:val="24"/>
          <w:lang w:val="en-US" w:eastAsia="zh-CN"/>
        </w:rPr>
        <w:t>砌体加固钢筋、构造柱顶部钢筋、圈梁压顶侧边钢筋均采用植筋计算，需要植筋的钢筋规格综合考虑，结算时不予调整单价；</w:t>
      </w:r>
    </w:p>
    <w:p w14:paraId="77ABEF94">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8、本工程的如果需要发生的检测费用（如幕墙检测费、室内环境检测等费用）已分摊在分部分项综合单价中，投标单位综合考虑报价，不得提出变更增加；</w:t>
      </w:r>
    </w:p>
    <w:p w14:paraId="5409A0F5">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cs="宋体"/>
          <w:sz w:val="24"/>
          <w:szCs w:val="24"/>
          <w:shd w:val="clear" w:color="auto" w:fill="auto"/>
          <w:lang w:val="en-US" w:eastAsia="zh-CN"/>
        </w:rPr>
      </w:pPr>
      <w:r>
        <w:rPr>
          <w:rFonts w:hint="eastAsia" w:ascii="宋体" w:hAnsi="宋体" w:cs="宋体"/>
          <w:color w:val="000000"/>
          <w:sz w:val="24"/>
          <w:szCs w:val="24"/>
          <w:lang w:val="en-US" w:eastAsia="zh-CN"/>
        </w:rPr>
        <w:t>9、石材、墙砖幕墙价格里</w:t>
      </w:r>
      <w:r>
        <w:rPr>
          <w:rFonts w:hint="eastAsia" w:ascii="宋体" w:hAnsi="宋体" w:cs="宋体"/>
          <w:sz w:val="24"/>
          <w:szCs w:val="24"/>
          <w:shd w:val="clear" w:color="auto" w:fill="auto"/>
          <w:lang w:val="en-US" w:eastAsia="zh-CN"/>
        </w:rPr>
        <w:t>已包含脚手架搭拆费用；</w:t>
      </w:r>
    </w:p>
    <w:p w14:paraId="0721FF1E">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cs="宋体"/>
          <w:sz w:val="24"/>
          <w:szCs w:val="24"/>
          <w:shd w:val="clear" w:color="auto" w:fill="auto"/>
          <w:lang w:val="en-US" w:eastAsia="zh-CN"/>
        </w:rPr>
      </w:pPr>
      <w:r>
        <w:rPr>
          <w:rFonts w:hint="eastAsia" w:ascii="宋体" w:hAnsi="宋体" w:cs="宋体"/>
          <w:sz w:val="24"/>
          <w:szCs w:val="24"/>
          <w:shd w:val="clear" w:color="auto" w:fill="auto"/>
          <w:lang w:val="en-US" w:eastAsia="zh-CN"/>
        </w:rPr>
        <w:t>10、本工程卫生间、</w:t>
      </w:r>
      <w:bookmarkStart w:id="0" w:name="_GoBack"/>
      <w:bookmarkEnd w:id="0"/>
      <w:r>
        <w:rPr>
          <w:rFonts w:hint="eastAsia" w:ascii="宋体" w:hAnsi="宋体" w:cs="宋体"/>
          <w:sz w:val="24"/>
          <w:szCs w:val="24"/>
          <w:shd w:val="clear" w:color="auto" w:fill="auto"/>
          <w:lang w:val="en-US" w:eastAsia="zh-CN"/>
        </w:rPr>
        <w:t>钢结构、波形梁钢护栏、标志标牌、隔离栅、装饰物品等设施的拆除费用已考虑拆除物残值抵扣部分拆除费用，拆除物处置由承包人承担，</w:t>
      </w:r>
      <w:r>
        <w:rPr>
          <w:rFonts w:hint="eastAsia" w:ascii="宋体" w:hAnsi="宋体" w:cs="宋体"/>
          <w:color w:val="000000"/>
          <w:sz w:val="24"/>
          <w:szCs w:val="24"/>
          <w:lang w:val="en-US" w:eastAsia="zh-CN"/>
        </w:rPr>
        <w:t>结算时不予调整单价；</w:t>
      </w:r>
    </w:p>
    <w:p w14:paraId="064B2243">
      <w:pPr>
        <w:keepNext w:val="0"/>
        <w:keepLines w:val="0"/>
        <w:pageBreakBefore w:val="0"/>
        <w:widowControl w:val="0"/>
        <w:tabs>
          <w:tab w:val="left" w:pos="360"/>
        </w:tabs>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cs="宋体"/>
          <w:sz w:val="24"/>
          <w:szCs w:val="24"/>
          <w:shd w:val="clear" w:color="auto" w:fill="auto"/>
          <w:lang w:val="en-US" w:eastAsia="zh-CN"/>
        </w:rPr>
        <w:t>11、本工程清单内所有按项的拆除范围及内容最终都应该由业主确定，</w:t>
      </w:r>
      <w:r>
        <w:rPr>
          <w:rFonts w:hint="eastAsia" w:ascii="宋体" w:hAnsi="宋体" w:cs="宋体"/>
          <w:color w:val="000000"/>
          <w:sz w:val="24"/>
          <w:szCs w:val="24"/>
          <w:lang w:val="en-US" w:eastAsia="zh-CN"/>
        </w:rPr>
        <w:t>投标单位应充分考虑报价风险，结算时不予调整单价；</w:t>
      </w:r>
    </w:p>
    <w:p w14:paraId="170CB1B7">
      <w:pPr>
        <w:pStyle w:val="2"/>
        <w:ind w:left="0" w:leftChars="0" w:firstLine="480" w:firstLineChars="0"/>
        <w:rPr>
          <w:rFonts w:hint="eastAsia" w:ascii="宋体" w:hAnsi="宋体" w:eastAsia="宋体" w:cs="宋体"/>
          <w:color w:val="auto"/>
          <w:sz w:val="24"/>
          <w:szCs w:val="24"/>
          <w:lang w:val="en-US" w:eastAsia="zh-CN"/>
        </w:rPr>
      </w:pPr>
      <w:r>
        <w:rPr>
          <w:rFonts w:hint="eastAsia" w:hAnsi="宋体" w:cs="宋体"/>
          <w:color w:val="auto"/>
          <w:sz w:val="24"/>
          <w:szCs w:val="24"/>
          <w:lang w:val="en-US" w:eastAsia="zh-CN"/>
        </w:rPr>
        <w:t>12、清单内</w:t>
      </w:r>
      <w:r>
        <w:rPr>
          <w:rFonts w:hint="eastAsia" w:hAnsi="宋体" w:eastAsia="宋体" w:cs="宋体"/>
          <w:color w:val="auto"/>
          <w:sz w:val="24"/>
          <w:szCs w:val="24"/>
          <w:lang w:val="en-US" w:eastAsia="zh-CN"/>
        </w:rPr>
        <w:t>装饰材料不因颜色、形状、</w:t>
      </w:r>
      <w:r>
        <w:rPr>
          <w:rFonts w:hint="eastAsia" w:hAnsi="宋体" w:cs="宋体"/>
          <w:color w:val="auto"/>
          <w:sz w:val="24"/>
          <w:szCs w:val="24"/>
          <w:lang w:val="en-US" w:eastAsia="zh-CN"/>
        </w:rPr>
        <w:t>长宽</w:t>
      </w:r>
      <w:r>
        <w:rPr>
          <w:rFonts w:hint="eastAsia" w:hAnsi="宋体" w:eastAsia="宋体" w:cs="宋体"/>
          <w:color w:val="auto"/>
          <w:sz w:val="24"/>
          <w:szCs w:val="24"/>
          <w:lang w:val="en-US" w:eastAsia="zh-CN"/>
        </w:rPr>
        <w:t>尺寸改变而调整单价，投标人自行考虑报价风险，结算时单价不予调整</w:t>
      </w:r>
      <w:r>
        <w:rPr>
          <w:rFonts w:hint="eastAsia" w:ascii="宋体" w:hAnsi="宋体" w:eastAsia="宋体" w:cs="宋体"/>
          <w:color w:val="auto"/>
          <w:sz w:val="24"/>
          <w:szCs w:val="24"/>
          <w:lang w:val="en-US" w:eastAsia="zh-CN"/>
        </w:rPr>
        <w:t>；</w:t>
      </w:r>
    </w:p>
    <w:p w14:paraId="168FCF06">
      <w:pPr>
        <w:pStyle w:val="2"/>
        <w:ind w:left="0" w:leftChars="0" w:firstLine="480" w:firstLineChars="0"/>
        <w:rPr>
          <w:rFonts w:hint="eastAsia" w:ascii="宋体" w:hAnsi="宋体" w:eastAsia="宋体" w:cs="宋体"/>
          <w:sz w:val="24"/>
          <w:szCs w:val="24"/>
          <w:lang w:val="en-US" w:eastAsia="zh-CN"/>
        </w:rPr>
      </w:pPr>
      <w:r>
        <w:rPr>
          <w:rFonts w:hint="eastAsia" w:hAnsi="宋体" w:cs="宋体"/>
          <w:sz w:val="24"/>
          <w:szCs w:val="24"/>
          <w:lang w:val="en-US" w:eastAsia="zh-CN"/>
        </w:rPr>
        <w:t>13</w:t>
      </w:r>
      <w:r>
        <w:rPr>
          <w:rFonts w:hint="eastAsia" w:ascii="宋体" w:hAnsi="宋体" w:eastAsia="宋体" w:cs="宋体"/>
          <w:sz w:val="24"/>
          <w:szCs w:val="24"/>
          <w:lang w:val="en-US" w:eastAsia="zh-CN"/>
        </w:rPr>
        <w:t>、在施工过程中，如业主单位根据需要更换主要材料或取消某个项目，施工单位必须无条件服从，其调整部分由建设单位认质认价，结算中调整</w:t>
      </w:r>
      <w:r>
        <w:rPr>
          <w:rFonts w:hint="eastAsia" w:hAnsi="宋体" w:cs="宋体"/>
          <w:sz w:val="24"/>
          <w:szCs w:val="24"/>
          <w:lang w:val="en-US" w:eastAsia="zh-CN"/>
        </w:rPr>
        <w:t>；</w:t>
      </w:r>
    </w:p>
    <w:p w14:paraId="0CFAA07A">
      <w:pPr>
        <w:pStyle w:val="19"/>
        <w:keepNext w:val="0"/>
        <w:keepLines w:val="0"/>
        <w:widowControl/>
        <w:numPr>
          <w:ilvl w:val="0"/>
          <w:numId w:val="0"/>
        </w:numPr>
        <w:suppressLineNumbers w:val="0"/>
        <w:spacing w:before="0" w:beforeAutospacing="0" w:after="0" w:afterAutospacing="0"/>
        <w:ind w:leftChars="0" w:right="0" w:rightChars="0"/>
        <w:rPr>
          <w:rFonts w:hint="eastAsia" w:ascii="宋体" w:hAnsi="宋体" w:eastAsia="宋体" w:cs="宋体"/>
          <w:sz w:val="24"/>
          <w:szCs w:val="24"/>
          <w:lang w:val="en-US" w:eastAsia="zh-CN"/>
        </w:rPr>
      </w:pPr>
      <w:r>
        <w:rPr>
          <w:rFonts w:hint="eastAsia" w:ascii="宋体" w:hAnsi="宋体" w:cs="宋体"/>
          <w:sz w:val="24"/>
          <w:szCs w:val="24"/>
          <w:lang w:val="en-US" w:eastAsia="zh-CN"/>
        </w:rPr>
        <w:t>14</w:t>
      </w:r>
      <w:r>
        <w:rPr>
          <w:rFonts w:hint="eastAsia" w:ascii="宋体" w:hAnsi="宋体" w:eastAsia="宋体" w:cs="宋体"/>
          <w:sz w:val="24"/>
          <w:szCs w:val="24"/>
          <w:lang w:val="en-US" w:eastAsia="zh-CN"/>
        </w:rPr>
        <w:t>、除非合同中另有规定，工程量清单中每一项单价均应已包括完成相应该项目的工程内容所有的人工、设备、材料和其他伴随服务所发生的所有费用。</w:t>
      </w:r>
    </w:p>
    <w:p w14:paraId="55446E3C">
      <w:pPr>
        <w:pStyle w:val="19"/>
        <w:keepNext w:val="0"/>
        <w:keepLines w:val="0"/>
        <w:widowControl/>
        <w:numPr>
          <w:ilvl w:val="0"/>
          <w:numId w:val="0"/>
        </w:numPr>
        <w:suppressLineNumbers w:val="0"/>
        <w:spacing w:before="0" w:beforeAutospacing="0" w:after="0" w:afterAutospacing="0"/>
        <w:ind w:leftChars="0" w:right="0" w:rightChars="0"/>
        <w:rPr>
          <w:rFonts w:hint="eastAsia" w:ascii="宋体" w:hAnsi="宋体" w:cs="宋体"/>
          <w:sz w:val="30"/>
          <w:szCs w:val="30"/>
          <w:lang w:val="en-US" w:eastAsia="zh-CN"/>
        </w:rPr>
      </w:pPr>
      <w:r>
        <w:rPr>
          <w:rFonts w:hint="eastAsia" w:ascii="宋体" w:hAnsi="宋体"/>
          <w:b/>
          <w:sz w:val="32"/>
          <w:szCs w:val="32"/>
          <w:lang w:val="en-US" w:eastAsia="zh-CN"/>
        </w:rPr>
        <w:t>四、其他说明</w:t>
      </w:r>
    </w:p>
    <w:p w14:paraId="5BC12020">
      <w:pPr>
        <w:pStyle w:val="19"/>
        <w:keepNext w:val="0"/>
        <w:keepLines w:val="0"/>
        <w:widowControl/>
        <w:numPr>
          <w:ilvl w:val="0"/>
          <w:numId w:val="0"/>
        </w:numPr>
        <w:suppressLineNumbers w:val="0"/>
        <w:spacing w:before="0" w:beforeAutospacing="0" w:after="0" w:afterAutospacing="0" w:line="360" w:lineRule="auto"/>
        <w:ind w:leftChars="0" w:right="0" w:rightChars="0"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投标人应填写工程量清单中所有工程项目的价格，凡技术规范、招标文件和施工图纸将工程量清单与合同通用条款、专用条款以及技术规范和图纸一起对照阅读；</w:t>
      </w:r>
    </w:p>
    <w:p w14:paraId="0A7C2110">
      <w:pPr>
        <w:pStyle w:val="19"/>
        <w:keepNext w:val="0"/>
        <w:keepLines w:val="0"/>
        <w:widowControl/>
        <w:numPr>
          <w:ilvl w:val="0"/>
          <w:numId w:val="0"/>
        </w:numPr>
        <w:suppressLineNumbers w:val="0"/>
        <w:spacing w:before="0" w:beforeAutospacing="0" w:after="0" w:afterAutospacing="0" w:line="360" w:lineRule="auto"/>
        <w:ind w:leftChars="0" w:right="0" w:rightChars="0"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除非合同另有规定，工程量清单中每一项单价均应包括完成相应该项目的工程内容所需的所有人工、设备、材料、和其他伴随服务所发生的所有费用；</w:t>
      </w:r>
    </w:p>
    <w:p w14:paraId="3E4B167A">
      <w:pPr>
        <w:pStyle w:val="19"/>
        <w:keepNext w:val="0"/>
        <w:keepLines w:val="0"/>
        <w:widowControl/>
        <w:numPr>
          <w:ilvl w:val="0"/>
          <w:numId w:val="0"/>
        </w:numPr>
        <w:suppressLineNumbers w:val="0"/>
        <w:spacing w:before="0" w:beforeAutospacing="0" w:after="0" w:afterAutospacing="0" w:line="360" w:lineRule="auto"/>
        <w:ind w:leftChars="0" w:right="0" w:rightChars="0"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投标人应填写工程量清单中所有工程项目的价格，凡技术规范、招标文件和施工图纸中注明的工程内容，如在清单中未列项，均应视为包含在其他相关项目中；</w:t>
      </w:r>
    </w:p>
    <w:p w14:paraId="3F954B67">
      <w:pPr>
        <w:pStyle w:val="19"/>
        <w:keepNext w:val="0"/>
        <w:keepLines w:val="0"/>
        <w:widowControl/>
        <w:numPr>
          <w:ilvl w:val="0"/>
          <w:numId w:val="0"/>
        </w:numPr>
        <w:suppressLineNumbers w:val="0"/>
        <w:spacing w:before="0" w:beforeAutospacing="0" w:after="0" w:afterAutospacing="0" w:line="360" w:lineRule="auto"/>
        <w:ind w:leftChars="0" w:right="0" w:rightChars="0"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清单描述不明确的，以施工图纸设计文件和相关施工验收规范和招标文件要求为准；清单与图纸技术标准不一致的，以较优的技术标准为准；</w:t>
      </w:r>
    </w:p>
    <w:p w14:paraId="48FF610C">
      <w:pPr>
        <w:pStyle w:val="19"/>
        <w:keepNext w:val="0"/>
        <w:keepLines w:val="0"/>
        <w:widowControl/>
        <w:numPr>
          <w:ilvl w:val="0"/>
          <w:numId w:val="0"/>
        </w:numPr>
        <w:suppressLineNumbers w:val="0"/>
        <w:spacing w:before="0" w:beforeAutospacing="0" w:after="0" w:afterAutospacing="0" w:line="360" w:lineRule="auto"/>
        <w:ind w:leftChars="0" w:right="0" w:rightChars="0"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5、</w:t>
      </w:r>
      <w:r>
        <w:rPr>
          <w:rFonts w:hint="eastAsia" w:ascii="宋体" w:hAnsi="宋体" w:eastAsia="宋体" w:cs="宋体"/>
          <w:sz w:val="24"/>
          <w:szCs w:val="24"/>
          <w:lang w:val="en-US" w:eastAsia="zh-CN"/>
        </w:rPr>
        <w:t>投标人对工程量清单有任何疑问，应在招标文件规定的疑问提交截止日前提出，否则视为投标人认可该工程量清单已包括了招标范围的全部内容；</w:t>
      </w:r>
    </w:p>
    <w:p w14:paraId="50B2D075">
      <w:pPr>
        <w:pStyle w:val="19"/>
        <w:keepNext w:val="0"/>
        <w:keepLines w:val="0"/>
        <w:widowControl/>
        <w:numPr>
          <w:ilvl w:val="0"/>
          <w:numId w:val="0"/>
        </w:numPr>
        <w:suppressLineNumbers w:val="0"/>
        <w:spacing w:before="0" w:beforeAutospacing="0" w:after="0" w:afterAutospacing="0" w:line="360" w:lineRule="auto"/>
        <w:ind w:leftChars="0"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lang w:val="en-US" w:eastAsia="zh-CN"/>
        </w:rPr>
        <w:t>投标单位报价，应根据清单描述并结合设计图纸和招标文件进行报价，结算时不得以清单描述不清等理由要求调价</w:t>
      </w:r>
      <w:r>
        <w:rPr>
          <w:rFonts w:hint="eastAsia" w:ascii="宋体" w:hAnsi="宋体" w:cs="宋体"/>
          <w:sz w:val="24"/>
          <w:szCs w:val="24"/>
          <w:lang w:val="en-US" w:eastAsia="zh-CN"/>
        </w:rPr>
        <w:t>。</w:t>
      </w:r>
    </w:p>
    <w:p w14:paraId="321A6AD8">
      <w:pPr>
        <w:rPr>
          <w:rFonts w:hint="default"/>
          <w:b w:val="0"/>
          <w:bCs w:val="0"/>
          <w:color w:val="auto"/>
          <w:sz w:val="30"/>
          <w:szCs w:val="30"/>
          <w:u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B86AAB"/>
    <w:multiLevelType w:val="singleLevel"/>
    <w:tmpl w:val="65B86AAB"/>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3NmUxYmE0MDI4OGU4Y2VjNjQ3OTgzN2U0MDJkNDcifQ=="/>
  </w:docVars>
  <w:rsids>
    <w:rsidRoot w:val="1C8A1837"/>
    <w:rsid w:val="01C10EA4"/>
    <w:rsid w:val="03E54A64"/>
    <w:rsid w:val="06346BC4"/>
    <w:rsid w:val="073C45DA"/>
    <w:rsid w:val="085A3831"/>
    <w:rsid w:val="09D003B7"/>
    <w:rsid w:val="0B0823E0"/>
    <w:rsid w:val="0B0A4AD0"/>
    <w:rsid w:val="0BA609E0"/>
    <w:rsid w:val="0BEC56A9"/>
    <w:rsid w:val="0C2473AB"/>
    <w:rsid w:val="0C905C2F"/>
    <w:rsid w:val="0FA466F4"/>
    <w:rsid w:val="12093A58"/>
    <w:rsid w:val="12701437"/>
    <w:rsid w:val="12C32477"/>
    <w:rsid w:val="1601295E"/>
    <w:rsid w:val="16C87036"/>
    <w:rsid w:val="16F855C2"/>
    <w:rsid w:val="16FC3B8C"/>
    <w:rsid w:val="177F0981"/>
    <w:rsid w:val="18B67E36"/>
    <w:rsid w:val="194D230F"/>
    <w:rsid w:val="1AF046D9"/>
    <w:rsid w:val="1B69520B"/>
    <w:rsid w:val="1BB278EE"/>
    <w:rsid w:val="1C0D2E95"/>
    <w:rsid w:val="1C280D3B"/>
    <w:rsid w:val="1C2E1184"/>
    <w:rsid w:val="1C8A1837"/>
    <w:rsid w:val="1DBC37D5"/>
    <w:rsid w:val="1E9A47F8"/>
    <w:rsid w:val="1FDB6892"/>
    <w:rsid w:val="20381333"/>
    <w:rsid w:val="205170B1"/>
    <w:rsid w:val="23EF3D3C"/>
    <w:rsid w:val="23FA0A3B"/>
    <w:rsid w:val="24033030"/>
    <w:rsid w:val="24480296"/>
    <w:rsid w:val="24DA1086"/>
    <w:rsid w:val="25D74BEA"/>
    <w:rsid w:val="26847A58"/>
    <w:rsid w:val="26BD663C"/>
    <w:rsid w:val="26D72C3E"/>
    <w:rsid w:val="26DE29AB"/>
    <w:rsid w:val="278E347A"/>
    <w:rsid w:val="27DA27B0"/>
    <w:rsid w:val="28410F04"/>
    <w:rsid w:val="29DB4BF6"/>
    <w:rsid w:val="2B181777"/>
    <w:rsid w:val="2B2A12DB"/>
    <w:rsid w:val="2B99098F"/>
    <w:rsid w:val="2C9337F2"/>
    <w:rsid w:val="2D27366D"/>
    <w:rsid w:val="2D957256"/>
    <w:rsid w:val="2DD734D3"/>
    <w:rsid w:val="2EDC5D4B"/>
    <w:rsid w:val="2F04498F"/>
    <w:rsid w:val="300F728E"/>
    <w:rsid w:val="30B60AB7"/>
    <w:rsid w:val="30F2197D"/>
    <w:rsid w:val="30F345CE"/>
    <w:rsid w:val="330A52E2"/>
    <w:rsid w:val="33F84978"/>
    <w:rsid w:val="35BE639D"/>
    <w:rsid w:val="37B44C7A"/>
    <w:rsid w:val="385E7B8C"/>
    <w:rsid w:val="387B1D67"/>
    <w:rsid w:val="3891504D"/>
    <w:rsid w:val="38D74B03"/>
    <w:rsid w:val="391F7289"/>
    <w:rsid w:val="39FF5618"/>
    <w:rsid w:val="3A3F2CDD"/>
    <w:rsid w:val="3A6F5DE0"/>
    <w:rsid w:val="3B231DAE"/>
    <w:rsid w:val="3BAA79E2"/>
    <w:rsid w:val="3C856DC1"/>
    <w:rsid w:val="3CC227F6"/>
    <w:rsid w:val="3D3601D0"/>
    <w:rsid w:val="3D5E1437"/>
    <w:rsid w:val="3EE55BA7"/>
    <w:rsid w:val="3F0F0C1D"/>
    <w:rsid w:val="3F44185B"/>
    <w:rsid w:val="3FEF6EDE"/>
    <w:rsid w:val="40E231E7"/>
    <w:rsid w:val="41756BD3"/>
    <w:rsid w:val="42A71C9C"/>
    <w:rsid w:val="42BC2FC2"/>
    <w:rsid w:val="433568FE"/>
    <w:rsid w:val="442F6AB4"/>
    <w:rsid w:val="44FC5A2B"/>
    <w:rsid w:val="452244C3"/>
    <w:rsid w:val="455903E3"/>
    <w:rsid w:val="46951FBC"/>
    <w:rsid w:val="47181BC8"/>
    <w:rsid w:val="47A83A29"/>
    <w:rsid w:val="49042E3A"/>
    <w:rsid w:val="498A1C4F"/>
    <w:rsid w:val="498A21EB"/>
    <w:rsid w:val="4A1D4D7B"/>
    <w:rsid w:val="4A1F7F76"/>
    <w:rsid w:val="4AD54386"/>
    <w:rsid w:val="4B024854"/>
    <w:rsid w:val="4B787778"/>
    <w:rsid w:val="4B8B2DA6"/>
    <w:rsid w:val="4BF57E59"/>
    <w:rsid w:val="4C6D057A"/>
    <w:rsid w:val="4E975D5A"/>
    <w:rsid w:val="4EA57DF6"/>
    <w:rsid w:val="4F043D3F"/>
    <w:rsid w:val="4F585E6D"/>
    <w:rsid w:val="4FFF2229"/>
    <w:rsid w:val="50372BF1"/>
    <w:rsid w:val="505E6802"/>
    <w:rsid w:val="50865DEA"/>
    <w:rsid w:val="508C4D8D"/>
    <w:rsid w:val="52280095"/>
    <w:rsid w:val="526E71D7"/>
    <w:rsid w:val="53BA5517"/>
    <w:rsid w:val="53E10AC7"/>
    <w:rsid w:val="55A528E1"/>
    <w:rsid w:val="55C85FDA"/>
    <w:rsid w:val="55DB2F2B"/>
    <w:rsid w:val="562813E6"/>
    <w:rsid w:val="56404A8A"/>
    <w:rsid w:val="57492FBC"/>
    <w:rsid w:val="57E31840"/>
    <w:rsid w:val="586B1F88"/>
    <w:rsid w:val="58AD1B59"/>
    <w:rsid w:val="59255FA9"/>
    <w:rsid w:val="5A2F34A3"/>
    <w:rsid w:val="5ACD7C25"/>
    <w:rsid w:val="5BD64641"/>
    <w:rsid w:val="5C1D50D4"/>
    <w:rsid w:val="5CD866B3"/>
    <w:rsid w:val="5D041689"/>
    <w:rsid w:val="5D6C5C8A"/>
    <w:rsid w:val="5EAA0994"/>
    <w:rsid w:val="60E0209C"/>
    <w:rsid w:val="610A08EA"/>
    <w:rsid w:val="62F703F9"/>
    <w:rsid w:val="64307CEE"/>
    <w:rsid w:val="646A6B31"/>
    <w:rsid w:val="648B5259"/>
    <w:rsid w:val="648F37E9"/>
    <w:rsid w:val="64D472DC"/>
    <w:rsid w:val="654E4C93"/>
    <w:rsid w:val="65DF2E5F"/>
    <w:rsid w:val="66B609E2"/>
    <w:rsid w:val="66C41C65"/>
    <w:rsid w:val="678A72B2"/>
    <w:rsid w:val="68942E90"/>
    <w:rsid w:val="6919044E"/>
    <w:rsid w:val="691F3774"/>
    <w:rsid w:val="6A4264B0"/>
    <w:rsid w:val="6B2C122C"/>
    <w:rsid w:val="6C8C46D7"/>
    <w:rsid w:val="6DF77978"/>
    <w:rsid w:val="6E33706C"/>
    <w:rsid w:val="6EF003C5"/>
    <w:rsid w:val="6F466001"/>
    <w:rsid w:val="70506707"/>
    <w:rsid w:val="70E55FAF"/>
    <w:rsid w:val="71272EE7"/>
    <w:rsid w:val="73037C4A"/>
    <w:rsid w:val="734F2AA7"/>
    <w:rsid w:val="73974097"/>
    <w:rsid w:val="73C8654B"/>
    <w:rsid w:val="73EF2A26"/>
    <w:rsid w:val="73F114AB"/>
    <w:rsid w:val="746A2FD7"/>
    <w:rsid w:val="75B15415"/>
    <w:rsid w:val="76A80A61"/>
    <w:rsid w:val="76E745CA"/>
    <w:rsid w:val="7738083E"/>
    <w:rsid w:val="77384710"/>
    <w:rsid w:val="77A0585A"/>
    <w:rsid w:val="780A4C8E"/>
    <w:rsid w:val="78CA3662"/>
    <w:rsid w:val="78DF465F"/>
    <w:rsid w:val="78F774A3"/>
    <w:rsid w:val="79105C8D"/>
    <w:rsid w:val="794478F1"/>
    <w:rsid w:val="79780601"/>
    <w:rsid w:val="7AF872F5"/>
    <w:rsid w:val="7C5204B8"/>
    <w:rsid w:val="7D423476"/>
    <w:rsid w:val="7ECF3A07"/>
    <w:rsid w:val="7F185D0F"/>
    <w:rsid w:val="7F73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1"/>
    <w:basedOn w:val="1"/>
    <w:next w:val="1"/>
    <w:link w:val="30"/>
    <w:qFormat/>
    <w:uiPriority w:val="0"/>
    <w:pPr>
      <w:keepNext/>
      <w:keepLines/>
      <w:spacing w:before="340" w:beforeLines="0" w:beforeAutospacing="0" w:after="330" w:afterLines="0" w:afterAutospacing="0" w:line="576" w:lineRule="auto"/>
      <w:outlineLvl w:val="0"/>
    </w:pPr>
    <w:rPr>
      <w:b/>
      <w:kern w:val="44"/>
      <w:sz w:val="44"/>
    </w:rPr>
  </w:style>
  <w:style w:type="paragraph" w:styleId="7">
    <w:name w:val="heading 2"/>
    <w:basedOn w:val="1"/>
    <w:next w:val="1"/>
    <w:link w:val="33"/>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8">
    <w:name w:val="heading 3"/>
    <w:basedOn w:val="1"/>
    <w:next w:val="1"/>
    <w:link w:val="3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9">
    <w:name w:val="heading 4"/>
    <w:basedOn w:val="1"/>
    <w:next w:val="1"/>
    <w:link w:val="34"/>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spacing w:line="360" w:lineRule="auto"/>
      <w:ind w:firstLine="200" w:firstLineChars="200"/>
    </w:pPr>
    <w:rPr>
      <w:rFonts w:ascii="宋体"/>
      <w:szCs w:val="20"/>
    </w:rPr>
  </w:style>
  <w:style w:type="paragraph" w:styleId="3">
    <w:name w:val="Body Text Indent"/>
    <w:basedOn w:val="1"/>
    <w:next w:val="4"/>
    <w:link w:val="38"/>
    <w:qFormat/>
    <w:uiPriority w:val="0"/>
    <w:pPr>
      <w:spacing w:after="120" w:afterLines="0" w:afterAutospacing="0"/>
      <w:ind w:left="420" w:leftChars="200"/>
    </w:pPr>
  </w:style>
  <w:style w:type="paragraph" w:styleId="4">
    <w:name w:val="envelope return"/>
    <w:basedOn w:val="1"/>
    <w:qFormat/>
    <w:uiPriority w:val="0"/>
    <w:pPr>
      <w:snapToGrid w:val="0"/>
    </w:pPr>
    <w:rPr>
      <w:rFonts w:ascii="Arial" w:hAnsi="Arial"/>
    </w:rPr>
  </w:style>
  <w:style w:type="paragraph" w:styleId="5">
    <w:name w:val="List"/>
    <w:basedOn w:val="1"/>
    <w:qFormat/>
    <w:uiPriority w:val="0"/>
    <w:pPr>
      <w:ind w:left="200" w:hanging="200" w:hangingChars="200"/>
      <w:contextualSpacing/>
    </w:pPr>
    <w:rPr>
      <w:rFonts w:eastAsia="仿宋_GB2312" w:cs="仿宋_GB2312"/>
      <w:sz w:val="30"/>
      <w:szCs w:val="30"/>
    </w:rPr>
  </w:style>
  <w:style w:type="paragraph" w:styleId="10">
    <w:name w:val="Body Text"/>
    <w:basedOn w:val="1"/>
    <w:link w:val="26"/>
    <w:qFormat/>
    <w:uiPriority w:val="0"/>
    <w:pPr>
      <w:spacing w:after="120" w:afterLines="0" w:afterAutospacing="0"/>
    </w:pPr>
  </w:style>
  <w:style w:type="paragraph" w:styleId="11">
    <w:name w:val="Plain Text"/>
    <w:basedOn w:val="1"/>
    <w:link w:val="32"/>
    <w:qFormat/>
    <w:uiPriority w:val="0"/>
    <w:rPr>
      <w:rFonts w:ascii="宋体" w:hAnsi="Courier New"/>
    </w:rPr>
  </w:style>
  <w:style w:type="paragraph" w:styleId="12">
    <w:name w:val="Date"/>
    <w:basedOn w:val="1"/>
    <w:next w:val="1"/>
    <w:link w:val="35"/>
    <w:qFormat/>
    <w:uiPriority w:val="0"/>
    <w:pPr>
      <w:ind w:left="100" w:leftChars="2500"/>
    </w:pPr>
  </w:style>
  <w:style w:type="paragraph" w:styleId="13">
    <w:name w:val="Body Text Indent 2"/>
    <w:basedOn w:val="1"/>
    <w:link w:val="39"/>
    <w:qFormat/>
    <w:uiPriority w:val="0"/>
    <w:pPr>
      <w:spacing w:after="120" w:afterLines="0" w:afterAutospacing="0" w:line="480" w:lineRule="auto"/>
      <w:ind w:left="420" w:leftChars="200"/>
    </w:pPr>
  </w:style>
  <w:style w:type="paragraph" w:styleId="14">
    <w:name w:val="Balloon Text"/>
    <w:basedOn w:val="1"/>
    <w:link w:val="29"/>
    <w:qFormat/>
    <w:uiPriority w:val="0"/>
    <w:rPr>
      <w:sz w:val="18"/>
    </w:rPr>
  </w:style>
  <w:style w:type="paragraph" w:styleId="15">
    <w:name w:val="footer"/>
    <w:basedOn w:val="1"/>
    <w:link w:val="37"/>
    <w:qFormat/>
    <w:uiPriority w:val="0"/>
    <w:pPr>
      <w:tabs>
        <w:tab w:val="center" w:pos="4153"/>
        <w:tab w:val="right" w:pos="8306"/>
      </w:tabs>
      <w:snapToGrid w:val="0"/>
      <w:jc w:val="left"/>
    </w:pPr>
    <w:rPr>
      <w:sz w:val="18"/>
      <w:szCs w:val="18"/>
    </w:rPr>
  </w:style>
  <w:style w:type="paragraph" w:styleId="16">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7">
    <w:name w:val="Body Text Indent 3"/>
    <w:basedOn w:val="1"/>
    <w:link w:val="27"/>
    <w:qFormat/>
    <w:uiPriority w:val="0"/>
    <w:pPr>
      <w:spacing w:after="120" w:afterLines="0" w:afterAutospacing="0"/>
      <w:ind w:left="420" w:leftChars="200"/>
    </w:pPr>
    <w:rPr>
      <w:sz w:val="16"/>
    </w:rPr>
  </w:style>
  <w:style w:type="paragraph" w:styleId="18">
    <w:name w:val="Body Text 2"/>
    <w:basedOn w:val="1"/>
    <w:link w:val="28"/>
    <w:qFormat/>
    <w:uiPriority w:val="0"/>
    <w:pPr>
      <w:spacing w:after="120" w:afterLines="0" w:afterAutospacing="0" w:line="480" w:lineRule="auto"/>
    </w:pPr>
  </w:style>
  <w:style w:type="paragraph" w:styleId="1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22">
    <w:name w:val="FollowedHyperlink"/>
    <w:basedOn w:val="21"/>
    <w:qFormat/>
    <w:uiPriority w:val="0"/>
    <w:rPr>
      <w:color w:val="800080"/>
      <w:u w:val="single"/>
    </w:rPr>
  </w:style>
  <w:style w:type="character" w:styleId="23">
    <w:name w:val="Hyperlink"/>
    <w:basedOn w:val="21"/>
    <w:qFormat/>
    <w:uiPriority w:val="0"/>
    <w:rPr>
      <w:color w:val="0000FF"/>
      <w:u w:val="single"/>
    </w:rPr>
  </w:style>
  <w:style w:type="paragraph" w:customStyle="1" w:styleId="24">
    <w:name w:val="List Paragraph"/>
    <w:basedOn w:val="1"/>
    <w:qFormat/>
    <w:uiPriority w:val="34"/>
    <w:pPr>
      <w:ind w:firstLine="420" w:firstLineChars="200"/>
    </w:pPr>
  </w:style>
  <w:style w:type="paragraph" w:customStyle="1" w:styleId="25">
    <w:name w:val="_Style 1"/>
    <w:basedOn w:val="1"/>
    <w:qFormat/>
    <w:uiPriority w:val="34"/>
    <w:pPr>
      <w:ind w:firstLine="420" w:firstLineChars="200"/>
    </w:pPr>
  </w:style>
  <w:style w:type="character" w:customStyle="1" w:styleId="26">
    <w:name w:val="正文文本 Char"/>
    <w:basedOn w:val="21"/>
    <w:link w:val="10"/>
    <w:qFormat/>
    <w:uiPriority w:val="0"/>
    <w:rPr>
      <w:rFonts w:ascii="仿宋_GB2312" w:eastAsia="仿宋_GB2312" w:cs="仿宋_GB2312"/>
    </w:rPr>
  </w:style>
  <w:style w:type="character" w:customStyle="1" w:styleId="27">
    <w:name w:val="正文文本缩进 3 Char"/>
    <w:basedOn w:val="21"/>
    <w:link w:val="17"/>
    <w:qFormat/>
    <w:uiPriority w:val="0"/>
    <w:rPr>
      <w:rFonts w:hint="default" w:ascii="Times New Roman" w:hAnsi="Times New Roman" w:cs="Times New Roman"/>
      <w:shd w:val="clear" w:fill="FFFFFF"/>
    </w:rPr>
  </w:style>
  <w:style w:type="character" w:customStyle="1" w:styleId="28">
    <w:name w:val="正文文本 2 Char"/>
    <w:basedOn w:val="21"/>
    <w:link w:val="18"/>
    <w:qFormat/>
    <w:uiPriority w:val="0"/>
    <w:rPr>
      <w:rFonts w:ascii="黑体" w:hAnsi="宋体" w:eastAsia="黑体" w:cs="黑体"/>
      <w:b/>
    </w:rPr>
  </w:style>
  <w:style w:type="character" w:customStyle="1" w:styleId="29">
    <w:name w:val="批注框文本 Char"/>
    <w:basedOn w:val="21"/>
    <w:link w:val="14"/>
    <w:qFormat/>
    <w:uiPriority w:val="0"/>
  </w:style>
  <w:style w:type="character" w:customStyle="1" w:styleId="30">
    <w:name w:val="标题 1 Char"/>
    <w:basedOn w:val="21"/>
    <w:link w:val="6"/>
    <w:qFormat/>
    <w:uiPriority w:val="0"/>
    <w:rPr>
      <w:b/>
    </w:rPr>
  </w:style>
  <w:style w:type="character" w:customStyle="1" w:styleId="31">
    <w:name w:val="标题 3 Char"/>
    <w:basedOn w:val="21"/>
    <w:link w:val="8"/>
    <w:qFormat/>
    <w:uiPriority w:val="0"/>
    <w:rPr>
      <w:b/>
    </w:rPr>
  </w:style>
  <w:style w:type="character" w:customStyle="1" w:styleId="32">
    <w:name w:val="纯文本 Char"/>
    <w:basedOn w:val="21"/>
    <w:link w:val="11"/>
    <w:qFormat/>
    <w:uiPriority w:val="0"/>
    <w:rPr>
      <w:rFonts w:hint="eastAsia" w:ascii="宋体" w:hAnsi="宋体" w:eastAsia="宋体" w:cs="宋体"/>
    </w:rPr>
  </w:style>
  <w:style w:type="character" w:customStyle="1" w:styleId="33">
    <w:name w:val="标题 2 Char"/>
    <w:basedOn w:val="21"/>
    <w:link w:val="7"/>
    <w:qFormat/>
    <w:uiPriority w:val="0"/>
    <w:rPr>
      <w:rFonts w:ascii="等线 Light" w:hAnsi="等线 Light" w:eastAsia="等线 Light" w:cs="等线 Light"/>
      <w:b/>
    </w:rPr>
  </w:style>
  <w:style w:type="character" w:customStyle="1" w:styleId="34">
    <w:name w:val="标题 4 Char"/>
    <w:basedOn w:val="21"/>
    <w:link w:val="9"/>
    <w:qFormat/>
    <w:uiPriority w:val="0"/>
    <w:rPr>
      <w:rFonts w:hint="eastAsia" w:ascii="等线 Light" w:hAnsi="等线 Light" w:eastAsia="等线 Light" w:cs="等线 Light"/>
      <w:b/>
    </w:rPr>
  </w:style>
  <w:style w:type="character" w:customStyle="1" w:styleId="35">
    <w:name w:val="日期 Char"/>
    <w:basedOn w:val="21"/>
    <w:link w:val="12"/>
    <w:qFormat/>
    <w:uiPriority w:val="0"/>
  </w:style>
  <w:style w:type="character" w:customStyle="1" w:styleId="36">
    <w:name w:val="页眉 Char"/>
    <w:basedOn w:val="21"/>
    <w:link w:val="16"/>
    <w:qFormat/>
    <w:uiPriority w:val="0"/>
    <w:rPr>
      <w:rFonts w:hint="default" w:ascii="Times New Roman" w:hAnsi="Times New Roman" w:cs="Times New Roman"/>
    </w:rPr>
  </w:style>
  <w:style w:type="character" w:customStyle="1" w:styleId="37">
    <w:name w:val="页脚 Char"/>
    <w:basedOn w:val="21"/>
    <w:link w:val="15"/>
    <w:qFormat/>
    <w:uiPriority w:val="0"/>
    <w:rPr>
      <w:rFonts w:hint="default" w:ascii="Times New Roman" w:hAnsi="Times New Roman" w:cs="Times New Roman"/>
    </w:rPr>
  </w:style>
  <w:style w:type="character" w:customStyle="1" w:styleId="38">
    <w:name w:val="正文文本缩进 Char"/>
    <w:basedOn w:val="21"/>
    <w:link w:val="3"/>
    <w:qFormat/>
    <w:uiPriority w:val="0"/>
    <w:rPr>
      <w:rFonts w:hint="eastAsia" w:ascii="仿宋_GB2312" w:eastAsia="仿宋_GB2312" w:cs="仿宋_GB2312"/>
    </w:rPr>
  </w:style>
  <w:style w:type="character" w:customStyle="1" w:styleId="39">
    <w:name w:val="正文文本缩进 2 Char"/>
    <w:basedOn w:val="21"/>
    <w:link w:val="13"/>
    <w:qFormat/>
    <w:uiPriority w:val="0"/>
    <w:rPr>
      <w:rFonts w:hint="default" w:ascii="Times New Roman" w:hAnsi="Times New Roman" w:cs="Times New Roman"/>
    </w:rPr>
  </w:style>
  <w:style w:type="character" w:customStyle="1" w:styleId="40">
    <w:name w:val="要点2"/>
    <w:basedOn w:val="21"/>
    <w:qFormat/>
    <w:uiPriority w:val="0"/>
    <w:rPr>
      <w:b/>
      <w:color w:val="11111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1970</Words>
  <Characters>2041</Characters>
  <Lines>0</Lines>
  <Paragraphs>0</Paragraphs>
  <TotalTime>0</TotalTime>
  <ScaleCrop>false</ScaleCrop>
  <LinksUpToDate>false</LinksUpToDate>
  <CharactersWithSpaces>2051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2018-05-24T09:42:00Z</dcterms:created>
  <dc:creator>Administrator</dc:creator>
  <cp:lastModifiedBy>曹老大</cp:lastModifiedBy>
  <cp:lastPrinted>2020-07-07T10:36:00Z</cp:lastPrinted>
  <dcterms:modified xsi:type="dcterms:W3CDTF">2025-06-09T10:53:10Z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07BC184C8F224809ACF8580F402696B9</vt:lpwstr>
  </property>
  <property fmtid="{D5CDD505-2E9C-101B-9397-08002B2CF9AE}" pid="4" name="KSOTemplateDocerSaveRecord">
    <vt:lpwstr>eyJoZGlkIjoiMjg2ODZhNjI5MGNjZmE0NTJlOGM5YmU0M2EzOWE1MDQiLCJ1c2VySWQiOiIyNTQ3MTI5MTUifQ==</vt:lpwstr>
  </property>
</Properties>
</file>