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滁州市实验中学计算机化考试标准化考场建设采购项目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czsjcg202602-012</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滁州市实验中学</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2</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A60D153">
      <w:pPr>
        <w:spacing w:line="360" w:lineRule="auto"/>
        <w:jc w:val="center"/>
        <w:outlineLvl w:val="0"/>
        <w:rPr>
          <w:rFonts w:ascii="Times New Roman" w:hAnsi="Times New Roman" w:eastAsia="宋体" w:cs="Times New Roman"/>
          <w:b/>
          <w:color w:val="auto"/>
          <w:sz w:val="36"/>
          <w:szCs w:val="36"/>
          <w:highlight w:val="none"/>
        </w:rPr>
      </w:pPr>
      <w:bookmarkStart w:id="1" w:name="_Toc21942"/>
      <w:bookmarkStart w:id="2" w:name="_Toc99301417"/>
      <w:bookmarkStart w:id="3" w:name="_Toc74227630"/>
      <w:r>
        <w:rPr>
          <w:rFonts w:ascii="Times New Roman" w:hAnsi="Times New Roman" w:eastAsia="宋体" w:cs="Times New Roman"/>
          <w:b/>
          <w:color w:val="auto"/>
          <w:sz w:val="36"/>
          <w:szCs w:val="36"/>
          <w:highlight w:val="none"/>
        </w:rPr>
        <w:t>使用说明</w:t>
      </w:r>
      <w:bookmarkEnd w:id="1"/>
      <w:bookmarkEnd w:id="2"/>
      <w:bookmarkEnd w:id="3"/>
    </w:p>
    <w:p w14:paraId="672C12F4">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为促进政府采购活动的公开、公平和公正进行，进一步优化</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政府采购营商环境，提高招标文件编制质量和采购工作效率，根据政府采购有关法律法规及政策要求，制定《</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w:t>
      </w:r>
      <w:r>
        <w:rPr>
          <w:rFonts w:hint="eastAsia" w:ascii="Times New Roman" w:hAnsi="Times New Roman" w:eastAsia="宋体" w:cs="Times New Roman"/>
          <w:color w:val="auto"/>
          <w:kern w:val="0"/>
          <w:sz w:val="24"/>
          <w:szCs w:val="24"/>
          <w:highlight w:val="none"/>
          <w:lang w:eastAsia="zh-CN"/>
        </w:rPr>
        <w:t>文件</w:t>
      </w:r>
      <w:r>
        <w:rPr>
          <w:rFonts w:hint="eastAsia" w:ascii="Times New Roman" w:hAnsi="Times New Roman" w:eastAsia="宋体" w:cs="Times New Roman"/>
          <w:color w:val="auto"/>
          <w:kern w:val="0"/>
          <w:sz w:val="24"/>
          <w:szCs w:val="24"/>
          <w:highlight w:val="none"/>
        </w:rPr>
        <w:t>示范文本》（以下简称《示范文本》），并在</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政府采购项目中推广使用。</w:t>
      </w:r>
    </w:p>
    <w:p w14:paraId="4400C41B">
      <w:pPr>
        <w:autoSpaceDE w:val="0"/>
        <w:autoSpaceDN w:val="0"/>
        <w:adjustRightInd w:val="0"/>
        <w:spacing w:line="360" w:lineRule="auto"/>
        <w:ind w:firstLine="482" w:firstLineChars="200"/>
        <w:jc w:val="left"/>
        <w:rPr>
          <w:rFonts w:hint="default" w:ascii="Times New Roman" w:hAnsi="Times New Roman" w:eastAsia="宋体" w:cs="Times New Roman"/>
          <w:b/>
          <w:color w:val="auto"/>
          <w:kern w:val="0"/>
          <w:sz w:val="24"/>
          <w:szCs w:val="24"/>
          <w:highlight w:val="none"/>
          <w:lang w:val="en-US" w:eastAsia="zh-CN"/>
        </w:rPr>
      </w:pPr>
      <w:r>
        <w:rPr>
          <w:rFonts w:hint="eastAsia" w:ascii="Times New Roman" w:hAnsi="Times New Roman" w:eastAsia="宋体" w:cs="Times New Roman"/>
          <w:b/>
          <w:color w:val="auto"/>
          <w:kern w:val="0"/>
          <w:sz w:val="24"/>
          <w:szCs w:val="24"/>
          <w:highlight w:val="none"/>
        </w:rPr>
        <w:t>一、适用范围</w:t>
      </w:r>
    </w:p>
    <w:p w14:paraId="7A80A390">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《示范文本》适用于</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的政府采购</w:t>
      </w:r>
      <w:r>
        <w:rPr>
          <w:rFonts w:ascii="Times New Roman" w:hAnsi="Times New Roman" w:eastAsia="宋体" w:cs="Times New Roman"/>
          <w:color w:val="auto"/>
          <w:kern w:val="0"/>
          <w:sz w:val="24"/>
          <w:szCs w:val="24"/>
          <w:highlight w:val="none"/>
        </w:rPr>
        <w:t>项目。</w:t>
      </w:r>
    </w:p>
    <w:p w14:paraId="694AFBF3">
      <w:pPr>
        <w:autoSpaceDE w:val="0"/>
        <w:autoSpaceDN w:val="0"/>
        <w:adjustRightInd w:val="0"/>
        <w:spacing w:line="360" w:lineRule="auto"/>
        <w:ind w:firstLine="482" w:firstLineChars="200"/>
        <w:jc w:val="left"/>
        <w:rPr>
          <w:rFonts w:hint="eastAsia" w:ascii="Times New Roman" w:hAnsi="Times New Roman" w:eastAsia="宋体" w:cs="Times New Roman"/>
          <w:b/>
          <w:color w:val="auto"/>
          <w:kern w:val="0"/>
          <w:sz w:val="24"/>
          <w:szCs w:val="24"/>
          <w:highlight w:val="none"/>
          <w:lang w:val="en-US" w:eastAsia="zh-CN"/>
        </w:rPr>
      </w:pPr>
      <w:r>
        <w:rPr>
          <w:rFonts w:hint="eastAsia" w:ascii="Times New Roman" w:hAnsi="Times New Roman" w:eastAsia="宋体" w:cs="Times New Roman"/>
          <w:b/>
          <w:color w:val="auto"/>
          <w:kern w:val="0"/>
          <w:sz w:val="24"/>
          <w:szCs w:val="24"/>
          <w:highlight w:val="none"/>
          <w:lang w:val="en-US" w:eastAsia="zh-CN"/>
        </w:rPr>
        <w:t>二、落实</w:t>
      </w:r>
      <w:r>
        <w:rPr>
          <w:rFonts w:hint="eastAsia" w:ascii="Times New Roman" w:hAnsi="Times New Roman" w:eastAsia="宋体" w:cs="Times New Roman"/>
          <w:b/>
          <w:color w:val="auto"/>
          <w:kern w:val="0"/>
          <w:sz w:val="24"/>
          <w:szCs w:val="24"/>
          <w:highlight w:val="none"/>
        </w:rPr>
        <w:t>世行</w:t>
      </w:r>
      <w:r>
        <w:rPr>
          <w:rFonts w:hint="eastAsia" w:ascii="Times New Roman" w:hAnsi="Times New Roman" w:eastAsia="宋体" w:cs="Times New Roman"/>
          <w:b/>
          <w:color w:val="auto"/>
          <w:kern w:val="0"/>
          <w:sz w:val="24"/>
          <w:szCs w:val="24"/>
          <w:highlight w:val="none"/>
          <w:lang w:val="en-US" w:eastAsia="zh-CN"/>
        </w:rPr>
        <w:t>营商环境</w:t>
      </w:r>
      <w:r>
        <w:rPr>
          <w:rFonts w:hint="eastAsia" w:ascii="Times New Roman" w:hAnsi="Times New Roman" w:eastAsia="宋体" w:cs="Times New Roman"/>
          <w:b/>
          <w:color w:val="auto"/>
          <w:kern w:val="0"/>
          <w:sz w:val="24"/>
          <w:szCs w:val="24"/>
          <w:highlight w:val="none"/>
        </w:rPr>
        <w:t>指标</w:t>
      </w:r>
      <w:r>
        <w:rPr>
          <w:rFonts w:hint="eastAsia" w:ascii="Times New Roman" w:hAnsi="Times New Roman" w:eastAsia="宋体" w:cs="Times New Roman"/>
          <w:b/>
          <w:color w:val="auto"/>
          <w:kern w:val="0"/>
          <w:sz w:val="24"/>
          <w:szCs w:val="24"/>
          <w:highlight w:val="none"/>
          <w:lang w:val="en-US" w:eastAsia="zh-CN"/>
        </w:rPr>
        <w:t>情况</w:t>
      </w:r>
    </w:p>
    <w:p w14:paraId="7E46D7C0">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引导</w:t>
      </w:r>
      <w:r>
        <w:rPr>
          <w:rFonts w:hint="eastAsia" w:ascii="Times New Roman" w:hAnsi="Times New Roman" w:eastAsia="宋体" w:cs="Times New Roman"/>
          <w:color w:val="auto"/>
          <w:kern w:val="0"/>
          <w:sz w:val="24"/>
          <w:szCs w:val="24"/>
          <w:highlight w:val="none"/>
        </w:rPr>
        <w:t>电子化方式提供和获取材料，</w:t>
      </w:r>
      <w:r>
        <w:rPr>
          <w:rFonts w:hint="eastAsia" w:ascii="Times New Roman" w:hAnsi="Times New Roman" w:eastAsia="宋体" w:cs="Times New Roman"/>
          <w:color w:val="auto"/>
          <w:kern w:val="0"/>
          <w:sz w:val="24"/>
          <w:szCs w:val="24"/>
          <w:highlight w:val="none"/>
          <w:lang w:val="en-US" w:eastAsia="zh-CN"/>
        </w:rPr>
        <w:t>无需</w:t>
      </w:r>
      <w:r>
        <w:rPr>
          <w:rFonts w:hint="eastAsia" w:ascii="Times New Roman" w:hAnsi="Times New Roman" w:eastAsia="宋体" w:cs="Times New Roman"/>
          <w:color w:val="auto"/>
          <w:kern w:val="0"/>
          <w:sz w:val="24"/>
          <w:szCs w:val="24"/>
          <w:highlight w:val="none"/>
        </w:rPr>
        <w:t>提供纸质材料。对于</w:t>
      </w:r>
      <w:r>
        <w:rPr>
          <w:rFonts w:hint="eastAsia" w:ascii="Times New Roman" w:hAnsi="Times New Roman" w:eastAsia="宋体" w:cs="Times New Roman"/>
          <w:color w:val="auto"/>
          <w:kern w:val="0"/>
          <w:sz w:val="24"/>
          <w:szCs w:val="24"/>
          <w:highlight w:val="none"/>
          <w:lang w:eastAsia="zh-CN"/>
        </w:rPr>
        <w:t>投标人</w:t>
      </w:r>
      <w:r>
        <w:rPr>
          <w:rFonts w:hint="eastAsia" w:ascii="Times New Roman" w:hAnsi="Times New Roman" w:eastAsia="宋体" w:cs="Times New Roman"/>
          <w:color w:val="auto"/>
          <w:kern w:val="0"/>
          <w:sz w:val="24"/>
          <w:szCs w:val="24"/>
          <w:highlight w:val="none"/>
        </w:rPr>
        <w:t>依照规定提交各类声明函、承诺函的，</w:t>
      </w:r>
      <w:r>
        <w:rPr>
          <w:rFonts w:hint="eastAsia" w:ascii="Times New Roman" w:hAnsi="Times New Roman" w:eastAsia="宋体" w:cs="Times New Roman"/>
          <w:color w:val="auto"/>
          <w:kern w:val="0"/>
          <w:sz w:val="24"/>
          <w:szCs w:val="24"/>
          <w:highlight w:val="none"/>
          <w:lang w:val="en-US" w:eastAsia="zh-CN"/>
        </w:rPr>
        <w:t>采购人或采购代理机构</w:t>
      </w:r>
      <w:r>
        <w:rPr>
          <w:rFonts w:hint="eastAsia" w:ascii="Times New Roman" w:hAnsi="Times New Roman" w:eastAsia="宋体" w:cs="Times New Roman"/>
          <w:color w:val="auto"/>
          <w:kern w:val="0"/>
          <w:sz w:val="24"/>
          <w:szCs w:val="24"/>
          <w:highlight w:val="none"/>
        </w:rPr>
        <w:t>不得要求其再提供有关部门出具的相关证明文件。</w:t>
      </w:r>
    </w:p>
    <w:p w14:paraId="127C7401">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提供</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等格式，帮助</w:t>
      </w:r>
      <w:r>
        <w:rPr>
          <w:rFonts w:hint="eastAsia" w:ascii="Times New Roman" w:hAnsi="Times New Roman" w:eastAsia="宋体" w:cs="Times New Roman"/>
          <w:color w:val="auto"/>
          <w:kern w:val="0"/>
          <w:sz w:val="24"/>
          <w:szCs w:val="24"/>
          <w:highlight w:val="none"/>
        </w:rPr>
        <w:t>采购人</w:t>
      </w:r>
      <w:r>
        <w:rPr>
          <w:rFonts w:hint="eastAsia" w:ascii="Times New Roman" w:hAnsi="Times New Roman" w:eastAsia="宋体" w:cs="Times New Roman"/>
          <w:color w:val="auto"/>
          <w:kern w:val="0"/>
          <w:sz w:val="24"/>
          <w:szCs w:val="24"/>
          <w:highlight w:val="none"/>
          <w:lang w:val="en-US" w:eastAsia="zh-CN"/>
        </w:rPr>
        <w:t>更好落实政府采购政策</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方便</w:t>
      </w:r>
      <w:r>
        <w:rPr>
          <w:rFonts w:hint="eastAsia" w:ascii="Times New Roman" w:hAnsi="Times New Roman" w:eastAsia="宋体" w:cs="Times New Roman"/>
          <w:color w:val="auto"/>
          <w:kern w:val="0"/>
          <w:sz w:val="24"/>
          <w:szCs w:val="24"/>
          <w:highlight w:val="none"/>
        </w:rPr>
        <w:t>市场主体制定更有竞争力的投标策略。</w:t>
      </w:r>
    </w:p>
    <w:p w14:paraId="1AC88CEC">
      <w:pPr>
        <w:autoSpaceDE w:val="0"/>
        <w:autoSpaceDN w:val="0"/>
        <w:adjustRightInd w:val="0"/>
        <w:spacing w:line="360" w:lineRule="auto"/>
        <w:ind w:firstLine="480" w:firstLineChars="200"/>
        <w:jc w:val="left"/>
        <w:rPr>
          <w:rFonts w:hint="default" w:ascii="Times New Roman" w:hAnsi="Times New Roman" w:eastAsia="Microsoft YaHei UI"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便于</w:t>
      </w:r>
      <w:r>
        <w:rPr>
          <w:rFonts w:hint="eastAsia" w:ascii="Times New Roman" w:hAnsi="Times New Roman" w:eastAsia="宋体" w:cs="Times New Roman"/>
          <w:color w:val="auto"/>
          <w:kern w:val="0"/>
          <w:sz w:val="24"/>
          <w:szCs w:val="24"/>
          <w:highlight w:val="none"/>
        </w:rPr>
        <w:t>采购人、采购代理机构</w:t>
      </w:r>
      <w:r>
        <w:rPr>
          <w:rFonts w:hint="eastAsia" w:ascii="Times New Roman" w:hAnsi="Times New Roman" w:eastAsia="宋体" w:cs="Times New Roman"/>
          <w:color w:val="auto"/>
          <w:kern w:val="0"/>
          <w:sz w:val="24"/>
          <w:szCs w:val="24"/>
          <w:highlight w:val="none"/>
          <w:lang w:val="en-US" w:eastAsia="zh-CN"/>
        </w:rPr>
        <w:t>落实</w:t>
      </w:r>
      <w:r>
        <w:rPr>
          <w:rFonts w:hint="eastAsia" w:ascii="Times New Roman" w:hAnsi="Times New Roman" w:eastAsia="宋体" w:cs="Times New Roman"/>
          <w:color w:val="auto"/>
          <w:kern w:val="0"/>
          <w:sz w:val="24"/>
          <w:szCs w:val="24"/>
          <w:highlight w:val="none"/>
          <w:lang w:eastAsia="zh-CN"/>
        </w:rPr>
        <w:t>投标人</w:t>
      </w:r>
      <w:r>
        <w:rPr>
          <w:rFonts w:hint="eastAsia" w:ascii="Times New Roman" w:hAnsi="Times New Roman" w:eastAsia="宋体" w:cs="Times New Roman"/>
          <w:color w:val="auto"/>
          <w:kern w:val="0"/>
          <w:sz w:val="24"/>
          <w:szCs w:val="24"/>
          <w:highlight w:val="none"/>
        </w:rPr>
        <w:t>自主选择以支票、汇票、本票、保函等非现金形式缴纳或提交</w:t>
      </w:r>
      <w:r>
        <w:rPr>
          <w:rFonts w:hint="eastAsia" w:ascii="Times New Roman" w:hAnsi="Times New Roman" w:eastAsia="宋体" w:cs="Times New Roman"/>
          <w:color w:val="auto"/>
          <w:kern w:val="0"/>
          <w:sz w:val="24"/>
          <w:szCs w:val="24"/>
          <w:highlight w:val="none"/>
          <w:lang w:val="en-US" w:eastAsia="zh-CN"/>
        </w:rPr>
        <w:t>履约</w:t>
      </w:r>
      <w:r>
        <w:rPr>
          <w:rFonts w:hint="eastAsia" w:ascii="Times New Roman" w:hAnsi="Times New Roman" w:eastAsia="宋体" w:cs="Times New Roman"/>
          <w:color w:val="auto"/>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提醒采购人不应逾期退回。</w:t>
      </w:r>
    </w:p>
    <w:p w14:paraId="60AB34FD">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4.《示范文本》在政府采购合同中明确约定双方的违约责任。对于因采购人原因导致中止或者终止政府采购合同的，采购人应当依照合同约定对投标人受到的损失予以赔偿或者补偿。</w:t>
      </w:r>
    </w:p>
    <w:p w14:paraId="758C37FC">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5.《示范文本》提供《政府采购供应商询问函和质疑函范本》，便于投标人通过网上询问、质疑等多种途径反馈诉求，</w:t>
      </w:r>
      <w:r>
        <w:rPr>
          <w:rFonts w:hint="eastAsia" w:ascii="Times New Roman" w:hAnsi="Times New Roman" w:eastAsia="宋体" w:cs="Times New Roman"/>
          <w:color w:val="auto"/>
          <w:kern w:val="0"/>
          <w:sz w:val="24"/>
          <w:szCs w:val="24"/>
          <w:highlight w:val="none"/>
        </w:rPr>
        <w:t>保障当事人的合法权利。</w:t>
      </w:r>
    </w:p>
    <w:p w14:paraId="396CF286">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32E2593A">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三</w:t>
      </w:r>
      <w:r>
        <w:rPr>
          <w:rFonts w:ascii="Times New Roman" w:hAnsi="Times New Roman" w:eastAsia="宋体" w:cs="Times New Roman"/>
          <w:b/>
          <w:color w:val="auto"/>
          <w:kern w:val="0"/>
          <w:sz w:val="24"/>
          <w:szCs w:val="24"/>
          <w:highlight w:val="none"/>
        </w:rPr>
        <w:t>、填写规则</w:t>
      </w:r>
    </w:p>
    <w:p w14:paraId="11C32451">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color w:val="auto"/>
          <w:kern w:val="0"/>
          <w:sz w:val="24"/>
          <w:szCs w:val="24"/>
          <w:highlight w:val="none"/>
        </w:rPr>
        <w:t>国家和安徽省有关法律法规的规定</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采购项目具体特点和实际需要进行具体化填写，确实没有需要填写的，在空格或下划横线“__”中用“/”标记。</w:t>
      </w:r>
    </w:p>
    <w:p w14:paraId="249C5380">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2.条款中以“□”形式标记的内容，为采购人或采购代理机构需要确定的选项。编制招标文件时，适用于本项目的选项标记为“</w:t>
      </w:r>
      <w:r>
        <w:rPr>
          <w:rFonts w:hint="eastAsia" w:ascii="Times New Roman" w:hAnsi="Times New Roman" w:eastAsia="宋体" w:cs="Times New Roman"/>
          <w:color w:val="auto"/>
          <w:kern w:val="0"/>
          <w:sz w:val="24"/>
          <w:szCs w:val="24"/>
          <w:highlight w:val="none"/>
          <w:lang w:val="en-US" w:eastAsia="zh-CN"/>
        </w:rPr>
        <w:sym w:font="Wingdings 2" w:char="0052"/>
      </w:r>
      <w:r>
        <w:rPr>
          <w:rFonts w:hint="eastAsia" w:ascii="Times New Roman" w:hAnsi="Times New Roman" w:eastAsia="宋体" w:cs="Times New Roman"/>
          <w:color w:val="auto"/>
          <w:kern w:val="0"/>
          <w:sz w:val="24"/>
          <w:szCs w:val="24"/>
          <w:highlight w:val="none"/>
          <w:lang w:val="en-US" w:eastAsia="zh-CN"/>
        </w:rPr>
        <w:t>”，不适用于本项目的选项标记为“□”。</w:t>
      </w:r>
    </w:p>
    <w:p w14:paraId="26AD72F4">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四</w:t>
      </w:r>
      <w:r>
        <w:rPr>
          <w:rFonts w:ascii="Times New Roman" w:hAnsi="Times New Roman" w:eastAsia="宋体" w:cs="Times New Roman"/>
          <w:b/>
          <w:color w:val="auto"/>
          <w:kern w:val="0"/>
          <w:sz w:val="24"/>
          <w:szCs w:val="24"/>
          <w:highlight w:val="none"/>
        </w:rPr>
        <w:t>、提示条款</w:t>
      </w:r>
    </w:p>
    <w:p w14:paraId="3E1B1E58">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《示范文本》中“（）”形式标记的红色斜体内容，属于提示编制采购文件的注意事项，采购文件发出前，有关提示内容应予以删除。</w:t>
      </w:r>
    </w:p>
    <w:p w14:paraId="65C5647A">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五</w:t>
      </w:r>
      <w:r>
        <w:rPr>
          <w:rFonts w:ascii="Times New Roman" w:hAnsi="Times New Roman" w:eastAsia="宋体" w:cs="Times New Roman"/>
          <w:b/>
          <w:color w:val="auto"/>
          <w:kern w:val="0"/>
          <w:sz w:val="24"/>
          <w:szCs w:val="24"/>
          <w:highlight w:val="none"/>
        </w:rPr>
        <w:t>、合同</w:t>
      </w:r>
      <w:r>
        <w:rPr>
          <w:rFonts w:hint="eastAsia" w:ascii="Times New Roman" w:hAnsi="Times New Roman" w:eastAsia="宋体" w:cs="Times New Roman"/>
          <w:b/>
          <w:color w:val="auto"/>
          <w:kern w:val="0"/>
          <w:sz w:val="24"/>
          <w:szCs w:val="24"/>
          <w:highlight w:val="none"/>
        </w:rPr>
        <w:t>文本</w:t>
      </w:r>
    </w:p>
    <w:p w14:paraId="0F5D00E9">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color w:val="auto"/>
          <w:kern w:val="0"/>
          <w:sz w:val="24"/>
          <w:szCs w:val="24"/>
          <w:highlight w:val="none"/>
        </w:rPr>
        <w:t>完善</w:t>
      </w:r>
      <w:r>
        <w:rPr>
          <w:rFonts w:ascii="Times New Roman" w:hAnsi="Times New Roman" w:eastAsia="宋体" w:cs="Times New Roman"/>
          <w:color w:val="auto"/>
          <w:kern w:val="0"/>
          <w:sz w:val="24"/>
          <w:szCs w:val="24"/>
          <w:highlight w:val="none"/>
        </w:rPr>
        <w:t>项目采购合同。</w:t>
      </w:r>
    </w:p>
    <w:p w14:paraId="42C365EF">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六</w:t>
      </w:r>
      <w:r>
        <w:rPr>
          <w:rFonts w:ascii="Times New Roman" w:hAnsi="Times New Roman" w:eastAsia="宋体" w:cs="Times New Roman"/>
          <w:b/>
          <w:color w:val="auto"/>
          <w:kern w:val="0"/>
          <w:sz w:val="24"/>
          <w:szCs w:val="24"/>
          <w:highlight w:val="none"/>
        </w:rPr>
        <w:t>、</w:t>
      </w:r>
      <w:r>
        <w:rPr>
          <w:rFonts w:hint="eastAsia" w:ascii="Times New Roman" w:hAnsi="Times New Roman" w:eastAsia="宋体" w:cs="Times New Roman"/>
          <w:b/>
          <w:color w:val="auto"/>
          <w:kern w:val="0"/>
          <w:sz w:val="24"/>
          <w:szCs w:val="24"/>
          <w:highlight w:val="none"/>
        </w:rPr>
        <w:t>投标</w:t>
      </w:r>
      <w:r>
        <w:rPr>
          <w:rFonts w:ascii="Times New Roman" w:hAnsi="Times New Roman" w:eastAsia="宋体" w:cs="Times New Roman"/>
          <w:b/>
          <w:color w:val="auto"/>
          <w:kern w:val="0"/>
          <w:sz w:val="24"/>
          <w:szCs w:val="24"/>
          <w:highlight w:val="none"/>
        </w:rPr>
        <w:t>文件格式的统一与简化</w:t>
      </w:r>
    </w:p>
    <w:p w14:paraId="57A51CA5">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w:t>
      </w:r>
      <w:r>
        <w:rPr>
          <w:rFonts w:ascii="Times New Roman" w:hAnsi="Times New Roman" w:eastAsia="宋体" w:cs="Times New Roman"/>
          <w:color w:val="auto"/>
          <w:kern w:val="0"/>
          <w:sz w:val="24"/>
          <w:szCs w:val="24"/>
          <w:highlight w:val="none"/>
        </w:rPr>
        <w:t>为便于</w:t>
      </w:r>
      <w:r>
        <w:rPr>
          <w:rFonts w:hint="eastAsia" w:ascii="Times New Roman" w:hAnsi="Times New Roman" w:eastAsia="宋体" w:cs="Times New Roman"/>
          <w:color w:val="auto"/>
          <w:kern w:val="0"/>
          <w:sz w:val="24"/>
          <w:szCs w:val="24"/>
          <w:highlight w:val="none"/>
          <w:lang w:eastAsia="zh-CN"/>
        </w:rPr>
        <w:t>投标人</w:t>
      </w:r>
      <w:r>
        <w:rPr>
          <w:rFonts w:ascii="Times New Roman" w:hAnsi="Times New Roman" w:eastAsia="宋体" w:cs="Times New Roman"/>
          <w:color w:val="auto"/>
          <w:kern w:val="0"/>
          <w:sz w:val="24"/>
          <w:szCs w:val="24"/>
          <w:highlight w:val="none"/>
        </w:rPr>
        <w:t>制作</w:t>
      </w:r>
      <w:r>
        <w:rPr>
          <w:rFonts w:hint="eastAsia" w:ascii="Times New Roman" w:hAnsi="Times New Roman" w:eastAsia="宋体" w:cs="Times New Roman"/>
          <w:color w:val="auto"/>
          <w:kern w:val="0"/>
          <w:sz w:val="24"/>
          <w:szCs w:val="24"/>
          <w:highlight w:val="none"/>
        </w:rPr>
        <w:t>投标</w:t>
      </w:r>
      <w:r>
        <w:rPr>
          <w:rFonts w:ascii="Times New Roman" w:hAnsi="Times New Roman" w:eastAsia="宋体" w:cs="Times New Roman"/>
          <w:color w:val="auto"/>
          <w:kern w:val="0"/>
          <w:sz w:val="24"/>
          <w:szCs w:val="24"/>
          <w:highlight w:val="none"/>
        </w:rPr>
        <w:t>文件，便于</w:t>
      </w:r>
      <w:r>
        <w:rPr>
          <w:rFonts w:hint="eastAsia" w:ascii="Times New Roman" w:hAnsi="Times New Roman" w:eastAsia="宋体" w:cs="Times New Roman"/>
          <w:color w:val="auto"/>
          <w:kern w:val="0"/>
          <w:sz w:val="24"/>
          <w:szCs w:val="24"/>
          <w:highlight w:val="none"/>
        </w:rPr>
        <w:t>评标委员会</w:t>
      </w:r>
      <w:r>
        <w:rPr>
          <w:rFonts w:ascii="Times New Roman" w:hAnsi="Times New Roman" w:eastAsia="宋体" w:cs="Times New Roman"/>
          <w:color w:val="auto"/>
          <w:kern w:val="0"/>
          <w:sz w:val="24"/>
          <w:szCs w:val="24"/>
          <w:highlight w:val="none"/>
        </w:rPr>
        <w:t>评审时统一标准，《示范文本》对适宜的内容提供了统一的</w:t>
      </w:r>
      <w:r>
        <w:rPr>
          <w:rFonts w:hint="eastAsia" w:ascii="Times New Roman" w:hAnsi="Times New Roman" w:eastAsia="宋体" w:cs="Times New Roman"/>
          <w:color w:val="auto"/>
          <w:kern w:val="0"/>
          <w:sz w:val="24"/>
          <w:szCs w:val="24"/>
          <w:highlight w:val="none"/>
        </w:rPr>
        <w:t>投标</w:t>
      </w:r>
      <w:r>
        <w:rPr>
          <w:rFonts w:ascii="Times New Roman" w:hAnsi="Times New Roman" w:eastAsia="宋体" w:cs="Times New Roman"/>
          <w:color w:val="auto"/>
          <w:kern w:val="0"/>
          <w:sz w:val="24"/>
          <w:szCs w:val="24"/>
          <w:highlight w:val="none"/>
        </w:rPr>
        <w:t>文件参考格式，尽可能对格式中需要填列的内容进行了简化，尽可能减少了格式中需要签字、盖章的要求。</w:t>
      </w:r>
    </w:p>
    <w:p w14:paraId="120D2704">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w:t>
      </w:r>
      <w:r>
        <w:rPr>
          <w:rFonts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第二章中“投标人须知前附表”所列条款号与“投标人须知正文”的序号一一对应。</w:t>
      </w:r>
    </w:p>
    <w:p w14:paraId="325C967B">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七</w:t>
      </w:r>
      <w:r>
        <w:rPr>
          <w:rFonts w:ascii="Times New Roman" w:hAnsi="Times New Roman" w:eastAsia="宋体" w:cs="Times New Roman"/>
          <w:b/>
          <w:color w:val="auto"/>
          <w:kern w:val="0"/>
          <w:sz w:val="24"/>
          <w:szCs w:val="24"/>
          <w:highlight w:val="none"/>
        </w:rPr>
        <w:t>、实施及修改</w:t>
      </w:r>
    </w:p>
    <w:p w14:paraId="40B745FD">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color w:val="auto"/>
          <w:kern w:val="0"/>
          <w:sz w:val="24"/>
          <w:szCs w:val="24"/>
          <w:highlight w:val="none"/>
          <w:lang w:val="en-US" w:eastAsia="zh-CN"/>
        </w:rPr>
        <w:t>安徽省财政厅采购处</w:t>
      </w:r>
      <w:r>
        <w:rPr>
          <w:rFonts w:ascii="Times New Roman" w:hAnsi="Times New Roman" w:eastAsia="宋体" w:cs="Times New Roman"/>
          <w:color w:val="auto"/>
          <w:kern w:val="0"/>
          <w:sz w:val="24"/>
          <w:szCs w:val="24"/>
          <w:highlight w:val="none"/>
        </w:rPr>
        <w:t>联系。我们将及时总结经验，以进一步修订完善《示范文本》并协同推进其规范运用。</w:t>
      </w:r>
    </w:p>
    <w:p w14:paraId="6245C6BE">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采购人或</w:t>
      </w:r>
      <w:r>
        <w:rPr>
          <w:rFonts w:hint="eastAsia" w:ascii="Times New Roman" w:hAnsi="Times New Roman" w:eastAsia="宋体" w:cs="Times New Roman"/>
          <w:color w:val="auto"/>
          <w:kern w:val="0"/>
          <w:sz w:val="24"/>
          <w:szCs w:val="24"/>
          <w:highlight w:val="none"/>
          <w:lang w:eastAsia="zh-CN"/>
        </w:rPr>
        <w:t>采购</w:t>
      </w:r>
      <w:r>
        <w:rPr>
          <w:rFonts w:hint="eastAsia" w:ascii="Times New Roman" w:hAnsi="Times New Roman" w:eastAsia="宋体" w:cs="Times New Roman"/>
          <w:color w:val="auto"/>
          <w:kern w:val="0"/>
          <w:sz w:val="24"/>
          <w:szCs w:val="24"/>
          <w:highlight w:val="none"/>
        </w:rPr>
        <w:t>代理机构可根据法律法规、政府采购政策文件等更新情况或项目具体特点，对示范文本适当进行更新或调整。</w:t>
      </w:r>
    </w:p>
    <w:p w14:paraId="43CC367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06ABA13">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38C6091F">
      <w:pPr>
        <w:pStyle w:val="17"/>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p>
    <w:p w14:paraId="540DF2B9">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2309FF48">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59DCF857">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3A96B3E5">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5E839302">
      <w:pPr>
        <w:pStyle w:val="17"/>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_Toc18131 \h </w:instrText>
      </w:r>
      <w:r>
        <w:rPr>
          <w:color w:val="auto"/>
          <w:highlight w:val="none"/>
        </w:rPr>
        <w:fldChar w:fldCharType="separate"/>
      </w:r>
      <w:r>
        <w:rPr>
          <w:rFonts w:hint="eastAsia"/>
          <w:color w:val="auto"/>
          <w:highlight w:val="none"/>
          <w:lang w:val="en-US" w:eastAsia="zh-CN"/>
        </w:rPr>
        <w:t>92</w:t>
      </w:r>
      <w:r>
        <w:rPr>
          <w:color w:val="auto"/>
          <w:highlight w:val="none"/>
        </w:rPr>
        <w:fldChar w:fldCharType="end"/>
      </w:r>
      <w:r>
        <w:rPr>
          <w:rFonts w:asciiTheme="minorEastAsia" w:hAnsiTheme="minorEastAsia" w:eastAsiaTheme="minorEastAsia"/>
          <w:color w:val="auto"/>
          <w:szCs w:val="24"/>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9"/>
        <w:rPr>
          <w:color w:val="auto"/>
          <w:highlight w:val="none"/>
        </w:rPr>
        <w:sectPr>
          <w:headerReference r:id="rId3" w:type="default"/>
          <w:footerReference r:id="rId4" w:type="default"/>
          <w:pgSz w:w="11905" w:h="16838"/>
          <w:pgMar w:top="1440" w:right="1417" w:bottom="1440" w:left="1417" w:header="850" w:footer="992" w:gutter="0"/>
          <w:cols w:space="0" w:num="1"/>
          <w:rtlGutter w:val="0"/>
          <w:docGrid w:type="lines" w:linePitch="317"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4"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4"/>
    </w:p>
    <w:p w14:paraId="67B94087">
      <w:pPr>
        <w:spacing w:line="360" w:lineRule="auto"/>
        <w:ind w:firstLine="437"/>
        <w:outlineLvl w:val="1"/>
        <w:rPr>
          <w:rFonts w:hint="eastAsia" w:ascii="宋体" w:hAnsi="宋体" w:eastAsia="宋体"/>
          <w:b/>
          <w:bCs/>
          <w:color w:val="auto"/>
          <w:sz w:val="24"/>
          <w:szCs w:val="18"/>
          <w:highlight w:val="none"/>
        </w:rPr>
      </w:pPr>
      <w:bookmarkStart w:id="5" w:name="_Toc1381"/>
      <w:bookmarkStart w:id="6" w:name="_Toc5842"/>
      <w:r>
        <w:rPr>
          <w:rFonts w:hint="eastAsia" w:ascii="宋体" w:hAnsi="宋体" w:eastAsia="宋体"/>
          <w:b/>
          <w:bCs/>
          <w:color w:val="auto"/>
          <w:sz w:val="24"/>
          <w:szCs w:val="18"/>
          <w:highlight w:val="none"/>
        </w:rPr>
        <w:t>一、</w:t>
      </w:r>
      <w:bookmarkEnd w:id="5"/>
      <w:r>
        <w:rPr>
          <w:rFonts w:hint="eastAsia" w:ascii="宋体" w:hAnsi="宋体" w:eastAsia="宋体"/>
          <w:b/>
          <w:bCs/>
          <w:color w:val="auto"/>
          <w:sz w:val="24"/>
          <w:szCs w:val="18"/>
          <w:highlight w:val="none"/>
        </w:rPr>
        <w:t>项目基本情况</w:t>
      </w:r>
      <w:bookmarkEnd w:id="6"/>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val="en-US" w:eastAsia="zh-CN"/>
        </w:rPr>
        <w:t>czsjcg202602-012</w:t>
      </w:r>
    </w:p>
    <w:p w14:paraId="5CDF36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滁州市实验中学计算机化考试标准化考场建设采购项目</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1440000元</w:t>
      </w:r>
    </w:p>
    <w:p w14:paraId="747D5EE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本项目投标报价最高限价为1440000元</w:t>
      </w:r>
      <w:r>
        <w:rPr>
          <w:rFonts w:hint="eastAsia" w:asciiTheme="minorEastAsia" w:hAnsiTheme="minorEastAsia" w:eastAsiaTheme="minorEastAsia"/>
          <w:color w:val="auto"/>
          <w:sz w:val="24"/>
          <w:highlight w:val="none"/>
          <w:u w:val="single"/>
        </w:rPr>
        <w:t>。投标报价不得高于最高限价，否则按无效标处理</w:t>
      </w:r>
      <w:r>
        <w:rPr>
          <w:rFonts w:hint="eastAsia" w:asciiTheme="minorEastAsia" w:hAnsiTheme="minorEastAsia" w:eastAsiaTheme="minorEastAsia"/>
          <w:color w:val="auto"/>
          <w:sz w:val="24"/>
          <w:highlight w:val="none"/>
          <w:u w:val="single"/>
          <w:lang w:eastAsia="zh-CN"/>
        </w:rPr>
        <w:t>。</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计算机化考试标准化考场建设采购</w:t>
      </w:r>
    </w:p>
    <w:p w14:paraId="2617F2D4">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6.合同履行期限：</w:t>
      </w:r>
      <w:r>
        <w:rPr>
          <w:rFonts w:hint="eastAsia" w:asciiTheme="minorEastAsia" w:hAnsiTheme="minorEastAsia" w:eastAsiaTheme="minorEastAsia"/>
          <w:color w:val="auto"/>
          <w:sz w:val="24"/>
          <w:highlight w:val="none"/>
          <w:u w:val="single"/>
          <w:lang w:val="en-US" w:eastAsia="zh-CN"/>
        </w:rPr>
        <w:t>合同签订后，自接到采购人通知之日起30个日历天内完成全部供货、安装、调试、运行工作。</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7" w:name="_Toc13530"/>
      <w:bookmarkStart w:id="8" w:name="_Toc26178"/>
      <w:r>
        <w:rPr>
          <w:rFonts w:hint="eastAsia" w:ascii="宋体" w:hAnsi="宋体" w:eastAsia="宋体"/>
          <w:b/>
          <w:bCs/>
          <w:color w:val="auto"/>
          <w:sz w:val="24"/>
          <w:szCs w:val="18"/>
          <w:highlight w:val="none"/>
        </w:rPr>
        <w:t>二、</w:t>
      </w:r>
      <w:bookmarkEnd w:id="7"/>
      <w:r>
        <w:rPr>
          <w:rFonts w:hint="eastAsia" w:ascii="宋体" w:hAnsi="宋体" w:eastAsia="宋体"/>
          <w:b/>
          <w:bCs/>
          <w:color w:val="auto"/>
          <w:sz w:val="24"/>
          <w:szCs w:val="18"/>
          <w:highlight w:val="none"/>
        </w:rPr>
        <w:t>申请人的资格要求</w:t>
      </w:r>
      <w:bookmarkEnd w:id="8"/>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r>
        <w:rPr>
          <w:rFonts w:hint="eastAsia" w:asciiTheme="minorEastAsia" w:hAnsiTheme="minorEastAsia" w:eastAsiaTheme="minorEastAsia"/>
          <w:color w:val="auto"/>
          <w:sz w:val="24"/>
          <w:highlight w:val="none"/>
          <w:lang w:val="en-US" w:eastAsia="zh-CN"/>
        </w:rPr>
        <w:t>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FDD46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6E86A6A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lang w:val="en-US" w:eastAsia="zh-CN" w:bidi="ar-SA"/>
        </w:rPr>
        <w:t>3.</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u w:val="single"/>
          <w:lang w:val="en-US" w:eastAsia="zh-CN"/>
        </w:rPr>
        <w:t>无</w:t>
      </w:r>
      <w:r>
        <w:rPr>
          <w:rFonts w:hint="eastAsia" w:asciiTheme="minorEastAsia" w:hAnsiTheme="minorEastAsia" w:eastAsiaTheme="minorEastAsia"/>
          <w:color w:val="auto"/>
          <w:sz w:val="24"/>
          <w:highlight w:val="none"/>
          <w:lang w:val="en-US" w:eastAsia="zh-CN"/>
        </w:rPr>
        <w:t>。</w:t>
      </w:r>
    </w:p>
    <w:p w14:paraId="47D70EB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lang w:val="en-US" w:eastAsia="zh-CN" w:bidi="ar-SA"/>
        </w:rPr>
        <w:t>4.</w:t>
      </w:r>
      <w:r>
        <w:rPr>
          <w:rFonts w:hint="eastAsia" w:asciiTheme="minorEastAsia" w:hAnsiTheme="minorEastAsia" w:eastAsiaTheme="minorEastAsia"/>
          <w:color w:val="auto"/>
          <w:sz w:val="24"/>
          <w:highlight w:val="none"/>
          <w:lang w:val="en-US" w:eastAsia="zh-CN"/>
        </w:rPr>
        <w:t>信誉要求：投标人不得存在以下情形：</w:t>
      </w:r>
    </w:p>
    <w:p w14:paraId="39D718FB">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9" w:name="OLE_LINK127"/>
      <w:bookmarkStart w:id="10" w:name="OLE_LINK128"/>
      <w:bookmarkStart w:id="11" w:name="OLE_LINK129"/>
      <w:r>
        <w:rPr>
          <w:rFonts w:hint="eastAsia" w:asciiTheme="minorEastAsia" w:hAnsiTheme="minorEastAsia" w:eastAsiaTheme="minorEastAsia"/>
          <w:color w:val="auto"/>
          <w:sz w:val="24"/>
          <w:highlight w:val="none"/>
          <w:lang w:val="en-US" w:eastAsia="zh-CN"/>
        </w:rPr>
        <w:t>“信用中国”网站</w:t>
      </w:r>
      <w:bookmarkEnd w:id="9"/>
      <w:bookmarkEnd w:id="10"/>
      <w:bookmarkEnd w:id="11"/>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bookmarkStart w:id="12" w:name="_Toc30110"/>
      <w:bookmarkStart w:id="13" w:name="_Toc32089"/>
      <w:r>
        <w:rPr>
          <w:rFonts w:hint="eastAsia" w:ascii="宋体" w:hAnsi="宋体" w:eastAsia="宋体"/>
          <w:b/>
          <w:bCs/>
          <w:color w:val="auto"/>
          <w:sz w:val="24"/>
          <w:szCs w:val="18"/>
          <w:highlight w:val="none"/>
        </w:rPr>
        <w:t>三、</w:t>
      </w:r>
      <w:bookmarkEnd w:id="12"/>
      <w:r>
        <w:rPr>
          <w:rFonts w:hint="eastAsia" w:ascii="宋体" w:hAnsi="宋体" w:eastAsia="宋体"/>
          <w:b/>
          <w:bCs/>
          <w:color w:val="auto"/>
          <w:sz w:val="24"/>
          <w:szCs w:val="18"/>
          <w:highlight w:val="none"/>
        </w:rPr>
        <w:t>获取招标文件</w:t>
      </w:r>
      <w:bookmarkEnd w:id="13"/>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4" w:name="_Toc7957"/>
      <w:r>
        <w:rPr>
          <w:rFonts w:hint="eastAsia" w:asciiTheme="minorEastAsia" w:hAnsiTheme="minorEastAsia" w:eastAsiaTheme="minorEastAsia" w:cstheme="minorEastAsia"/>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none"/>
          <w:lang w:val="en-US" w:eastAsia="zh-CN"/>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1FFED869">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s="宋体"/>
          <w:color w:val="auto"/>
          <w:sz w:val="24"/>
          <w:szCs w:val="18"/>
          <w:highlight w:val="none"/>
          <w:u w:val="single"/>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19726"/>
      <w:r>
        <w:rPr>
          <w:rFonts w:hint="eastAsia" w:ascii="宋体" w:hAnsi="宋体" w:eastAsia="宋体"/>
          <w:b/>
          <w:bCs/>
          <w:color w:val="auto"/>
          <w:sz w:val="24"/>
          <w:szCs w:val="18"/>
          <w:highlight w:val="none"/>
        </w:rPr>
        <w:t>四、</w:t>
      </w:r>
      <w:bookmarkEnd w:id="14"/>
      <w:r>
        <w:rPr>
          <w:rFonts w:hint="eastAsia" w:ascii="宋体" w:hAnsi="宋体" w:eastAsia="宋体"/>
          <w:b/>
          <w:bCs/>
          <w:color w:val="auto"/>
          <w:sz w:val="24"/>
          <w:szCs w:val="18"/>
          <w:highlight w:val="none"/>
        </w:rPr>
        <w:t>提交投标文件截止时间、开标时间和地点</w:t>
      </w:r>
      <w:bookmarkEnd w:id="15"/>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6"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50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7" w:name="_Toc28531"/>
      <w:r>
        <w:rPr>
          <w:rFonts w:hint="eastAsia" w:ascii="宋体" w:hAnsi="宋体" w:eastAsia="宋体"/>
          <w:b/>
          <w:bCs/>
          <w:color w:val="auto"/>
          <w:sz w:val="24"/>
          <w:szCs w:val="18"/>
          <w:highlight w:val="none"/>
        </w:rPr>
        <w:t>五、</w:t>
      </w:r>
      <w:bookmarkEnd w:id="16"/>
      <w:r>
        <w:rPr>
          <w:rFonts w:hint="eastAsia" w:ascii="宋体" w:hAnsi="宋体" w:eastAsia="宋体"/>
          <w:b/>
          <w:bCs/>
          <w:color w:val="auto"/>
          <w:sz w:val="24"/>
          <w:szCs w:val="18"/>
          <w:highlight w:val="none"/>
        </w:rPr>
        <w:t>公告期限</w:t>
      </w:r>
      <w:bookmarkEnd w:id="17"/>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8"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9" w:name="_Toc35393795"/>
      <w:bookmarkStart w:id="20" w:name="_Toc35393626"/>
      <w:bookmarkStart w:id="21" w:name="_Toc8807"/>
      <w:r>
        <w:rPr>
          <w:rFonts w:hint="eastAsia" w:ascii="宋体" w:hAnsi="宋体" w:eastAsia="宋体"/>
          <w:b/>
          <w:bCs/>
          <w:color w:val="auto"/>
          <w:sz w:val="24"/>
          <w:szCs w:val="18"/>
          <w:highlight w:val="none"/>
        </w:rPr>
        <w:t>六、其他补充事宜</w:t>
      </w:r>
      <w:bookmarkEnd w:id="19"/>
      <w:bookmarkEnd w:id="20"/>
      <w:bookmarkEnd w:id="21"/>
    </w:p>
    <w:p w14:paraId="64F32E43">
      <w:pPr>
        <w:wordWrap w:val="0"/>
        <w:spacing w:line="420" w:lineRule="exact"/>
        <w:ind w:firstLine="437"/>
        <w:rPr>
          <w:rFonts w:hint="eastAsia" w:ascii="宋体" w:hAnsi="宋体" w:eastAsia="宋体"/>
          <w:b w:val="0"/>
          <w:bCs w:val="0"/>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w:t>
      </w:r>
      <w:r>
        <w:rPr>
          <w:rFonts w:hint="eastAsia" w:ascii="宋体" w:hAnsi="宋体" w:eastAsia="宋体" w:cs="宋体"/>
          <w:color w:val="auto"/>
          <w:sz w:val="24"/>
          <w:szCs w:val="18"/>
          <w:highlight w:val="none"/>
          <w:lang w:val="en-US" w:eastAsia="zh-CN"/>
        </w:rPr>
        <w:t>登录</w:t>
      </w:r>
      <w:r>
        <w:rPr>
          <w:rFonts w:hint="eastAsia" w:ascii="宋体" w:hAnsi="宋体" w:eastAsia="宋体" w:cs="宋体"/>
          <w:color w:val="auto"/>
          <w:sz w:val="24"/>
          <w:szCs w:val="18"/>
          <w:highlight w:val="none"/>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 、0550-3801669（工作日）；3.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8D953FD">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w:t>
      </w:r>
      <w:r>
        <w:rPr>
          <w:rFonts w:hint="eastAsia" w:ascii="宋体" w:hAnsi="宋体" w:eastAsia="宋体" w:cs="宋体"/>
          <w:color w:val="auto"/>
          <w:kern w:val="2"/>
          <w:sz w:val="24"/>
          <w:szCs w:val="18"/>
          <w:highlight w:val="none"/>
          <w:lang w:val="en-US" w:eastAsia="zh-CN" w:bidi="ar-SA"/>
        </w:rPr>
        <w:t>间。</w:t>
      </w:r>
    </w:p>
    <w:bookmarkEnd w:id="18"/>
    <w:p w14:paraId="1A07881E">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滁州市实验中学</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single"/>
          <w:lang w:val="en-US" w:eastAsia="zh-CN"/>
        </w:rPr>
        <w:t>滁州市西涧路2697号</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徐老师</w:t>
      </w:r>
    </w:p>
    <w:p w14:paraId="0ED5D257">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0550-3519055</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滁州市政府采购中心</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color w:val="auto"/>
          <w:sz w:val="24"/>
          <w:szCs w:val="18"/>
          <w:highlight w:val="none"/>
          <w:u w:val="single"/>
          <w:lang w:val="en-US" w:eastAsia="zh-CN"/>
        </w:rPr>
        <w:t>滁州市龙蟠大道109号房产商务大厦2楼</w:t>
      </w:r>
    </w:p>
    <w:p w14:paraId="16569BB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关勤勤</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0550-3519590、</w:t>
      </w:r>
      <w:r>
        <w:rPr>
          <w:rFonts w:hint="eastAsia" w:ascii="宋体" w:hAnsi="宋体" w:eastAsia="宋体" w:cs="宋体"/>
          <w:color w:val="auto"/>
          <w:sz w:val="24"/>
          <w:szCs w:val="18"/>
          <w:highlight w:val="none"/>
          <w:u w:val="single"/>
          <w:lang w:val="en-US" w:eastAsia="zh-CN"/>
        </w:rPr>
        <w:t>13866523085</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s="宋体"/>
          <w:color w:val="auto"/>
          <w:sz w:val="24"/>
          <w:szCs w:val="18"/>
          <w:highlight w:val="none"/>
          <w:u w:val="single"/>
        </w:rPr>
        <w:t>滁州市龙蟠大道109号房产大厦</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u w:val="single"/>
        </w:rPr>
        <w:t>楼</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0550-3801656</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4"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4"/>
    </w:p>
    <w:p w14:paraId="1C2B44DB">
      <w:pPr>
        <w:spacing w:line="360" w:lineRule="auto"/>
        <w:jc w:val="center"/>
        <w:outlineLvl w:val="1"/>
        <w:rPr>
          <w:rFonts w:asciiTheme="minorEastAsia" w:hAnsiTheme="minorEastAsia" w:eastAsiaTheme="minorEastAsia"/>
          <w:b/>
          <w:color w:val="auto"/>
          <w:sz w:val="24"/>
          <w:highlight w:val="none"/>
        </w:rPr>
      </w:pPr>
      <w:bookmarkStart w:id="25" w:name="_Toc7178"/>
      <w:bookmarkStart w:id="26"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5"/>
      <w:bookmarkEnd w:id="26"/>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6"/>
        <w:gridCol w:w="6122"/>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26</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4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698FF84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7FDE3F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评标委员会推荐3名中标候选人</w:t>
            </w:r>
            <w:r>
              <w:rPr>
                <w:rFonts w:hint="eastAsia" w:ascii="宋体" w:hAnsi="宋体" w:eastAsia="宋体"/>
                <w:b w:val="0"/>
                <w:color w:val="auto"/>
                <w:sz w:val="24"/>
                <w:highlight w:val="none"/>
                <w:u w:val="single"/>
                <w:lang w:eastAsia="zh-CN"/>
              </w:rPr>
              <w:t>。</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0CF9A9E">
            <w:pPr>
              <w:pStyle w:val="4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本项目不向采购人及中标人收取代理费用</w:t>
            </w:r>
            <w:r>
              <w:rPr>
                <w:rFonts w:hint="eastAsia" w:ascii="宋体" w:hAnsi="宋体" w:eastAsia="宋体" w:cs="宋体"/>
                <w:color w:val="auto"/>
                <w:sz w:val="24"/>
                <w:szCs w:val="24"/>
                <w:highlight w:val="none"/>
                <w:u w:val="single" w:color="auto"/>
                <w:lang w:eastAsia="zh-CN"/>
              </w:rPr>
              <w:t>。</w:t>
            </w:r>
          </w:p>
          <w:p w14:paraId="50CEC323">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9900元。参考《关于进一步明确代理费计取标准的通知》（滁公管综〔2023〕19号）标准。</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cs="宋体"/>
                <w:b w:val="0"/>
                <w:color w:val="auto"/>
                <w:sz w:val="24"/>
                <w:highlight w:val="none"/>
                <w:u w:val="single"/>
                <w:lang w:eastAsia="zh-CN"/>
              </w:rPr>
              <w:t>。</w:t>
            </w:r>
          </w:p>
          <w:p w14:paraId="1445BDB6">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滁州市实验中学</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滁州市政府采购中心</w:t>
            </w:r>
          </w:p>
          <w:p w14:paraId="0AE196BB">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0550-3519055</w:t>
            </w:r>
            <w:r>
              <w:rPr>
                <w:rFonts w:hint="eastAsia" w:ascii="宋体" w:hAnsi="宋体" w:eastAsia="宋体" w:cs="宋体"/>
                <w:b w:val="0"/>
                <w:color w:val="auto"/>
                <w:sz w:val="24"/>
                <w:highlight w:val="none"/>
                <w:u w:val="single"/>
              </w:rPr>
              <w:t>、0550-3519590</w:t>
            </w:r>
          </w:p>
          <w:p w14:paraId="454D68B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滁州市西涧路2697号</w:t>
            </w:r>
            <w:r>
              <w:rPr>
                <w:rFonts w:hint="eastAsia" w:ascii="宋体" w:hAnsi="宋体" w:eastAsia="宋体" w:cs="宋体"/>
                <w:b w:val="0"/>
                <w:color w:val="auto"/>
                <w:sz w:val="24"/>
                <w:highlight w:val="none"/>
                <w:u w:val="single"/>
                <w:lang w:val="en-US" w:eastAsia="zh-CN"/>
              </w:rPr>
              <w:t>、滁州市龙蟠大道109号房产商务大厦6楼620</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CAB6BF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rPr>
              <w:t>部分可提供线下政府采购合同融资的部分金融机构</w:t>
            </w:r>
          </w:p>
          <w:p w14:paraId="70F7E517">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1"/>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1"/>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D1CD95D">
            <w:pPr>
              <w:pStyle w:val="4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9</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14880"/>
      <w:bookmarkStart w:id="28"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7"/>
      <w:bookmarkEnd w:id="28"/>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9"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9"/>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lang w:val="en-US" w:eastAsia="zh-CN"/>
        </w:rPr>
        <w:t>等。</w:t>
      </w:r>
    </w:p>
    <w:bookmarkEnd w:id="30"/>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31"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1"/>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w:t>
      </w:r>
      <w:r>
        <w:rPr>
          <w:rFonts w:hint="eastAsia" w:asciiTheme="minorEastAsia" w:hAnsiTheme="minorEastAsia" w:eastAsiaTheme="minorEastAsia"/>
          <w:color w:val="auto"/>
          <w:sz w:val="24"/>
          <w:highlight w:val="none"/>
          <w:lang w:val="en-US" w:eastAsia="zh-CN"/>
        </w:rPr>
        <w:t>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4" w:name="_Toc518923101"/>
      <w:bookmarkStart w:id="35"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4"/>
      <w:bookmarkEnd w:id="35"/>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6" w:name="_Toc10891"/>
      <w:r>
        <w:rPr>
          <w:rFonts w:hint="eastAsia" w:asciiTheme="minorEastAsia" w:hAnsiTheme="minorEastAsia" w:eastAsiaTheme="minorEastAsia"/>
          <w:b/>
          <w:color w:val="auto"/>
          <w:sz w:val="28"/>
          <w:highlight w:val="none"/>
        </w:rPr>
        <w:t>第三章  采购需求</w:t>
      </w:r>
      <w:bookmarkEnd w:id="36"/>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hint="eastAsia" w:ascii="宋体" w:hAnsi="宋体" w:eastAsia="宋体" w:cs="宋体"/>
          <w:color w:val="auto"/>
          <w:sz w:val="24"/>
          <w:szCs w:val="24"/>
          <w:highlight w:val="none"/>
        </w:rPr>
        <w:t>。</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7" w:name="_Toc2554"/>
      <w:bookmarkStart w:id="38" w:name="_Toc32151"/>
      <w:r>
        <w:rPr>
          <w:rFonts w:hint="eastAsia" w:ascii="宋体" w:hAnsi="宋体" w:eastAsia="宋体"/>
          <w:b/>
          <w:color w:val="auto"/>
          <w:sz w:val="24"/>
          <w:szCs w:val="18"/>
          <w:highlight w:val="none"/>
        </w:rPr>
        <w:t>一、采购需求前附表</w:t>
      </w:r>
      <w:bookmarkEnd w:id="37"/>
      <w:bookmarkEnd w:id="3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0"/>
        <w:gridCol w:w="6458"/>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F188398">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66" w:type="pct"/>
            <w:vAlign w:val="center"/>
          </w:tcPr>
          <w:p w14:paraId="200C6B67">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76" w:type="pct"/>
            <w:vAlign w:val="center"/>
          </w:tcPr>
          <w:p w14:paraId="1E08E055">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44D6A7A7">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66" w:type="pct"/>
            <w:vAlign w:val="center"/>
          </w:tcPr>
          <w:p w14:paraId="7EA999D1">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76" w:type="pct"/>
            <w:vAlign w:val="center"/>
          </w:tcPr>
          <w:p w14:paraId="62B8C4E7">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val="0"/>
                <w:color w:val="auto"/>
                <w:sz w:val="24"/>
                <w:highlight w:val="none"/>
                <w:u w:val="single"/>
                <w:lang w:val="en-US" w:eastAsia="zh-CN"/>
              </w:rPr>
              <w:t>运行</w:t>
            </w:r>
            <w:r>
              <w:rPr>
                <w:rFonts w:hint="eastAsia" w:ascii="宋体" w:hAnsi="宋体" w:eastAsia="宋体"/>
                <w:b w:val="0"/>
                <w:color w:val="auto"/>
                <w:sz w:val="24"/>
                <w:highlight w:val="none"/>
                <w:u w:val="single"/>
              </w:rPr>
              <w:t>完毕并由采购人验收合格后，一次性付清结算价款</w:t>
            </w:r>
            <w:r>
              <w:rPr>
                <w:rFonts w:hint="eastAsia" w:ascii="宋体" w:hAnsi="宋体" w:eastAsia="宋体"/>
                <w:b w:val="0"/>
                <w:color w:val="auto"/>
                <w:sz w:val="24"/>
                <w:highlight w:val="none"/>
                <w:u w:val="singl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1BFF414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66" w:type="pct"/>
            <w:vAlign w:val="center"/>
          </w:tcPr>
          <w:p w14:paraId="400801A7">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76" w:type="pct"/>
            <w:vAlign w:val="center"/>
          </w:tcPr>
          <w:p w14:paraId="008E1630">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滁州市实验中学</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79C64E8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66" w:type="pct"/>
            <w:vAlign w:val="center"/>
          </w:tcPr>
          <w:p w14:paraId="28D0729D">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76" w:type="pct"/>
            <w:vAlign w:val="center"/>
          </w:tcPr>
          <w:p w14:paraId="64A45A1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合同签订后，自接到采购人通知之日起30个日历天内完成全部供货、安装、调试、运行工作</w:t>
            </w:r>
            <w:r>
              <w:rPr>
                <w:rFonts w:hint="eastAsia" w:ascii="宋体" w:hAnsi="宋体" w:eastAsia="宋体"/>
                <w:b w:val="0"/>
                <w:color w:val="auto"/>
                <w:sz w:val="24"/>
                <w:highlight w:val="none"/>
                <w:u w:val="single"/>
              </w:rPr>
              <w:t>。</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A86A6B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66" w:type="pct"/>
            <w:vAlign w:val="center"/>
          </w:tcPr>
          <w:p w14:paraId="6BA5A37C">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76" w:type="pct"/>
            <w:vAlign w:val="center"/>
          </w:tcPr>
          <w:p w14:paraId="0D94A51E">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提供</w:t>
            </w:r>
            <w:r>
              <w:rPr>
                <w:rFonts w:hint="eastAsia" w:ascii="宋体" w:hAnsi="宋体" w:eastAsia="宋体"/>
                <w:b w:val="0"/>
                <w:color w:val="auto"/>
                <w:sz w:val="24"/>
                <w:highlight w:val="none"/>
                <w:u w:val="single"/>
                <w:lang w:val="en-US" w:eastAsia="zh-CN"/>
              </w:rPr>
              <w:t>3</w:t>
            </w:r>
            <w:r>
              <w:rPr>
                <w:rFonts w:hint="eastAsia" w:ascii="宋体" w:hAnsi="宋体" w:eastAsia="宋体"/>
                <w:b w:val="0"/>
                <w:color w:val="auto"/>
                <w:sz w:val="24"/>
                <w:highlight w:val="none"/>
                <w:u w:val="single"/>
              </w:rPr>
              <w:t>年的免费质保</w:t>
            </w:r>
            <w:r>
              <w:rPr>
                <w:rFonts w:hint="eastAsia" w:ascii="宋体" w:hAnsi="宋体" w:eastAsia="宋体"/>
                <w:b w:val="0"/>
                <w:color w:val="auto"/>
                <w:sz w:val="24"/>
                <w:highlight w:val="none"/>
                <w:u w:val="single"/>
                <w:lang w:val="en-US" w:eastAsia="zh-CN"/>
              </w:rPr>
              <w:t>服务（自验收合格之日起）</w:t>
            </w:r>
            <w:r>
              <w:rPr>
                <w:rFonts w:hint="eastAsia" w:ascii="宋体" w:hAnsi="宋体" w:eastAsia="宋体"/>
                <w:b w:val="0"/>
                <w:color w:val="auto"/>
                <w:sz w:val="24"/>
                <w:highlight w:val="none"/>
                <w:u w:val="single"/>
                <w:lang w:eastAsia="zh-CN"/>
              </w:rPr>
              <w:t>。</w:t>
            </w:r>
          </w:p>
        </w:tc>
      </w:tr>
    </w:tbl>
    <w:p w14:paraId="36B88BE0">
      <w:pPr>
        <w:spacing w:line="360" w:lineRule="auto"/>
        <w:ind w:firstLine="437"/>
        <w:outlineLvl w:val="1"/>
        <w:rPr>
          <w:rFonts w:hint="eastAsia" w:ascii="宋体" w:hAnsi="宋体" w:eastAsia="宋体"/>
          <w:b/>
          <w:bCs/>
          <w:color w:val="auto"/>
          <w:sz w:val="24"/>
          <w:szCs w:val="18"/>
          <w:highlight w:val="none"/>
        </w:rPr>
      </w:pPr>
      <w:bookmarkStart w:id="39" w:name="_Toc7671"/>
      <w:bookmarkStart w:id="40" w:name="_Toc5944"/>
    </w:p>
    <w:p w14:paraId="3BF97234">
      <w:pPr>
        <w:spacing w:line="360" w:lineRule="auto"/>
        <w:ind w:firstLine="437"/>
        <w:outlineLvl w:val="1"/>
        <w:rPr>
          <w:rFonts w:hint="eastAsia" w:ascii="宋体" w:hAnsi="宋体" w:eastAsia="宋体"/>
          <w:b/>
          <w:bCs/>
          <w:color w:val="auto"/>
          <w:sz w:val="24"/>
          <w:szCs w:val="18"/>
          <w:highlight w:val="none"/>
        </w:rPr>
        <w:sectPr>
          <w:headerReference r:id="rId5" w:type="default"/>
          <w:footerReference r:id="rId6" w:type="default"/>
          <w:pgSz w:w="11905" w:h="16838"/>
          <w:pgMar w:top="1440" w:right="1417" w:bottom="1440" w:left="1417"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3E806DB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9"/>
      <w:bookmarkEnd w:id="40"/>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227"/>
        <w:gridCol w:w="7368"/>
        <w:gridCol w:w="700"/>
        <w:gridCol w:w="723"/>
        <w:gridCol w:w="816"/>
        <w:gridCol w:w="1270"/>
        <w:gridCol w:w="1179"/>
      </w:tblGrid>
      <w:tr w14:paraId="3C2E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C9AB2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b/>
                <w:bCs/>
                <w:color w:val="auto"/>
                <w:sz w:val="24"/>
                <w:szCs w:val="18"/>
                <w:highlight w:val="none"/>
              </w:rPr>
            </w:pPr>
            <w:bookmarkStart w:id="41" w:name="_Toc7421"/>
            <w:bookmarkStart w:id="42" w:name="_Toc4843"/>
            <w:r>
              <w:rPr>
                <w:rFonts w:hint="eastAsia" w:ascii="宋体" w:hAnsi="宋体" w:eastAsia="宋体"/>
                <w:b/>
                <w:bCs/>
                <w:color w:val="auto"/>
                <w:sz w:val="24"/>
                <w:szCs w:val="18"/>
                <w:highlight w:val="none"/>
              </w:rPr>
              <w:t>序号</w:t>
            </w:r>
          </w:p>
        </w:tc>
        <w:tc>
          <w:tcPr>
            <w:tcW w:w="433" w:type="pct"/>
            <w:vAlign w:val="center"/>
          </w:tcPr>
          <w:p w14:paraId="09368E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600" w:type="pct"/>
            <w:vAlign w:val="center"/>
          </w:tcPr>
          <w:p w14:paraId="16CE90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247" w:type="pct"/>
            <w:vAlign w:val="center"/>
          </w:tcPr>
          <w:p w14:paraId="084EF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rPr>
              <w:t>单位</w:t>
            </w:r>
          </w:p>
        </w:tc>
        <w:tc>
          <w:tcPr>
            <w:tcW w:w="255" w:type="pct"/>
            <w:vAlign w:val="center"/>
          </w:tcPr>
          <w:p w14:paraId="5FF331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数量</w:t>
            </w:r>
          </w:p>
        </w:tc>
        <w:tc>
          <w:tcPr>
            <w:tcW w:w="288" w:type="pct"/>
            <w:vAlign w:val="center"/>
          </w:tcPr>
          <w:p w14:paraId="4EEB43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20C18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448" w:type="pct"/>
            <w:vAlign w:val="center"/>
          </w:tcPr>
          <w:p w14:paraId="18C6A2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416" w:type="pct"/>
            <w:vAlign w:val="center"/>
          </w:tcPr>
          <w:p w14:paraId="589A6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73BF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1" w:type="pct"/>
            <w:vAlign w:val="center"/>
          </w:tcPr>
          <w:p w14:paraId="3B7EF883">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433" w:type="pct"/>
            <w:vAlign w:val="center"/>
          </w:tcPr>
          <w:p w14:paraId="662E53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监考主机</w:t>
            </w:r>
          </w:p>
        </w:tc>
        <w:tc>
          <w:tcPr>
            <w:tcW w:w="2600" w:type="pct"/>
            <w:vAlign w:val="center"/>
          </w:tcPr>
          <w:p w14:paraId="405DDD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处理器：2.1GHz基础频率/4.9GHz最大睿频/25 MB 三级缓存/12核/20线程及以上，非低压或移动平台CPU。</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主板：DMI通道最大可支持8条，PCI Express 通道数可支持24条，USB 端口数最大可支持14个，SATA 6.0 Gb/秒端口数最大可支持8个</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投标时</w:t>
            </w:r>
            <w:r>
              <w:rPr>
                <w:rFonts w:hint="eastAsia" w:ascii="宋体" w:hAnsi="宋体" w:eastAsia="宋体" w:cs="宋体"/>
                <w:b/>
                <w:bCs/>
                <w:color w:val="auto"/>
                <w:kern w:val="0"/>
                <w:sz w:val="21"/>
                <w:szCs w:val="21"/>
                <w:highlight w:val="none"/>
              </w:rPr>
              <w:t>提供官网截图或者官方证明材料）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内存：标配不低于64GB DDR5；</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硬盘：512G M.2 SSD固态硬盘；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接口插槽：整机不少于6个USB接口（为方便使用，机身侧面提供至少1个USB3.2接口和一个Type-C3.2接口,1个耳机/麦克风接口）；后置HDMI和DP两个高清视频接口；1个电源接口；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有线网卡：Intel千M网卡；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无线网卡：标配无线网卡，内置蓝牙；</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显卡：集成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音频要求：高性能集成立体声扬声器；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键鼠：</w:t>
            </w:r>
            <w:r>
              <w:rPr>
                <w:rFonts w:hint="eastAsia" w:ascii="宋体" w:hAnsi="宋体" w:eastAsia="宋体" w:cs="宋体"/>
                <w:color w:val="auto"/>
                <w:kern w:val="0"/>
                <w:sz w:val="21"/>
                <w:szCs w:val="21"/>
                <w:highlight w:val="none"/>
                <w:lang w:val="en-US" w:eastAsia="zh-CN"/>
              </w:rPr>
              <w:t>配套出厂</w:t>
            </w:r>
            <w:r>
              <w:rPr>
                <w:rFonts w:hint="eastAsia" w:ascii="宋体" w:hAnsi="宋体" w:eastAsia="宋体" w:cs="宋体"/>
                <w:color w:val="auto"/>
                <w:kern w:val="0"/>
                <w:sz w:val="21"/>
                <w:szCs w:val="21"/>
                <w:highlight w:val="none"/>
              </w:rPr>
              <w:t xml:space="preserve">USB防水抗菌键盘、光电鼠标，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电源：不高于120W外置电源适配器；支持USB键盘任意键点击开机启动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显示设备：23.8英寸及以上尺寸三边微边框IPS宽屏LED背光防眩光液晶显示器，分辨率不低于1920*1080,俯仰式支架底座可调节(非相框式)；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质保要求：</w:t>
            </w:r>
            <w:r>
              <w:rPr>
                <w:rFonts w:hint="eastAsia" w:ascii="宋体" w:hAnsi="宋体" w:eastAsia="宋体" w:cs="宋体"/>
                <w:color w:val="auto"/>
                <w:kern w:val="0"/>
                <w:sz w:val="21"/>
                <w:szCs w:val="21"/>
                <w:highlight w:val="none"/>
                <w:lang w:val="en-US" w:eastAsia="zh-CN"/>
              </w:rPr>
              <w:t>配套出厂</w:t>
            </w:r>
            <w:r>
              <w:rPr>
                <w:rFonts w:hint="eastAsia" w:ascii="宋体" w:hAnsi="宋体" w:eastAsia="宋体" w:cs="宋体"/>
                <w:color w:val="auto"/>
                <w:kern w:val="0"/>
                <w:sz w:val="21"/>
                <w:szCs w:val="21"/>
                <w:highlight w:val="none"/>
              </w:rPr>
              <w:t>三年免费部件和上门维修服务，400/800电话可查机器质保和配置。为保证产品质量，中标后供货前需提供所投产品MTBF无故障运行时间不低于100万小时认证证书；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系统：出厂预装正版操作系统；</w:t>
            </w:r>
            <w:r>
              <w:rPr>
                <w:rFonts w:hint="eastAsia" w:ascii="宋体" w:hAnsi="宋体" w:eastAsia="宋体" w:cs="宋体"/>
                <w:color w:val="auto"/>
                <w:kern w:val="0"/>
                <w:sz w:val="21"/>
                <w:szCs w:val="21"/>
                <w:highlight w:val="none"/>
                <w:lang w:val="en-US" w:eastAsia="zh-CN"/>
              </w:rPr>
              <w:t>并提供</w:t>
            </w:r>
            <w:r>
              <w:rPr>
                <w:rFonts w:hint="eastAsia" w:ascii="宋体" w:hAnsi="宋体" w:eastAsia="宋体" w:cs="宋体"/>
                <w:color w:val="auto"/>
                <w:kern w:val="0"/>
                <w:sz w:val="21"/>
                <w:szCs w:val="21"/>
                <w:highlight w:val="none"/>
              </w:rPr>
              <w:t>软件正版化证明</w:t>
            </w:r>
            <w:r>
              <w:rPr>
                <w:rFonts w:hint="eastAsia" w:ascii="宋体" w:hAnsi="宋体" w:eastAsia="宋体" w:cs="宋体"/>
                <w:color w:val="auto"/>
                <w:kern w:val="0"/>
                <w:sz w:val="21"/>
                <w:szCs w:val="21"/>
                <w:highlight w:val="none"/>
                <w:lang w:eastAsia="zh-CN"/>
              </w:rPr>
              <w:t>；</w:t>
            </w:r>
          </w:p>
          <w:p w14:paraId="07B856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外置USB光驱：光驱刻录机DVD，8X DVD读取/写入，24X CD读取/写入；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备份存储：可移动硬盘，容量≥32G。</w:t>
            </w:r>
          </w:p>
        </w:tc>
        <w:tc>
          <w:tcPr>
            <w:tcW w:w="247" w:type="pct"/>
            <w:vAlign w:val="center"/>
          </w:tcPr>
          <w:p w14:paraId="7EE3AA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176334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438E43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448" w:type="pct"/>
            <w:vAlign w:val="center"/>
          </w:tcPr>
          <w:p w14:paraId="6F89A1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0D1EE474">
            <w:pPr>
              <w:spacing w:line="360" w:lineRule="auto"/>
              <w:jc w:val="center"/>
              <w:rPr>
                <w:rFonts w:hint="default" w:ascii="宋体" w:hAnsi="宋体" w:eastAsia="宋体"/>
                <w:bCs/>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节能产品</w:t>
            </w:r>
          </w:p>
        </w:tc>
      </w:tr>
      <w:tr w14:paraId="73B4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2E293A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433" w:type="pct"/>
            <w:vAlign w:val="center"/>
          </w:tcPr>
          <w:p w14:paraId="2AE966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考试一体机</w:t>
            </w:r>
          </w:p>
        </w:tc>
        <w:tc>
          <w:tcPr>
            <w:tcW w:w="2600" w:type="pct"/>
            <w:vAlign w:val="center"/>
          </w:tcPr>
          <w:p w14:paraId="7E52B4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4"/>
                <w:szCs w:val="18"/>
                <w:highlight w:val="none"/>
                <w:lang w:eastAsia="zh-CN"/>
              </w:rPr>
            </w:pPr>
            <w:r>
              <w:rPr>
                <w:rFonts w:hint="eastAsia" w:ascii="宋体" w:hAnsi="宋体" w:eastAsia="宋体" w:cs="宋体"/>
                <w:color w:val="auto"/>
                <w:kern w:val="0"/>
                <w:sz w:val="21"/>
                <w:szCs w:val="21"/>
                <w:highlight w:val="none"/>
              </w:rPr>
              <w:t>机型：商用一体式电脑</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处理器：3.3 GHz基础频率/4.5GHz最大睿频/12 MB 三级缓存/4核/8线程及以上，非低压或移动平台CPU</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主板：DMI通道最大可支持8条，PCI Express 通道数可支持24条，USB 端口数最大可支持14个，SATA 6.0 Gb/秒端口数最大可支持8个</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投标时</w:t>
            </w:r>
            <w:r>
              <w:rPr>
                <w:rFonts w:hint="eastAsia" w:ascii="宋体" w:hAnsi="宋体" w:eastAsia="宋体" w:cs="宋体"/>
                <w:b/>
                <w:bCs/>
                <w:color w:val="auto"/>
                <w:kern w:val="0"/>
                <w:sz w:val="21"/>
                <w:szCs w:val="21"/>
                <w:highlight w:val="none"/>
              </w:rPr>
              <w:t>提供官网截图或者官方证明材料）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内存：标配不低于16GB DDR5，最大支持64GB内存扩展；</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硬盘：256G M.2 SSD固态硬盘；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接口插槽：整机不少于6个USB接口（为方便使用，机身侧面提供至少1个USB3.2接口和一个Type-C3.2接口,1个耳机/麦克风接口）；后置HDMI和DP 两个高清视频接口；1个电源接口；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有线网卡：Intel千M网卡；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无线网卡：标配无线网卡，内置蓝牙；</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显卡：集成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音频要求：高性能集成立体声2W扬声器；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键鼠：</w:t>
            </w:r>
            <w:r>
              <w:rPr>
                <w:rFonts w:hint="eastAsia" w:ascii="宋体" w:hAnsi="宋体" w:eastAsia="宋体" w:cs="宋体"/>
                <w:color w:val="auto"/>
                <w:kern w:val="0"/>
                <w:sz w:val="21"/>
                <w:szCs w:val="21"/>
                <w:highlight w:val="none"/>
                <w:lang w:val="en-US" w:eastAsia="zh-CN"/>
              </w:rPr>
              <w:t>配套出厂</w:t>
            </w:r>
            <w:r>
              <w:rPr>
                <w:rFonts w:hint="eastAsia" w:ascii="宋体" w:hAnsi="宋体" w:eastAsia="宋体" w:cs="宋体"/>
                <w:color w:val="auto"/>
                <w:kern w:val="0"/>
                <w:sz w:val="21"/>
                <w:szCs w:val="21"/>
                <w:highlight w:val="none"/>
              </w:rPr>
              <w:t xml:space="preserve">USB防水抗菌键盘、光电鼠标，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电源：不高于120W外置电源适配器；支持USB键盘任意键点击开机启动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显示设备：23.8英寸及以上尺寸三边微边框IPS宽屏LED背光防眩光液晶显示器，分辨率不低于1920*1080,俯仰式支架底座可调节(非相框式)；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质保要求：</w:t>
            </w:r>
            <w:r>
              <w:rPr>
                <w:rFonts w:hint="eastAsia" w:ascii="宋体" w:hAnsi="宋体" w:eastAsia="宋体" w:cs="宋体"/>
                <w:color w:val="auto"/>
                <w:kern w:val="0"/>
                <w:sz w:val="21"/>
                <w:szCs w:val="21"/>
                <w:highlight w:val="none"/>
                <w:lang w:val="en-US" w:eastAsia="zh-CN"/>
              </w:rPr>
              <w:t>配套出厂</w:t>
            </w:r>
            <w:r>
              <w:rPr>
                <w:rFonts w:hint="eastAsia" w:ascii="宋体" w:hAnsi="宋体" w:eastAsia="宋体" w:cs="宋体"/>
                <w:color w:val="auto"/>
                <w:kern w:val="0"/>
                <w:sz w:val="21"/>
                <w:szCs w:val="21"/>
                <w:highlight w:val="none"/>
              </w:rPr>
              <w:t>三年免费部件和上门维修服务，400/800电话可查机器质保和配置。为保证产品质量，中标后供货前需提供所投产品MTBF无故障运行时间不低于100万小时认证证书；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系统：出厂预装正版操作系统；</w:t>
            </w:r>
            <w:r>
              <w:rPr>
                <w:rFonts w:hint="eastAsia" w:ascii="宋体" w:hAnsi="宋体" w:eastAsia="宋体" w:cs="宋体"/>
                <w:color w:val="auto"/>
                <w:kern w:val="0"/>
                <w:sz w:val="21"/>
                <w:szCs w:val="21"/>
                <w:highlight w:val="none"/>
                <w:lang w:val="en-US" w:eastAsia="zh-CN"/>
              </w:rPr>
              <w:t>并提供</w:t>
            </w:r>
            <w:r>
              <w:rPr>
                <w:rFonts w:hint="eastAsia" w:ascii="宋体" w:hAnsi="宋体" w:eastAsia="宋体" w:cs="宋体"/>
                <w:color w:val="auto"/>
                <w:kern w:val="0"/>
                <w:sz w:val="21"/>
                <w:szCs w:val="21"/>
                <w:highlight w:val="none"/>
              </w:rPr>
              <w:t>软件正版化证明</w:t>
            </w:r>
            <w:r>
              <w:rPr>
                <w:rFonts w:hint="eastAsia" w:ascii="宋体" w:hAnsi="宋体" w:eastAsia="宋体" w:cs="宋体"/>
                <w:color w:val="auto"/>
                <w:kern w:val="0"/>
                <w:sz w:val="21"/>
                <w:szCs w:val="21"/>
                <w:highlight w:val="none"/>
                <w:lang w:eastAsia="zh-CN"/>
              </w:rPr>
              <w:t>。</w:t>
            </w:r>
          </w:p>
        </w:tc>
        <w:tc>
          <w:tcPr>
            <w:tcW w:w="247" w:type="pct"/>
            <w:vAlign w:val="center"/>
          </w:tcPr>
          <w:p w14:paraId="3269BF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6BA403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220</w:t>
            </w:r>
          </w:p>
        </w:tc>
        <w:tc>
          <w:tcPr>
            <w:tcW w:w="288" w:type="pct"/>
            <w:vAlign w:val="center"/>
          </w:tcPr>
          <w:p w14:paraId="2C7BC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448" w:type="pct"/>
            <w:vAlign w:val="center"/>
          </w:tcPr>
          <w:p w14:paraId="230B0E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w:t>
            </w:r>
          </w:p>
        </w:tc>
        <w:tc>
          <w:tcPr>
            <w:tcW w:w="416" w:type="pct"/>
            <w:vAlign w:val="center"/>
          </w:tcPr>
          <w:p w14:paraId="4FE29583">
            <w:pPr>
              <w:spacing w:line="360" w:lineRule="auto"/>
              <w:jc w:val="center"/>
              <w:rPr>
                <w:rFonts w:hint="default" w:ascii="宋体" w:hAnsi="宋体" w:eastAsia="宋体"/>
                <w:bCs/>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节能产品</w:t>
            </w:r>
          </w:p>
        </w:tc>
      </w:tr>
      <w:tr w14:paraId="3C79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1" w:type="pct"/>
            <w:vAlign w:val="center"/>
          </w:tcPr>
          <w:p w14:paraId="0AC8472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433" w:type="pct"/>
            <w:vAlign w:val="center"/>
          </w:tcPr>
          <w:p w14:paraId="342995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USB听力用耳机</w:t>
            </w:r>
          </w:p>
        </w:tc>
        <w:tc>
          <w:tcPr>
            <w:tcW w:w="2600" w:type="pct"/>
            <w:vAlign w:val="center"/>
          </w:tcPr>
          <w:p w14:paraId="7BE6B0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 xml:space="preserve">1.外观：包耳式可拆卸耳罩设计，自适应头戴，线长≥2.0米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2.频响范围：20Hz-20KHZ</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3.喇叭阻抗：32欧±5Ω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4.接口：USB2.0接口及以上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5.配有麦克风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6.灵敏度：不低于90dB</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7.信噪比：大于50dB</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tc>
        <w:tc>
          <w:tcPr>
            <w:tcW w:w="247" w:type="pct"/>
            <w:vAlign w:val="center"/>
          </w:tcPr>
          <w:p w14:paraId="6A6A65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只</w:t>
            </w:r>
          </w:p>
        </w:tc>
        <w:tc>
          <w:tcPr>
            <w:tcW w:w="255" w:type="pct"/>
            <w:vAlign w:val="center"/>
          </w:tcPr>
          <w:p w14:paraId="247B53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250</w:t>
            </w:r>
          </w:p>
        </w:tc>
        <w:tc>
          <w:tcPr>
            <w:tcW w:w="288" w:type="pct"/>
            <w:vAlign w:val="center"/>
          </w:tcPr>
          <w:p w14:paraId="5D9CAF15">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633A8618">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40449039">
            <w:pPr>
              <w:spacing w:line="360" w:lineRule="auto"/>
              <w:jc w:val="center"/>
              <w:rPr>
                <w:rFonts w:ascii="宋体" w:hAnsi="宋体" w:eastAsia="宋体"/>
                <w:bCs/>
                <w:color w:val="auto"/>
                <w:sz w:val="24"/>
                <w:szCs w:val="18"/>
                <w:highlight w:val="none"/>
              </w:rPr>
            </w:pPr>
          </w:p>
        </w:tc>
      </w:tr>
      <w:tr w14:paraId="29DE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4F58A01">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433" w:type="pct"/>
            <w:vAlign w:val="center"/>
          </w:tcPr>
          <w:p w14:paraId="657F13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防静电地板</w:t>
            </w:r>
          </w:p>
        </w:tc>
        <w:tc>
          <w:tcPr>
            <w:tcW w:w="2600" w:type="pct"/>
            <w:vAlign w:val="center"/>
          </w:tcPr>
          <w:p w14:paraId="1B71FA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地板类型：全钢无边防静电活动地板，结构为双层钢板冲压成型，内部填充高强度发泡水泥芯材；</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规格尺寸：600mm×600mm，厚度≥35mm，尺寸偏差≤±0.2mm；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★防静电性能：符合 GB/T 36340-2018 标准；</w:t>
            </w:r>
            <w:r>
              <w:rPr>
                <w:rFonts w:hint="eastAsia" w:ascii="宋体" w:hAnsi="宋体" w:eastAsia="宋体" w:cs="宋体"/>
                <w:b/>
                <w:bCs/>
                <w:color w:val="auto"/>
                <w:kern w:val="0"/>
                <w:sz w:val="21"/>
                <w:szCs w:val="21"/>
                <w:highlight w:val="none"/>
              </w:rPr>
              <w:t>（进场时提第三方权威机构出具的检测报告）</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承载能力：集中载荷≥350kg，均布载荷≥7500N/平，极限载荷≥1000kg；</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钢板材质：上、下钢板采用冷轧钢板，厚度≥0.8mm，经酸洗、磷化、静电喷塑处理，涂层厚度≥60μm；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芯材要求：填充高密度发泡水泥，抗压强度≥30MPa，无空鼓、开裂现象，阻燃等级达 A 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表面处理：采用 HPL 防静电贴面或 PVC 防静电贴面，表面无划痕、气泡、色差；</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边缘处理：无边设计，边缘经折弯加固，防变形、防掉边，安装后接缝间隙≤1mm；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配套组件：全钢镀锌支架，高度可调节，承载能力≥1000kg/个；全钢镀锌横梁，截面尺寸≥25mm×25mm，壁厚≥1.2mm，与支架配合紧密，组装后平整度误差≤2mm/2m；含螺丝.螺母.垫片等安装配件，所有配件均为镀锌防锈处理；配备防静电接地端子，方便整体接地连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阻燃性能：地板整体阻燃等级符合 GB 8624-2012 A 级标准；</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环保要求：符合 GB 18580-2017 环保标准，无刺激性气味；</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进场时需提第三方权威机构出具的检测报告）</w:t>
            </w:r>
          </w:p>
        </w:tc>
        <w:tc>
          <w:tcPr>
            <w:tcW w:w="247" w:type="pct"/>
            <w:vAlign w:val="center"/>
          </w:tcPr>
          <w:p w14:paraId="2A8FAE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平方</w:t>
            </w:r>
          </w:p>
        </w:tc>
        <w:tc>
          <w:tcPr>
            <w:tcW w:w="255" w:type="pct"/>
            <w:vAlign w:val="center"/>
          </w:tcPr>
          <w:p w14:paraId="6BE500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430</w:t>
            </w:r>
          </w:p>
        </w:tc>
        <w:tc>
          <w:tcPr>
            <w:tcW w:w="288" w:type="pct"/>
            <w:vAlign w:val="center"/>
          </w:tcPr>
          <w:p w14:paraId="4285E214">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22536A15">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23AA312F">
            <w:pPr>
              <w:spacing w:line="360" w:lineRule="auto"/>
              <w:jc w:val="center"/>
              <w:rPr>
                <w:rFonts w:ascii="宋体" w:hAnsi="宋体" w:eastAsia="宋体"/>
                <w:bCs/>
                <w:color w:val="auto"/>
                <w:sz w:val="24"/>
                <w:szCs w:val="18"/>
                <w:highlight w:val="none"/>
              </w:rPr>
            </w:pPr>
          </w:p>
        </w:tc>
      </w:tr>
      <w:tr w14:paraId="7F8C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04624AE">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433" w:type="pct"/>
            <w:vAlign w:val="center"/>
          </w:tcPr>
          <w:p w14:paraId="70981A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学生桌（双位）凳</w:t>
            </w:r>
          </w:p>
        </w:tc>
        <w:tc>
          <w:tcPr>
            <w:tcW w:w="2600" w:type="pct"/>
            <w:vAlign w:val="center"/>
          </w:tcPr>
          <w:p w14:paraId="57FDBA61">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钢木结构，双人位，长≥1500 mm，宽≥650 mm，高≥750mm， 安装可抽动屏风隔板，隔板出桌面高度≥500mm,挡板根据使用情况可隐藏到桌体内部，且各方向挡板在抽拉使用时可实现无缝拼接，形成独立空间，起到良好的隔音阻挡效果，确保能最大程度降低相邻学生之间考试时的互相干扰和影响，</w:t>
            </w:r>
            <w:r>
              <w:rPr>
                <w:rFonts w:hint="eastAsia" w:ascii="宋体" w:hAnsi="宋体" w:eastAsia="宋体" w:cs="宋体"/>
                <w:b/>
                <w:bCs/>
                <w:color w:val="auto"/>
                <w:kern w:val="0"/>
                <w:sz w:val="21"/>
                <w:szCs w:val="21"/>
                <w:highlight w:val="none"/>
              </w:rPr>
              <w:t>（投标文件内附挡板收纳设计图）</w:t>
            </w:r>
            <w:r>
              <w:rPr>
                <w:rFonts w:hint="eastAsia" w:ascii="宋体" w:hAnsi="宋体" w:eastAsia="宋体" w:cs="宋体"/>
                <w:color w:val="auto"/>
                <w:kern w:val="0"/>
                <w:sz w:val="21"/>
                <w:szCs w:val="21"/>
                <w:highlight w:val="none"/>
              </w:rPr>
              <w:t>。桌面厚度≥25mm隔板厚度≥12mm。考试桌整体高度≥1260mm。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桌面选用≥25mm厚环保刨花板，符合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浸渍胶膜纸饰面纤维板和刨花板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GB/T 15102-2017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人造板及饰面人造板理化性能试验方法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GB/T 17657-2022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绿色产品评价人造板和木质地板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GB/T35601-</w:t>
            </w:r>
            <w:r>
              <w:rPr>
                <w:rFonts w:hint="eastAsia" w:ascii="宋体" w:hAnsi="宋体" w:eastAsia="宋体" w:cs="宋体"/>
                <w:color w:val="auto"/>
                <w:kern w:val="0"/>
                <w:sz w:val="21"/>
                <w:szCs w:val="21"/>
                <w:highlight w:val="none"/>
                <w:lang w:val="en-US" w:eastAsia="zh-CN"/>
              </w:rPr>
              <w:t>2024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家具抗菌性能的评价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QB/T4371-2012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钢制部分：立柱前置部分尺寸为长≥50mm，宽≥50 mm，厚≥1.2mm，立柱后置部分尺寸为长≥50mm，宽≥25 mm，厚≥1.2mm，横梁尺寸为长≥50mm，宽≥25 mm，厚≥1.2mm。钢制支架，钢制走线槽上预留可安装86面板孔。可安装固定或移动主机托，带喷塑涂层的钢部件中锑、砷、镉、铬、铅、汞、硒均未检出。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塑料部分：钢制部分末端采用全新 PP 工程塑料一次性注塑成型堵头，配置静音可调节平衡调节脚，具备安全及美观作用。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每套配学生凳2只，尺寸为长≥340 mm，宽≥240 mm，高≥430mm，钢木结构</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中标人在合同签订后提供符合参数要求的样桌图片（不低于3种）及屏风挡板供用户选择。</w:t>
            </w:r>
          </w:p>
        </w:tc>
        <w:tc>
          <w:tcPr>
            <w:tcW w:w="247" w:type="pct"/>
            <w:vAlign w:val="center"/>
          </w:tcPr>
          <w:p w14:paraId="604069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张</w:t>
            </w:r>
          </w:p>
        </w:tc>
        <w:tc>
          <w:tcPr>
            <w:tcW w:w="255" w:type="pct"/>
            <w:vAlign w:val="center"/>
          </w:tcPr>
          <w:p w14:paraId="3FE363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112</w:t>
            </w:r>
          </w:p>
        </w:tc>
        <w:tc>
          <w:tcPr>
            <w:tcW w:w="288" w:type="pct"/>
            <w:vAlign w:val="center"/>
          </w:tcPr>
          <w:p w14:paraId="36D07D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c>
          <w:tcPr>
            <w:tcW w:w="448" w:type="pct"/>
            <w:vAlign w:val="center"/>
          </w:tcPr>
          <w:p w14:paraId="00F409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57DF7B2E">
            <w:pPr>
              <w:spacing w:line="360" w:lineRule="auto"/>
              <w:jc w:val="center"/>
              <w:rPr>
                <w:rFonts w:ascii="宋体" w:hAnsi="宋体" w:eastAsia="宋体"/>
                <w:bCs/>
                <w:color w:val="auto"/>
                <w:sz w:val="24"/>
                <w:szCs w:val="18"/>
                <w:highlight w:val="none"/>
              </w:rPr>
            </w:pPr>
          </w:p>
        </w:tc>
      </w:tr>
      <w:tr w14:paraId="13D3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11" w:type="pct"/>
            <w:vAlign w:val="center"/>
          </w:tcPr>
          <w:p w14:paraId="43D890E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433" w:type="pct"/>
            <w:vAlign w:val="center"/>
          </w:tcPr>
          <w:p w14:paraId="52D043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教师桌（含椅子）</w:t>
            </w:r>
          </w:p>
        </w:tc>
        <w:tc>
          <w:tcPr>
            <w:tcW w:w="2600" w:type="pct"/>
            <w:vAlign w:val="center"/>
          </w:tcPr>
          <w:p w14:paraId="7A6477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教师桌：长≥1500 mm，宽≥650 mm，高≥750mm由屏风、卡位二部分组成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桌面高≥750mm，屏风考试时升起高度≥1250mm</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框架：采用全钢式结构，各部位间链接合理，框架采用镀锌钢板折弯成型，板材厚度≥1.2mm，前立柱长≥50 mm，宽≥50 mm，厚≥1.2mm,后立柱长≥50 mm，宽≥25 mm，厚≥1.2mm，横梁长≥50 mm，宽≥25 mm，厚≥1.2mm，钢制走线槽上预留可安装86面板孔；</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屏风：采用手动上下抽拉活动屏风，屏风采用≥12mm厚E0级密度板，前沿做圆角处理；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桌面：采用≥25mm厚国标E0级三聚氰胺饰面刨花板，经全自动机器封边，每座桌面独立分开使用，桌面主体框架同桌面完美适配，减少缝隙，同时为方便后期教学使用；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教师椅：</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1.面材：依据</w:t>
            </w:r>
            <w:r>
              <w:rPr>
                <w:rFonts w:hint="eastAsia" w:ascii="宋体" w:hAnsi="宋体" w:eastAsia="宋体" w:cs="宋体"/>
                <w:color w:val="auto"/>
                <w:kern w:val="0"/>
                <w:sz w:val="21"/>
                <w:szCs w:val="21"/>
                <w:highlight w:val="none"/>
                <w:lang w:eastAsia="zh-CN"/>
              </w:rPr>
              <w:t>《国家纺织产品基本安全技术规范》</w:t>
            </w:r>
            <w:r>
              <w:rPr>
                <w:rFonts w:hint="eastAsia" w:ascii="宋体" w:hAnsi="宋体" w:eastAsia="宋体" w:cs="宋体"/>
                <w:color w:val="auto"/>
                <w:kern w:val="0"/>
                <w:sz w:val="21"/>
                <w:szCs w:val="21"/>
                <w:highlight w:val="none"/>
              </w:rPr>
              <w:t>GB 18401-2010(B 类)标准，甲醛含量B类未检出；可分解致癌芳香胺染料未检出，异味无，染色牢度耐干摩擦3级，通过香烟抗引燃特性试验点燃香烟后1h内，试样外表及内部应无续燃或阴燃I级。</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★2.填充：海绵;依据</w:t>
            </w:r>
            <w:r>
              <w:rPr>
                <w:rFonts w:hint="eastAsia" w:ascii="宋体" w:hAnsi="宋体" w:eastAsia="宋体" w:cs="宋体"/>
                <w:color w:val="auto"/>
                <w:kern w:val="0"/>
                <w:sz w:val="21"/>
                <w:szCs w:val="21"/>
                <w:highlight w:val="none"/>
                <w:lang w:eastAsia="zh-CN"/>
              </w:rPr>
              <w:t>《通用软质聚氨酯泡沫塑料》</w:t>
            </w:r>
            <w:r>
              <w:rPr>
                <w:rFonts w:hint="eastAsia" w:ascii="宋体" w:hAnsi="宋体" w:eastAsia="宋体" w:cs="宋体"/>
                <w:color w:val="auto"/>
                <w:kern w:val="0"/>
                <w:sz w:val="21"/>
                <w:szCs w:val="21"/>
                <w:highlight w:val="none"/>
              </w:rPr>
              <w:t>GB/T 10802-</w:t>
            </w:r>
            <w:r>
              <w:rPr>
                <w:rFonts w:hint="eastAsia" w:ascii="宋体" w:hAnsi="宋体" w:eastAsia="宋体" w:cs="宋体"/>
                <w:color w:val="auto"/>
                <w:kern w:val="0"/>
                <w:sz w:val="21"/>
                <w:szCs w:val="21"/>
                <w:highlight w:val="none"/>
                <w:lang w:val="en-US" w:eastAsia="zh-CN"/>
              </w:rPr>
              <w:t>2023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《泡沫塑料及橡胶 表观密度的测定》</w:t>
            </w:r>
            <w:r>
              <w:rPr>
                <w:rFonts w:hint="eastAsia" w:ascii="宋体" w:hAnsi="宋体" w:eastAsia="宋体" w:cs="宋体"/>
                <w:color w:val="auto"/>
                <w:kern w:val="0"/>
                <w:sz w:val="21"/>
                <w:szCs w:val="21"/>
                <w:highlight w:val="none"/>
              </w:rPr>
              <w:t>GB/T 6343-2009检测标准，物理力学性能：25%压陷硬度154N、 65%/25%压陷比≥3、回弹率：≥50%，干热老化后拉伸强度：≥150kPa，干热老化后拉伸强度变化率：±30%。</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3.扶手：pp工程塑料，符合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家具中有害物质限量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GB 18584-2024</w:t>
            </w:r>
            <w:r>
              <w:rPr>
                <w:rFonts w:hint="eastAsia" w:ascii="宋体" w:hAnsi="宋体" w:eastAsia="宋体" w:cs="宋体"/>
                <w:color w:val="auto"/>
                <w:kern w:val="0"/>
                <w:sz w:val="21"/>
                <w:szCs w:val="21"/>
                <w:highlight w:val="none"/>
              </w:rPr>
              <w:t>标准，邻苯二甲酸酯DBP≤0.002%，BBP≤0.040%，DEHP≤0.038%，DNOP≤0.006%，DIDP≤0.005%，DINP≤0.001%；多环芳烃，苯并芘未检出，16种多环芳烃总量≤4.29 mg/kg；多溴联苯未检出，多溴联苯醚未检出；可迁移元素砷、钡、镉、铬、铅、汞、硒、锑均未检出。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eastAsia="zh-CN"/>
              </w:rPr>
              <w:t>）</w:t>
            </w:r>
          </w:p>
        </w:tc>
        <w:tc>
          <w:tcPr>
            <w:tcW w:w="247" w:type="pct"/>
            <w:vAlign w:val="center"/>
          </w:tcPr>
          <w:p w14:paraId="700B55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套</w:t>
            </w:r>
          </w:p>
        </w:tc>
        <w:tc>
          <w:tcPr>
            <w:tcW w:w="255" w:type="pct"/>
            <w:vAlign w:val="center"/>
          </w:tcPr>
          <w:p w14:paraId="397750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026046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c>
          <w:tcPr>
            <w:tcW w:w="448" w:type="pct"/>
            <w:vAlign w:val="center"/>
          </w:tcPr>
          <w:p w14:paraId="0BF41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33185D60">
            <w:pPr>
              <w:spacing w:line="360" w:lineRule="auto"/>
              <w:jc w:val="center"/>
              <w:rPr>
                <w:rFonts w:ascii="宋体" w:hAnsi="宋体" w:eastAsia="宋体"/>
                <w:bCs/>
                <w:color w:val="auto"/>
                <w:sz w:val="24"/>
                <w:szCs w:val="18"/>
                <w:highlight w:val="none"/>
              </w:rPr>
            </w:pPr>
          </w:p>
        </w:tc>
      </w:tr>
      <w:tr w14:paraId="3364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8161E6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433" w:type="pct"/>
            <w:vAlign w:val="center"/>
          </w:tcPr>
          <w:p w14:paraId="55AE40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48口接入交换机</w:t>
            </w:r>
          </w:p>
        </w:tc>
        <w:tc>
          <w:tcPr>
            <w:tcW w:w="2600" w:type="pct"/>
            <w:vAlign w:val="center"/>
          </w:tcPr>
          <w:p w14:paraId="35E411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1.固化千兆电接口≥48个，独立千兆SFP光接口≥4个；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2.交换容量≥6.7Tbps，包转发率≥215Mpps；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3.支持IPv4、IPv6静态路由、RIP、RIPng、OSPFv2、OSPFv3等三层路由和组播功能；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★4.要求所投产品端口的线-接地端子浪涌抗扰度≥10KV，线-线浪涌抗扰度≥0.5KV，（即具备共模10KV，差模0.5KV的防雷能力）</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5.设备采用无风扇静音节能设计，支持IEEE 802.3az 标准的 EEE节能技术，最低功耗≤24W；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★6.支持openflow 1.3协议；支持零配置，支持CWMP(TR069)协议</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★7.支持专门基础网络保护机制，能够限制发送报文的速率，对有攻击行为的主机进行隔离，保证设备和整网的安全稳定运行</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8.支持虚拟化功能，可将多台物理设备虚拟化为一台逻辑设备统一管理，并且链路故障的收敛时间≤30ms;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9.支持sFlow网络监测技术；</w:t>
            </w:r>
          </w:p>
        </w:tc>
        <w:tc>
          <w:tcPr>
            <w:tcW w:w="247" w:type="pct"/>
            <w:vAlign w:val="center"/>
          </w:tcPr>
          <w:p w14:paraId="777170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60D279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044B48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c>
          <w:tcPr>
            <w:tcW w:w="448" w:type="pct"/>
            <w:vAlign w:val="center"/>
          </w:tcPr>
          <w:p w14:paraId="2BCA73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5F0DF7C3">
            <w:pPr>
              <w:spacing w:line="360" w:lineRule="auto"/>
              <w:jc w:val="center"/>
              <w:rPr>
                <w:rFonts w:ascii="宋体" w:hAnsi="宋体" w:eastAsia="宋体"/>
                <w:bCs/>
                <w:color w:val="auto"/>
                <w:sz w:val="24"/>
                <w:szCs w:val="18"/>
                <w:highlight w:val="none"/>
              </w:rPr>
            </w:pPr>
          </w:p>
        </w:tc>
      </w:tr>
      <w:tr w14:paraId="0D9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6970EB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433" w:type="pct"/>
            <w:vAlign w:val="center"/>
          </w:tcPr>
          <w:p w14:paraId="5B977B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24口接入交换机</w:t>
            </w:r>
          </w:p>
        </w:tc>
        <w:tc>
          <w:tcPr>
            <w:tcW w:w="2600" w:type="pct"/>
            <w:vAlign w:val="center"/>
          </w:tcPr>
          <w:p w14:paraId="470FBF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1.固化千兆电接口≥24个，独立千兆SFP光接口≥4个；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2.交换容量≥6.7Tbps，包转发率≥175Mpps；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3.支持IPv4、IPv6静态路由、RIP、RIPng、OSPFv2、OSPFv3等三层路由和组播功能；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★4.要求所投产品端口的线-接地端子浪涌抗扰度≥10KV，线-线浪涌抗扰度≥0.5KV，（即具备共模10KV，差模0.5KV的防雷能力）</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5.设备采用无风扇静音节能设计，支持IEEE 802.3az 标准的 EEE节能技术，最低功耗≤24W；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★6.支持openflow 1.3协议；支持零配置，支持CWMP(TR069)协议</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★7.支持专门基础网络保护机制，能够限制发送报文的速率，对有攻击行为的主机进行隔离，保证设备和整网的安全稳定运行</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8.支持虚拟化功能，可将多台物理设备虚拟化为一台逻辑设备统一管理，并且链路故障的收敛时间≤30ms;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9.支持sFlow网络监测技术</w:t>
            </w:r>
          </w:p>
        </w:tc>
        <w:tc>
          <w:tcPr>
            <w:tcW w:w="247" w:type="pct"/>
            <w:vAlign w:val="center"/>
          </w:tcPr>
          <w:p w14:paraId="0B2A36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33B113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sz w:val="24"/>
                <w:szCs w:val="18"/>
                <w:highlight w:val="none"/>
                <w:lang w:eastAsia="zh-CN"/>
              </w:rPr>
            </w:pPr>
            <w:r>
              <w:rPr>
                <w:rFonts w:hint="eastAsia" w:ascii="宋体" w:hAnsi="宋体" w:eastAsia="宋体" w:cs="宋体"/>
                <w:color w:val="auto"/>
                <w:kern w:val="0"/>
                <w:sz w:val="21"/>
                <w:szCs w:val="21"/>
                <w:highlight w:val="none"/>
                <w:lang w:val="en-US" w:eastAsia="zh-CN"/>
              </w:rPr>
              <w:t>5</w:t>
            </w:r>
          </w:p>
        </w:tc>
        <w:tc>
          <w:tcPr>
            <w:tcW w:w="288" w:type="pct"/>
            <w:vAlign w:val="center"/>
          </w:tcPr>
          <w:p w14:paraId="3C7D3D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w:t>
            </w:r>
          </w:p>
        </w:tc>
        <w:tc>
          <w:tcPr>
            <w:tcW w:w="448" w:type="pct"/>
            <w:vAlign w:val="center"/>
          </w:tcPr>
          <w:p w14:paraId="644081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343A8E32">
            <w:pPr>
              <w:spacing w:line="360" w:lineRule="auto"/>
              <w:jc w:val="center"/>
              <w:rPr>
                <w:rFonts w:ascii="宋体" w:hAnsi="宋体" w:eastAsia="宋体"/>
                <w:bCs/>
                <w:color w:val="auto"/>
                <w:sz w:val="24"/>
                <w:szCs w:val="18"/>
                <w:highlight w:val="none"/>
              </w:rPr>
            </w:pPr>
          </w:p>
        </w:tc>
      </w:tr>
      <w:tr w14:paraId="274D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8BDC37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433" w:type="pct"/>
            <w:vAlign w:val="center"/>
          </w:tcPr>
          <w:p w14:paraId="2A5667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汇聚交换机</w:t>
            </w:r>
          </w:p>
        </w:tc>
        <w:tc>
          <w:tcPr>
            <w:tcW w:w="2600" w:type="pct"/>
            <w:vAlign w:val="center"/>
          </w:tcPr>
          <w:p w14:paraId="2FEC8FC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固化10/100/1000M自适应电口≥24，固化1G/10G SFP+光接口≥8个；</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2.设备可提供1个业务扩展槽，支持同时扩展4个10G和2个100G端口；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★3.交换容量≥24Tbps，包转发率≥760Mpps；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4.满负荷情况下功耗≤85W；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5.支持在64/128/256/512/1024/1280/1518Bytes下线速转发；</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★6.支持硬件层级双boot，采用两个FLASH芯片存储boot软件（系统引导程序），实现硬件级boot冗余备份，避免因FLASH芯片故障导致交换机无法启动</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投标时</w:t>
            </w:r>
            <w:r>
              <w:rPr>
                <w:rFonts w:hint="eastAsia" w:ascii="宋体" w:hAnsi="宋体" w:eastAsia="宋体" w:cs="宋体"/>
                <w:b/>
                <w:bCs/>
                <w:color w:val="auto"/>
                <w:kern w:val="0"/>
                <w:sz w:val="21"/>
                <w:szCs w:val="21"/>
                <w:highlight w:val="none"/>
              </w:rPr>
              <w:t>提供官网截图及</w:t>
            </w:r>
            <w:r>
              <w:rPr>
                <w:rFonts w:hint="eastAsia" w:ascii="宋体" w:hAnsi="宋体" w:eastAsia="宋体" w:cs="宋体"/>
                <w:b/>
                <w:bCs/>
                <w:color w:val="auto"/>
                <w:kern w:val="0"/>
                <w:sz w:val="21"/>
                <w:szCs w:val="21"/>
                <w:highlight w:val="none"/>
                <w:lang w:val="en-US" w:eastAsia="zh-CN"/>
              </w:rPr>
              <w:t>链接</w:t>
            </w:r>
            <w:r>
              <w:rPr>
                <w:rFonts w:hint="eastAsia" w:ascii="宋体" w:hAnsi="宋体" w:eastAsia="宋体" w:cs="宋体"/>
                <w:b/>
                <w:bCs/>
                <w:color w:val="auto"/>
                <w:kern w:val="0"/>
                <w:sz w:val="21"/>
                <w:szCs w:val="21"/>
                <w:highlight w:val="none"/>
              </w:rPr>
              <w:t>证明</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7.支持RIPv2，OSPFv2/v3，BGP4/4+，IS-ISv4/v6；</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8.支持IGMP v1/v2/v3，PIM-SM等组播协议，支持基于IPv4/IPv6五元组、基于源/目的MAC、基于VLAN、基于802.1P优先级的ACL；</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9.支持虚拟化功能，可将多台物理设备虚拟化为一台逻辑设备统一管理，并且链路故障的收敛时间达到毫秒级；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11.支持基于流的采样功能，对所选数据流包头中的源IP地址、目的IP地址、协议号、源端口号、包长等信息进行采样，并发送至网管主机；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★12.为保证设备在受到外界机械碰撞时能够正常运行，要求所投交换机IK防护测试级别至少达到IK05</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lang w:eastAsia="zh-CN"/>
              </w:rPr>
              <w:t>）</w:t>
            </w:r>
          </w:p>
          <w:p w14:paraId="25D26FBC">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配置要求：每台配置电源模块≥2个；</w:t>
            </w:r>
          </w:p>
        </w:tc>
        <w:tc>
          <w:tcPr>
            <w:tcW w:w="247" w:type="pct"/>
            <w:vAlign w:val="center"/>
          </w:tcPr>
          <w:p w14:paraId="7300D8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0BE35B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p>
        </w:tc>
        <w:tc>
          <w:tcPr>
            <w:tcW w:w="288" w:type="pct"/>
            <w:vAlign w:val="center"/>
          </w:tcPr>
          <w:p w14:paraId="5E9FF3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工业</w:t>
            </w:r>
          </w:p>
        </w:tc>
        <w:tc>
          <w:tcPr>
            <w:tcW w:w="448" w:type="pct"/>
            <w:vAlign w:val="center"/>
          </w:tcPr>
          <w:p w14:paraId="32E811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sz w:val="24"/>
                <w:szCs w:val="18"/>
                <w:highlight w:val="none"/>
                <w:lang w:eastAsia="zh-CN"/>
              </w:rPr>
            </w:pPr>
            <w:r>
              <w:rPr>
                <w:rFonts w:hint="eastAsia" w:ascii="宋体" w:hAnsi="宋体" w:eastAsia="宋体" w:cs="宋体"/>
                <w:color w:val="auto"/>
                <w:kern w:val="0"/>
                <w:sz w:val="21"/>
                <w:szCs w:val="21"/>
                <w:highlight w:val="none"/>
                <w:lang w:eastAsia="zh-CN"/>
              </w:rPr>
              <w:t>否</w:t>
            </w:r>
          </w:p>
        </w:tc>
        <w:tc>
          <w:tcPr>
            <w:tcW w:w="416" w:type="pct"/>
            <w:vAlign w:val="center"/>
          </w:tcPr>
          <w:p w14:paraId="46FFCDC2">
            <w:pPr>
              <w:spacing w:line="360" w:lineRule="auto"/>
              <w:jc w:val="center"/>
              <w:rPr>
                <w:rFonts w:ascii="宋体" w:hAnsi="宋体" w:eastAsia="宋体"/>
                <w:bCs/>
                <w:color w:val="auto"/>
                <w:sz w:val="24"/>
                <w:szCs w:val="18"/>
                <w:highlight w:val="none"/>
              </w:rPr>
            </w:pPr>
          </w:p>
        </w:tc>
      </w:tr>
      <w:tr w14:paraId="7F7E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62BEC99">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433" w:type="pct"/>
            <w:vAlign w:val="center"/>
          </w:tcPr>
          <w:p w14:paraId="04A1F1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光模块</w:t>
            </w:r>
          </w:p>
        </w:tc>
        <w:tc>
          <w:tcPr>
            <w:tcW w:w="2600" w:type="pct"/>
            <w:vAlign w:val="center"/>
          </w:tcPr>
          <w:p w14:paraId="7D3D0F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1000BASE-LX mini GBIC转换模块（1310nm），10km</w:t>
            </w:r>
          </w:p>
        </w:tc>
        <w:tc>
          <w:tcPr>
            <w:tcW w:w="247" w:type="pct"/>
            <w:vAlign w:val="center"/>
          </w:tcPr>
          <w:p w14:paraId="762D49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块</w:t>
            </w:r>
          </w:p>
        </w:tc>
        <w:tc>
          <w:tcPr>
            <w:tcW w:w="255" w:type="pct"/>
            <w:vAlign w:val="center"/>
          </w:tcPr>
          <w:p w14:paraId="37C679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16</w:t>
            </w:r>
          </w:p>
        </w:tc>
        <w:tc>
          <w:tcPr>
            <w:tcW w:w="288" w:type="pct"/>
            <w:vAlign w:val="center"/>
          </w:tcPr>
          <w:p w14:paraId="407B179B">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3640004B">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0B443CFA">
            <w:pPr>
              <w:spacing w:line="360" w:lineRule="auto"/>
              <w:jc w:val="center"/>
              <w:rPr>
                <w:rFonts w:ascii="宋体" w:hAnsi="宋体" w:eastAsia="宋体"/>
                <w:bCs/>
                <w:color w:val="auto"/>
                <w:sz w:val="24"/>
                <w:szCs w:val="18"/>
                <w:highlight w:val="none"/>
              </w:rPr>
            </w:pPr>
          </w:p>
        </w:tc>
      </w:tr>
      <w:tr w14:paraId="2976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4F9BF43">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11</w:t>
            </w:r>
          </w:p>
        </w:tc>
        <w:tc>
          <w:tcPr>
            <w:tcW w:w="433" w:type="pct"/>
            <w:vAlign w:val="center"/>
          </w:tcPr>
          <w:p w14:paraId="303969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网线</w:t>
            </w:r>
          </w:p>
        </w:tc>
        <w:tc>
          <w:tcPr>
            <w:tcW w:w="2600" w:type="pct"/>
            <w:vAlign w:val="center"/>
          </w:tcPr>
          <w:p w14:paraId="4793E6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六类非屏蔽双绞线，符合国标检测。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导体规格</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材质：23AWG（0.57mm）无氧裸铜导体</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绝缘层：高密度聚乙烯（HDPE），厚度≥1.02mm</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结构：四对双绞线 + 十字PE骨架隔离，减少串扰；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外护套</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材质：阻燃PVC（FR-PVC）或低烟无卤（LSOH）</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阻燃等级：符合UL94 V-0标准（离火自熄）</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单卷长度：305米/轴（标准包装）</w:t>
            </w:r>
          </w:p>
        </w:tc>
        <w:tc>
          <w:tcPr>
            <w:tcW w:w="247" w:type="pct"/>
            <w:vAlign w:val="center"/>
          </w:tcPr>
          <w:p w14:paraId="459DEE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箱</w:t>
            </w:r>
          </w:p>
        </w:tc>
        <w:tc>
          <w:tcPr>
            <w:tcW w:w="255" w:type="pct"/>
            <w:vAlign w:val="center"/>
          </w:tcPr>
          <w:p w14:paraId="6100C2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12</w:t>
            </w:r>
          </w:p>
        </w:tc>
        <w:tc>
          <w:tcPr>
            <w:tcW w:w="288" w:type="pct"/>
            <w:vAlign w:val="center"/>
          </w:tcPr>
          <w:p w14:paraId="39ED4409">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1227022F">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2BF0FBF6">
            <w:pPr>
              <w:spacing w:line="360" w:lineRule="auto"/>
              <w:jc w:val="center"/>
              <w:rPr>
                <w:rFonts w:ascii="宋体" w:hAnsi="宋体" w:eastAsia="宋体"/>
                <w:bCs/>
                <w:color w:val="auto"/>
                <w:sz w:val="24"/>
                <w:szCs w:val="18"/>
                <w:highlight w:val="none"/>
              </w:rPr>
            </w:pPr>
          </w:p>
        </w:tc>
      </w:tr>
      <w:tr w14:paraId="140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 w:type="pct"/>
            <w:vAlign w:val="center"/>
          </w:tcPr>
          <w:p w14:paraId="204BCC70">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12</w:t>
            </w:r>
          </w:p>
        </w:tc>
        <w:tc>
          <w:tcPr>
            <w:tcW w:w="433" w:type="pct"/>
            <w:vAlign w:val="center"/>
          </w:tcPr>
          <w:p w14:paraId="3065F3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配电箱</w:t>
            </w:r>
          </w:p>
        </w:tc>
        <w:tc>
          <w:tcPr>
            <w:tcW w:w="2600" w:type="pct"/>
            <w:vAlign w:val="center"/>
          </w:tcPr>
          <w:p w14:paraId="3C7FCA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依据现场情况定制，进线32A，下连不少于6路16A空开，配置漏电保护</w:t>
            </w:r>
          </w:p>
        </w:tc>
        <w:tc>
          <w:tcPr>
            <w:tcW w:w="247" w:type="pct"/>
            <w:vAlign w:val="center"/>
          </w:tcPr>
          <w:p w14:paraId="08C248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2CEAD5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3800674A">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15EF0763">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49F43589">
            <w:pPr>
              <w:spacing w:line="360" w:lineRule="auto"/>
              <w:jc w:val="center"/>
              <w:rPr>
                <w:rFonts w:ascii="宋体" w:hAnsi="宋体" w:eastAsia="宋体"/>
                <w:bCs/>
                <w:color w:val="auto"/>
                <w:sz w:val="24"/>
                <w:szCs w:val="18"/>
                <w:highlight w:val="none"/>
              </w:rPr>
            </w:pPr>
          </w:p>
        </w:tc>
      </w:tr>
      <w:tr w14:paraId="33DD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 w:type="pct"/>
            <w:vAlign w:val="center"/>
          </w:tcPr>
          <w:p w14:paraId="143E64A8">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13</w:t>
            </w:r>
          </w:p>
        </w:tc>
        <w:tc>
          <w:tcPr>
            <w:tcW w:w="433" w:type="pct"/>
            <w:vAlign w:val="center"/>
          </w:tcPr>
          <w:p w14:paraId="624521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UPS不间断电源</w:t>
            </w:r>
          </w:p>
        </w:tc>
        <w:tc>
          <w:tcPr>
            <w:tcW w:w="2600" w:type="pct"/>
            <w:vAlign w:val="center"/>
          </w:tcPr>
          <w:p w14:paraId="59F76C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★1.采用在线式双变换高频型UPS，单进单出，容量不低于1kVA/0.8KW，额定输出功率因数应≥0.8。</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★2.输出额定电压应220/230/240VAC可调。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3.UPS主机需采用先进的DSP数字控制技术，可在较为恶劣的用电环境下能够确保持续稳定的运行。</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4.输出为额定阻性负载时，输入电压范围应不小于：176~264VAC。</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5.输入功率因数≥0.99（100%、50%、30%非线性负载时）。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6.输入电流谐波成份：100％非线性负载≤4.7%，50%非线性负载≤6.5%，30％非线性负载≤10.6%</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7.输出为空载和额定阻性负载，调节输入电压为UPS上、下限值时，其稳压精度绝对值应≤0.4%。</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8.输入电压波形失真度≤5%，输出额定阻性负载与非线性负载，输出电压波形失真度应为：100%市电阻性负载≤0.9%。</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9.输入电压为额定值，输出为阻性负载，调节输出电流，使输出功率为额定值的125%时，机器正常工作时间应≥10min。</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10.UPS主机具备各种保护与报警功能，包括：输出短路保护、输出过载保护、过温度保护、电池电压低保护、输出过欠压保护、风扇故障告警等，并具备防雷保护功能。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11.UPS主机人机界面应配置LCD显示屏，同时应配置LED故障、状态显示灯，方便现场运维；主机具备电池自检功能，操作面板可显示电池剩余电量。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12.UPS主机需具备先进的智能化充电管理系统，充电方式可通过CPU进行智能控制，主机充电器能够依据不同环境条件进行修正充电参数。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13.应具备无电池开机功能：UPS主机在没有接入电池组或者电池组故障时，可直接通过市电直接开机。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14.要求UPS主机中的功率板采用涂敷三防漆工艺，具有防潮、防尘、防漏电、防腐蚀、防锈、防盐雾、防震、防老化、绝缘、耐电晕等性能。</w:t>
            </w:r>
          </w:p>
        </w:tc>
        <w:tc>
          <w:tcPr>
            <w:tcW w:w="247" w:type="pct"/>
            <w:vAlign w:val="center"/>
          </w:tcPr>
          <w:p w14:paraId="6DD2F8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套</w:t>
            </w:r>
          </w:p>
        </w:tc>
        <w:tc>
          <w:tcPr>
            <w:tcW w:w="255" w:type="pct"/>
            <w:vAlign w:val="center"/>
          </w:tcPr>
          <w:p w14:paraId="144EB2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0B1D7281">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33EC4253">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21A1C11E">
            <w:pPr>
              <w:spacing w:line="360" w:lineRule="auto"/>
              <w:jc w:val="center"/>
              <w:rPr>
                <w:rFonts w:ascii="宋体" w:hAnsi="宋体" w:eastAsia="宋体"/>
                <w:bCs/>
                <w:color w:val="auto"/>
                <w:sz w:val="24"/>
                <w:szCs w:val="18"/>
                <w:highlight w:val="none"/>
              </w:rPr>
            </w:pPr>
          </w:p>
        </w:tc>
      </w:tr>
      <w:tr w14:paraId="208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7B37E63">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14</w:t>
            </w:r>
          </w:p>
        </w:tc>
        <w:tc>
          <w:tcPr>
            <w:tcW w:w="433" w:type="pct"/>
            <w:vAlign w:val="center"/>
          </w:tcPr>
          <w:p w14:paraId="5DA0F2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电池组</w:t>
            </w:r>
          </w:p>
        </w:tc>
        <w:tc>
          <w:tcPr>
            <w:tcW w:w="2600" w:type="pct"/>
            <w:vAlign w:val="center"/>
          </w:tcPr>
          <w:p w14:paraId="320F2F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1.本项目应采用阀控式密封铅酸蓄电池，外观不得有变形、漏液、裂纹及污迹。单节蓄电池标称电压12V，单节蓄电池容量：≥24Ah，本项目一台主机配置3块24AH蓄电池</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2.为保证本项目现场联调方便，保证供货及时性及售后服务高效性，</w:t>
            </w:r>
            <w:r>
              <w:rPr>
                <w:rFonts w:hint="eastAsia" w:ascii="宋体" w:hAnsi="宋体" w:eastAsia="宋体" w:cs="宋体"/>
                <w:color w:val="auto"/>
                <w:kern w:val="0"/>
                <w:sz w:val="21"/>
                <w:szCs w:val="21"/>
                <w:highlight w:val="none"/>
                <w:lang w:val="en-US" w:eastAsia="zh-CN"/>
              </w:rPr>
              <w:t>保证</w:t>
            </w:r>
            <w:r>
              <w:rPr>
                <w:rFonts w:hint="eastAsia" w:ascii="宋体" w:hAnsi="宋体" w:eastAsia="宋体" w:cs="宋体"/>
                <w:color w:val="auto"/>
                <w:kern w:val="0"/>
                <w:sz w:val="21"/>
                <w:szCs w:val="21"/>
                <w:highlight w:val="none"/>
              </w:rPr>
              <w:t>蓄电池与UPS主机</w:t>
            </w:r>
            <w:r>
              <w:rPr>
                <w:rFonts w:hint="eastAsia" w:ascii="宋体" w:hAnsi="宋体" w:eastAsia="宋体" w:cs="宋体"/>
                <w:color w:val="auto"/>
                <w:kern w:val="0"/>
                <w:sz w:val="21"/>
                <w:szCs w:val="21"/>
                <w:highlight w:val="none"/>
                <w:lang w:val="en-US" w:eastAsia="zh-CN"/>
              </w:rPr>
              <w:t>的兼容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3.蓄电池正常浮充状态下，其浮充期待寿命可达10年。</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4.蓄电池壳、盖、安全阀、连接条保护罩应符合</w:t>
            </w:r>
            <w:r>
              <w:rPr>
                <w:rFonts w:hint="eastAsia" w:ascii="宋体" w:hAnsi="宋体" w:eastAsia="宋体" w:cs="宋体"/>
                <w:color w:val="auto"/>
                <w:kern w:val="0"/>
                <w:sz w:val="21"/>
                <w:szCs w:val="21"/>
                <w:highlight w:val="none"/>
                <w:lang w:eastAsia="zh-CN"/>
              </w:rPr>
              <w:t>《塑料 燃烧性能的测定 水平法和垂直法》</w:t>
            </w:r>
            <w:r>
              <w:rPr>
                <w:rFonts w:hint="eastAsia" w:ascii="宋体" w:hAnsi="宋体" w:eastAsia="宋体" w:cs="宋体"/>
                <w:color w:val="auto"/>
                <w:kern w:val="0"/>
                <w:sz w:val="21"/>
                <w:szCs w:val="21"/>
                <w:highlight w:val="none"/>
              </w:rPr>
              <w:t>GB/T2408-2021中第8.4.2条HB(水平级)和第9.4条V-0(垂直级)的要求。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5.同组蓄电池10h率容量试验时，最大实际容量与最小实际容量差值与整组蓄电池的平均容量值之比应≤2.1%。</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6.蓄电池端电压均衡性：开路应≤13mV，浮充应≤14mV，放电应≤0.5V。</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7.电池间连接电压降应≤6.8mV，30天过度放电结束后，容量恢复值应≥99%Ce。</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8.热失控敏感性：(1)蓄电池表面(端子部位)温度应≤27.2℃；(2)每24h的电流(取第22h、23h及24h时3个电流值的平均数)增长率应≤1%。</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9.低温敏感性：蓄电池低温敏感性试验结束后，10h率容量应≥0.99Ce，外观应无破裂，过度膨胀及槽、盖分离现象。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★10.投标时须提供蓄电池同系列的第三方认证证书复印件，和24AH检测报告。</w:t>
            </w:r>
          </w:p>
        </w:tc>
        <w:tc>
          <w:tcPr>
            <w:tcW w:w="247" w:type="pct"/>
            <w:vAlign w:val="center"/>
          </w:tcPr>
          <w:p w14:paraId="5453F4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套</w:t>
            </w:r>
          </w:p>
        </w:tc>
        <w:tc>
          <w:tcPr>
            <w:tcW w:w="255" w:type="pct"/>
            <w:vAlign w:val="center"/>
          </w:tcPr>
          <w:p w14:paraId="36DD4C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0FDE10FC">
            <w:pPr>
              <w:spacing w:line="360" w:lineRule="auto"/>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工业</w:t>
            </w:r>
          </w:p>
        </w:tc>
        <w:tc>
          <w:tcPr>
            <w:tcW w:w="448" w:type="pct"/>
            <w:vAlign w:val="center"/>
          </w:tcPr>
          <w:p w14:paraId="5495910E">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725BE2C9">
            <w:pPr>
              <w:spacing w:line="360" w:lineRule="auto"/>
              <w:jc w:val="center"/>
              <w:rPr>
                <w:rFonts w:ascii="宋体" w:hAnsi="宋体" w:eastAsia="宋体"/>
                <w:bCs/>
                <w:color w:val="auto"/>
                <w:sz w:val="24"/>
                <w:szCs w:val="18"/>
                <w:highlight w:val="none"/>
              </w:rPr>
            </w:pPr>
          </w:p>
        </w:tc>
      </w:tr>
      <w:tr w14:paraId="0A0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014D0630">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15</w:t>
            </w:r>
          </w:p>
        </w:tc>
        <w:tc>
          <w:tcPr>
            <w:tcW w:w="433" w:type="pct"/>
            <w:vAlign w:val="center"/>
          </w:tcPr>
          <w:p w14:paraId="7F78A7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教学软件</w:t>
            </w:r>
          </w:p>
        </w:tc>
        <w:tc>
          <w:tcPr>
            <w:tcW w:w="2600" w:type="pct"/>
            <w:vAlign w:val="center"/>
          </w:tcPr>
          <w:p w14:paraId="70D67D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1.技术要求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纯软件产品，安装部署快捷，升级简易方便，采用核心的截屏及实时压缩技术，在网络条件较差时亦能体现良好的性能；可根据网络条件调节网络补偿强度，根据广播内容调节广播及录制效率，使广播达到最佳效果。采用流媒体技术，流畅无延时，文件清晰度几乎无损耗，支持几乎所有常见的媒体音视频格式，Windows Media文件，VCD文件，DVD文件，Real文件，AVI文件，MP3等主流文件格式，支持720p、1080p的高清视频。</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全面支持Windows系列操作系统，包括Windows 8、Windows 10、Windows 11操作系统。</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软件需支持多种语言界面版本，满足不同外语教师灵活使用软件。</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lang w:val="en-US" w:eastAsia="zh-CN"/>
              </w:rPr>
              <w:t>或官网截图</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软件的加密方式支持：加密狗加密、服务器端授权、在线序列号加密、离线文件加密、自定义短码激活、mac地址预置激活等多种方式的激活方式。</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投标时提供</w:t>
            </w:r>
            <w:r>
              <w:rPr>
                <w:rFonts w:hint="eastAsia" w:ascii="宋体" w:hAnsi="宋体" w:eastAsia="宋体" w:cs="宋体"/>
                <w:b/>
                <w:bCs/>
                <w:color w:val="auto"/>
                <w:kern w:val="0"/>
                <w:sz w:val="21"/>
                <w:szCs w:val="21"/>
                <w:highlight w:val="none"/>
              </w:rPr>
              <w:t>软件功能截图）</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2.课堂教学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扩展屏广播模式：教师机连接两个显示器，可在广播时选择将任意一个显示器的内容广播到学生机。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屏幕广播速度增强：屏幕广播时支持多种画面质量的调节，根据网络的不同选择最好的效果进行教学。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语音广播：将教师机和麦克风的声音广播给学生，教学过程中，可以请任何一位已登录的学生发言，其他学生和教师收听该学生发言。</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语音对讲：教师可以选择任意一名已登录学生与其进行双向语音交谈，除教师和此学生外，其他学生不会受到干扰，可以动态切换对讲对象。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学生演示：教师可选定一台学生机作为示范，由此学生代替教师进行示范教学。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分组教学：教师分派组长执行指定的功能，组长代替教师进行小组教学，小组不需要再临时创建，可以直接使用既有分组信息，教师可以监控每个分组的教学过程，以了解分组教学的进度。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屏幕录制：教师机可以将本地的操作和讲解过程录制为mp4录像文件，可以用 Windows 自带的 Media Player 直接播放。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303DD8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屏幕监视：教师机可以监视单一、部分、全体学生机的屏幕，教师机每屏可监视多个学生屏幕（最多36个）。可以控制教师机监控的同屏幕各窗口间、屏幕与屏幕间的切换速度。可手动或自动循环监视。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多频道教学：支持多达32个频道的划分，一个教师可对单个班级或多个班级同时上课；多个教师可同时对多个班级进行不同内容的教学。</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3.教学评测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试卷编辑：教师能够在家中编辑试题，试题类型支持单选、多选、判断、简答，可插入图片，设置试卷名称、教师名称、班级、考试时间和总分，允许用户通过导入 Word 文件添加试题。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始考试：教师将试卷分发给学生即可开始考试，考试过程中可以教师如有问题补充，可暂停考试，在特殊情况下，可以暂挂考试，下次启动系统后可继续考试；考试过程中如有断电、关机等意外情况学生机可断线重连，考试结束后学生可提交或时间到自动提交。</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阅卷评分：收取的试卷系统可自动评分，教师添加批注，查看柱状图显示的考试统计结果，并能够将评分结果以网页形式发送给相应的学生。</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答题卡考试：教师导入Word、PPT、Excel、PDF等文档类型的考试内容共享给学生，直接生成答题卡用于学生作答，包含多种不同的题型：多选题，判断题，填空题和论述题。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随堂小考：教师启动快速的单题考试或随堂调查，限定考试时间，学生答题后立即给出结果，结果显示学生答案柱状图分析和答题时间，可作为抢答依据。</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6．抢答竞赛：教师可以出任意题目请学生作答，学生抢答时只需按下按钮即可。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4.课堂管理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签到：提供学生名单管理工具，为软件和考试模块提供实名验证。提供点名功能，支持保留学生多次登录记录、考勤统计、签到信息的导出与对比。</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班级模型：有单独的管理界面，实现对班级模型的统一管理，并能够导入、导出，调用不同网络教室中的班级模型。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U盘限制：对U盘访问权限的设定（完全开放、只读、只写、完全限制），有效控制学生使用U盘，防止资料的流失和病毒的引入。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网页限制：设定学生访问网站的黑名单或白名单，对学生可以访问的Internet站点进行管理。支持多浏览器限制，如QQ、IE、谷歌、360、遨游等浏览器。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打印限制：可限制学生是否可以打印。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光盘限制：可限制是否允许使用光盘播放。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学生端属性查看：教师可以获取学生端计算机的名称、登录名和其它常用信息，并可以列出学生端的应用程序、进程和进程 ID，教师还可以远程终止学生端的进程。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黑屏肃静：教师可以对单一、部分、全体学生执行黑屏肃静来禁止其进行任何操作，达到专心听课目的，教师可自定义黑屏的内容与图片。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远程命令：可以进行远程开机、关机、重启等操作，支持远程打开网页、远程启动程序和远程关闭所有学生正在执行的应用程序。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分组管理：教师可以新建，删除，重命名分组，添加和删除分组中的成员，设置小组长。分组信息随班级模型永久保存，下次上课可以直接使用保存的分组。</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自动锁屏：独有的断线保护自动锁屏技术，通过网卡的是否激活来锁定屏幕，避免学生拔掉网线违反纪律。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防杀进程：为安全起见，学生端程序运行后，防止学生通过任务管理器结束学生端程序进程来逃脱教师控制。</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远程设置：远程设置学生桌面主题、桌面背景、屏幕保护方案、学生的频道号和音量、学生的卸载密码，是否启用进程保护，断线锁屏，热键退出等。</w:t>
            </w:r>
          </w:p>
        </w:tc>
        <w:tc>
          <w:tcPr>
            <w:tcW w:w="247" w:type="pct"/>
            <w:vAlign w:val="center"/>
          </w:tcPr>
          <w:p w14:paraId="61C9AA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间</w:t>
            </w:r>
          </w:p>
        </w:tc>
        <w:tc>
          <w:tcPr>
            <w:tcW w:w="255" w:type="pct"/>
            <w:vAlign w:val="center"/>
          </w:tcPr>
          <w:p w14:paraId="487A12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w:t>
            </w:r>
          </w:p>
        </w:tc>
        <w:tc>
          <w:tcPr>
            <w:tcW w:w="288" w:type="pct"/>
            <w:vAlign w:val="center"/>
          </w:tcPr>
          <w:p w14:paraId="199E4EA2">
            <w:pPr>
              <w:spacing w:line="360" w:lineRule="auto"/>
              <w:jc w:val="center"/>
              <w:rPr>
                <w:rFonts w:hint="default"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软件和信息技术服务业</w:t>
            </w:r>
          </w:p>
        </w:tc>
        <w:tc>
          <w:tcPr>
            <w:tcW w:w="448" w:type="pct"/>
            <w:vAlign w:val="center"/>
          </w:tcPr>
          <w:p w14:paraId="3FEB1D1D">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26F7E3D1">
            <w:pPr>
              <w:spacing w:line="360" w:lineRule="auto"/>
              <w:jc w:val="center"/>
              <w:rPr>
                <w:rFonts w:ascii="宋体" w:hAnsi="宋体" w:eastAsia="宋体"/>
                <w:bCs/>
                <w:color w:val="auto"/>
                <w:sz w:val="24"/>
                <w:szCs w:val="18"/>
                <w:highlight w:val="none"/>
              </w:rPr>
            </w:pPr>
          </w:p>
        </w:tc>
      </w:tr>
      <w:tr w14:paraId="1129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1" w:type="pct"/>
            <w:vAlign w:val="center"/>
          </w:tcPr>
          <w:p w14:paraId="68120133">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16</w:t>
            </w:r>
          </w:p>
        </w:tc>
        <w:tc>
          <w:tcPr>
            <w:tcW w:w="433" w:type="pct"/>
            <w:vAlign w:val="center"/>
          </w:tcPr>
          <w:p w14:paraId="321C73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机柜</w:t>
            </w:r>
          </w:p>
        </w:tc>
        <w:tc>
          <w:tcPr>
            <w:tcW w:w="2600" w:type="pct"/>
            <w:vAlign w:val="center"/>
          </w:tcPr>
          <w:p w14:paraId="7AA6D0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42U+PDU/8位10A</w:t>
            </w:r>
          </w:p>
        </w:tc>
        <w:tc>
          <w:tcPr>
            <w:tcW w:w="247" w:type="pct"/>
            <w:vAlign w:val="center"/>
          </w:tcPr>
          <w:p w14:paraId="6CD719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个</w:t>
            </w:r>
          </w:p>
        </w:tc>
        <w:tc>
          <w:tcPr>
            <w:tcW w:w="255" w:type="pct"/>
            <w:vAlign w:val="center"/>
          </w:tcPr>
          <w:p w14:paraId="157ED9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p>
        </w:tc>
        <w:tc>
          <w:tcPr>
            <w:tcW w:w="288" w:type="pct"/>
            <w:vAlign w:val="center"/>
          </w:tcPr>
          <w:p w14:paraId="765A65D5">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2F92B0D4">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554FC310">
            <w:pPr>
              <w:spacing w:line="360" w:lineRule="auto"/>
              <w:jc w:val="center"/>
              <w:rPr>
                <w:rFonts w:ascii="宋体" w:hAnsi="宋体" w:eastAsia="宋体"/>
                <w:bCs/>
                <w:color w:val="auto"/>
                <w:sz w:val="24"/>
                <w:szCs w:val="18"/>
                <w:highlight w:val="none"/>
              </w:rPr>
            </w:pPr>
          </w:p>
        </w:tc>
      </w:tr>
      <w:tr w14:paraId="197D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5A452C3">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17</w:t>
            </w:r>
          </w:p>
        </w:tc>
        <w:tc>
          <w:tcPr>
            <w:tcW w:w="433" w:type="pct"/>
            <w:vAlign w:val="center"/>
          </w:tcPr>
          <w:p w14:paraId="7B76AE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系统集成</w:t>
            </w:r>
          </w:p>
        </w:tc>
        <w:tc>
          <w:tcPr>
            <w:tcW w:w="2600" w:type="pct"/>
            <w:vAlign w:val="center"/>
          </w:tcPr>
          <w:p w14:paraId="75CD9C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1.包含本项目所需的 6 类双绞线、电源线等所有材料及施工；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2.所有双绞线、电源线需符合国标要求，其中双绞线要求采用 6 类非屏蔽双绞线，电源线线径≥2.5 平方；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3.机房整体建设符合</w:t>
            </w:r>
            <w:r>
              <w:rPr>
                <w:rFonts w:hint="eastAsia" w:ascii="宋体" w:hAnsi="宋体" w:eastAsia="宋体" w:cs="宋体"/>
                <w:color w:val="auto"/>
                <w:kern w:val="0"/>
                <w:sz w:val="21"/>
                <w:szCs w:val="21"/>
                <w:highlight w:val="none"/>
                <w:lang w:eastAsia="zh-CN"/>
              </w:rPr>
              <w:t>《计算机场地通用规范》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GB/T2887-2011、</w:t>
            </w:r>
            <w:r>
              <w:rPr>
                <w:rFonts w:hint="eastAsia" w:ascii="宋体" w:hAnsi="宋体" w:eastAsia="宋体" w:cs="宋体"/>
                <w:color w:val="auto"/>
                <w:kern w:val="0"/>
                <w:sz w:val="21"/>
                <w:szCs w:val="21"/>
                <w:highlight w:val="none"/>
                <w:lang w:eastAsia="zh-CN"/>
              </w:rPr>
              <w:t>《计算机场地安全要求》</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GB/T9361-2011 规范要求；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4.设备安装、调试以及综合布线，相关辅材包括水晶头、线槽等材料，所有辅材必须符合国标要求，确保所有硬件设备能够正常运行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电源线、网线等配套，其中强电引入到房间配电箱，网络引入到机柜规范实施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为保证考试网络的高效数据交换，考试网络性能指标应达到如下标准：考场局域网内部的网络时延不得超过 10ms，丢包率应控制在 0.1%以下，数据传输的误差率不得超过 0.01%；与省级考试机构互联的考试虚拟专用网络时延不得超过30ms，丢包率应控制在 1%以下，数据传输的误差率不得超过 0.1%。</w:t>
            </w:r>
          </w:p>
        </w:tc>
        <w:tc>
          <w:tcPr>
            <w:tcW w:w="247" w:type="pct"/>
            <w:vAlign w:val="center"/>
          </w:tcPr>
          <w:p w14:paraId="38095E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项</w:t>
            </w:r>
          </w:p>
        </w:tc>
        <w:tc>
          <w:tcPr>
            <w:tcW w:w="255" w:type="pct"/>
            <w:vAlign w:val="center"/>
          </w:tcPr>
          <w:p w14:paraId="258F9C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p>
        </w:tc>
        <w:tc>
          <w:tcPr>
            <w:tcW w:w="288" w:type="pct"/>
            <w:vAlign w:val="center"/>
          </w:tcPr>
          <w:p w14:paraId="7082E971">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410CED0D">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255C841A">
            <w:pPr>
              <w:spacing w:line="360" w:lineRule="auto"/>
              <w:jc w:val="center"/>
              <w:rPr>
                <w:rFonts w:ascii="宋体" w:hAnsi="宋体" w:eastAsia="宋体"/>
                <w:bCs/>
                <w:color w:val="auto"/>
                <w:sz w:val="24"/>
                <w:szCs w:val="18"/>
                <w:highlight w:val="none"/>
              </w:rPr>
            </w:pPr>
          </w:p>
        </w:tc>
      </w:tr>
      <w:tr w14:paraId="1A9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529C063">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18</w:t>
            </w:r>
          </w:p>
        </w:tc>
        <w:tc>
          <w:tcPr>
            <w:tcW w:w="433" w:type="pct"/>
            <w:vAlign w:val="center"/>
          </w:tcPr>
          <w:p w14:paraId="2D2CE108">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防火墙</w:t>
            </w:r>
          </w:p>
        </w:tc>
        <w:tc>
          <w:tcPr>
            <w:tcW w:w="2600" w:type="pct"/>
            <w:vAlign w:val="center"/>
          </w:tcPr>
          <w:p w14:paraId="5C4BC836">
            <w:pPr>
              <w:keepNext w:val="0"/>
              <w:keepLines w:val="0"/>
              <w:pageBreakBefore w:val="0"/>
              <w:widowControl/>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rPr>
              <w:t>标准架加设备，网络吞吐量：8Gbps,标准配置6个10/100M/1000M自适应千兆电接口、2个千兆SFP接口、2个千兆SFP+接口，2个接口扩展槽。标配64G SSD硬盘；配置3年IPS、AV、URL特征库升级服务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SSLVPN：被测设备能够使用加密套件TLSv1.3，能够使用国密加密算法对SSLVPN流量进行加密；客户端支持系统windows、mac、linux等平台；</w:t>
            </w:r>
          </w:p>
          <w:p w14:paraId="445D6685">
            <w:pPr>
              <w:keepNext w:val="0"/>
              <w:keepLines w:val="0"/>
              <w:pageBreakBefore w:val="0"/>
              <w:widowControl/>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弱口令检测功能：支持弱口令检测，支持对TELNET、POP3、SMTP等协议的弱口令检测能力，能够根据弱口令检测配置在日志中上报使用弱口令的账户</w:t>
            </w:r>
            <w:r>
              <w:rPr>
                <w:rFonts w:hint="eastAsia" w:ascii="宋体" w:hAnsi="宋体" w:eastAsia="宋体" w:cs="宋体"/>
                <w:color w:val="auto"/>
                <w:kern w:val="0"/>
                <w:sz w:val="21"/>
                <w:szCs w:val="21"/>
                <w:highlight w:val="none"/>
                <w:lang w:eastAsia="zh-CN"/>
              </w:rPr>
              <w:t>。</w:t>
            </w:r>
          </w:p>
          <w:p w14:paraId="5DD6C798">
            <w:pPr>
              <w:keepNext w:val="0"/>
              <w:keepLines w:val="0"/>
              <w:pageBreakBefore w:val="0"/>
              <w:widowControl/>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持扩展APT检测模块，采用沙箱检测技术，对未知木马、病毒、恶意代码具有精确的检测效果，实现对未知威胁、高级持续威胁和0DAY攻击的有效防护。可对exe、rtf、pdf、xls（x）、ppt（x）、doc（x）、pps（x）、swf、rar、zip等常见的格式进行动态沙箱分析；可对rtf、pdf、xls（x）、ppt（x）、doc（x）、pps（x）做PE内嵌检测。</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支持复用tcpdump工具的过滤,输出等全部功能,提供一种基于驱动零拷贝模式系统下的tcpdump抓包实现方法证明材料</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SDWAN功能：能够改善网络中应用数据丢包、延时问题，业务传输速率没有受到影响，开启HTTP压缩功能后，能够减少传输数据占用的带宽，能够对SDWAN隧道在指定时间 段内的丢包率、延时、抖动、发送、接受进行展示</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IOT 智能识别功能：能够扫描到内网资产信息,包括IP地址、MAC、厂商名称、类别、操作系统、TCP端口、UDP端口，被测设备能够对资产形成资产画像，能够对摄像头、打印机资产进行识别，能够对新接入网络的资产进行上报</w:t>
            </w:r>
            <w:r>
              <w:rPr>
                <w:rFonts w:hint="eastAsia" w:ascii="宋体" w:hAnsi="宋体" w:eastAsia="宋体" w:cs="宋体"/>
                <w:color w:val="auto"/>
                <w:kern w:val="0"/>
                <w:sz w:val="21"/>
                <w:szCs w:val="21"/>
                <w:highlight w:val="none"/>
                <w:lang w:eastAsia="zh-CN"/>
              </w:rPr>
              <w:t>。</w:t>
            </w:r>
          </w:p>
          <w:p w14:paraId="2DABBDC7">
            <w:pPr>
              <w:keepNext w:val="0"/>
              <w:keepLines w:val="0"/>
              <w:pageBreakBefore w:val="0"/>
              <w:widowControl/>
              <w:numPr>
                <w:ilvl w:val="0"/>
                <w:numId w:val="0"/>
              </w:numPr>
              <w:kinsoku/>
              <w:wordWrap w:val="0"/>
              <w:overflowPunct/>
              <w:topLinePunct w:val="0"/>
              <w:autoSpaceDE/>
              <w:autoSpaceDN/>
              <w:bidi w:val="0"/>
              <w:adjustRightInd/>
              <w:snapToGrid/>
              <w:spacing w:line="400" w:lineRule="exact"/>
              <w:ind w:left="0" w:leftChars="0" w:firstLine="0" w:firstLineChars="0"/>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虚拟化功能：支持硬件Hypervisor技术的底层虚拟化及VSYS虚拟化功，支持多层虚拟化嵌套功能</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p>
        </w:tc>
        <w:tc>
          <w:tcPr>
            <w:tcW w:w="247" w:type="pct"/>
            <w:vAlign w:val="center"/>
          </w:tcPr>
          <w:p w14:paraId="63801E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43494A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p>
        </w:tc>
        <w:tc>
          <w:tcPr>
            <w:tcW w:w="288" w:type="pct"/>
            <w:vAlign w:val="center"/>
          </w:tcPr>
          <w:p w14:paraId="43087FA3">
            <w:pPr>
              <w:spacing w:line="360" w:lineRule="auto"/>
              <w:jc w:val="center"/>
              <w:rPr>
                <w:rFonts w:hint="eastAsia" w:ascii="宋体" w:hAnsi="宋体" w:eastAsia="宋体"/>
                <w:bCs/>
                <w:color w:val="auto"/>
                <w:sz w:val="21"/>
                <w:szCs w:val="21"/>
                <w:highlight w:val="none"/>
                <w:lang w:val="en-US" w:eastAsia="zh-CN"/>
              </w:rPr>
            </w:pPr>
            <w:r>
              <w:rPr>
                <w:rFonts w:hint="default" w:ascii="宋体" w:hAnsi="宋体" w:eastAsia="宋体"/>
                <w:bCs/>
                <w:color w:val="auto"/>
                <w:sz w:val="21"/>
                <w:szCs w:val="21"/>
                <w:highlight w:val="none"/>
                <w:lang w:val="en-US" w:eastAsia="zh-CN"/>
              </w:rPr>
              <w:t>软件和信息技术服务业</w:t>
            </w:r>
          </w:p>
        </w:tc>
        <w:tc>
          <w:tcPr>
            <w:tcW w:w="448" w:type="pct"/>
            <w:vAlign w:val="center"/>
          </w:tcPr>
          <w:p w14:paraId="68FC2DD7">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06BC835C">
            <w:pPr>
              <w:spacing w:line="360" w:lineRule="auto"/>
              <w:jc w:val="center"/>
              <w:rPr>
                <w:rFonts w:ascii="宋体" w:hAnsi="宋体" w:eastAsia="宋体"/>
                <w:bCs/>
                <w:color w:val="auto"/>
                <w:sz w:val="24"/>
                <w:szCs w:val="18"/>
                <w:highlight w:val="none"/>
              </w:rPr>
            </w:pPr>
          </w:p>
        </w:tc>
      </w:tr>
      <w:tr w14:paraId="3D14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5F5F7512">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19</w:t>
            </w:r>
          </w:p>
        </w:tc>
        <w:tc>
          <w:tcPr>
            <w:tcW w:w="433" w:type="pct"/>
            <w:vAlign w:val="center"/>
          </w:tcPr>
          <w:p w14:paraId="43D8C5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考场监控</w:t>
            </w:r>
          </w:p>
        </w:tc>
        <w:tc>
          <w:tcPr>
            <w:tcW w:w="2600" w:type="pct"/>
            <w:vAlign w:val="center"/>
          </w:tcPr>
          <w:p w14:paraId="33E8514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符合《国家教育考试网上巡查系统视频标准技术规范（2017 版）》相关技术规范；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2.支持绊线入侵，区域入侵；</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3.采用高性能≥400 万像素 1/3 英寸 CMOS 图像传感器，低照度效果好，图像清晰度高；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4.可输出≥400 万(2560×1440)@25fps；</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5.支持 H.265 编码，压缩比高，实现超低码流传输；</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6.内置高效红外补光灯，红外监控距离≥50 米；</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7.支持走廊模式，宽动态，3D 降噪，强光抑制，背光补偿，数字水印，适用不同监控环境；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8.支持 ROI，SMART H.264/H.265，灵活编码，适用不同带宽和存储环境；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9.支持 IP67、IK10 防护等级；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10.具有隐私区域遮挡功能，区域的个数可达到 4 个，大小、方位支持自行设置；</w:t>
            </w:r>
          </w:p>
          <w:p w14:paraId="63F84F8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11.在浏览器下，具有感兴趣区域(ROI )设置选项，可设置 4 块感兴趣区域、6 个图像质量等级；</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12.支持通过浏览器或客户端软件开启/关闭，功能开启后，当监控场景被遮挡时，可在客户端给出报警提示并上传中心、上传 FTP、发送邮件及联动录像；</w:t>
            </w:r>
          </w:p>
          <w:p w14:paraId="2962FD48">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13.支持人脸抓拍功能,可对经过设定区域的行人进行人脸检查和人脸跟踪，当检查到人脸后，可抓拍人脸图片，抓拍人脸数量可设；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14.在浏览器下具有人脸增强设置选项；</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15.在视频遮挡、SD 卡空间不足、SD 卡出错、无 SD 卡、非法访问、网络断开、IP冲突时，能给出报警提示；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16.支持将视频图像存储至 SD 卡或客户端，支持 SD 卡热拔插；</w:t>
            </w:r>
          </w:p>
          <w:p w14:paraId="7619BD81">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17.在正常工作时断开网络,可将抓拍图片存储至内置SD 卡中，当网络恢复后，再将这些图片上传至指定的存储服务器；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18.需与学校现有已建设的巡考平台、滁州市教育局巡考平台实现系统对接。</w:t>
            </w:r>
            <w:r>
              <w:rPr>
                <w:rFonts w:hint="eastAsia" w:ascii="宋体" w:hAnsi="宋体" w:eastAsia="宋体" w:cs="宋体"/>
                <w:b/>
                <w:bCs/>
                <w:color w:val="auto"/>
                <w:kern w:val="0"/>
                <w:sz w:val="21"/>
                <w:szCs w:val="21"/>
                <w:highlight w:val="none"/>
              </w:rPr>
              <w:t>（投标人需提供承诺函，格式自拟）</w:t>
            </w:r>
          </w:p>
        </w:tc>
        <w:tc>
          <w:tcPr>
            <w:tcW w:w="247" w:type="pct"/>
            <w:vAlign w:val="center"/>
          </w:tcPr>
          <w:p w14:paraId="5E9521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个</w:t>
            </w:r>
          </w:p>
        </w:tc>
        <w:tc>
          <w:tcPr>
            <w:tcW w:w="255" w:type="pct"/>
            <w:vAlign w:val="center"/>
          </w:tcPr>
          <w:p w14:paraId="1CF7D0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16</w:t>
            </w:r>
          </w:p>
        </w:tc>
        <w:tc>
          <w:tcPr>
            <w:tcW w:w="288" w:type="pct"/>
            <w:vAlign w:val="center"/>
          </w:tcPr>
          <w:p w14:paraId="0149F749">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6AD6EF3E">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187C4AC9">
            <w:pPr>
              <w:spacing w:line="360" w:lineRule="auto"/>
              <w:jc w:val="center"/>
              <w:rPr>
                <w:rFonts w:ascii="宋体" w:hAnsi="宋体" w:eastAsia="宋体"/>
                <w:bCs/>
                <w:color w:val="auto"/>
                <w:sz w:val="24"/>
                <w:szCs w:val="18"/>
                <w:highlight w:val="none"/>
              </w:rPr>
            </w:pPr>
          </w:p>
        </w:tc>
      </w:tr>
      <w:tr w14:paraId="5373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0F020EC">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20</w:t>
            </w:r>
          </w:p>
        </w:tc>
        <w:tc>
          <w:tcPr>
            <w:tcW w:w="433" w:type="pct"/>
            <w:vAlign w:val="center"/>
          </w:tcPr>
          <w:p w14:paraId="1A0615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光模块</w:t>
            </w:r>
          </w:p>
        </w:tc>
        <w:tc>
          <w:tcPr>
            <w:tcW w:w="2600" w:type="pct"/>
            <w:vAlign w:val="center"/>
          </w:tcPr>
          <w:p w14:paraId="64EFCD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1000BASE-LX mini GBIC转换模块（1310nm），10km</w:t>
            </w:r>
          </w:p>
        </w:tc>
        <w:tc>
          <w:tcPr>
            <w:tcW w:w="247" w:type="pct"/>
            <w:vAlign w:val="center"/>
          </w:tcPr>
          <w:p w14:paraId="29E2FF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块</w:t>
            </w:r>
          </w:p>
        </w:tc>
        <w:tc>
          <w:tcPr>
            <w:tcW w:w="255" w:type="pct"/>
            <w:vAlign w:val="center"/>
          </w:tcPr>
          <w:p w14:paraId="284F34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2</w:t>
            </w:r>
          </w:p>
        </w:tc>
        <w:tc>
          <w:tcPr>
            <w:tcW w:w="288" w:type="pct"/>
            <w:vAlign w:val="center"/>
          </w:tcPr>
          <w:p w14:paraId="122D5C3D">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6914DFB1">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758CF2E2">
            <w:pPr>
              <w:spacing w:line="360" w:lineRule="auto"/>
              <w:jc w:val="center"/>
              <w:rPr>
                <w:rFonts w:ascii="宋体" w:hAnsi="宋体" w:eastAsia="宋体"/>
                <w:bCs/>
                <w:color w:val="auto"/>
                <w:sz w:val="24"/>
                <w:szCs w:val="18"/>
                <w:highlight w:val="none"/>
              </w:rPr>
            </w:pPr>
          </w:p>
        </w:tc>
      </w:tr>
      <w:tr w14:paraId="27F1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C382F2C">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21</w:t>
            </w:r>
          </w:p>
        </w:tc>
        <w:tc>
          <w:tcPr>
            <w:tcW w:w="433" w:type="pct"/>
            <w:vAlign w:val="center"/>
          </w:tcPr>
          <w:p w14:paraId="24D5F1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32路存储服务器</w:t>
            </w:r>
          </w:p>
        </w:tc>
        <w:tc>
          <w:tcPr>
            <w:tcW w:w="2600" w:type="pct"/>
            <w:vAlign w:val="center"/>
          </w:tcPr>
          <w:p w14:paraId="181C6183">
            <w:pPr>
              <w:keepNext w:val="0"/>
              <w:keepLines w:val="0"/>
              <w:pageBreakBefore w:val="0"/>
              <w:widowControl/>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符合《国家教育考试网上巡查系统视频标准技术规范（2017版）》相关技术规范；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2.支持WEB、本地GUI界面操作；</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.支持不开智能：2路32MP@30fps;2路24MP@30fps;4路16MP@30fps;5路12MP@30fps;8路8MP@30fps;12路5MP@30fps; 16路4MP@30fps解码。或开智能：1路32MP@30fps;1路24MP@30fps;2路16MP@30fps;2路12MP@30fps;3路8MP@30fps; 6路5MP@30fps;7路4MP@30fps解码。最大支持16路视频回放；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.支持32MP; 24MP; 16MP; 12MP; 8MP; 6MP; 5MP; 4MP; 3MP; 1080p; 960p; 720p; D1; CIF; QCIF IPC分辨率接入；</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.支持前智能：人脸检测比对、周界防范、视频结构化、通用行为分析、立体行为分析、人群分布、人数统计、热度图、智能动检；</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.支持8路后智能人脸检测比对；或8路后智能视频结构化；或32路后智能周界防范；或32路后智能智能动检；</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.支持最大40个人脸库，共30万张人脸图片；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.支持16个内置SATA接口，单盘最大容量支持16T，可配置成单盘，支持Raid0、Raid1、Raid5、Raid6、Raid10、JBOD等各种数据保护模式；</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.支持N+M集群管理功能，当主机发生故障时，备机可替换故障主机继续录像，故障恢复后，备机可将存储的录像回传至故障主机；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.支持iSCSI扩展存储功能，支持iSCSI方式对接IP SAN设备，实现扩容存储；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.支持电子云台，将全景画面中多个感兴趣区域提取成单独细节画面，当区域内有人、车目标经过时对应细节画面随目标跟踪展示；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.支持提供主动注册服务，前端相机支持以主动注册方式添加到设备上；</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.支持主动注册客户端功能，设备可以以主动注册方式添加到平台；</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支持32路报警输入、16路报警输出；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支持4个USB接口（2个前置USB2.0接口、2个后置USB3.0接口）；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支持4个2500Mbps以太网口，支持4个不同段IP地址的IPC设备接入，支持将多网口设置同一个IP地址，实现数据链路冗余；                      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所投产品符合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视频安防监控数字录像设备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GB20815-2006，JY /T-KS-JS-2017-1国家教育考试网上巡查系统视频标准技术规范（2017版)，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电子考场系统通用要求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GB/T36449-2018</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可自适应接入H.265、H.264、MPEG4视频编码格式，MPEG Layerl、G711和AAC音频编码格式，Program Stream（系统流）和Transition Stream（传输流）封装格式的网络视频,并对接入的网络视频进行存储、解码和转发。</w:t>
            </w:r>
            <w:r>
              <w:rPr>
                <w:rFonts w:hint="eastAsia" w:ascii="宋体" w:hAnsi="宋体" w:eastAsia="宋体" w:cs="宋体"/>
                <w:b/>
                <w:bCs/>
                <w:color w:val="auto"/>
                <w:kern w:val="0"/>
                <w:sz w:val="21"/>
                <w:szCs w:val="21"/>
                <w:highlight w:val="none"/>
              </w:rPr>
              <w:t>（投标时提</w:t>
            </w:r>
            <w:r>
              <w:rPr>
                <w:rFonts w:hint="eastAsia" w:ascii="宋体" w:hAnsi="宋体" w:eastAsia="宋体" w:cs="宋体"/>
                <w:b/>
                <w:bCs/>
                <w:color w:val="auto"/>
                <w:kern w:val="0"/>
                <w:sz w:val="21"/>
                <w:szCs w:val="21"/>
                <w:highlight w:val="none"/>
                <w:lang w:val="en-US" w:eastAsia="zh-CN"/>
              </w:rPr>
              <w:t>第三方权威机构出具的</w:t>
            </w:r>
            <w:r>
              <w:rPr>
                <w:rFonts w:hint="eastAsia" w:ascii="宋体" w:hAnsi="宋体" w:eastAsia="宋体" w:cs="宋体"/>
                <w:b/>
                <w:bCs/>
                <w:color w:val="auto"/>
                <w:kern w:val="0"/>
                <w:sz w:val="21"/>
                <w:szCs w:val="21"/>
                <w:highlight w:val="none"/>
              </w:rPr>
              <w:t>检测报告）；</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color w:val="auto"/>
                <w:kern w:val="0"/>
                <w:sz w:val="21"/>
                <w:szCs w:val="21"/>
                <w:highlight w:val="none"/>
              </w:rPr>
              <w:t>支持VGA/HDMI连接显示器，实现本地管理。支持自适应显示器的最佳分辨率进行图像显示。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可在监视画面上设置遮盖区域，区域的个数、大小、位置可设置，最多可设置4个区域，区域位置可重叠。</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可通过IE浏览器搜索发现同网段和跨网段接入网络的IPC等网络设备，可选择通道添加。可对同一型号的网络摄像机进行远程批量升级。</w:t>
            </w:r>
          </w:p>
          <w:p w14:paraId="7A45C09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支持实时查看已添加设备的设备状态，实时显示设备连接状态，动态检测、视频丢失、遮挡检测、外部报警等事件的触发状态等状态信息。</w:t>
            </w:r>
          </w:p>
          <w:p w14:paraId="4C6F651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支持设置定时、冗余录像、假曰录像、事件录像、移动侦测录像、报警录像等录像类型,不同时间段、不同录像类型可采用不同码流进行录像。                                                                                                           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.需与现有已建设的实验中学巡考平台、滁州市教育局巡考平台实现无缝对接，</w:t>
            </w:r>
            <w:r>
              <w:rPr>
                <w:rFonts w:hint="eastAsia" w:ascii="宋体" w:hAnsi="宋体" w:eastAsia="宋体" w:cs="宋体"/>
                <w:b/>
                <w:bCs/>
                <w:color w:val="auto"/>
                <w:kern w:val="0"/>
                <w:sz w:val="21"/>
                <w:szCs w:val="21"/>
                <w:highlight w:val="none"/>
              </w:rPr>
              <w:t>投标人需提供承诺函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w:t>
            </w:r>
          </w:p>
        </w:tc>
        <w:tc>
          <w:tcPr>
            <w:tcW w:w="247" w:type="pct"/>
            <w:vAlign w:val="center"/>
          </w:tcPr>
          <w:p w14:paraId="179EB3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台</w:t>
            </w:r>
          </w:p>
        </w:tc>
        <w:tc>
          <w:tcPr>
            <w:tcW w:w="255" w:type="pct"/>
            <w:vAlign w:val="center"/>
          </w:tcPr>
          <w:p w14:paraId="4693FF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w:t>
            </w:r>
          </w:p>
        </w:tc>
        <w:tc>
          <w:tcPr>
            <w:tcW w:w="288" w:type="pct"/>
            <w:vAlign w:val="center"/>
          </w:tcPr>
          <w:p w14:paraId="50276EC6">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506312AF">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否</w:t>
            </w:r>
          </w:p>
        </w:tc>
        <w:tc>
          <w:tcPr>
            <w:tcW w:w="416" w:type="pct"/>
            <w:vAlign w:val="center"/>
          </w:tcPr>
          <w:p w14:paraId="76526BD5">
            <w:pPr>
              <w:spacing w:line="360" w:lineRule="auto"/>
              <w:jc w:val="center"/>
              <w:rPr>
                <w:rFonts w:ascii="宋体" w:hAnsi="宋体" w:eastAsia="宋体"/>
                <w:bCs/>
                <w:color w:val="auto"/>
                <w:sz w:val="24"/>
                <w:szCs w:val="18"/>
                <w:highlight w:val="none"/>
              </w:rPr>
            </w:pPr>
          </w:p>
        </w:tc>
      </w:tr>
      <w:tr w14:paraId="43DC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208FFC7">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22</w:t>
            </w:r>
          </w:p>
        </w:tc>
        <w:tc>
          <w:tcPr>
            <w:tcW w:w="433" w:type="pct"/>
            <w:vAlign w:val="center"/>
          </w:tcPr>
          <w:p w14:paraId="105C12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硬盘</w:t>
            </w:r>
          </w:p>
        </w:tc>
        <w:tc>
          <w:tcPr>
            <w:tcW w:w="2600" w:type="pct"/>
            <w:vAlign w:val="center"/>
          </w:tcPr>
          <w:p w14:paraId="4D21BD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8T监控专用硬盘</w:t>
            </w:r>
          </w:p>
        </w:tc>
        <w:tc>
          <w:tcPr>
            <w:tcW w:w="247" w:type="pct"/>
            <w:vAlign w:val="center"/>
          </w:tcPr>
          <w:p w14:paraId="5D99B3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个</w:t>
            </w:r>
          </w:p>
        </w:tc>
        <w:tc>
          <w:tcPr>
            <w:tcW w:w="255" w:type="pct"/>
            <w:vAlign w:val="center"/>
          </w:tcPr>
          <w:p w14:paraId="2729A3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bCs/>
                <w:color w:val="auto"/>
                <w:sz w:val="24"/>
                <w:szCs w:val="18"/>
                <w:highlight w:val="none"/>
                <w:lang w:eastAsia="zh-CN"/>
              </w:rPr>
            </w:pPr>
            <w:r>
              <w:rPr>
                <w:rFonts w:hint="eastAsia" w:ascii="宋体" w:hAnsi="宋体" w:eastAsia="宋体" w:cs="宋体"/>
                <w:color w:val="auto"/>
                <w:kern w:val="0"/>
                <w:sz w:val="21"/>
                <w:szCs w:val="21"/>
                <w:highlight w:val="none"/>
                <w:lang w:val="en-US" w:eastAsia="zh-CN"/>
              </w:rPr>
              <w:t>8</w:t>
            </w:r>
          </w:p>
        </w:tc>
        <w:tc>
          <w:tcPr>
            <w:tcW w:w="288" w:type="pct"/>
            <w:vAlign w:val="center"/>
          </w:tcPr>
          <w:p w14:paraId="60BE037D">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521792B7">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1EA295AD">
            <w:pPr>
              <w:spacing w:line="360" w:lineRule="auto"/>
              <w:jc w:val="center"/>
              <w:rPr>
                <w:rFonts w:ascii="宋体" w:hAnsi="宋体" w:eastAsia="宋体"/>
                <w:bCs/>
                <w:color w:val="auto"/>
                <w:sz w:val="24"/>
                <w:szCs w:val="18"/>
                <w:highlight w:val="none"/>
              </w:rPr>
            </w:pPr>
          </w:p>
        </w:tc>
      </w:tr>
      <w:tr w14:paraId="74F0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A66CCD0">
            <w:pPr>
              <w:spacing w:line="360" w:lineRule="auto"/>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23</w:t>
            </w:r>
          </w:p>
        </w:tc>
        <w:tc>
          <w:tcPr>
            <w:tcW w:w="433" w:type="pct"/>
            <w:vAlign w:val="center"/>
          </w:tcPr>
          <w:p w14:paraId="47DE49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监控设备辅材</w:t>
            </w:r>
          </w:p>
        </w:tc>
        <w:tc>
          <w:tcPr>
            <w:tcW w:w="2600" w:type="pct"/>
            <w:vAlign w:val="center"/>
          </w:tcPr>
          <w:p w14:paraId="69CCE4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包括半球支架、拾音器、电源适配器、电源插排、防水盒、管线等监控系统安装所有辅材。</w:t>
            </w:r>
          </w:p>
        </w:tc>
        <w:tc>
          <w:tcPr>
            <w:tcW w:w="247" w:type="pct"/>
            <w:vAlign w:val="center"/>
          </w:tcPr>
          <w:p w14:paraId="788230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套</w:t>
            </w:r>
          </w:p>
        </w:tc>
        <w:tc>
          <w:tcPr>
            <w:tcW w:w="255" w:type="pct"/>
            <w:vAlign w:val="center"/>
          </w:tcPr>
          <w:p w14:paraId="35C53E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bCs/>
                <w:color w:val="auto"/>
                <w:sz w:val="24"/>
                <w:szCs w:val="18"/>
                <w:highlight w:val="none"/>
              </w:rPr>
            </w:pPr>
            <w:r>
              <w:rPr>
                <w:rFonts w:hint="eastAsia" w:ascii="宋体" w:hAnsi="宋体" w:eastAsia="宋体" w:cs="宋体"/>
                <w:color w:val="auto"/>
                <w:kern w:val="0"/>
                <w:sz w:val="21"/>
                <w:szCs w:val="21"/>
                <w:highlight w:val="none"/>
              </w:rPr>
              <w:t>16</w:t>
            </w:r>
          </w:p>
        </w:tc>
        <w:tc>
          <w:tcPr>
            <w:tcW w:w="288" w:type="pct"/>
            <w:vAlign w:val="center"/>
          </w:tcPr>
          <w:p w14:paraId="0C7D3833">
            <w:pPr>
              <w:spacing w:line="360" w:lineRule="auto"/>
              <w:jc w:val="center"/>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工业</w:t>
            </w:r>
          </w:p>
        </w:tc>
        <w:tc>
          <w:tcPr>
            <w:tcW w:w="448" w:type="pct"/>
            <w:vAlign w:val="center"/>
          </w:tcPr>
          <w:p w14:paraId="44959975">
            <w:pPr>
              <w:spacing w:line="360" w:lineRule="auto"/>
              <w:jc w:val="center"/>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否</w:t>
            </w:r>
          </w:p>
        </w:tc>
        <w:tc>
          <w:tcPr>
            <w:tcW w:w="416" w:type="pct"/>
            <w:vAlign w:val="center"/>
          </w:tcPr>
          <w:p w14:paraId="63FD71A9">
            <w:pPr>
              <w:spacing w:line="360" w:lineRule="auto"/>
              <w:jc w:val="center"/>
              <w:rPr>
                <w:rFonts w:ascii="宋体" w:hAnsi="宋体" w:eastAsia="宋体"/>
                <w:bCs/>
                <w:color w:val="auto"/>
                <w:sz w:val="24"/>
                <w:szCs w:val="18"/>
                <w:highlight w:val="none"/>
              </w:rPr>
            </w:pPr>
          </w:p>
        </w:tc>
      </w:tr>
    </w:tbl>
    <w:p w14:paraId="3BAC5F37">
      <w:pPr>
        <w:spacing w:line="360" w:lineRule="auto"/>
        <w:ind w:firstLine="437"/>
        <w:outlineLvl w:val="1"/>
        <w:rPr>
          <w:rFonts w:hint="eastAsia" w:ascii="宋体" w:hAnsi="宋体" w:eastAsia="宋体"/>
          <w:b/>
          <w:bCs/>
          <w:color w:val="auto"/>
          <w:sz w:val="24"/>
          <w:szCs w:val="18"/>
          <w:highlight w:val="none"/>
          <w:lang w:eastAsia="zh-CN"/>
        </w:rPr>
        <w:sectPr>
          <w:pgSz w:w="16838" w:h="11905" w:orient="landscape"/>
          <w:pgMar w:top="1417" w:right="1440" w:bottom="1417"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宋体" w:hAnsi="宋体" w:eastAsia="宋体"/>
          <w:b/>
          <w:bCs/>
          <w:color w:val="auto"/>
          <w:sz w:val="24"/>
          <w:szCs w:val="18"/>
          <w:highlight w:val="none"/>
        </w:rPr>
        <w:t>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hint="eastAsia" w:ascii="宋体" w:hAnsi="宋体" w:eastAsia="宋体"/>
          <w:b/>
          <w:bCs/>
          <w:color w:val="auto"/>
          <w:sz w:val="24"/>
          <w:szCs w:val="18"/>
          <w:highlight w:val="none"/>
          <w:lang w:eastAsia="zh-CN"/>
        </w:rPr>
        <w:t>。</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41"/>
      <w:bookmarkEnd w:id="42"/>
    </w:p>
    <w:p w14:paraId="6015AA15">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r>
        <w:rPr>
          <w:rFonts w:hint="eastAsia" w:ascii="宋体" w:hAnsi="宋体" w:eastAsia="宋体"/>
          <w:bCs/>
          <w:color w:val="auto"/>
          <w:sz w:val="24"/>
          <w:szCs w:val="18"/>
          <w:highlight w:val="none"/>
          <w:lang w:eastAsia="zh-CN"/>
        </w:rPr>
        <w:t>。</w:t>
      </w:r>
    </w:p>
    <w:p w14:paraId="0C00EC5F">
      <w:pPr>
        <w:spacing w:line="360" w:lineRule="auto"/>
        <w:ind w:firstLine="437"/>
        <w:outlineLvl w:val="1"/>
        <w:rPr>
          <w:rFonts w:ascii="宋体" w:hAnsi="宋体" w:eastAsia="宋体"/>
          <w:b/>
          <w:bCs/>
          <w:color w:val="auto"/>
          <w:sz w:val="24"/>
          <w:szCs w:val="18"/>
          <w:highlight w:val="none"/>
        </w:rPr>
      </w:pPr>
      <w:bookmarkStart w:id="43" w:name="_Toc15293"/>
      <w:bookmarkStart w:id="44" w:name="_Toc14698"/>
      <w:r>
        <w:rPr>
          <w:rFonts w:hint="eastAsia" w:ascii="宋体" w:hAnsi="宋体" w:eastAsia="宋体"/>
          <w:b/>
          <w:bCs/>
          <w:color w:val="auto"/>
          <w:sz w:val="24"/>
          <w:szCs w:val="18"/>
          <w:highlight w:val="none"/>
        </w:rPr>
        <w:t>四、其他要求</w:t>
      </w:r>
      <w:bookmarkEnd w:id="43"/>
      <w:bookmarkEnd w:id="44"/>
    </w:p>
    <w:p w14:paraId="3751784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4A0041E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5D95BF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69B874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19C7912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3C7CA19D">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17330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56E0B1B">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B9BC2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rPr>
        <w:t>中标人须提供至少</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u w:val="single"/>
          <w:lang w:val="en-US" w:eastAsia="zh-CN"/>
        </w:rPr>
        <w:t>3</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rPr>
        <w:t>年的免费质保服务</w:t>
      </w:r>
      <w:r>
        <w:rPr>
          <w:rFonts w:hint="eastAsia" w:ascii="宋体" w:hAnsi="宋体" w:eastAsia="宋体"/>
          <w:bCs/>
          <w:color w:val="auto"/>
          <w:sz w:val="24"/>
          <w:szCs w:val="18"/>
          <w:highlight w:val="none"/>
        </w:rPr>
        <w:t>。所有质保费用均已包含在投标报价中，质保期满后，应提供优先的有偿售后服务及按不高于投标文件中主要配件、易损件清单所报价格供应原厂零配件等。软件终身免费升级服务。</w:t>
      </w:r>
    </w:p>
    <w:p w14:paraId="5DCDBCD9">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A654A76">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74B7EE1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75C4A29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w:t>
      </w:r>
      <w:r>
        <w:rPr>
          <w:rFonts w:hint="eastAsia" w:ascii="宋体" w:hAnsi="宋体" w:eastAsia="宋体"/>
          <w:bCs/>
          <w:color w:val="auto"/>
          <w:sz w:val="24"/>
          <w:szCs w:val="18"/>
          <w:highlight w:val="none"/>
          <w:lang w:val="en-US" w:eastAsia="zh-CN"/>
        </w:rPr>
        <w:t>滁州市实验中学</w:t>
      </w:r>
      <w:r>
        <w:rPr>
          <w:rFonts w:hint="eastAsia" w:ascii="宋体" w:hAnsi="宋体" w:eastAsia="宋体"/>
          <w:bCs/>
          <w:color w:val="auto"/>
          <w:sz w:val="24"/>
          <w:szCs w:val="18"/>
          <w:highlight w:val="none"/>
        </w:rPr>
        <w:t>。</w:t>
      </w:r>
    </w:p>
    <w:p w14:paraId="05AA00A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0B439B8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15D04563">
      <w:pPr>
        <w:spacing w:line="360" w:lineRule="auto"/>
        <w:ind w:firstLine="437"/>
        <w:rPr>
          <w:rFonts w:asciiTheme="minorEastAsia" w:hAnsiTheme="minorEastAsia" w:eastAsiaTheme="minorEastAsia"/>
          <w:color w:val="auto"/>
          <w:sz w:val="24"/>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hint="eastAsia" w:ascii="宋体" w:hAnsi="宋体" w:eastAsia="宋体"/>
          <w:bCs/>
          <w:color w:val="auto"/>
          <w:sz w:val="24"/>
          <w:szCs w:val="18"/>
          <w:highlight w:val="none"/>
          <w:lang w:eastAsia="zh-CN"/>
        </w:rPr>
        <w:t>。</w:t>
      </w: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45" w:name="_Toc16417"/>
      <w:r>
        <w:rPr>
          <w:rFonts w:hint="eastAsia" w:asciiTheme="minorEastAsia" w:hAnsiTheme="minorEastAsia" w:eastAsiaTheme="minorEastAsia"/>
          <w:b/>
          <w:color w:val="auto"/>
          <w:sz w:val="28"/>
          <w:highlight w:val="none"/>
        </w:rPr>
        <w:t>第四章  评标方法和标准（综合评分法）</w:t>
      </w:r>
      <w:bookmarkEnd w:id="45"/>
    </w:p>
    <w:p w14:paraId="36FB348D">
      <w:pPr>
        <w:spacing w:line="360" w:lineRule="auto"/>
        <w:ind w:firstLine="437"/>
        <w:outlineLvl w:val="1"/>
        <w:rPr>
          <w:rFonts w:asciiTheme="minorEastAsia" w:hAnsiTheme="minorEastAsia" w:eastAsiaTheme="minorEastAsia"/>
          <w:b/>
          <w:color w:val="auto"/>
          <w:sz w:val="24"/>
          <w:highlight w:val="none"/>
        </w:rPr>
      </w:pPr>
      <w:bookmarkStart w:id="46" w:name="_Toc1246"/>
      <w:bookmarkStart w:id="47" w:name="_Toc11823"/>
      <w:r>
        <w:rPr>
          <w:rFonts w:hint="eastAsia" w:asciiTheme="minorEastAsia" w:hAnsiTheme="minorEastAsia" w:eastAsiaTheme="minorEastAsia"/>
          <w:b/>
          <w:color w:val="auto"/>
          <w:sz w:val="24"/>
          <w:highlight w:val="none"/>
        </w:rPr>
        <w:t>一、总则</w:t>
      </w:r>
      <w:bookmarkEnd w:id="46"/>
      <w:bookmarkEnd w:id="47"/>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8" w:name="_Toc31871"/>
      <w:bookmarkStart w:id="49" w:name="_Toc13117"/>
      <w:r>
        <w:rPr>
          <w:rFonts w:hint="eastAsia" w:asciiTheme="minorEastAsia" w:hAnsiTheme="minorEastAsia" w:eastAsiaTheme="minorEastAsia"/>
          <w:b/>
          <w:color w:val="auto"/>
          <w:sz w:val="24"/>
          <w:highlight w:val="none"/>
        </w:rPr>
        <w:t>二、评标方法</w:t>
      </w:r>
      <w:bookmarkEnd w:id="48"/>
      <w:bookmarkEnd w:id="49"/>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6"/>
        <w:gridCol w:w="4964"/>
        <w:gridCol w:w="2062"/>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1869532">
            <w:pPr>
              <w:pStyle w:val="4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8"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8"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8"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601"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8" w:type="pct"/>
            <w:vAlign w:val="center"/>
          </w:tcPr>
          <w:p w14:paraId="7EAB58B4">
            <w:pPr>
              <w:spacing w:after="50" w:line="360" w:lineRule="auto"/>
              <w:ind w:right="-10"/>
              <w:jc w:val="both"/>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7CF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6C799E">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798" w:type="dxa"/>
            <w:vAlign w:val="center"/>
          </w:tcPr>
          <w:p w14:paraId="0F69144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967" w:type="dxa"/>
            <w:vAlign w:val="center"/>
          </w:tcPr>
          <w:p w14:paraId="359AB29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58" w:type="dxa"/>
            <w:vAlign w:val="center"/>
          </w:tcPr>
          <w:p w14:paraId="27D8274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8"/>
        <w:gridCol w:w="2736"/>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66</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875"/>
        <w:gridCol w:w="4082"/>
        <w:gridCol w:w="1724"/>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66</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463D51A9">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自2021年1月1日以来(以合同签订时间为准)，投标人具有计算机机房项目业绩或计算机化考试考场项目等业绩的，每提供一个业绩得2分，满分4分。</w:t>
            </w:r>
          </w:p>
          <w:p w14:paraId="5DCBEF53">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注：提供合同扫描件，业绩时间以合同签订时间为准，若以上证明材料无法体现项目内容等关键评审因素的，须同时提供业主（合同甲方）出具的证明材料扫描件。</w:t>
            </w:r>
          </w:p>
        </w:tc>
        <w:tc>
          <w:tcPr>
            <w:tcW w:w="928"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726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30312DD">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222E3C">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olor w:val="auto"/>
                <w:sz w:val="24"/>
                <w:highlight w:val="none"/>
              </w:rPr>
              <w:t>免费质保承诺</w:t>
            </w:r>
          </w:p>
        </w:tc>
        <w:tc>
          <w:tcPr>
            <w:tcW w:w="2197" w:type="pct"/>
            <w:tcBorders>
              <w:top w:val="single" w:color="auto" w:sz="4" w:space="0"/>
              <w:left w:val="single" w:color="auto" w:sz="4" w:space="0"/>
              <w:bottom w:val="single" w:color="auto" w:sz="4" w:space="0"/>
              <w:right w:val="single" w:color="auto" w:sz="4" w:space="0"/>
            </w:tcBorders>
            <w:vAlign w:val="center"/>
          </w:tcPr>
          <w:p w14:paraId="17CC956A">
            <w:pPr>
              <w:spacing w:line="360" w:lineRule="auto"/>
              <w:jc w:val="left"/>
              <w:rPr>
                <w:rFonts w:hint="eastAsia" w:ascii="宋体" w:hAnsi="宋体" w:eastAsia="宋体"/>
                <w:color w:val="auto"/>
                <w:sz w:val="24"/>
                <w:highlight w:val="none"/>
              </w:rPr>
            </w:pPr>
            <w:r>
              <w:rPr>
                <w:rFonts w:ascii="宋体" w:hAnsi="宋体" w:eastAsia="宋体"/>
                <w:color w:val="auto"/>
                <w:sz w:val="24"/>
                <w:highlight w:val="none"/>
              </w:rPr>
              <w:t>投标人在满足招标文件要求的免费质保期（</w:t>
            </w:r>
            <w:r>
              <w:rPr>
                <w:rFonts w:hint="eastAsia" w:ascii="宋体" w:hAnsi="宋体" w:eastAsia="宋体"/>
                <w:color w:val="auto"/>
                <w:sz w:val="24"/>
                <w:highlight w:val="none"/>
              </w:rPr>
              <w:t>3</w:t>
            </w:r>
            <w:r>
              <w:rPr>
                <w:rFonts w:ascii="宋体" w:hAnsi="宋体" w:eastAsia="宋体"/>
                <w:color w:val="auto"/>
                <w:sz w:val="24"/>
                <w:highlight w:val="none"/>
              </w:rPr>
              <w:t>年）的基础上，承诺</w:t>
            </w:r>
            <w:r>
              <w:rPr>
                <w:rFonts w:hint="eastAsia" w:ascii="宋体" w:hAnsi="宋体" w:eastAsia="宋体"/>
                <w:color w:val="auto"/>
                <w:sz w:val="24"/>
                <w:highlight w:val="none"/>
              </w:rPr>
              <w:t>每</w:t>
            </w:r>
            <w:r>
              <w:rPr>
                <w:rFonts w:ascii="宋体" w:hAnsi="宋体" w:eastAsia="宋体"/>
                <w:color w:val="auto"/>
                <w:sz w:val="24"/>
                <w:highlight w:val="none"/>
              </w:rPr>
              <w:t>增加一年的免费质保期的加</w:t>
            </w:r>
            <w:r>
              <w:rPr>
                <w:rFonts w:hint="eastAsia" w:ascii="宋体" w:hAnsi="宋体" w:eastAsia="宋体"/>
                <w:color w:val="auto"/>
                <w:sz w:val="24"/>
                <w:highlight w:val="none"/>
              </w:rPr>
              <w:t>2</w:t>
            </w:r>
            <w:r>
              <w:rPr>
                <w:rFonts w:ascii="宋体" w:hAnsi="宋体" w:eastAsia="宋体"/>
                <w:color w:val="auto"/>
                <w:sz w:val="24"/>
                <w:highlight w:val="none"/>
              </w:rPr>
              <w:t>分，本项最多得</w:t>
            </w:r>
            <w:r>
              <w:rPr>
                <w:rFonts w:hint="eastAsia" w:ascii="宋体" w:hAnsi="宋体" w:eastAsia="宋体"/>
                <w:color w:val="auto"/>
                <w:sz w:val="24"/>
                <w:highlight w:val="none"/>
              </w:rPr>
              <w:t>4</w:t>
            </w:r>
            <w:r>
              <w:rPr>
                <w:rFonts w:ascii="宋体" w:hAnsi="宋体" w:eastAsia="宋体"/>
                <w:color w:val="auto"/>
                <w:sz w:val="24"/>
                <w:highlight w:val="none"/>
              </w:rPr>
              <w:t>分（质保期限增加时间不满一个整年度的不计分），提供承诺书，写明质保年限，格式自拟。</w:t>
            </w:r>
          </w:p>
          <w:p w14:paraId="31F9C045">
            <w:pPr>
              <w:spacing w:line="360" w:lineRule="auto"/>
              <w:jc w:val="left"/>
              <w:rPr>
                <w:rFonts w:hint="eastAsia" w:asciiTheme="minorEastAsia" w:hAnsiTheme="minorEastAsia" w:eastAsiaTheme="minorEastAsia"/>
                <w:bCs/>
                <w:color w:val="auto"/>
                <w:sz w:val="24"/>
                <w:highlight w:val="none"/>
                <w:lang w:val="en-US" w:eastAsia="zh-CN"/>
              </w:rPr>
            </w:pPr>
            <w:r>
              <w:rPr>
                <w:rFonts w:ascii="宋体" w:hAnsi="宋体" w:eastAsia="宋体"/>
                <w:color w:val="auto"/>
                <w:sz w:val="24"/>
                <w:highlight w:val="none"/>
              </w:rPr>
              <w:t>注：以投标文件中投标人承诺的免费质保期为评审依据</w:t>
            </w:r>
            <w:r>
              <w:rPr>
                <w:rFonts w:hint="eastAsia" w:ascii="宋体" w:hAnsi="宋体" w:eastAsia="宋体"/>
                <w:color w:val="auto"/>
                <w:sz w:val="24"/>
                <w:highlight w:val="none"/>
              </w:rPr>
              <w:t>，未提供或不符合要求的不得分</w:t>
            </w:r>
            <w:r>
              <w:rPr>
                <w:rFonts w:ascii="宋体" w:hAnsi="宋体" w:eastAsia="宋体"/>
                <w:color w:val="auto"/>
                <w:sz w:val="24"/>
                <w:highlight w:val="none"/>
              </w:rPr>
              <w:t>。</w:t>
            </w:r>
          </w:p>
        </w:tc>
        <w:tc>
          <w:tcPr>
            <w:tcW w:w="928" w:type="pct"/>
            <w:tcBorders>
              <w:top w:val="single" w:color="auto" w:sz="4" w:space="0"/>
              <w:left w:val="single" w:color="auto" w:sz="4" w:space="0"/>
              <w:bottom w:val="single" w:color="auto" w:sz="4" w:space="0"/>
              <w:right w:val="single" w:color="auto" w:sz="4" w:space="0"/>
            </w:tcBorders>
            <w:vAlign w:val="center"/>
          </w:tcPr>
          <w:p w14:paraId="77514A9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A1F55A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产品技术参数</w:t>
            </w:r>
          </w:p>
        </w:tc>
        <w:tc>
          <w:tcPr>
            <w:tcW w:w="2197" w:type="pct"/>
            <w:tcBorders>
              <w:top w:val="single" w:color="auto" w:sz="4" w:space="0"/>
              <w:left w:val="single" w:color="auto" w:sz="4" w:space="0"/>
              <w:bottom w:val="single" w:color="auto" w:sz="4" w:space="0"/>
              <w:right w:val="single" w:color="auto" w:sz="4" w:space="0"/>
            </w:tcBorders>
            <w:vAlign w:val="center"/>
          </w:tcPr>
          <w:p w14:paraId="3E45A19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所投产品完全满足或优于招标文件中“采购需求及技术参数要求”的，</w:t>
            </w:r>
            <w:r>
              <w:rPr>
                <w:rFonts w:hint="eastAsia" w:ascii="宋体" w:hAnsi="宋体" w:eastAsia="宋体"/>
                <w:bCs/>
                <w:color w:val="auto"/>
                <w:sz w:val="24"/>
                <w:highlight w:val="none"/>
              </w:rPr>
              <w:t>得</w:t>
            </w:r>
            <w:r>
              <w:rPr>
                <w:rFonts w:hint="eastAsia" w:ascii="宋体" w:hAnsi="宋体" w:eastAsia="宋体"/>
                <w:bCs/>
                <w:color w:val="auto"/>
                <w:sz w:val="24"/>
                <w:highlight w:val="none"/>
                <w:lang w:val="en-US" w:eastAsia="zh-CN"/>
              </w:rPr>
              <w:t xml:space="preserve">   48</w:t>
            </w:r>
            <w:r>
              <w:rPr>
                <w:rFonts w:hint="eastAsia" w:ascii="宋体" w:hAnsi="宋体" w:eastAsia="宋体"/>
                <w:bCs/>
                <w:color w:val="auto"/>
                <w:sz w:val="24"/>
                <w:highlight w:val="none"/>
              </w:rPr>
              <w:t>分；</w:t>
            </w:r>
          </w:p>
          <w:p w14:paraId="771D2C7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1、</w:t>
            </w:r>
            <w:r>
              <w:rPr>
                <w:rFonts w:hint="eastAsia" w:ascii="宋体" w:hAnsi="宋体" w:eastAsia="宋体"/>
                <w:bCs/>
                <w:color w:val="auto"/>
                <w:sz w:val="24"/>
                <w:highlight w:val="none"/>
              </w:rPr>
              <w:t>标“</w:t>
            </w:r>
            <w:r>
              <w:rPr>
                <w:rFonts w:hint="eastAsia" w:ascii="宋体" w:hAnsi="宋体" w:eastAsia="宋体" w:cs="宋体"/>
                <w:color w:val="auto"/>
                <w:kern w:val="0"/>
                <w:sz w:val="21"/>
                <w:szCs w:val="21"/>
                <w:highlight w:val="none"/>
              </w:rPr>
              <w:t>★</w:t>
            </w:r>
            <w:r>
              <w:rPr>
                <w:rFonts w:hint="eastAsia" w:ascii="宋体" w:hAnsi="宋体" w:eastAsia="宋体"/>
                <w:bCs/>
                <w:color w:val="auto"/>
                <w:sz w:val="24"/>
                <w:highlight w:val="none"/>
              </w:rPr>
              <w:t>”的技术参数，以采购内容及技术参数要求中提供的证明材料作为评审依据，每满足或优于一项得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分，共</w:t>
            </w:r>
            <w:r>
              <w:rPr>
                <w:rFonts w:hint="eastAsia" w:ascii="宋体" w:hAnsi="宋体" w:eastAsia="宋体"/>
                <w:bCs/>
                <w:color w:val="auto"/>
                <w:sz w:val="24"/>
                <w:highlight w:val="none"/>
                <w:lang w:val="en-US" w:eastAsia="zh-CN"/>
              </w:rPr>
              <w:t>24</w:t>
            </w:r>
            <w:r>
              <w:rPr>
                <w:rFonts w:hint="eastAsia" w:ascii="宋体" w:hAnsi="宋体" w:eastAsia="宋体"/>
                <w:bCs/>
                <w:color w:val="auto"/>
                <w:sz w:val="24"/>
                <w:highlight w:val="none"/>
              </w:rPr>
              <w:t>项，满分</w:t>
            </w:r>
            <w:r>
              <w:rPr>
                <w:rFonts w:hint="eastAsia" w:ascii="宋体" w:hAnsi="宋体" w:eastAsia="宋体"/>
                <w:bCs/>
                <w:color w:val="auto"/>
                <w:sz w:val="24"/>
                <w:highlight w:val="none"/>
                <w:lang w:val="en-US" w:eastAsia="zh-CN"/>
              </w:rPr>
              <w:t>48</w:t>
            </w:r>
            <w:r>
              <w:rPr>
                <w:rFonts w:hint="eastAsia" w:ascii="宋体" w:hAnsi="宋体" w:eastAsia="宋体"/>
                <w:bCs/>
                <w:color w:val="auto"/>
                <w:sz w:val="24"/>
                <w:highlight w:val="none"/>
              </w:rPr>
              <w:t>分</w:t>
            </w:r>
            <w:r>
              <w:rPr>
                <w:rFonts w:hint="eastAsia" w:ascii="宋体" w:hAnsi="宋体" w:eastAsia="宋体"/>
                <w:bCs/>
                <w:color w:val="auto"/>
                <w:sz w:val="24"/>
                <w:highlight w:val="none"/>
              </w:rPr>
              <w:t>；</w:t>
            </w:r>
          </w:p>
          <w:p w14:paraId="3993014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2、未标符号的为一般参数，投标文件中无需列明</w:t>
            </w:r>
            <w:r>
              <w:rPr>
                <w:rFonts w:hint="eastAsia" w:ascii="宋体" w:hAnsi="宋体" w:eastAsia="宋体"/>
                <w:b/>
                <w:bCs w:val="0"/>
                <w:color w:val="auto"/>
                <w:sz w:val="24"/>
                <w:highlight w:val="none"/>
                <w:lang w:eastAsia="zh-CN"/>
              </w:rPr>
              <w:t>（</w:t>
            </w:r>
            <w:r>
              <w:rPr>
                <w:rFonts w:hint="eastAsia" w:ascii="宋体" w:hAnsi="宋体" w:eastAsia="宋体"/>
                <w:b/>
                <w:bCs w:val="0"/>
                <w:color w:val="auto"/>
                <w:sz w:val="24"/>
                <w:highlight w:val="none"/>
                <w:lang w:val="en-US" w:eastAsia="zh-CN"/>
              </w:rPr>
              <w:t>除参数中明确要求投标时提供相关材料的以外</w:t>
            </w:r>
            <w:r>
              <w:rPr>
                <w:rFonts w:hint="eastAsia" w:ascii="宋体" w:hAnsi="宋体" w:eastAsia="宋体"/>
                <w:b/>
                <w:bCs w:val="0"/>
                <w:color w:val="auto"/>
                <w:sz w:val="24"/>
                <w:highlight w:val="none"/>
                <w:lang w:eastAsia="zh-CN"/>
              </w:rPr>
              <w:t>）</w:t>
            </w:r>
            <w:r>
              <w:rPr>
                <w:rFonts w:hint="eastAsia" w:ascii="宋体" w:hAnsi="宋体" w:eastAsia="宋体"/>
                <w:bCs/>
                <w:color w:val="auto"/>
                <w:sz w:val="24"/>
                <w:highlight w:val="none"/>
              </w:rPr>
              <w:t>，但在合同签订后将作为履约验收的依据，</w:t>
            </w:r>
            <w:r>
              <w:rPr>
                <w:rFonts w:hint="eastAsia" w:ascii="宋体" w:hAnsi="宋体" w:eastAsia="宋体"/>
                <w:b/>
                <w:color w:val="auto"/>
                <w:sz w:val="24"/>
                <w:highlight w:val="none"/>
              </w:rPr>
              <w:t>投标人在投标文件中提供相关承诺函，承诺完全满足参数要求或逐条响应均可，承诺函格式自拟，否则投标无效。</w:t>
            </w:r>
          </w:p>
          <w:p w14:paraId="622CC53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注：（1）如某项标识中包含多条技术参数或要求，则该项标识所含内容均需满足或优于招标文件要求，否则不予认可。</w:t>
            </w:r>
          </w:p>
          <w:p w14:paraId="58B0580E">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928"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0-48分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E868BD">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项目实施方案</w:t>
            </w:r>
          </w:p>
        </w:tc>
        <w:tc>
          <w:tcPr>
            <w:tcW w:w="2197" w:type="pct"/>
            <w:tcBorders>
              <w:top w:val="single" w:color="auto" w:sz="4" w:space="0"/>
              <w:left w:val="single" w:color="auto" w:sz="4" w:space="0"/>
              <w:bottom w:val="single" w:color="auto" w:sz="4" w:space="0"/>
              <w:right w:val="single" w:color="auto" w:sz="4" w:space="0"/>
            </w:tcBorders>
            <w:vAlign w:val="top"/>
          </w:tcPr>
          <w:p w14:paraId="197FA2D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投标人根据项目具体的实施情况制定项目实施方案，主要考虑供货安装（人员劳动力、施工安装技术措施等）、验收方案、施工进度、质量、安全保证方案及措施和协同配合方案等： </w:t>
            </w:r>
          </w:p>
          <w:p w14:paraId="3037DB2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①供货安装、验收等实施方案详尽，施工进度、质量、安全保证方案及措施和协同配合方案完整且符合项目实际情况的得5分；</w:t>
            </w:r>
          </w:p>
          <w:p w14:paraId="7DB40B7B">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②供货安装、验收等实施方案齐全，施工进度、质量、安全保证方案及措施和协同配合方案简单且符合实际情况的得4分；</w:t>
            </w:r>
          </w:p>
          <w:p w14:paraId="52CF231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③供货安装、验收内容简单，施工进度、质量、安全保证方案及措施和协同配合方案不缺项的得3分；</w:t>
            </w:r>
          </w:p>
          <w:p w14:paraId="13CBC4DC">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④未提供的不得分。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65"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right w:val="single" w:color="auto" w:sz="4" w:space="0"/>
            </w:tcBorders>
            <w:vAlign w:val="center"/>
          </w:tcPr>
          <w:p w14:paraId="0A70C3DE">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培训方案</w:t>
            </w:r>
          </w:p>
        </w:tc>
        <w:tc>
          <w:tcPr>
            <w:tcW w:w="2197" w:type="pct"/>
            <w:tcBorders>
              <w:top w:val="single" w:color="auto" w:sz="4" w:space="0"/>
              <w:left w:val="single" w:color="auto" w:sz="4" w:space="0"/>
              <w:right w:val="single" w:color="auto" w:sz="4" w:space="0"/>
            </w:tcBorders>
            <w:vAlign w:val="top"/>
          </w:tcPr>
          <w:p w14:paraId="6021974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根据投标人投标文件中提供的培训方案，包括培训计划及人员、时间、内容的培训方案等，由评标委员会根据上述内容进行综合评审： </w:t>
            </w:r>
          </w:p>
          <w:p w14:paraId="78C6C521">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（1）方案切合实际情况，各部分有深入的表述，培训方案合理、有具体切实可行的保障措施，培训内容丰富完整、切实可行，措施得力的得5分； </w:t>
            </w:r>
          </w:p>
          <w:p w14:paraId="17576F30">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（2）方案基本符合实际情况，内容完整、表述基本清晰，有保障措施，培训内容基本完整、满足日常使用及维护实用性，方案基本符合项目要求的得4分； </w:t>
            </w:r>
          </w:p>
          <w:p w14:paraId="534C6757">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（3）方案基本满足项目要求，内容简单、基本完整，考虑了一定的保障措施，保障措施及培训方案出现非专门针对本项目特性内容的得3分；</w:t>
            </w:r>
          </w:p>
          <w:p w14:paraId="6B1CED92">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 xml:space="preserve">（4）未提供的不得分。 </w:t>
            </w:r>
          </w:p>
        </w:tc>
        <w:tc>
          <w:tcPr>
            <w:tcW w:w="928"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50"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0"/>
    </w:p>
    <w:p w14:paraId="481E7F4D">
      <w:pPr>
        <w:pStyle w:val="9"/>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9"/>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9"/>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9"/>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9"/>
        <w:rPr>
          <w:rFonts w:hint="eastAsia" w:ascii="宋体" w:hAnsi="宋体" w:eastAsia="宋体" w:cs="宋体"/>
          <w:b/>
          <w:bCs/>
          <w:color w:val="auto"/>
          <w:spacing w:val="-20"/>
          <w:kern w:val="44"/>
          <w:sz w:val="24"/>
          <w:szCs w:val="24"/>
          <w:highlight w:val="none"/>
        </w:rPr>
      </w:pPr>
    </w:p>
    <w:p w14:paraId="1DCC0BE9">
      <w:pPr>
        <w:pStyle w:val="9"/>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9"/>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71762C8E">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滁州市实验中学计算机化考试标准化考场建设采购项目</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pgSz w:w="11905" w:h="16838"/>
          <w:pgMar w:top="1440" w:right="1417" w:bottom="1440" w:left="1417"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1" w:name="_Toc22209"/>
      <w:r>
        <w:rPr>
          <w:rFonts w:hint="eastAsia" w:cs="@仿宋_GB2312" w:asciiTheme="minorEastAsia" w:hAnsiTheme="minorEastAsia" w:eastAsiaTheme="minorEastAsia"/>
          <w:b/>
          <w:color w:val="auto"/>
          <w:sz w:val="24"/>
          <w:szCs w:val="20"/>
          <w:highlight w:val="none"/>
        </w:rPr>
        <w:t>第一节 政府采购合同协议书</w:t>
      </w:r>
      <w:bookmarkEnd w:id="51"/>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1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滁州市实验中学计算机化考试标准化考场建设采购项目</w:t>
      </w:r>
    </w:p>
    <w:p w14:paraId="54CE0EFE">
      <w:pPr>
        <w:pStyle w:val="1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10"/>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E2884D3">
      <w:pPr>
        <w:pStyle w:val="6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06B9363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6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6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7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val="0"/>
          <w:color w:val="auto"/>
          <w:sz w:val="24"/>
          <w:highlight w:val="none"/>
          <w:u w:val="single"/>
          <w:lang w:val="en-US" w:eastAsia="zh-CN"/>
        </w:rPr>
        <w:t>运行</w:t>
      </w:r>
      <w:r>
        <w:rPr>
          <w:rFonts w:hint="eastAsia" w:ascii="宋体" w:hAnsi="宋体" w:eastAsia="宋体"/>
          <w:b w:val="0"/>
          <w:color w:val="auto"/>
          <w:sz w:val="24"/>
          <w:highlight w:val="none"/>
          <w:u w:val="single"/>
        </w:rPr>
        <w:t>完毕并由采购人验收合格后，一次性付清结算价款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B9A659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收取履约保证金形式：</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转账/电汇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 xml:space="preserve">支票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汇票</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 xml:space="preserve">本票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保</w:t>
      </w:r>
      <w:r>
        <w:rPr>
          <w:rFonts w:hint="eastAsia" w:ascii="宋体" w:hAnsi="宋体" w:eastAsia="宋体" w:cs="宋体"/>
          <w:color w:val="auto"/>
          <w:kern w:val="0"/>
          <w:sz w:val="24"/>
          <w:szCs w:val="24"/>
          <w:highlight w:val="none"/>
          <w:u w:val="single"/>
          <w:lang w:val="en-US" w:eastAsia="zh-CN" w:bidi="ar-SA"/>
        </w:rPr>
        <w:t xml:space="preserve">险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保</w:t>
      </w:r>
      <w:r>
        <w:rPr>
          <w:rFonts w:hint="default" w:ascii="宋体" w:hAnsi="宋体" w:eastAsia="宋体" w:cs="宋体"/>
          <w:color w:val="auto"/>
          <w:kern w:val="0"/>
          <w:sz w:val="24"/>
          <w:szCs w:val="24"/>
          <w:highlight w:val="none"/>
          <w:u w:val="single"/>
          <w:lang w:val="en-US" w:eastAsia="zh-CN" w:bidi="ar-SA"/>
        </w:rPr>
        <w:t>函</w:t>
      </w:r>
    </w:p>
    <w:p w14:paraId="7276231C">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合同价的 </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21431EF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6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7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10"/>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2"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2"/>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auto"/>
          <w:sz w:val="24"/>
          <w:szCs w:val="24"/>
          <w:highlight w:val="none"/>
        </w:rPr>
        <w:t>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rPr>
        <w:t>定的</w:t>
      </w:r>
      <w:r>
        <w:rPr>
          <w:rFonts w:hint="eastAsia" w:ascii="宋体" w:hAnsi="宋体" w:eastAsia="宋体" w:cs="宋体"/>
          <w:color w:val="auto"/>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highlight w:val="none"/>
        </w:rPr>
        <w:t>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53"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3"/>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highlight w:val="none"/>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6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4"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4"/>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6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29092542">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55" w:name="_Toc22492"/>
      <w:r>
        <w:rPr>
          <w:rFonts w:hint="eastAsia" w:asciiTheme="minorEastAsia" w:hAnsiTheme="minorEastAsia" w:eastAsiaTheme="minorEastAsia"/>
          <w:b/>
          <w:color w:val="auto"/>
          <w:sz w:val="28"/>
          <w:highlight w:val="none"/>
        </w:rPr>
        <w:t>第六章  投标文件格式</w:t>
      </w:r>
      <w:bookmarkEnd w:id="55"/>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6" w:name="_Toc651"/>
      <w:r>
        <w:rPr>
          <w:rFonts w:hint="eastAsia" w:asciiTheme="minorEastAsia" w:hAnsiTheme="minorEastAsia" w:eastAsiaTheme="minorEastAsia"/>
          <w:b/>
          <w:color w:val="auto"/>
          <w:sz w:val="72"/>
          <w:highlight w:val="none"/>
        </w:rPr>
        <w:t>投</w:t>
      </w:r>
      <w:bookmarkEnd w:id="56"/>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7" w:name="_Toc6148"/>
      <w:r>
        <w:rPr>
          <w:rFonts w:hint="eastAsia" w:asciiTheme="minorEastAsia" w:hAnsiTheme="minorEastAsia" w:eastAsiaTheme="minorEastAsia"/>
          <w:b/>
          <w:color w:val="auto"/>
          <w:sz w:val="72"/>
          <w:highlight w:val="none"/>
        </w:rPr>
        <w:t>标</w:t>
      </w:r>
      <w:bookmarkEnd w:id="57"/>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8" w:name="_Toc1338"/>
      <w:r>
        <w:rPr>
          <w:rFonts w:hint="eastAsia" w:asciiTheme="minorEastAsia" w:hAnsiTheme="minorEastAsia" w:eastAsiaTheme="minorEastAsia"/>
          <w:b/>
          <w:color w:val="auto"/>
          <w:sz w:val="72"/>
          <w:highlight w:val="none"/>
        </w:rPr>
        <w:t>文</w:t>
      </w:r>
      <w:bookmarkEnd w:id="58"/>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9" w:name="_Toc10796"/>
      <w:r>
        <w:rPr>
          <w:rFonts w:hint="eastAsia" w:asciiTheme="minorEastAsia" w:hAnsiTheme="minorEastAsia" w:eastAsiaTheme="minorEastAsia"/>
          <w:b/>
          <w:color w:val="auto"/>
          <w:sz w:val="72"/>
          <w:highlight w:val="none"/>
        </w:rPr>
        <w:t>件</w:t>
      </w:r>
      <w:bookmarkEnd w:id="59"/>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8037"/>
      <w:bookmarkStart w:id="61"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62" w:name="_Toc28960"/>
      <w:bookmarkStart w:id="63" w:name="_Toc5555"/>
      <w:r>
        <w:rPr>
          <w:rFonts w:hint="eastAsia" w:asciiTheme="minorEastAsia" w:hAnsiTheme="minorEastAsia" w:eastAsiaTheme="minorEastAsia"/>
          <w:b/>
          <w:color w:val="auto"/>
          <w:sz w:val="24"/>
          <w:highlight w:val="none"/>
        </w:rPr>
        <w:t>一、开标一览表</w:t>
      </w:r>
      <w:bookmarkEnd w:id="62"/>
      <w:bookmarkEnd w:id="63"/>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64" w:name="_Toc18010"/>
      <w:bookmarkStart w:id="65" w:name="_Toc6441"/>
      <w:r>
        <w:rPr>
          <w:rFonts w:hint="eastAsia" w:asciiTheme="minorEastAsia" w:hAnsiTheme="minorEastAsia" w:eastAsiaTheme="minorEastAsia"/>
          <w:b/>
          <w:color w:val="auto"/>
          <w:sz w:val="24"/>
          <w:highlight w:val="none"/>
        </w:rPr>
        <w:t>二、投标函</w:t>
      </w:r>
      <w:bookmarkEnd w:id="64"/>
      <w:bookmarkEnd w:id="65"/>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6" w:name="_Toc1328"/>
      <w:r>
        <w:rPr>
          <w:rFonts w:hint="eastAsia" w:asciiTheme="minorEastAsia" w:hAnsiTheme="minorEastAsia" w:eastAsiaTheme="minorEastAsia"/>
          <w:b/>
          <w:color w:val="auto"/>
          <w:sz w:val="24"/>
          <w:highlight w:val="none"/>
          <w:lang w:val="en-US" w:eastAsia="zh-CN"/>
        </w:rPr>
        <w:t>三．投标人资格声明书</w:t>
      </w:r>
      <w:bookmarkEnd w:id="66"/>
      <w:r>
        <w:rPr>
          <w:rFonts w:hint="eastAsia" w:asciiTheme="minorEastAsia" w:hAnsiTheme="minorEastAsia" w:eastAsiaTheme="minorEastAsia"/>
          <w:b/>
          <w:color w:val="auto"/>
          <w:sz w:val="24"/>
          <w:highlight w:val="none"/>
          <w:lang w:val="en-US" w:eastAsia="zh-CN"/>
        </w:rPr>
        <w:t xml:space="preserve"> </w:t>
      </w:r>
    </w:p>
    <w:p w14:paraId="71C42E2A">
      <w:pPr>
        <w:pStyle w:val="13"/>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9"/>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9"/>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9"/>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67"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8" w:name="_Toc16960"/>
      <w:r>
        <w:rPr>
          <w:rFonts w:hint="eastAsia" w:asciiTheme="minorEastAsia" w:hAnsiTheme="minorEastAsia" w:eastAsiaTheme="minorEastAsia"/>
          <w:b/>
          <w:color w:val="auto"/>
          <w:sz w:val="24"/>
          <w:highlight w:val="none"/>
        </w:rPr>
        <w:t>四、授权书</w:t>
      </w:r>
      <w:bookmarkEnd w:id="67"/>
      <w:bookmarkEnd w:id="68"/>
    </w:p>
    <w:p w14:paraId="08E8CC0E">
      <w:pPr>
        <w:pStyle w:val="12"/>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9" w:name="_Toc31991"/>
      <w:bookmarkStart w:id="70" w:name="_Toc6796"/>
      <w:r>
        <w:rPr>
          <w:rFonts w:hint="eastAsia" w:asciiTheme="minorEastAsia" w:hAnsiTheme="minorEastAsia" w:eastAsiaTheme="minorEastAsia"/>
          <w:b/>
          <w:color w:val="auto"/>
          <w:sz w:val="24"/>
          <w:highlight w:val="none"/>
        </w:rPr>
        <w:t>五、投标分项报价表</w:t>
      </w:r>
      <w:bookmarkEnd w:id="69"/>
      <w:bookmarkEnd w:id="70"/>
    </w:p>
    <w:p w14:paraId="7BFA8A4B">
      <w:pPr>
        <w:pStyle w:val="49"/>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2"/>
        <w:gridCol w:w="1434"/>
        <w:gridCol w:w="1434"/>
        <w:gridCol w:w="732"/>
        <w:gridCol w:w="732"/>
        <w:gridCol w:w="1024"/>
        <w:gridCol w:w="1024"/>
        <w:gridCol w:w="73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49"/>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9"/>
        <w:gridCol w:w="1850"/>
        <w:gridCol w:w="1707"/>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49"/>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8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eastAsia="zh-CN"/>
              </w:rPr>
            </w:pPr>
          </w:p>
          <w:p w14:paraId="218CB0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71" w:name="_Toc11940"/>
      <w:bookmarkStart w:id="72" w:name="_Toc20329"/>
      <w:r>
        <w:rPr>
          <w:rFonts w:hint="eastAsia" w:asciiTheme="minorEastAsia" w:hAnsiTheme="minorEastAsia" w:eastAsiaTheme="minorEastAsia"/>
          <w:b/>
          <w:color w:val="auto"/>
          <w:sz w:val="24"/>
          <w:highlight w:val="none"/>
        </w:rPr>
        <w:t>六、投标响应表</w:t>
      </w:r>
      <w:bookmarkEnd w:id="71"/>
      <w:bookmarkEnd w:id="72"/>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4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4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4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spacing w:line="360" w:lineRule="auto"/>
        <w:ind w:firstLine="435"/>
        <w:jc w:val="center"/>
        <w:rPr>
          <w:rFonts w:hint="eastAsia" w:asciiTheme="minorEastAsia" w:hAnsiTheme="minorEastAsia" w:eastAsiaTheme="minorEastAsia"/>
          <w:b/>
          <w:color w:val="auto"/>
          <w:sz w:val="24"/>
          <w:highlight w:val="none"/>
          <w:lang w:val="en-US" w:eastAsia="zh-CN"/>
        </w:rPr>
      </w:pPr>
      <w:bookmarkStart w:id="73" w:name="_Toc11380"/>
      <w:r>
        <w:rPr>
          <w:rFonts w:hint="eastAsia" w:asciiTheme="minorEastAsia" w:hAnsiTheme="minorEastAsia" w:eastAsiaTheme="minorEastAsia"/>
          <w:b/>
          <w:color w:val="auto"/>
          <w:sz w:val="24"/>
          <w:highlight w:val="none"/>
          <w:lang w:val="en-US" w:eastAsia="zh-CN"/>
        </w:rPr>
        <w:t>七、</w:t>
      </w:r>
      <w:bookmarkEnd w:id="73"/>
      <w:bookmarkStart w:id="74" w:name="_Toc31244"/>
      <w:bookmarkStart w:id="75" w:name="_Toc9573"/>
      <w:bookmarkStart w:id="76" w:name="OLE_LINK14"/>
      <w:bookmarkStart w:id="77" w:name="OLE_LINK13"/>
      <w:r>
        <w:rPr>
          <w:rFonts w:hint="eastAsia" w:asciiTheme="minorEastAsia" w:hAnsiTheme="minorEastAsia" w:eastAsiaTheme="minorEastAsia"/>
          <w:b/>
          <w:color w:val="auto"/>
          <w:sz w:val="24"/>
          <w:highlight w:val="none"/>
          <w:lang w:val="en-US" w:eastAsia="zh-CN"/>
        </w:rPr>
        <w:t>中小企业声明函</w:t>
      </w:r>
      <w:bookmarkEnd w:id="74"/>
      <w:bookmarkEnd w:id="75"/>
    </w:p>
    <w:p w14:paraId="745ACDA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6"/>
      <w:bookmarkEnd w:id="77"/>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8" w:name="_Toc16713"/>
      <w:bookmarkStart w:id="79" w:name="_Toc24563"/>
      <w:r>
        <w:rPr>
          <w:rFonts w:hint="eastAsia" w:asciiTheme="minorEastAsia" w:hAnsiTheme="minorEastAsia" w:eastAsiaTheme="minorEastAsia"/>
          <w:b/>
          <w:color w:val="auto"/>
          <w:sz w:val="24"/>
          <w:highlight w:val="none"/>
          <w:lang w:val="en-US" w:eastAsia="zh-CN"/>
        </w:rPr>
        <w:t>八、残疾人福利性单位声明函</w:t>
      </w:r>
      <w:bookmarkEnd w:id="78"/>
      <w:bookmarkEnd w:id="79"/>
    </w:p>
    <w:p w14:paraId="1BDECF4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80" w:name="_Toc300210382"/>
      <w:bookmarkStart w:id="81" w:name="_Toc457768004"/>
      <w:bookmarkStart w:id="82" w:name="_Toc520299348"/>
      <w:bookmarkStart w:id="83" w:name="_Toc25813"/>
      <w:bookmarkStart w:id="84" w:name="_Toc26536"/>
      <w:bookmarkStart w:id="85"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0C6E2B1">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C83651">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9A3F71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80"/>
      <w:bookmarkEnd w:id="81"/>
      <w:bookmarkEnd w:id="82"/>
      <w:r>
        <w:rPr>
          <w:rFonts w:hint="eastAsia" w:asciiTheme="minorEastAsia" w:hAnsiTheme="minorEastAsia" w:eastAsiaTheme="minorEastAsia"/>
          <w:b/>
          <w:color w:val="auto"/>
          <w:sz w:val="24"/>
          <w:highlight w:val="none"/>
          <w:lang w:val="en-US" w:eastAsia="zh-CN"/>
        </w:rPr>
        <w:t>诚信履约承诺函</w:t>
      </w:r>
      <w:bookmarkEnd w:id="83"/>
      <w:bookmarkEnd w:id="84"/>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5"/>
    <w:p w14:paraId="7393438E">
      <w:pPr>
        <w:spacing w:line="360" w:lineRule="auto"/>
        <w:jc w:val="center"/>
        <w:outlineLvl w:val="1"/>
        <w:rPr>
          <w:rFonts w:hint="eastAsia" w:ascii="宋体" w:hAnsi="宋体" w:eastAsia="宋体"/>
          <w:b/>
          <w:color w:val="auto"/>
          <w:sz w:val="24"/>
          <w:szCs w:val="24"/>
          <w:highlight w:val="none"/>
        </w:rPr>
      </w:pPr>
      <w:bookmarkStart w:id="86" w:name="_Toc2683"/>
      <w:bookmarkStart w:id="87" w:name="_Toc32633"/>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121F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57" w:name="_GoBack"/>
      <w:bookmarkEnd w:id="157"/>
    </w:p>
    <w:p w14:paraId="408EE5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十二、其他相关证明材料</w:t>
      </w:r>
      <w:bookmarkEnd w:id="86"/>
      <w:bookmarkEnd w:id="87"/>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8" w:name="_Toc6435"/>
      <w:bookmarkStart w:id="89"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8"/>
      <w:bookmarkEnd w:id="89"/>
    </w:p>
    <w:p w14:paraId="7A40B900">
      <w:pPr>
        <w:spacing w:line="360" w:lineRule="auto"/>
        <w:jc w:val="center"/>
        <w:outlineLvl w:val="1"/>
        <w:rPr>
          <w:rFonts w:ascii="仿宋" w:hAnsi="仿宋" w:eastAsia="仿宋" w:cs="仿宋"/>
          <w:b/>
          <w:bCs/>
          <w:color w:val="auto"/>
          <w:sz w:val="32"/>
          <w:szCs w:val="44"/>
          <w:highlight w:val="none"/>
        </w:rPr>
      </w:pPr>
      <w:bookmarkStart w:id="90" w:name="_Toc27489"/>
      <w:bookmarkStart w:id="91" w:name="_Toc27159"/>
      <w:r>
        <w:rPr>
          <w:rFonts w:hint="eastAsia" w:ascii="仿宋" w:hAnsi="仿宋" w:eastAsia="仿宋" w:cs="仿宋"/>
          <w:b/>
          <w:bCs/>
          <w:color w:val="auto"/>
          <w:sz w:val="32"/>
          <w:szCs w:val="44"/>
          <w:highlight w:val="none"/>
        </w:rPr>
        <w:t>询问函范本</w:t>
      </w:r>
      <w:bookmarkEnd w:id="90"/>
      <w:bookmarkEnd w:id="91"/>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2" w:name="_Toc13899"/>
      <w:r>
        <w:rPr>
          <w:rFonts w:hint="eastAsia" w:cs="仿宋" w:asciiTheme="minorEastAsia" w:hAnsiTheme="minorEastAsia" w:eastAsiaTheme="minorEastAsia"/>
          <w:color w:val="auto"/>
          <w:sz w:val="24"/>
          <w:szCs w:val="24"/>
          <w:highlight w:val="none"/>
        </w:rPr>
        <w:t>一、(事项一)</w:t>
      </w:r>
      <w:bookmarkEnd w:id="92"/>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3" w:name="_Toc3352"/>
      <w:r>
        <w:rPr>
          <w:rFonts w:hint="eastAsia" w:cs="仿宋" w:asciiTheme="minorEastAsia" w:hAnsiTheme="minorEastAsia" w:eastAsiaTheme="minorEastAsia"/>
          <w:color w:val="auto"/>
          <w:sz w:val="24"/>
          <w:szCs w:val="24"/>
          <w:highlight w:val="none"/>
        </w:rPr>
        <w:t>二、(事项二)</w:t>
      </w:r>
      <w:bookmarkEnd w:id="93"/>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94" w:name="_Toc3245"/>
      <w:bookmarkStart w:id="95" w:name="_Toc1575"/>
      <w:r>
        <w:rPr>
          <w:rFonts w:hint="eastAsia" w:ascii="仿宋" w:hAnsi="仿宋" w:eastAsia="仿宋" w:cs="仿宋"/>
          <w:b/>
          <w:bCs/>
          <w:color w:val="auto"/>
          <w:sz w:val="32"/>
          <w:szCs w:val="44"/>
          <w:highlight w:val="none"/>
        </w:rPr>
        <w:t>质疑函范本</w:t>
      </w:r>
      <w:bookmarkEnd w:id="94"/>
      <w:bookmarkEnd w:id="95"/>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6" w:name="_Toc21381"/>
      <w:r>
        <w:rPr>
          <w:rFonts w:hint="eastAsia" w:cs="仿宋" w:asciiTheme="minorEastAsia" w:hAnsiTheme="minorEastAsia" w:eastAsiaTheme="minorEastAsia"/>
          <w:b/>
          <w:bCs/>
          <w:color w:val="auto"/>
          <w:sz w:val="24"/>
          <w:szCs w:val="24"/>
          <w:highlight w:val="none"/>
        </w:rPr>
        <w:t>一、质疑供应商基本信息</w:t>
      </w:r>
      <w:bookmarkEnd w:id="96"/>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7" w:name="_Toc28415"/>
      <w:r>
        <w:rPr>
          <w:rFonts w:hint="eastAsia" w:cs="仿宋" w:asciiTheme="minorEastAsia" w:hAnsiTheme="minorEastAsia" w:eastAsiaTheme="minorEastAsia"/>
          <w:b/>
          <w:bCs/>
          <w:color w:val="auto"/>
          <w:sz w:val="24"/>
          <w:szCs w:val="24"/>
          <w:highlight w:val="none"/>
        </w:rPr>
        <w:t>二、质疑项目基本情况</w:t>
      </w:r>
      <w:bookmarkEnd w:id="97"/>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8" w:name="_Toc19014"/>
      <w:r>
        <w:rPr>
          <w:rFonts w:hint="eastAsia" w:cs="仿宋" w:asciiTheme="minorEastAsia" w:hAnsiTheme="minorEastAsia" w:eastAsiaTheme="minorEastAsia"/>
          <w:b/>
          <w:bCs/>
          <w:color w:val="auto"/>
          <w:sz w:val="24"/>
          <w:szCs w:val="24"/>
          <w:highlight w:val="none"/>
        </w:rPr>
        <w:t>三、质疑事项具体内容</w:t>
      </w:r>
      <w:bookmarkEnd w:id="98"/>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9" w:name="_Toc17919"/>
      <w:r>
        <w:rPr>
          <w:rFonts w:hint="eastAsia" w:cs="仿宋" w:asciiTheme="minorEastAsia" w:hAnsiTheme="minorEastAsia" w:eastAsiaTheme="minorEastAsia"/>
          <w:b/>
          <w:bCs/>
          <w:color w:val="auto"/>
          <w:sz w:val="24"/>
          <w:szCs w:val="24"/>
          <w:highlight w:val="none"/>
        </w:rPr>
        <w:t>四、与质疑事项相关的质疑请求</w:t>
      </w:r>
      <w:bookmarkEnd w:id="99"/>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00" w:name="_Toc26836"/>
      <w:bookmarkStart w:id="101" w:name="_Toc9754"/>
      <w:r>
        <w:rPr>
          <w:rFonts w:hint="eastAsia" w:asciiTheme="minorEastAsia" w:hAnsiTheme="minorEastAsia" w:eastAsiaTheme="minorEastAsia"/>
          <w:b/>
          <w:color w:val="auto"/>
          <w:sz w:val="28"/>
          <w:szCs w:val="32"/>
          <w:highlight w:val="none"/>
        </w:rPr>
        <w:t>质疑函制作说明：</w:t>
      </w:r>
      <w:bookmarkEnd w:id="100"/>
      <w:bookmarkEnd w:id="101"/>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4BC0F47">
      <w:pPr>
        <w:spacing w:line="360" w:lineRule="auto"/>
        <w:ind w:firstLine="435"/>
        <w:rPr>
          <w:rFonts w:hint="eastAsia" w:asciiTheme="minorEastAsia" w:hAnsiTheme="minorEastAsia" w:eastAsiaTheme="minorEastAsia"/>
          <w:color w:val="auto"/>
          <w:sz w:val="24"/>
          <w:highlight w:val="none"/>
        </w:rPr>
        <w:sectPr>
          <w:headerReference r:id="rId7" w:type="default"/>
          <w:footerReference r:id="rId8" w:type="default"/>
          <w:pgSz w:w="11905" w:h="16838"/>
          <w:pgMar w:top="1440" w:right="1417" w:bottom="1440" w:left="1417" w:header="850" w:footer="992" w:gutter="0"/>
          <w:pgNumType w:fmt="decimal"/>
          <w:cols w:space="0" w:num="1"/>
          <w:rtlGutter w:val="0"/>
          <w:docGrid w:type="lines" w:linePitch="317" w:charSpace="0"/>
        </w:sect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102" w:name="OLE_LINK103"/>
      <w:bookmarkStart w:id="103" w:name="OLE_LINK92"/>
      <w:bookmarkStart w:id="104" w:name="OLE_LINK93"/>
      <w:bookmarkStart w:id="105" w:name="OLE_LINK91"/>
      <w:r>
        <w:rPr>
          <w:rFonts w:hint="eastAsia" w:ascii="仿宋_GB2312" w:hAnsi="宋体" w:eastAsia="仿宋_GB2312" w:cs="Times New Roman"/>
          <w:color w:val="auto"/>
          <w:sz w:val="28"/>
          <w:szCs w:val="28"/>
          <w:highlight w:val="none"/>
        </w:rPr>
        <w:t>投标人、法定代表人及其项目经理(建造师)</w:t>
      </w:r>
      <w:bookmarkEnd w:id="102"/>
      <w:bookmarkEnd w:id="103"/>
      <w:bookmarkEnd w:id="104"/>
      <w:bookmarkEnd w:id="105"/>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06" w:name="OLE_LINK87"/>
      <w:bookmarkStart w:id="107" w:name="OLE_LINK86"/>
      <w:bookmarkStart w:id="108" w:name="OLE_LINK119"/>
      <w:bookmarkStart w:id="109" w:name="OLE_LINK94"/>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110" w:name="OLE_LINK116"/>
      <w:bookmarkStart w:id="111" w:name="OLE_LINK118"/>
      <w:bookmarkStart w:id="112" w:name="OLE_LINK115"/>
      <w:bookmarkStart w:id="113" w:name="OLE_LINK117"/>
      <w:r>
        <w:rPr>
          <w:rFonts w:hint="eastAsia" w:ascii="仿宋_GB2312" w:hAnsi="宋体" w:eastAsia="仿宋_GB2312" w:cs="Times New Roman"/>
          <w:color w:val="auto"/>
          <w:sz w:val="28"/>
          <w:szCs w:val="28"/>
          <w:highlight w:val="none"/>
        </w:rPr>
        <w:t>“重大税收违法失信主体”</w:t>
      </w:r>
      <w:bookmarkEnd w:id="110"/>
      <w:bookmarkEnd w:id="111"/>
      <w:bookmarkEnd w:id="112"/>
      <w:bookmarkEnd w:id="113"/>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114" w:name="OLE_LINK84"/>
      <w:bookmarkStart w:id="115" w:name="OLE_LINK85"/>
      <w:r>
        <w:rPr>
          <w:rFonts w:hint="eastAsia" w:ascii="仿宋_GB2312" w:hAnsi="宋体" w:eastAsia="仿宋_GB2312" w:cs="Times New Roman"/>
          <w:color w:val="auto"/>
          <w:sz w:val="28"/>
          <w:szCs w:val="28"/>
          <w:highlight w:val="none"/>
        </w:rPr>
        <w:t>农民工工资失信联合惩戒对象</w:t>
      </w:r>
      <w:bookmarkEnd w:id="114"/>
      <w:bookmarkEnd w:id="115"/>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106"/>
    <w:bookmarkEnd w:id="107"/>
    <w:bookmarkEnd w:id="108"/>
    <w:bookmarkEnd w:id="109"/>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116" w:name="OLE_LINK130"/>
      <w:r>
        <w:rPr>
          <w:rFonts w:hint="eastAsia" w:ascii="仿宋_GB2312" w:hAnsi="宋体" w:eastAsia="仿宋_GB2312" w:cs="Times New Roman"/>
          <w:color w:val="auto"/>
          <w:sz w:val="28"/>
          <w:szCs w:val="28"/>
          <w:highlight w:val="none"/>
        </w:rPr>
        <w:t>国家企业信用信息公示系统网站</w:t>
      </w:r>
      <w:bookmarkEnd w:id="116"/>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17" w:name="OLE_LINK90"/>
      <w:bookmarkStart w:id="118" w:name="OLE_LINK89"/>
      <w:r>
        <w:rPr>
          <w:rStyle w:val="33"/>
          <w:rFonts w:hint="eastAsia" w:ascii="仿宋_GB2312" w:hAnsi="宋体" w:eastAsia="仿宋_GB2312" w:cs="Times New Roman"/>
          <w:color w:val="auto"/>
          <w:sz w:val="28"/>
          <w:szCs w:val="28"/>
          <w:highlight w:val="none"/>
        </w:rPr>
        <w:t>www.gsxt.gov.cn</w:t>
      </w:r>
      <w:bookmarkEnd w:id="117"/>
      <w:bookmarkEnd w:id="118"/>
      <w:r>
        <w:rPr>
          <w:rStyle w:val="33"/>
          <w:rFonts w:hint="eastAsia" w:ascii="仿宋_GB2312" w:hAnsi="宋体" w:eastAsia="仿宋_GB2312" w:cs="Times New Roman"/>
          <w:color w:val="auto"/>
          <w:sz w:val="28"/>
          <w:szCs w:val="28"/>
          <w:highlight w:val="none"/>
        </w:rPr>
        <w:t>）</w:t>
      </w:r>
      <w:r>
        <w:rPr>
          <w:rStyle w:val="33"/>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19" w:name="OLE_LINK122"/>
      <w:bookmarkStart w:id="120" w:name="OLE_LINK120"/>
      <w:bookmarkStart w:id="121" w:name="OLE_LINK121"/>
      <w:r>
        <w:rPr>
          <w:rFonts w:hint="eastAsia" w:ascii="仿宋_GB2312" w:hAnsi="宋体" w:eastAsia="仿宋_GB2312" w:cs="Times New Roman"/>
          <w:color w:val="auto"/>
          <w:sz w:val="28"/>
          <w:szCs w:val="28"/>
          <w:highlight w:val="none"/>
        </w:rPr>
        <w:t>①</w:t>
      </w:r>
      <w:bookmarkStart w:id="122" w:name="OLE_LINK114"/>
      <w:bookmarkStart w:id="123" w:name="OLE_LINK113"/>
      <w:r>
        <w:rPr>
          <w:rFonts w:hint="eastAsia" w:ascii="仿宋_GB2312" w:hAnsi="宋体" w:eastAsia="仿宋_GB2312" w:cs="Times New Roman"/>
          <w:color w:val="auto"/>
          <w:sz w:val="28"/>
          <w:szCs w:val="28"/>
          <w:highlight w:val="none"/>
        </w:rPr>
        <w:t>被列入“经营异常名录”或者“严重违法失信名单”的</w:t>
      </w:r>
      <w:bookmarkEnd w:id="122"/>
      <w:bookmarkEnd w:id="123"/>
      <w:r>
        <w:rPr>
          <w:rFonts w:hint="eastAsia" w:ascii="仿宋_GB2312" w:hAnsi="宋体" w:eastAsia="仿宋_GB2312" w:cs="Times New Roman"/>
          <w:color w:val="auto"/>
          <w:sz w:val="28"/>
          <w:szCs w:val="28"/>
          <w:highlight w:val="none"/>
        </w:rPr>
        <w:t>。</w:t>
      </w:r>
      <w:bookmarkEnd w:id="119"/>
      <w:bookmarkEnd w:id="120"/>
      <w:bookmarkEnd w:id="121"/>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24" w:name="OLE_LINK123"/>
      <w:bookmarkStart w:id="125"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126" w:name="OLE_LINK108"/>
      <w:bookmarkStart w:id="127"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126"/>
      <w:bookmarkEnd w:id="127"/>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4"/>
    <w:bookmarkEnd w:id="125"/>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28" w:name="OLE_LINK101"/>
      <w:bookmarkStart w:id="129" w:name="OLE_LINK100"/>
      <w:bookmarkStart w:id="130" w:name="OLE_LINK102"/>
      <w:r>
        <w:rPr>
          <w:rFonts w:hint="eastAsia" w:ascii="仿宋_GB2312" w:hAnsi="宋体" w:eastAsia="仿宋_GB2312" w:cs="Times New Roman"/>
          <w:color w:val="auto"/>
          <w:sz w:val="28"/>
          <w:szCs w:val="28"/>
          <w:highlight w:val="none"/>
        </w:rPr>
        <w:t>被列入“经营异常名录”或者“严重违法失信名单”的</w:t>
      </w:r>
      <w:bookmarkEnd w:id="128"/>
      <w:bookmarkEnd w:id="129"/>
      <w:bookmarkEnd w:id="130"/>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31" w:name="OLE_LINK96"/>
      <w:bookmarkStart w:id="132"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31"/>
      <w:bookmarkEnd w:id="132"/>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33" w:name="OLE_LINK105"/>
      <w:bookmarkStart w:id="134" w:name="OLE_LINK106"/>
      <w:bookmarkStart w:id="135" w:name="OLE_LINK104"/>
      <w:r>
        <w:rPr>
          <w:rFonts w:hint="eastAsia" w:ascii="仿宋_GB2312" w:hAnsi="宋体" w:eastAsia="仿宋_GB2312" w:cs="Times New Roman"/>
          <w:color w:val="auto"/>
          <w:sz w:val="28"/>
          <w:szCs w:val="28"/>
          <w:highlight w:val="none"/>
        </w:rPr>
        <w:t>被列入“政府采购严重违法失信行为信息记录”的</w:t>
      </w:r>
      <w:bookmarkEnd w:id="133"/>
      <w:bookmarkEnd w:id="134"/>
      <w:bookmarkEnd w:id="135"/>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136" w:name="_Toc95223549"/>
      <w:bookmarkStart w:id="137" w:name="OLE_LINK32"/>
      <w:bookmarkStart w:id="138" w:name="OLE_LINK41"/>
      <w:bookmarkStart w:id="139" w:name="OLE_LINK31"/>
      <w:r>
        <w:rPr>
          <w:rFonts w:hint="eastAsia" w:ascii="黑体" w:hAnsi="黑体" w:eastAsia="黑体" w:cs="Times New Roman"/>
          <w:b/>
          <w:bCs/>
          <w:color w:val="auto"/>
          <w:kern w:val="44"/>
          <w:sz w:val="36"/>
          <w:szCs w:val="28"/>
          <w:highlight w:val="none"/>
        </w:rPr>
        <w:t xml:space="preserve">附件2 </w:t>
      </w:r>
      <w:bookmarkStart w:id="140" w:name="OLE_LINK75"/>
      <w:bookmarkStart w:id="141" w:name="OLE_LINK74"/>
      <w:r>
        <w:rPr>
          <w:rFonts w:hint="eastAsia" w:ascii="黑体" w:hAnsi="黑体" w:eastAsia="黑体" w:cs="Times New Roman"/>
          <w:b/>
          <w:bCs/>
          <w:color w:val="auto"/>
          <w:kern w:val="44"/>
          <w:sz w:val="36"/>
          <w:szCs w:val="28"/>
          <w:highlight w:val="none"/>
        </w:rPr>
        <w:t>“信用中国”查询的严重失信行为</w:t>
      </w:r>
      <w:bookmarkStart w:id="142" w:name="OLE_LINK40"/>
      <w:bookmarkStart w:id="143" w:name="OLE_LINK76"/>
      <w:bookmarkStart w:id="144" w:name="OLE_LINK39"/>
      <w:bookmarkStart w:id="145" w:name="OLE_LINK38"/>
      <w:r>
        <w:rPr>
          <w:rFonts w:hint="eastAsia" w:ascii="黑体" w:hAnsi="黑体" w:eastAsia="黑体" w:cs="Times New Roman"/>
          <w:b/>
          <w:bCs/>
          <w:color w:val="auto"/>
          <w:kern w:val="44"/>
          <w:sz w:val="36"/>
          <w:szCs w:val="28"/>
          <w:highlight w:val="none"/>
        </w:rPr>
        <w:t>类别及判定依据</w:t>
      </w:r>
      <w:bookmarkEnd w:id="136"/>
      <w:bookmarkEnd w:id="140"/>
      <w:bookmarkEnd w:id="141"/>
      <w:bookmarkEnd w:id="142"/>
      <w:bookmarkEnd w:id="143"/>
      <w:bookmarkEnd w:id="144"/>
      <w:bookmarkEnd w:id="145"/>
    </w:p>
    <w:bookmarkEnd w:id="137"/>
    <w:bookmarkEnd w:id="138"/>
    <w:bookmarkEnd w:id="139"/>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46" w:name="OLE_LINK10"/>
      <w:bookmarkStart w:id="147" w:name="OLE_LINK9"/>
      <w:bookmarkStart w:id="148"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46"/>
      <w:bookmarkEnd w:id="147"/>
      <w:bookmarkEnd w:id="148"/>
      <w:r>
        <w:rPr>
          <w:rFonts w:hint="eastAsia" w:ascii="仿宋_GB2312" w:hAnsi="宋体" w:eastAsia="仿宋_GB2312" w:cs="Times New Roman"/>
          <w:b/>
          <w:color w:val="auto"/>
          <w:sz w:val="28"/>
          <w:szCs w:val="28"/>
          <w:highlight w:val="none"/>
        </w:rPr>
        <w:t>》、《</w:t>
      </w:r>
      <w:bookmarkStart w:id="149" w:name="OLE_LINK11"/>
      <w:bookmarkStart w:id="150" w:name="OLE_LINK12"/>
      <w:r>
        <w:rPr>
          <w:rFonts w:hint="eastAsia" w:ascii="仿宋_GB2312" w:hAnsi="宋体" w:eastAsia="仿宋_GB2312" w:cs="Times New Roman"/>
          <w:b/>
          <w:color w:val="auto"/>
          <w:sz w:val="28"/>
          <w:szCs w:val="28"/>
          <w:highlight w:val="none"/>
        </w:rPr>
        <w:t>企业环境信用评价办法（试行）</w:t>
      </w:r>
      <w:bookmarkEnd w:id="149"/>
      <w:bookmarkEnd w:id="150"/>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1" w:name="OLE_LINK15"/>
      <w:bookmarkStart w:id="152"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51"/>
      <w:bookmarkEnd w:id="152"/>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3" w:name="OLE_LINK18"/>
      <w:bookmarkStart w:id="154" w:name="OLE_LINK17"/>
      <w:r>
        <w:rPr>
          <w:rFonts w:hint="eastAsia" w:ascii="仿宋_GB2312" w:hAnsi="Calibri" w:eastAsia="仿宋_GB2312" w:cs="Times New Roman"/>
          <w:b/>
          <w:color w:val="auto"/>
          <w:sz w:val="28"/>
          <w:szCs w:val="28"/>
          <w:highlight w:val="none"/>
        </w:rPr>
        <w:t>建筑市场信用管理暂行办法</w:t>
      </w:r>
      <w:bookmarkEnd w:id="153"/>
      <w:bookmarkEnd w:id="154"/>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55" w:name="OLE_LINK19"/>
      <w:bookmarkStart w:id="156" w:name="OLE_LINK20"/>
      <w:r>
        <w:rPr>
          <w:rFonts w:hint="eastAsia" w:ascii="仿宋_GB2312" w:hAnsi="宋体" w:eastAsia="仿宋_GB2312" w:cs="Times New Roman"/>
          <w:b/>
          <w:color w:val="auto"/>
          <w:sz w:val="28"/>
          <w:szCs w:val="28"/>
          <w:highlight w:val="none"/>
        </w:rPr>
        <w:t>政府采购严重失信行为</w:t>
      </w:r>
      <w:bookmarkEnd w:id="155"/>
      <w:bookmarkEnd w:id="156"/>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144B8A">
      <w:pPr>
        <w:spacing w:line="360" w:lineRule="auto"/>
        <w:ind w:firstLine="435"/>
        <w:rPr>
          <w:rFonts w:hint="eastAsia" w:asciiTheme="minorEastAsia" w:hAnsiTheme="minorEastAsia" w:eastAsiaTheme="minorEastAsia"/>
          <w:color w:val="auto"/>
          <w:sz w:val="24"/>
          <w:highlight w:val="none"/>
        </w:rPr>
      </w:pPr>
    </w:p>
    <w:sectPr>
      <w:pgSz w:w="11905" w:h="16838"/>
      <w:pgMar w:top="1440" w:right="1417" w:bottom="1440" w:left="14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A04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AA04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52500">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952500">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6E2F6B"/>
    <w:rsid w:val="017B1BF9"/>
    <w:rsid w:val="01E93A1B"/>
    <w:rsid w:val="0214602E"/>
    <w:rsid w:val="02B81FC4"/>
    <w:rsid w:val="03486B27"/>
    <w:rsid w:val="040A094E"/>
    <w:rsid w:val="056F201D"/>
    <w:rsid w:val="05B664D4"/>
    <w:rsid w:val="064B485A"/>
    <w:rsid w:val="068C65C4"/>
    <w:rsid w:val="07076C01"/>
    <w:rsid w:val="071C12AC"/>
    <w:rsid w:val="07A934B3"/>
    <w:rsid w:val="07EB6287"/>
    <w:rsid w:val="0806421B"/>
    <w:rsid w:val="091268D2"/>
    <w:rsid w:val="0980799C"/>
    <w:rsid w:val="09944B8E"/>
    <w:rsid w:val="0A6A18DB"/>
    <w:rsid w:val="0A975B48"/>
    <w:rsid w:val="0AEF3828"/>
    <w:rsid w:val="0B406381"/>
    <w:rsid w:val="0BB452AA"/>
    <w:rsid w:val="0BBB665B"/>
    <w:rsid w:val="0D196DD0"/>
    <w:rsid w:val="0EEA6FC1"/>
    <w:rsid w:val="0F790928"/>
    <w:rsid w:val="10CD72BB"/>
    <w:rsid w:val="12197477"/>
    <w:rsid w:val="131B5CD3"/>
    <w:rsid w:val="13776448"/>
    <w:rsid w:val="13B50586"/>
    <w:rsid w:val="1466407E"/>
    <w:rsid w:val="146B333A"/>
    <w:rsid w:val="14834E28"/>
    <w:rsid w:val="148E7D65"/>
    <w:rsid w:val="15231BF9"/>
    <w:rsid w:val="15C4546D"/>
    <w:rsid w:val="1A064976"/>
    <w:rsid w:val="1A3B68AA"/>
    <w:rsid w:val="1A3E1C1E"/>
    <w:rsid w:val="1B6F4F40"/>
    <w:rsid w:val="1C141836"/>
    <w:rsid w:val="1C76537D"/>
    <w:rsid w:val="1D971D9B"/>
    <w:rsid w:val="1E6B6A14"/>
    <w:rsid w:val="20550D9A"/>
    <w:rsid w:val="218E2416"/>
    <w:rsid w:val="226915FE"/>
    <w:rsid w:val="229273EC"/>
    <w:rsid w:val="23BC656D"/>
    <w:rsid w:val="241804A5"/>
    <w:rsid w:val="24B97929"/>
    <w:rsid w:val="24D632D7"/>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36254B1"/>
    <w:rsid w:val="33FF1696"/>
    <w:rsid w:val="343C0775"/>
    <w:rsid w:val="356C50EC"/>
    <w:rsid w:val="36137E45"/>
    <w:rsid w:val="36376E0A"/>
    <w:rsid w:val="3700166C"/>
    <w:rsid w:val="379A1012"/>
    <w:rsid w:val="382344CB"/>
    <w:rsid w:val="38694EE9"/>
    <w:rsid w:val="3A6818FA"/>
    <w:rsid w:val="3A8521B0"/>
    <w:rsid w:val="3B365CC9"/>
    <w:rsid w:val="3B9A7B88"/>
    <w:rsid w:val="3C636521"/>
    <w:rsid w:val="3D2C7AC8"/>
    <w:rsid w:val="3D855D12"/>
    <w:rsid w:val="3D8B42FF"/>
    <w:rsid w:val="3DE86C4C"/>
    <w:rsid w:val="3DF36A6E"/>
    <w:rsid w:val="3EBA1EE9"/>
    <w:rsid w:val="3F514DCA"/>
    <w:rsid w:val="3F792F1E"/>
    <w:rsid w:val="40824826"/>
    <w:rsid w:val="40E63923"/>
    <w:rsid w:val="43A91E5B"/>
    <w:rsid w:val="43F16E48"/>
    <w:rsid w:val="449E0D39"/>
    <w:rsid w:val="45E32B26"/>
    <w:rsid w:val="463A3650"/>
    <w:rsid w:val="46461627"/>
    <w:rsid w:val="46826C09"/>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3AB6CD4"/>
    <w:rsid w:val="541A5D30"/>
    <w:rsid w:val="55C1559C"/>
    <w:rsid w:val="55F068CD"/>
    <w:rsid w:val="566C3136"/>
    <w:rsid w:val="568D04F2"/>
    <w:rsid w:val="585A4825"/>
    <w:rsid w:val="5A526582"/>
    <w:rsid w:val="5A5F5C77"/>
    <w:rsid w:val="5A711A0D"/>
    <w:rsid w:val="5B1613E4"/>
    <w:rsid w:val="5B78003B"/>
    <w:rsid w:val="5BC11A60"/>
    <w:rsid w:val="5C7A4D54"/>
    <w:rsid w:val="5CD23B73"/>
    <w:rsid w:val="5EC6209F"/>
    <w:rsid w:val="5F127819"/>
    <w:rsid w:val="60350ED3"/>
    <w:rsid w:val="60B72AEE"/>
    <w:rsid w:val="61025188"/>
    <w:rsid w:val="61057D5F"/>
    <w:rsid w:val="6126068F"/>
    <w:rsid w:val="614D4977"/>
    <w:rsid w:val="62FD1A73"/>
    <w:rsid w:val="63C60FC0"/>
    <w:rsid w:val="63FA4BC6"/>
    <w:rsid w:val="64BA3D7A"/>
    <w:rsid w:val="64F179BC"/>
    <w:rsid w:val="65114A86"/>
    <w:rsid w:val="65287095"/>
    <w:rsid w:val="662326FA"/>
    <w:rsid w:val="665704D3"/>
    <w:rsid w:val="67C065A4"/>
    <w:rsid w:val="67D359C9"/>
    <w:rsid w:val="68042537"/>
    <w:rsid w:val="68FE36DD"/>
    <w:rsid w:val="694E60FC"/>
    <w:rsid w:val="69DD7064"/>
    <w:rsid w:val="69E95A08"/>
    <w:rsid w:val="6A256904"/>
    <w:rsid w:val="6B656832"/>
    <w:rsid w:val="6C675CE6"/>
    <w:rsid w:val="6D4F4321"/>
    <w:rsid w:val="6DF41B82"/>
    <w:rsid w:val="6DFF7360"/>
    <w:rsid w:val="6E561E49"/>
    <w:rsid w:val="6E7A5F73"/>
    <w:rsid w:val="6E873A42"/>
    <w:rsid w:val="6EB87F35"/>
    <w:rsid w:val="6EE90F9D"/>
    <w:rsid w:val="6FD74228"/>
    <w:rsid w:val="7021106F"/>
    <w:rsid w:val="71633091"/>
    <w:rsid w:val="73081CA5"/>
    <w:rsid w:val="74201F7D"/>
    <w:rsid w:val="7487762D"/>
    <w:rsid w:val="74C33AA4"/>
    <w:rsid w:val="75210D7A"/>
    <w:rsid w:val="75385498"/>
    <w:rsid w:val="75F37776"/>
    <w:rsid w:val="76BC207F"/>
    <w:rsid w:val="76EB4904"/>
    <w:rsid w:val="76F23CED"/>
    <w:rsid w:val="77645DCD"/>
    <w:rsid w:val="777378F5"/>
    <w:rsid w:val="777A2D3C"/>
    <w:rsid w:val="78112CFA"/>
    <w:rsid w:val="78474930"/>
    <w:rsid w:val="79074B81"/>
    <w:rsid w:val="794F0939"/>
    <w:rsid w:val="79AF0FCA"/>
    <w:rsid w:val="7A8C48BA"/>
    <w:rsid w:val="7AF9279C"/>
    <w:rsid w:val="7CC51958"/>
    <w:rsid w:val="7CD53DF9"/>
    <w:rsid w:val="7D097C86"/>
    <w:rsid w:val="7E2936C3"/>
    <w:rsid w:val="7E6411B9"/>
    <w:rsid w:val="7ECE616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5"/>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5"/>
    <w:autoRedefine/>
    <w:qFormat/>
    <w:uiPriority w:val="99"/>
    <w:rPr>
      <w:rFonts w:ascii="宋体" w:hAnsi="Courier New" w:eastAsiaTheme="minorEastAsia" w:cstheme="minorBidi"/>
      <w:szCs w:val="22"/>
    </w:rPr>
  </w:style>
  <w:style w:type="paragraph" w:styleId="13">
    <w:name w:val="Date"/>
    <w:basedOn w:val="1"/>
    <w:next w:val="1"/>
    <w:link w:val="52"/>
    <w:autoRedefine/>
    <w:qFormat/>
    <w:uiPriority w:val="0"/>
    <w:rPr>
      <w:rFonts w:ascii="Arial" w:hAnsi="Arial" w:eastAsia="宋体" w:cs="Arial"/>
      <w:b/>
      <w:sz w:val="28"/>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8"/>
    <w:next w:val="8"/>
    <w:link w:val="66"/>
    <w:autoRedefine/>
    <w:semiHidden/>
    <w:unhideWhenUsed/>
    <w:qFormat/>
    <w:uiPriority w:val="99"/>
    <w:rPr>
      <w:rFonts w:ascii="@仿宋_GB2312" w:hAnsi="@仿宋_GB2312" w:eastAsia="@仿宋_GB2312" w:cs="@仿宋_GB2312"/>
      <w:b/>
      <w:bCs/>
    </w:rPr>
  </w:style>
  <w:style w:type="paragraph" w:styleId="22">
    <w:name w:val="Body Text First Indent"/>
    <w:basedOn w:val="9"/>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0"/>
    <w:rPr>
      <w:b/>
      <w:bCs/>
    </w:rPr>
  </w:style>
  <w:style w:type="character" w:styleId="29">
    <w:name w:val="HTML Definition"/>
    <w:basedOn w:val="25"/>
    <w:semiHidden/>
    <w:unhideWhenUsed/>
    <w:qFormat/>
    <w:uiPriority w:val="99"/>
    <w:rPr>
      <w:color w:val="BBBBBB"/>
    </w:rPr>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rPr>
      <w:bdr w:val="none" w:color="auto" w:sz="0" w:space="0"/>
    </w:rPr>
  </w:style>
  <w:style w:type="character" w:styleId="32">
    <w:name w:val="HTML Variable"/>
    <w:basedOn w:val="25"/>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character" w:customStyle="1" w:styleId="39">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5"/>
    <w:link w:val="16"/>
    <w:autoRedefine/>
    <w:qFormat/>
    <w:uiPriority w:val="99"/>
    <w:rPr>
      <w:rFonts w:ascii="@仿宋_GB2312" w:hAnsi="@仿宋_GB2312" w:eastAsia="@仿宋_GB2312" w:cs="@仿宋_GB2312"/>
      <w:sz w:val="18"/>
      <w:szCs w:val="18"/>
    </w:rPr>
  </w:style>
  <w:style w:type="character" w:customStyle="1" w:styleId="44">
    <w:name w:val="页脚 Char"/>
    <w:basedOn w:val="25"/>
    <w:link w:val="15"/>
    <w:autoRedefine/>
    <w:qFormat/>
    <w:uiPriority w:val="99"/>
    <w:rPr>
      <w:rFonts w:ascii="@仿宋_GB2312" w:hAnsi="@仿宋_GB2312" w:eastAsia="@仿宋_GB2312" w:cs="@仿宋_GB2312"/>
      <w:sz w:val="18"/>
      <w:szCs w:val="18"/>
    </w:rPr>
  </w:style>
  <w:style w:type="character" w:customStyle="1" w:styleId="45">
    <w:name w:val="纯文本 Char"/>
    <w:link w:val="12"/>
    <w:autoRedefine/>
    <w:qFormat/>
    <w:uiPriority w:val="0"/>
    <w:rPr>
      <w:rFonts w:ascii="宋体" w:hAnsi="Courier New"/>
    </w:rPr>
  </w:style>
  <w:style w:type="character" w:customStyle="1" w:styleId="46">
    <w:name w:val="纯文本 字符1"/>
    <w:basedOn w:val="25"/>
    <w:autoRedefine/>
    <w:semiHidden/>
    <w:qFormat/>
    <w:uiPriority w:val="99"/>
    <w:rPr>
      <w:rFonts w:hAnsi="Courier New" w:cs="Courier New" w:asciiTheme="minorEastAsia"/>
      <w:szCs w:val="20"/>
    </w:rPr>
  </w:style>
  <w:style w:type="character" w:customStyle="1" w:styleId="47">
    <w:name w:val="未处理的提及1"/>
    <w:basedOn w:val="25"/>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autoRedefine/>
    <w:semiHidden/>
    <w:qFormat/>
    <w:uiPriority w:val="99"/>
    <w:rPr>
      <w:rFonts w:ascii="@仿宋_GB2312" w:hAnsi="@仿宋_GB2312" w:eastAsia="@仿宋_GB2312" w:cs="@仿宋_GB2312"/>
      <w:szCs w:val="20"/>
    </w:rPr>
  </w:style>
  <w:style w:type="character" w:customStyle="1" w:styleId="52">
    <w:name w:val="日期 Char"/>
    <w:link w:val="13"/>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Char1"/>
    <w:link w:val="8"/>
    <w:autoRedefine/>
    <w:qFormat/>
    <w:uiPriority w:val="0"/>
    <w:rPr>
      <w:rFonts w:ascii="Arial" w:hAnsi="Arial" w:eastAsia="黑体" w:cs="Arial"/>
      <w:szCs w:val="20"/>
    </w:rPr>
  </w:style>
  <w:style w:type="character" w:customStyle="1" w:styleId="56">
    <w:name w:val="标题 1 Char"/>
    <w:basedOn w:val="25"/>
    <w:link w:val="3"/>
    <w:autoRedefine/>
    <w:qFormat/>
    <w:uiPriority w:val="9"/>
    <w:rPr>
      <w:rFonts w:ascii="@仿宋_GB2312" w:hAnsi="@仿宋_GB2312" w:eastAsia="@仿宋_GB2312" w:cs="@仿宋_GB2312"/>
      <w:b/>
      <w:bCs/>
      <w:kern w:val="44"/>
      <w:sz w:val="44"/>
      <w:szCs w:val="44"/>
    </w:rPr>
  </w:style>
  <w:style w:type="paragraph" w:customStyle="1" w:styleId="5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5"/>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Char1"/>
    <w:link w:val="6"/>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批注主题 Char"/>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 w:val="21"/>
      <w:szCs w:val="21"/>
      <w:lang w:val="en-US" w:eastAsia="en-US" w:bidi="ar-SA"/>
    </w:rPr>
  </w:style>
  <w:style w:type="paragraph" w:customStyle="1" w:styleId="6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列出段落1"/>
    <w:basedOn w:val="1"/>
    <w:autoRedefine/>
    <w:qFormat/>
    <w:uiPriority w:val="0"/>
    <w:pPr>
      <w:ind w:firstLine="420" w:firstLineChars="200"/>
    </w:pPr>
    <w:rPr>
      <w:szCs w:val="21"/>
    </w:rPr>
  </w:style>
  <w:style w:type="character" w:customStyle="1" w:styleId="71">
    <w:name w:val="first-child"/>
    <w:basedOn w:val="25"/>
    <w:qFormat/>
    <w:uiPriority w:val="0"/>
  </w:style>
  <w:style w:type="character" w:customStyle="1" w:styleId="72">
    <w:name w:val="layui-this"/>
    <w:basedOn w:val="25"/>
    <w:qFormat/>
    <w:uiPriority w:val="0"/>
    <w:rPr>
      <w:bdr w:val="single" w:color="EEEEEE" w:sz="6" w:space="0"/>
      <w:shd w:val="clear" w:fill="FFFFFF"/>
    </w:rPr>
  </w:style>
  <w:style w:type="character" w:customStyle="1" w:styleId="73">
    <w:name w:val="hover"/>
    <w:basedOn w:val="25"/>
    <w:uiPriority w:val="0"/>
    <w:rPr>
      <w:bdr w:val="none" w:color="AFD1EE" w:sz="0" w:space="0"/>
    </w:rPr>
  </w:style>
  <w:style w:type="character" w:customStyle="1" w:styleId="74">
    <w:name w:val="hover1"/>
    <w:basedOn w:val="25"/>
    <w:uiPriority w:val="0"/>
    <w:rPr>
      <w:color w:val="2590EB"/>
    </w:rPr>
  </w:style>
  <w:style w:type="character" w:customStyle="1" w:styleId="75">
    <w:name w:val="hover2"/>
    <w:basedOn w:val="25"/>
    <w:uiPriority w:val="0"/>
    <w:rPr>
      <w:color w:val="2590EB"/>
    </w:rPr>
  </w:style>
  <w:style w:type="character" w:customStyle="1" w:styleId="76">
    <w:name w:val="hover3"/>
    <w:basedOn w:val="25"/>
    <w:uiPriority w:val="0"/>
    <w:rPr>
      <w:color w:val="2590EB"/>
      <w:shd w:val="clear" w:fill="E9F4FD"/>
    </w:rPr>
  </w:style>
  <w:style w:type="character" w:customStyle="1" w:styleId="77">
    <w:name w:val="mini-outputtext1"/>
    <w:basedOn w:val="25"/>
    <w:uiPriority w:val="0"/>
  </w:style>
  <w:style w:type="character" w:customStyle="1" w:styleId="78">
    <w:name w:val="hover4"/>
    <w:basedOn w:val="25"/>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105</Pages>
  <Words>47266</Words>
  <Characters>51116</Characters>
  <Lines>244</Lines>
  <Paragraphs>68</Paragraphs>
  <TotalTime>0</TotalTime>
  <ScaleCrop>false</ScaleCrop>
  <LinksUpToDate>false</LinksUpToDate>
  <CharactersWithSpaces>55611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2019-12-07T15:18:00Z</cp:lastPrinted>
  <dcterms:modified xsi:type="dcterms:W3CDTF">2026-02-12T07:28:15Z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F5F2CE2F0DA4480BA0C4FD2C16B5D62E_13</vt:lpwstr>
  </property>
  <property fmtid="{D5CDD505-2E9C-101B-9397-08002B2CF9AE}" pid="4" name="KSOTemplateDocerSaveRecord">
    <vt:lpwstr>eyJoZGlkIjoiOTc5MDNjMmIyODczM2YwMGZkZTNjYWY1NjIxZTY5YjciLCJ1c2VySWQiOiI1MDM3MjkwOTMifQ==</vt:lpwstr>
  </property>
</Properties>
</file>