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57D945">
      <w:pPr>
        <w:pStyle w:val="12"/>
        <w:ind w:left="0" w:leftChars="0" w:firstLineChars="0"/>
        <w:jc w:val="center"/>
        <w:rPr>
          <w:rFonts w:hint="eastAsia" w:ascii="新宋体" w:hAnsi="新宋体" w:eastAsia="新宋体"/>
          <w:b/>
          <w:color w:val="auto"/>
          <w:sz w:val="44"/>
          <w:szCs w:val="44"/>
          <w:highlight w:val="none"/>
        </w:rPr>
      </w:pPr>
      <w:bookmarkStart w:id="0" w:name="OLE_LINK1"/>
    </w:p>
    <w:p w14:paraId="3F789C12">
      <w:pPr>
        <w:spacing w:before="156" w:beforeLines="50" w:after="156" w:afterLines="50"/>
        <w:ind w:left="-850" w:leftChars="-405" w:right="-625"/>
        <w:jc w:val="center"/>
        <w:rPr>
          <w:rFonts w:hint="eastAsia" w:ascii="新宋体" w:hAnsi="新宋体" w:eastAsia="新宋体"/>
          <w:b/>
          <w:color w:val="auto"/>
          <w:sz w:val="44"/>
          <w:szCs w:val="44"/>
          <w:highlight w:val="none"/>
          <w:lang w:eastAsia="zh-CN"/>
        </w:rPr>
      </w:pPr>
      <w:r>
        <w:rPr>
          <w:rFonts w:hint="eastAsia" w:ascii="新宋体" w:hAnsi="新宋体" w:eastAsia="新宋体"/>
          <w:b/>
          <w:color w:val="auto"/>
          <w:sz w:val="44"/>
          <w:szCs w:val="44"/>
          <w:highlight w:val="none"/>
          <w:lang w:eastAsia="zh-CN"/>
        </w:rPr>
        <w:t>滁州市扬子大道768号文创园经营服务项目</w:t>
      </w:r>
    </w:p>
    <w:p w14:paraId="1B605333">
      <w:pPr>
        <w:spacing w:before="156" w:beforeLines="50" w:after="156" w:afterLines="50"/>
        <w:ind w:left="-850" w:leftChars="-405" w:right="-625"/>
        <w:jc w:val="center"/>
        <w:rPr>
          <w:rFonts w:hint="eastAsia" w:ascii="新宋体" w:hAnsi="新宋体" w:eastAsia="新宋体"/>
          <w:b/>
          <w:color w:val="auto"/>
          <w:sz w:val="44"/>
          <w:szCs w:val="44"/>
          <w:highlight w:val="none"/>
          <w:lang w:eastAsia="zh-CN"/>
        </w:rPr>
      </w:pPr>
    </w:p>
    <w:p w14:paraId="51B61EA3">
      <w:pPr>
        <w:spacing w:before="156" w:beforeLines="50" w:after="156" w:afterLines="50"/>
        <w:ind w:left="-850" w:leftChars="-405" w:right="-625"/>
        <w:jc w:val="center"/>
        <w:rPr>
          <w:rFonts w:hint="eastAsia" w:ascii="宋体" w:hAnsi="宋体"/>
          <w:color w:val="auto"/>
          <w:sz w:val="40"/>
          <w:szCs w:val="36"/>
          <w:highlight w:val="none"/>
        </w:rPr>
      </w:pPr>
      <w:r>
        <w:rPr>
          <w:rFonts w:hint="eastAsia" w:ascii="宋体" w:hAnsi="宋体"/>
          <w:color w:val="auto"/>
          <w:sz w:val="40"/>
          <w:szCs w:val="36"/>
          <w:highlight w:val="none"/>
        </w:rPr>
        <w:t>（电子招标投标）</w:t>
      </w:r>
    </w:p>
    <w:p w14:paraId="33CCBE3D">
      <w:pPr>
        <w:pStyle w:val="12"/>
        <w:ind w:left="0" w:leftChars="0" w:firstLine="2880" w:firstLineChars="1200"/>
        <w:rPr>
          <w:rFonts w:hint="default" w:eastAsia="宋体"/>
          <w:color w:val="auto"/>
          <w:sz w:val="24"/>
          <w:highlight w:val="none"/>
          <w:lang w:val="en-US" w:eastAsia="zh-CN"/>
        </w:rPr>
      </w:pPr>
      <w:r>
        <w:rPr>
          <w:rFonts w:hint="eastAsia"/>
          <w:color w:val="auto"/>
          <w:sz w:val="24"/>
          <w:highlight w:val="none"/>
        </w:rPr>
        <w:t>项目编号：czsjqt202</w:t>
      </w:r>
      <w:r>
        <w:rPr>
          <w:rFonts w:hint="eastAsia"/>
          <w:color w:val="auto"/>
          <w:sz w:val="24"/>
          <w:highlight w:val="none"/>
          <w:lang w:val="en-US" w:eastAsia="zh-CN"/>
        </w:rPr>
        <w:t>602-007</w:t>
      </w:r>
    </w:p>
    <w:p w14:paraId="216F799A">
      <w:pPr>
        <w:pStyle w:val="52"/>
        <w:ind w:firstLine="0" w:firstLineChars="0"/>
        <w:rPr>
          <w:rFonts w:hint="eastAsia"/>
          <w:color w:val="auto"/>
          <w:highlight w:val="none"/>
        </w:rPr>
      </w:pPr>
    </w:p>
    <w:p w14:paraId="3AC38706">
      <w:pPr>
        <w:pStyle w:val="52"/>
        <w:ind w:firstLine="480"/>
        <w:rPr>
          <w:rFonts w:hint="eastAsia"/>
          <w:color w:val="auto"/>
          <w:highlight w:val="none"/>
        </w:rPr>
      </w:pPr>
    </w:p>
    <w:p w14:paraId="709B84C5">
      <w:pPr>
        <w:rPr>
          <w:rFonts w:hint="eastAsia" w:ascii="宋体"/>
          <w:bCs/>
          <w:color w:val="auto"/>
          <w:szCs w:val="21"/>
          <w:highlight w:val="none"/>
        </w:rPr>
      </w:pPr>
    </w:p>
    <w:p w14:paraId="1FEF534C">
      <w:pPr>
        <w:spacing w:line="312" w:lineRule="auto"/>
        <w:jc w:val="center"/>
        <w:rPr>
          <w:rFonts w:ascii="宋体" w:hAnsi="宋体"/>
          <w:b/>
          <w:color w:val="auto"/>
          <w:sz w:val="84"/>
          <w:szCs w:val="84"/>
          <w:highlight w:val="none"/>
        </w:rPr>
      </w:pPr>
      <w:r>
        <w:rPr>
          <w:rFonts w:hint="eastAsia" w:ascii="宋体" w:hAnsi="宋体"/>
          <w:b/>
          <w:color w:val="auto"/>
          <w:sz w:val="84"/>
          <w:szCs w:val="84"/>
          <w:highlight w:val="none"/>
        </w:rPr>
        <w:t>招 标 文 件</w:t>
      </w:r>
    </w:p>
    <w:p w14:paraId="0EE464DE">
      <w:pPr>
        <w:rPr>
          <w:rFonts w:hint="eastAsia" w:ascii="宋体"/>
          <w:bCs/>
          <w:color w:val="auto"/>
          <w:szCs w:val="21"/>
          <w:highlight w:val="none"/>
        </w:rPr>
      </w:pPr>
    </w:p>
    <w:p w14:paraId="45AA546C">
      <w:pPr>
        <w:rPr>
          <w:rFonts w:hint="eastAsia" w:ascii="宋体" w:hAnsi="宋体" w:eastAsia="宋体"/>
          <w:b/>
          <w:color w:val="auto"/>
          <w:sz w:val="84"/>
          <w:szCs w:val="84"/>
          <w:highlight w:val="none"/>
          <w:lang w:val="en-US" w:eastAsia="zh-CN"/>
        </w:rPr>
      </w:pPr>
      <w:r>
        <w:rPr>
          <w:rFonts w:hint="eastAsia" w:ascii="宋体" w:hAnsi="宋体"/>
          <w:b/>
          <w:color w:val="auto"/>
          <w:sz w:val="84"/>
          <w:szCs w:val="84"/>
          <w:highlight w:val="none"/>
          <w:lang w:val="en-US" w:eastAsia="zh-CN"/>
        </w:rPr>
        <w:t xml:space="preserve"> </w:t>
      </w:r>
    </w:p>
    <w:p w14:paraId="7B49D7DD">
      <w:pPr>
        <w:pStyle w:val="13"/>
        <w:ind w:left="420"/>
        <w:rPr>
          <w:rFonts w:hint="eastAsia"/>
          <w:color w:val="auto"/>
          <w:highlight w:val="none"/>
        </w:rPr>
      </w:pPr>
    </w:p>
    <w:p w14:paraId="1CBF342A">
      <w:pPr>
        <w:rPr>
          <w:rFonts w:hint="eastAsia"/>
          <w:color w:val="auto"/>
          <w:highlight w:val="none"/>
        </w:rPr>
      </w:pPr>
    </w:p>
    <w:p w14:paraId="1A5B88F5">
      <w:pPr>
        <w:pStyle w:val="12"/>
        <w:ind w:firstLine="400"/>
        <w:rPr>
          <w:rFonts w:hint="eastAsia"/>
          <w:color w:val="auto"/>
          <w:highlight w:val="none"/>
        </w:rPr>
      </w:pPr>
    </w:p>
    <w:p w14:paraId="19691AFF">
      <w:pPr>
        <w:spacing w:before="312" w:beforeLines="100" w:after="312" w:afterLines="100" w:line="360" w:lineRule="auto"/>
        <w:jc w:val="left"/>
        <w:rPr>
          <w:rFonts w:hint="eastAsia" w:ascii="宋体"/>
          <w:b/>
          <w:color w:val="auto"/>
          <w:sz w:val="32"/>
          <w:szCs w:val="32"/>
          <w:highlight w:val="none"/>
        </w:rPr>
      </w:pPr>
    </w:p>
    <w:p w14:paraId="6043E391">
      <w:pPr>
        <w:pStyle w:val="12"/>
        <w:rPr>
          <w:rFonts w:hint="eastAsia"/>
          <w:color w:val="auto"/>
          <w:highlight w:val="none"/>
        </w:rPr>
      </w:pPr>
    </w:p>
    <w:p w14:paraId="318B7911">
      <w:pPr>
        <w:keepNext w:val="0"/>
        <w:keepLines w:val="0"/>
        <w:pageBreakBefore w:val="0"/>
        <w:widowControl/>
        <w:kinsoku/>
        <w:wordWrap/>
        <w:overflowPunct/>
        <w:topLinePunct w:val="0"/>
        <w:autoSpaceDE/>
        <w:autoSpaceDN/>
        <w:bidi w:val="0"/>
        <w:adjustRightInd/>
        <w:snapToGrid/>
        <w:spacing w:before="157" w:beforeLines="50" w:after="157" w:afterLines="50" w:line="640" w:lineRule="exact"/>
        <w:ind w:firstLine="0" w:firstLineChars="0"/>
        <w:jc w:val="center"/>
        <w:textAlignment w:val="baseline"/>
        <w:rPr>
          <w:rFonts w:hint="eastAsia" w:ascii="宋体" w:hAnsi="宋体" w:cs="宋体"/>
          <w:b/>
          <w:bCs/>
          <w:color w:val="auto"/>
          <w:sz w:val="32"/>
          <w:szCs w:val="32"/>
          <w:highlight w:val="none"/>
        </w:rPr>
      </w:pPr>
      <w:r>
        <w:rPr>
          <w:rFonts w:hint="eastAsia" w:ascii="宋体"/>
          <w:b/>
          <w:color w:val="auto"/>
          <w:sz w:val="32"/>
          <w:szCs w:val="32"/>
          <w:highlight w:val="none"/>
        </w:rPr>
        <w:t>招标人：</w:t>
      </w:r>
      <w:r>
        <w:rPr>
          <w:rFonts w:hint="eastAsia" w:ascii="宋体" w:hAnsi="宋体" w:cs="宋体"/>
          <w:b/>
          <w:bCs/>
          <w:color w:val="auto"/>
          <w:sz w:val="32"/>
          <w:szCs w:val="32"/>
          <w:highlight w:val="none"/>
          <w:u w:val="single"/>
          <w:lang w:val="en-US" w:eastAsia="zh-CN"/>
        </w:rPr>
        <w:t xml:space="preserve">中国扬子集团有限公司 </w:t>
      </w:r>
      <w:r>
        <w:rPr>
          <w:rFonts w:hint="eastAsia" w:ascii="宋体" w:hAnsi="宋体" w:cs="宋体"/>
          <w:b/>
          <w:bCs/>
          <w:color w:val="auto"/>
          <w:sz w:val="32"/>
          <w:szCs w:val="32"/>
          <w:highlight w:val="none"/>
        </w:rPr>
        <w:t>（盖章）</w:t>
      </w:r>
    </w:p>
    <w:p w14:paraId="5BB4618C">
      <w:pPr>
        <w:spacing w:before="312" w:beforeLines="100" w:after="312" w:afterLines="100" w:line="480" w:lineRule="auto"/>
        <w:ind w:firstLine="964" w:firstLineChars="300"/>
        <w:rPr>
          <w:rFonts w:hint="eastAsia" w:ascii="宋体"/>
          <w:b/>
          <w:color w:val="auto"/>
          <w:sz w:val="32"/>
          <w:szCs w:val="32"/>
          <w:highlight w:val="none"/>
          <w:u w:val="single"/>
        </w:rPr>
      </w:pPr>
      <w:r>
        <w:rPr>
          <w:rFonts w:hint="eastAsia" w:ascii="宋体"/>
          <w:b/>
          <w:color w:val="auto"/>
          <w:sz w:val="32"/>
          <w:szCs w:val="32"/>
          <w:highlight w:val="none"/>
        </w:rPr>
        <w:t>代理机构：</w:t>
      </w:r>
      <w:r>
        <w:rPr>
          <w:rFonts w:hint="eastAsia" w:ascii="宋体"/>
          <w:b/>
          <w:color w:val="auto"/>
          <w:sz w:val="32"/>
          <w:szCs w:val="32"/>
          <w:highlight w:val="none"/>
          <w:u w:val="single"/>
        </w:rPr>
        <w:t>滁州市城投工程咨询管理有限公司</w:t>
      </w:r>
      <w:r>
        <w:rPr>
          <w:rFonts w:hint="eastAsia" w:ascii="宋体"/>
          <w:b/>
          <w:color w:val="auto"/>
          <w:sz w:val="32"/>
          <w:szCs w:val="32"/>
          <w:highlight w:val="none"/>
        </w:rPr>
        <w:t>（盖章）</w:t>
      </w:r>
    </w:p>
    <w:p w14:paraId="55E78F6C">
      <w:pPr>
        <w:spacing w:before="312" w:beforeLines="100" w:after="312" w:afterLines="100" w:line="480" w:lineRule="auto"/>
        <w:jc w:val="center"/>
        <w:rPr>
          <w:rFonts w:hint="eastAsia" w:ascii="宋体"/>
          <w:b/>
          <w:color w:val="auto"/>
          <w:sz w:val="32"/>
          <w:szCs w:val="32"/>
          <w:highlight w:val="none"/>
        </w:rPr>
      </w:pPr>
      <w:r>
        <w:rPr>
          <w:rFonts w:hint="eastAsia" w:ascii="宋体"/>
          <w:b/>
          <w:color w:val="auto"/>
          <w:sz w:val="32"/>
          <w:szCs w:val="32"/>
          <w:highlight w:val="none"/>
          <w:u w:val="single"/>
        </w:rPr>
        <w:t>202</w:t>
      </w:r>
      <w:r>
        <w:rPr>
          <w:rFonts w:hint="eastAsia" w:ascii="宋体"/>
          <w:b/>
          <w:color w:val="auto"/>
          <w:sz w:val="32"/>
          <w:szCs w:val="32"/>
          <w:highlight w:val="none"/>
          <w:u w:val="single"/>
          <w:lang w:val="en-US" w:eastAsia="zh-CN"/>
        </w:rPr>
        <w:t>6</w:t>
      </w:r>
      <w:r>
        <w:rPr>
          <w:rFonts w:hint="eastAsia" w:ascii="宋体"/>
          <w:b/>
          <w:color w:val="auto"/>
          <w:sz w:val="32"/>
          <w:szCs w:val="32"/>
          <w:highlight w:val="none"/>
        </w:rPr>
        <w:t>年</w:t>
      </w:r>
      <w:r>
        <w:rPr>
          <w:rFonts w:hint="eastAsia" w:ascii="宋体"/>
          <w:b/>
          <w:color w:val="auto"/>
          <w:sz w:val="32"/>
          <w:szCs w:val="32"/>
          <w:highlight w:val="none"/>
          <w:u w:val="single"/>
          <w:lang w:val="en-US" w:eastAsia="zh-CN"/>
        </w:rPr>
        <w:t>2</w:t>
      </w:r>
      <w:r>
        <w:rPr>
          <w:rFonts w:hint="eastAsia" w:ascii="宋体"/>
          <w:b/>
          <w:color w:val="auto"/>
          <w:sz w:val="32"/>
          <w:szCs w:val="32"/>
          <w:highlight w:val="none"/>
        </w:rPr>
        <w:t>月</w:t>
      </w:r>
    </w:p>
    <w:p w14:paraId="7C789B35">
      <w:pPr>
        <w:spacing w:line="360" w:lineRule="exact"/>
        <w:rPr>
          <w:rFonts w:hint="eastAsia"/>
          <w:b/>
          <w:color w:val="auto"/>
          <w:sz w:val="36"/>
          <w:highlight w:val="none"/>
        </w:rPr>
      </w:pPr>
    </w:p>
    <w:p w14:paraId="39F74082">
      <w:pPr>
        <w:pStyle w:val="13"/>
        <w:ind w:left="0" w:leftChars="0" w:firstLine="0" w:firstLineChars="0"/>
        <w:rPr>
          <w:rFonts w:hint="eastAsia"/>
          <w:color w:val="auto"/>
          <w:highlight w:val="none"/>
        </w:rPr>
      </w:pPr>
    </w:p>
    <w:p w14:paraId="4222952A">
      <w:pPr>
        <w:pStyle w:val="14"/>
        <w:rPr>
          <w:rFonts w:hint="eastAsia"/>
          <w:color w:val="auto"/>
          <w:highlight w:val="none"/>
        </w:rPr>
      </w:pPr>
    </w:p>
    <w:p w14:paraId="53F4FBFB">
      <w:pPr>
        <w:spacing w:line="360" w:lineRule="exact"/>
        <w:jc w:val="center"/>
        <w:rPr>
          <w:rFonts w:hint="eastAsia"/>
          <w:b/>
          <w:color w:val="auto"/>
          <w:sz w:val="36"/>
          <w:highlight w:val="none"/>
        </w:rPr>
      </w:pPr>
    </w:p>
    <w:p w14:paraId="75AEAB98">
      <w:pPr>
        <w:spacing w:line="360" w:lineRule="auto"/>
        <w:jc w:val="center"/>
        <w:rPr>
          <w:rFonts w:hint="eastAsia"/>
          <w:b/>
          <w:color w:val="auto"/>
          <w:sz w:val="44"/>
          <w:szCs w:val="32"/>
          <w:highlight w:val="none"/>
        </w:rPr>
      </w:pPr>
      <w:r>
        <w:rPr>
          <w:rFonts w:hint="eastAsia"/>
          <w:b/>
          <w:color w:val="auto"/>
          <w:sz w:val="44"/>
          <w:szCs w:val="32"/>
          <w:highlight w:val="none"/>
        </w:rPr>
        <w:t>目  录</w:t>
      </w:r>
    </w:p>
    <w:p w14:paraId="071BEA33">
      <w:pPr>
        <w:spacing w:line="720" w:lineRule="auto"/>
        <w:jc w:val="center"/>
        <w:rPr>
          <w:rFonts w:hint="eastAsia"/>
          <w:b/>
          <w:color w:val="auto"/>
          <w:sz w:val="36"/>
          <w:highlight w:val="none"/>
        </w:rPr>
      </w:pPr>
    </w:p>
    <w:p w14:paraId="7864DC8A">
      <w:pPr>
        <w:pStyle w:val="25"/>
        <w:tabs>
          <w:tab w:val="right" w:leader="dot" w:pos="9072"/>
        </w:tabs>
        <w:spacing w:line="700" w:lineRule="exact"/>
        <w:rPr>
          <w:rFonts w:hint="eastAsia" w:ascii="宋体" w:hAnsi="宋体" w:cs="宋体"/>
          <w:color w:val="auto"/>
          <w:sz w:val="30"/>
          <w:szCs w:val="30"/>
          <w:highlight w:val="none"/>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TOC \o "1-3" \h \z \u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_Toc17328 </w:instrText>
      </w:r>
      <w:r>
        <w:rPr>
          <w:rFonts w:hint="eastAsia" w:ascii="宋体" w:hAnsi="宋体" w:cs="宋体"/>
          <w:color w:val="auto"/>
          <w:sz w:val="30"/>
          <w:szCs w:val="30"/>
          <w:highlight w:val="none"/>
        </w:rPr>
        <w:fldChar w:fldCharType="separate"/>
      </w:r>
      <w:r>
        <w:rPr>
          <w:rFonts w:hint="eastAsia" w:ascii="宋体" w:hAnsi="宋体" w:cs="宋体"/>
          <w:bCs/>
          <w:color w:val="auto"/>
          <w:sz w:val="30"/>
          <w:szCs w:val="30"/>
          <w:highlight w:val="none"/>
        </w:rPr>
        <w:t>第一章 招标公告</w:t>
      </w:r>
      <w:r>
        <w:rPr>
          <w:rFonts w:hint="eastAsia" w:ascii="宋体" w:hAnsi="宋体" w:cs="宋体"/>
          <w:color w:val="auto"/>
          <w:sz w:val="30"/>
          <w:szCs w:val="30"/>
          <w:highlight w:val="none"/>
        </w:rPr>
        <w:tab/>
      </w:r>
      <w:r>
        <w:rPr>
          <w:rFonts w:hint="eastAsia" w:ascii="宋体" w:hAnsi="宋体" w:cs="宋体"/>
          <w:color w:val="auto"/>
          <w:sz w:val="30"/>
          <w:szCs w:val="30"/>
          <w:highlight w:val="none"/>
        </w:rPr>
        <w:t>1</w:t>
      </w:r>
      <w:r>
        <w:rPr>
          <w:rFonts w:hint="eastAsia" w:ascii="宋体" w:hAnsi="宋体" w:cs="宋体"/>
          <w:color w:val="auto"/>
          <w:sz w:val="30"/>
          <w:szCs w:val="30"/>
          <w:highlight w:val="none"/>
        </w:rPr>
        <w:fldChar w:fldCharType="end"/>
      </w:r>
    </w:p>
    <w:p w14:paraId="6A8F6AEB">
      <w:pPr>
        <w:pStyle w:val="25"/>
        <w:tabs>
          <w:tab w:val="right" w:leader="dot" w:pos="9072"/>
        </w:tabs>
        <w:spacing w:line="700" w:lineRule="exact"/>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_Toc20364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第二章 投标人须知</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1</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3</w:t>
      </w:r>
    </w:p>
    <w:p w14:paraId="66C872C9">
      <w:pPr>
        <w:pStyle w:val="25"/>
        <w:tabs>
          <w:tab w:val="right" w:leader="dot" w:pos="9072"/>
        </w:tabs>
        <w:spacing w:line="700" w:lineRule="exact"/>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_Toc28871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第三章 评标办法（综合评分法）</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3</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3</w:t>
      </w:r>
    </w:p>
    <w:p w14:paraId="143DD72E">
      <w:pPr>
        <w:pStyle w:val="25"/>
        <w:tabs>
          <w:tab w:val="right" w:leader="dot" w:pos="9072"/>
        </w:tabs>
        <w:spacing w:line="700" w:lineRule="exact"/>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_Toc28444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第四章 采购内容及</w:t>
      </w:r>
      <w:r>
        <w:rPr>
          <w:rFonts w:hint="eastAsia" w:ascii="宋体" w:hAnsi="宋体" w:cs="宋体"/>
          <w:color w:val="auto"/>
          <w:sz w:val="30"/>
          <w:szCs w:val="30"/>
          <w:highlight w:val="none"/>
          <w:lang w:val="en-US" w:eastAsia="zh-CN"/>
        </w:rPr>
        <w:t>服务</w:t>
      </w:r>
      <w:r>
        <w:rPr>
          <w:rFonts w:hint="eastAsia" w:ascii="宋体" w:hAnsi="宋体" w:cs="宋体"/>
          <w:color w:val="auto"/>
          <w:sz w:val="30"/>
          <w:szCs w:val="30"/>
          <w:highlight w:val="none"/>
        </w:rPr>
        <w:t>要求</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4</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2</w:t>
      </w:r>
    </w:p>
    <w:p w14:paraId="6069ED15">
      <w:pPr>
        <w:pStyle w:val="25"/>
        <w:tabs>
          <w:tab w:val="right" w:leader="dot" w:pos="9072"/>
        </w:tabs>
        <w:spacing w:line="700" w:lineRule="exact"/>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_Toc22340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第五章 合同条款及格式</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4</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5</w:t>
      </w:r>
    </w:p>
    <w:p w14:paraId="28AE326F">
      <w:pPr>
        <w:pStyle w:val="25"/>
        <w:tabs>
          <w:tab w:val="right" w:leader="dot" w:pos="9072"/>
        </w:tabs>
        <w:spacing w:line="700" w:lineRule="exact"/>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_Toc8628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第六章 投标文件格式</w:t>
      </w:r>
      <w:r>
        <w:rPr>
          <w:rFonts w:hint="eastAsia" w:ascii="宋体" w:hAnsi="宋体" w:cs="宋体"/>
          <w:color w:val="auto"/>
          <w:sz w:val="30"/>
          <w:szCs w:val="30"/>
          <w:highlight w:val="none"/>
        </w:rPr>
        <w:tab/>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56</w:t>
      </w:r>
    </w:p>
    <w:p w14:paraId="573110DE">
      <w:pPr>
        <w:pStyle w:val="25"/>
        <w:tabs>
          <w:tab w:val="right" w:leader="dot" w:pos="9072"/>
        </w:tabs>
        <w:spacing w:line="700" w:lineRule="exact"/>
        <w:rPr>
          <w:rFonts w:hint="eastAsia" w:ascii="宋体" w:hAnsi="宋体" w:eastAsia="宋体" w:cs="宋体"/>
          <w:color w:val="auto"/>
          <w:sz w:val="30"/>
          <w:szCs w:val="30"/>
          <w:highlight w:val="none"/>
          <w:lang w:val="en-US" w:eastAsia="zh-CN"/>
        </w:rPr>
      </w:pPr>
      <w:r>
        <w:rPr>
          <w:rFonts w:hint="eastAsia" w:ascii="宋体" w:hAnsi="宋体" w:cs="宋体"/>
          <w:color w:val="auto"/>
          <w:sz w:val="30"/>
          <w:szCs w:val="30"/>
          <w:highlight w:val="none"/>
        </w:rPr>
        <w:t xml:space="preserve">第七章 </w:t>
      </w:r>
      <w:r>
        <w:rPr>
          <w:rFonts w:hint="eastAsia" w:ascii="宋体" w:hAnsi="宋体" w:cs="宋体"/>
          <w:color w:val="auto"/>
          <w:sz w:val="30"/>
          <w:szCs w:val="30"/>
          <w:highlight w:val="none"/>
        </w:rPr>
        <w:fldChar w:fldCharType="begin"/>
      </w:r>
      <w:r>
        <w:rPr>
          <w:rFonts w:hint="eastAsia" w:ascii="宋体" w:hAnsi="宋体" w:cs="宋体"/>
          <w:color w:val="auto"/>
          <w:sz w:val="30"/>
          <w:szCs w:val="30"/>
          <w:highlight w:val="none"/>
        </w:rPr>
        <w:instrText xml:space="preserve"> HYPERLINK \l _Toc25631 </w:instrText>
      </w:r>
      <w:r>
        <w:rPr>
          <w:rFonts w:hint="eastAsia" w:ascii="宋体" w:hAnsi="宋体" w:cs="宋体"/>
          <w:color w:val="auto"/>
          <w:sz w:val="30"/>
          <w:szCs w:val="30"/>
          <w:highlight w:val="none"/>
        </w:rPr>
        <w:fldChar w:fldCharType="separate"/>
      </w:r>
      <w:r>
        <w:rPr>
          <w:rFonts w:hint="eastAsia" w:ascii="宋体" w:hAnsi="宋体" w:cs="宋体"/>
          <w:color w:val="auto"/>
          <w:sz w:val="30"/>
          <w:szCs w:val="30"/>
          <w:highlight w:val="none"/>
        </w:rPr>
        <w:t>招标人、招标代理机构对本招标文件的确认</w:t>
      </w:r>
      <w:r>
        <w:rPr>
          <w:rFonts w:hint="eastAsia" w:ascii="宋体" w:hAnsi="宋体" w:cs="宋体"/>
          <w:color w:val="auto"/>
          <w:sz w:val="30"/>
          <w:szCs w:val="30"/>
          <w:highlight w:val="none"/>
        </w:rPr>
        <w:tab/>
      </w:r>
      <w:r>
        <w:rPr>
          <w:rFonts w:hint="eastAsia" w:ascii="宋体" w:hAnsi="宋体" w:cs="宋体"/>
          <w:color w:val="auto"/>
          <w:sz w:val="30"/>
          <w:szCs w:val="30"/>
          <w:highlight w:val="none"/>
          <w:lang w:val="en-US" w:eastAsia="zh-CN"/>
        </w:rPr>
        <w:t>7</w:t>
      </w:r>
      <w:r>
        <w:rPr>
          <w:rFonts w:hint="eastAsia" w:ascii="宋体" w:hAnsi="宋体" w:cs="宋体"/>
          <w:color w:val="auto"/>
          <w:sz w:val="30"/>
          <w:szCs w:val="30"/>
          <w:highlight w:val="none"/>
        </w:rPr>
        <w:fldChar w:fldCharType="end"/>
      </w:r>
      <w:r>
        <w:rPr>
          <w:rFonts w:hint="eastAsia" w:ascii="宋体" w:hAnsi="宋体" w:cs="宋体"/>
          <w:color w:val="auto"/>
          <w:sz w:val="30"/>
          <w:szCs w:val="30"/>
          <w:highlight w:val="none"/>
          <w:lang w:val="en-US" w:eastAsia="zh-CN"/>
        </w:rPr>
        <w:t>6</w:t>
      </w:r>
    </w:p>
    <w:p w14:paraId="2C3B34E0">
      <w:pPr>
        <w:pStyle w:val="25"/>
        <w:tabs>
          <w:tab w:val="right" w:leader="dot" w:pos="8296"/>
        </w:tabs>
        <w:adjustRightInd w:val="0"/>
        <w:snapToGrid w:val="0"/>
        <w:spacing w:line="700" w:lineRule="exact"/>
        <w:ind w:left="150" w:hanging="150" w:hangingChars="50"/>
        <w:jc w:val="center"/>
        <w:rPr>
          <w:rFonts w:hint="eastAsia" w:ascii="宋体" w:hAnsi="宋体" w:cs="宋体"/>
          <w:b/>
          <w:bCs/>
          <w:color w:val="auto"/>
          <w:sz w:val="30"/>
          <w:szCs w:val="30"/>
          <w:highlight w:val="none"/>
        </w:rPr>
        <w:sectPr>
          <w:headerReference r:id="rId3" w:type="default"/>
          <w:footerReference r:id="rId4" w:type="default"/>
          <w:pgSz w:w="11906" w:h="16838"/>
          <w:pgMar w:top="1440" w:right="141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int="eastAsia" w:ascii="宋体" w:hAnsi="宋体" w:cs="宋体"/>
          <w:color w:val="auto"/>
          <w:sz w:val="30"/>
          <w:szCs w:val="30"/>
          <w:highlight w:val="none"/>
        </w:rPr>
        <w:fldChar w:fldCharType="end"/>
      </w:r>
    </w:p>
    <w:p w14:paraId="1D55CB6C">
      <w:pPr>
        <w:pStyle w:val="2"/>
        <w:tabs>
          <w:tab w:val="left" w:pos="0"/>
          <w:tab w:val="left" w:pos="3165"/>
          <w:tab w:val="center" w:pos="4153"/>
        </w:tabs>
        <w:autoSpaceDE w:val="0"/>
        <w:autoSpaceDN w:val="0"/>
        <w:adjustRightInd w:val="0"/>
        <w:spacing w:before="0" w:after="0" w:line="240" w:lineRule="auto"/>
        <w:rPr>
          <w:rFonts w:hint="eastAsia" w:ascii="黑体" w:hAnsi="黑体" w:cs="宋体"/>
          <w:b w:val="0"/>
          <w:color w:val="auto"/>
          <w:sz w:val="28"/>
          <w:szCs w:val="28"/>
          <w:highlight w:val="none"/>
        </w:rPr>
      </w:pPr>
      <w:bookmarkStart w:id="1" w:name="_Toc17328"/>
      <w:r>
        <w:rPr>
          <w:rFonts w:hint="eastAsia" w:ascii="华文中宋" w:hAnsi="华文中宋" w:eastAsia="华文中宋"/>
          <w:color w:val="auto"/>
          <w:highlight w:val="none"/>
        </w:rPr>
        <w:t xml:space="preserve">第一章 </w:t>
      </w:r>
      <w:bookmarkEnd w:id="1"/>
      <w:r>
        <w:rPr>
          <w:rFonts w:hint="eastAsia" w:ascii="华文中宋" w:hAnsi="华文中宋" w:eastAsia="华文中宋"/>
          <w:color w:val="auto"/>
          <w:highlight w:val="none"/>
        </w:rPr>
        <w:t>招标公告</w:t>
      </w:r>
      <w:bookmarkStart w:id="2" w:name="_Toc35393621"/>
      <w:bookmarkStart w:id="3" w:name="_Toc28359002"/>
      <w:bookmarkStart w:id="4" w:name="_Toc35393790"/>
      <w:bookmarkStart w:id="5" w:name="_Toc28359079"/>
      <w:bookmarkStart w:id="6" w:name="_Hlk24379207"/>
    </w:p>
    <w:p w14:paraId="7B52C805">
      <w:pPr>
        <w:keepNext/>
        <w:keepLines/>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项目概况</w:t>
      </w:r>
    </w:p>
    <w:p w14:paraId="5A26AAAC">
      <w:pPr>
        <w:keepNext/>
        <w:keepLines/>
        <w:ind w:firstLine="560" w:firstLineChars="200"/>
        <w:jc w:val="left"/>
        <w:rPr>
          <w:rFonts w:hint="eastAsia" w:ascii="黑体" w:hAnsi="黑体" w:cs="宋体"/>
          <w:color w:val="auto"/>
          <w:sz w:val="28"/>
          <w:szCs w:val="28"/>
          <w:highlight w:val="none"/>
        </w:rPr>
      </w:pPr>
      <w:r>
        <w:rPr>
          <w:rFonts w:hint="eastAsia" w:ascii="仿宋" w:hAnsi="仿宋" w:eastAsia="仿宋" w:cs="仿宋"/>
          <w:color w:val="auto"/>
          <w:sz w:val="28"/>
          <w:szCs w:val="28"/>
          <w:highlight w:val="none"/>
          <w:u w:val="single"/>
          <w:lang w:eastAsia="zh-CN"/>
        </w:rPr>
        <w:t>滁州市扬子大道768号文创园经营服务项目</w:t>
      </w:r>
      <w:r>
        <w:rPr>
          <w:rFonts w:hint="eastAsia" w:ascii="仿宋" w:hAnsi="仿宋" w:eastAsia="仿宋" w:cs="仿宋"/>
          <w:color w:val="auto"/>
          <w:sz w:val="28"/>
          <w:szCs w:val="28"/>
          <w:highlight w:val="none"/>
        </w:rPr>
        <w:t>招标项目的潜在投标人应在</w:t>
      </w:r>
      <w:r>
        <w:rPr>
          <w:rFonts w:hint="eastAsia" w:ascii="仿宋" w:hAnsi="仿宋" w:eastAsia="仿宋" w:cs="仿宋"/>
          <w:color w:val="auto"/>
          <w:sz w:val="28"/>
          <w:szCs w:val="28"/>
          <w:highlight w:val="none"/>
          <w:u w:val="single"/>
        </w:rPr>
        <w:t>滁州市公共资源交易中心网（http：//ggzy.chuzhou.gov.cn/）</w:t>
      </w:r>
      <w:r>
        <w:rPr>
          <w:rFonts w:hint="eastAsia" w:ascii="仿宋" w:hAnsi="仿宋" w:eastAsia="仿宋" w:cs="仿宋"/>
          <w:color w:val="auto"/>
          <w:sz w:val="28"/>
          <w:szCs w:val="28"/>
          <w:highlight w:val="none"/>
        </w:rPr>
        <w:t>获取招标文件，并于</w:t>
      </w:r>
      <w:r>
        <w:rPr>
          <w:rFonts w:hint="eastAsia" w:ascii="仿宋" w:hAnsi="仿宋" w:eastAsia="仿宋" w:cs="仿宋"/>
          <w:color w:val="auto"/>
          <w:sz w:val="28"/>
          <w:szCs w:val="28"/>
          <w:highlight w:val="none"/>
          <w:u w:val="single"/>
        </w:rPr>
        <w:t>202</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rPr>
        <w:t>年</w:t>
      </w:r>
      <w:r>
        <w:rPr>
          <w:rFonts w:hint="eastAsia" w:ascii="仿宋" w:hAnsi="仿宋" w:eastAsia="仿宋" w:cs="仿宋"/>
          <w:color w:val="auto"/>
          <w:sz w:val="28"/>
          <w:szCs w:val="28"/>
          <w:highlight w:val="none"/>
          <w:u w:val="single"/>
          <w:lang w:val="en-US" w:eastAsia="zh-CN"/>
        </w:rPr>
        <w:t>3</w:t>
      </w:r>
      <w:r>
        <w:rPr>
          <w:rFonts w:hint="eastAsia" w:ascii="仿宋" w:hAnsi="仿宋" w:eastAsia="仿宋" w:cs="仿宋"/>
          <w:color w:val="auto"/>
          <w:sz w:val="28"/>
          <w:szCs w:val="28"/>
          <w:highlight w:val="none"/>
          <w:u w:val="single"/>
        </w:rPr>
        <w:t>月</w:t>
      </w:r>
      <w:r>
        <w:rPr>
          <w:rFonts w:hint="eastAsia" w:ascii="仿宋" w:hAnsi="仿宋" w:eastAsia="仿宋" w:cs="仿宋"/>
          <w:color w:val="auto"/>
          <w:sz w:val="28"/>
          <w:szCs w:val="28"/>
          <w:highlight w:val="none"/>
          <w:u w:val="single"/>
          <w:lang w:val="en-US" w:eastAsia="zh-CN"/>
        </w:rPr>
        <w:t>6</w:t>
      </w:r>
      <w:r>
        <w:rPr>
          <w:rFonts w:hint="eastAsia" w:ascii="仿宋" w:hAnsi="仿宋" w:eastAsia="仿宋" w:cs="仿宋"/>
          <w:color w:val="auto"/>
          <w:sz w:val="28"/>
          <w:szCs w:val="28"/>
          <w:highlight w:val="none"/>
          <w:u w:val="single"/>
        </w:rPr>
        <w:t>日</w:t>
      </w:r>
      <w:r>
        <w:rPr>
          <w:rFonts w:hint="eastAsia" w:ascii="仿宋" w:hAnsi="仿宋" w:eastAsia="仿宋" w:cs="仿宋"/>
          <w:color w:val="auto"/>
          <w:sz w:val="28"/>
          <w:szCs w:val="28"/>
          <w:highlight w:val="none"/>
          <w:u w:val="single"/>
          <w:lang w:val="en-US" w:eastAsia="zh-CN"/>
        </w:rPr>
        <w:t>8</w:t>
      </w:r>
      <w:r>
        <w:rPr>
          <w:rFonts w:hint="eastAsia" w:ascii="仿宋" w:hAnsi="仿宋" w:eastAsia="仿宋" w:cs="仿宋"/>
          <w:color w:val="auto"/>
          <w:sz w:val="28"/>
          <w:szCs w:val="28"/>
          <w:highlight w:val="none"/>
          <w:u w:val="single"/>
        </w:rPr>
        <w:t>点</w:t>
      </w:r>
      <w:r>
        <w:rPr>
          <w:rFonts w:hint="eastAsia" w:ascii="仿宋" w:hAnsi="仿宋" w:eastAsia="仿宋" w:cs="仿宋"/>
          <w:color w:val="auto"/>
          <w:sz w:val="28"/>
          <w:szCs w:val="28"/>
          <w:highlight w:val="none"/>
          <w:u w:val="single"/>
          <w:lang w:val="en-US" w:eastAsia="zh-CN"/>
        </w:rPr>
        <w:t>30</w:t>
      </w:r>
      <w:r>
        <w:rPr>
          <w:rFonts w:hint="eastAsia" w:ascii="仿宋" w:hAnsi="仿宋" w:eastAsia="仿宋" w:cs="仿宋"/>
          <w:color w:val="auto"/>
          <w:sz w:val="28"/>
          <w:szCs w:val="28"/>
          <w:highlight w:val="none"/>
          <w:u w:val="single"/>
        </w:rPr>
        <w:t>分</w:t>
      </w:r>
      <w:r>
        <w:rPr>
          <w:rFonts w:hint="eastAsia" w:ascii="仿宋" w:hAnsi="仿宋" w:eastAsia="仿宋" w:cs="仿宋"/>
          <w:color w:val="auto"/>
          <w:sz w:val="28"/>
          <w:szCs w:val="28"/>
          <w:highlight w:val="none"/>
        </w:rPr>
        <w:t>（北京时间）前递交投标文件。</w:t>
      </w:r>
    </w:p>
    <w:p w14:paraId="749EEA6C">
      <w:pPr>
        <w:keepNext/>
        <w:keepLines/>
        <w:spacing w:before="260" w:after="26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一、项目基本情况</w:t>
      </w:r>
      <w:bookmarkEnd w:id="2"/>
      <w:bookmarkEnd w:id="3"/>
      <w:bookmarkEnd w:id="4"/>
      <w:bookmarkEnd w:id="5"/>
    </w:p>
    <w:p w14:paraId="2E64C445">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项目编号：czsjqt202</w:t>
      </w:r>
      <w:r>
        <w:rPr>
          <w:rFonts w:hint="eastAsia" w:ascii="仿宋" w:hAnsi="仿宋" w:eastAsia="仿宋"/>
          <w:color w:val="auto"/>
          <w:sz w:val="28"/>
          <w:szCs w:val="28"/>
          <w:highlight w:val="none"/>
          <w:lang w:val="en-US" w:eastAsia="zh-CN"/>
        </w:rPr>
        <w:t>602-007</w:t>
      </w:r>
    </w:p>
    <w:p w14:paraId="5B042505">
      <w:pPr>
        <w:ind w:firstLine="560" w:firstLineChars="2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项目名称：</w:t>
      </w:r>
      <w:bookmarkEnd w:id="6"/>
      <w:r>
        <w:rPr>
          <w:rFonts w:hint="eastAsia" w:ascii="仿宋" w:hAnsi="仿宋" w:eastAsia="仿宋"/>
          <w:color w:val="auto"/>
          <w:sz w:val="28"/>
          <w:szCs w:val="28"/>
          <w:highlight w:val="none"/>
          <w:lang w:eastAsia="zh-CN"/>
        </w:rPr>
        <w:t>滁州市扬子大道768号文创园经营服务项目</w:t>
      </w:r>
    </w:p>
    <w:p w14:paraId="68636D5B">
      <w:pPr>
        <w:ind w:firstLine="560" w:firstLineChars="2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lang w:eastAsia="zh-CN"/>
        </w:rPr>
        <w:t>预算金额：</w:t>
      </w:r>
      <w:r>
        <w:rPr>
          <w:rFonts w:hint="eastAsia" w:ascii="仿宋" w:hAnsi="仿宋" w:eastAsia="仿宋"/>
          <w:color w:val="auto"/>
          <w:sz w:val="28"/>
          <w:szCs w:val="28"/>
          <w:highlight w:val="none"/>
          <w:lang w:val="en-US" w:eastAsia="zh-CN"/>
        </w:rPr>
        <w:t xml:space="preserve">2692000.00元/年 </w:t>
      </w:r>
    </w:p>
    <w:p w14:paraId="510DFA64">
      <w:pPr>
        <w:ind w:firstLine="560" w:firstLineChars="200"/>
        <w:rPr>
          <w:rFonts w:hint="default" w:ascii="仿宋" w:hAnsi="仿宋" w:eastAsia="仿宋"/>
          <w:color w:val="auto"/>
          <w:sz w:val="28"/>
          <w:szCs w:val="28"/>
          <w:highlight w:val="none"/>
          <w:lang w:val="en-US"/>
        </w:rPr>
      </w:pPr>
      <w:r>
        <w:rPr>
          <w:rFonts w:hint="eastAsia" w:ascii="仿宋" w:hAnsi="仿宋" w:eastAsia="仿宋"/>
          <w:color w:val="auto"/>
          <w:sz w:val="28"/>
          <w:szCs w:val="28"/>
          <w:highlight w:val="none"/>
          <w:lang w:val="en-US" w:eastAsia="zh-CN"/>
        </w:rPr>
        <w:t>投标</w:t>
      </w:r>
      <w:r>
        <w:rPr>
          <w:rFonts w:hint="eastAsia" w:ascii="仿宋" w:hAnsi="仿宋" w:eastAsia="仿宋"/>
          <w:color w:val="auto"/>
          <w:sz w:val="28"/>
          <w:szCs w:val="28"/>
          <w:highlight w:val="none"/>
          <w:lang w:eastAsia="zh-CN"/>
        </w:rPr>
        <w:t>限价：</w:t>
      </w:r>
      <w:r>
        <w:rPr>
          <w:rFonts w:hint="eastAsia" w:ascii="仿宋" w:hAnsi="仿宋" w:eastAsia="仿宋"/>
          <w:color w:val="auto"/>
          <w:sz w:val="28"/>
          <w:szCs w:val="28"/>
          <w:highlight w:val="none"/>
          <w:lang w:val="en-US" w:eastAsia="zh-CN"/>
        </w:rPr>
        <w:t xml:space="preserve">2692000.00元/年（其中768号文创园承租费限价为9元/平方米·月） </w:t>
      </w:r>
    </w:p>
    <w:p w14:paraId="1B5F0CF9">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采购需求：</w:t>
      </w:r>
      <w:r>
        <w:rPr>
          <w:rFonts w:hint="eastAsia" w:ascii="仿宋" w:hAnsi="仿宋" w:eastAsia="仿宋"/>
          <w:color w:val="auto"/>
          <w:sz w:val="28"/>
          <w:szCs w:val="28"/>
          <w:highlight w:val="none"/>
          <w:lang w:val="en-US" w:eastAsia="zh-CN"/>
        </w:rPr>
        <w:t>经营服务，具体详见第四章采购内容及服务要求</w:t>
      </w:r>
    </w:p>
    <w:p w14:paraId="3561F937">
      <w:pPr>
        <w:ind w:firstLine="560" w:firstLineChars="2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lang w:val="en-US" w:eastAsia="zh-CN"/>
        </w:rPr>
        <w:t>运营期10年（自招标人以书面形式将整个园区及附属用地交付至中标人之日起开始计算运营期）</w:t>
      </w:r>
    </w:p>
    <w:p w14:paraId="057C5F6E">
      <w:pPr>
        <w:ind w:firstLine="560" w:firstLineChars="2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本项目不接受联合体投标。</w:t>
      </w:r>
      <w:r>
        <w:rPr>
          <w:rFonts w:hint="eastAsia" w:ascii="仿宋" w:hAnsi="仿宋" w:eastAsia="仿宋"/>
          <w:color w:val="auto"/>
          <w:sz w:val="28"/>
          <w:szCs w:val="28"/>
          <w:highlight w:val="none"/>
          <w:lang w:val="en-US" w:eastAsia="zh-CN"/>
        </w:rPr>
        <w:t xml:space="preserve"> </w:t>
      </w:r>
    </w:p>
    <w:p w14:paraId="74379E10">
      <w:pPr>
        <w:keepNext/>
        <w:keepLines/>
        <w:spacing w:before="260" w:after="260"/>
        <w:rPr>
          <w:rFonts w:hint="eastAsia" w:ascii="黑体" w:hAnsi="黑体" w:eastAsia="黑体" w:cs="黑体"/>
          <w:color w:val="auto"/>
          <w:sz w:val="28"/>
          <w:szCs w:val="28"/>
          <w:highlight w:val="none"/>
        </w:rPr>
      </w:pPr>
      <w:bookmarkStart w:id="7" w:name="_Toc28359003"/>
      <w:bookmarkStart w:id="8" w:name="_Toc35393622"/>
      <w:bookmarkStart w:id="9" w:name="_Toc35393791"/>
      <w:bookmarkStart w:id="10" w:name="_Toc28359080"/>
      <w:r>
        <w:rPr>
          <w:rFonts w:hint="eastAsia" w:ascii="黑体" w:hAnsi="黑体" w:eastAsia="黑体" w:cs="黑体"/>
          <w:color w:val="auto"/>
          <w:sz w:val="28"/>
          <w:szCs w:val="28"/>
          <w:highlight w:val="none"/>
        </w:rPr>
        <w:t>二、申请人的资格要求</w:t>
      </w:r>
      <w:bookmarkEnd w:id="7"/>
      <w:bookmarkEnd w:id="8"/>
      <w:bookmarkEnd w:id="9"/>
      <w:bookmarkEnd w:id="10"/>
    </w:p>
    <w:p w14:paraId="5A6B6FB9">
      <w:pPr>
        <w:ind w:firstLine="560" w:firstLineChars="200"/>
        <w:rPr>
          <w:rFonts w:hint="default" w:ascii="仿宋" w:hAnsi="仿宋" w:eastAsia="仿宋" w:cs="Times New Roman"/>
          <w:color w:val="auto"/>
          <w:sz w:val="28"/>
          <w:szCs w:val="28"/>
          <w:highlight w:val="none"/>
          <w:lang w:val="en-US" w:eastAsia="zh-CN"/>
        </w:rPr>
      </w:pPr>
      <w:bookmarkStart w:id="11" w:name="_Toc35393623"/>
      <w:bookmarkStart w:id="12" w:name="_Toc35393792"/>
      <w:bookmarkStart w:id="13" w:name="_Toc28359004"/>
      <w:bookmarkStart w:id="14" w:name="_Toc28359081"/>
      <w:r>
        <w:rPr>
          <w:rFonts w:hint="eastAsia" w:ascii="仿宋" w:hAnsi="仿宋" w:eastAsia="仿宋"/>
          <w:color w:val="auto"/>
          <w:sz w:val="28"/>
          <w:szCs w:val="28"/>
          <w:highlight w:val="none"/>
        </w:rPr>
        <w:t>1.</w:t>
      </w:r>
      <w:r>
        <w:rPr>
          <w:rFonts w:hint="eastAsia" w:ascii="仿宋" w:hAnsi="仿宋" w:eastAsia="仿宋"/>
          <w:color w:val="auto"/>
          <w:sz w:val="28"/>
          <w:szCs w:val="28"/>
          <w:highlight w:val="none"/>
          <w:lang w:val="en-US" w:eastAsia="zh-CN"/>
        </w:rPr>
        <w:t>投标人</w:t>
      </w:r>
      <w:r>
        <w:rPr>
          <w:rFonts w:hint="eastAsia" w:ascii="仿宋" w:hAnsi="仿宋" w:eastAsia="仿宋"/>
          <w:color w:val="auto"/>
          <w:sz w:val="28"/>
          <w:szCs w:val="28"/>
          <w:highlight w:val="none"/>
        </w:rPr>
        <w:t>要求：</w:t>
      </w:r>
      <w:r>
        <w:rPr>
          <w:rFonts w:hint="eastAsia" w:ascii="仿宋" w:hAnsi="仿宋" w:eastAsia="仿宋" w:cs="Times New Roman"/>
          <w:color w:val="auto"/>
          <w:sz w:val="28"/>
          <w:szCs w:val="28"/>
          <w:highlight w:val="none"/>
          <w:lang w:val="en-US" w:eastAsia="zh-CN"/>
        </w:rPr>
        <w:t>具有独立承担民事责任能力且具有有效的营业执照。</w:t>
      </w:r>
    </w:p>
    <w:p w14:paraId="5646B9C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Times New Roman"/>
          <w:color w:val="auto"/>
          <w:kern w:val="2"/>
          <w:sz w:val="28"/>
          <w:szCs w:val="28"/>
          <w:highlight w:val="none"/>
          <w:lang w:val="en-US" w:eastAsia="zh-CN" w:bidi="ar-SA"/>
        </w:rPr>
      </w:pPr>
      <w:r>
        <w:rPr>
          <w:rFonts w:hint="eastAsia" w:ascii="仿宋" w:hAnsi="仿宋" w:eastAsia="仿宋" w:cs="Times New Roman"/>
          <w:color w:val="auto"/>
          <w:kern w:val="2"/>
          <w:sz w:val="28"/>
          <w:szCs w:val="28"/>
          <w:highlight w:val="none"/>
          <w:lang w:val="en-US" w:eastAsia="zh-CN" w:bidi="ar-SA"/>
        </w:rPr>
        <w:t>2.信誉要求：投标人不得存在以下情形：</w:t>
      </w:r>
    </w:p>
    <w:p w14:paraId="22062031">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①被列入“信用中国”网站“失信被执行人”的；</w:t>
      </w:r>
    </w:p>
    <w:p w14:paraId="78DECF5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②被列入“信用中国”网站“重大税收违法失信主体”的；</w:t>
      </w:r>
    </w:p>
    <w:p w14:paraId="077D4BD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③被列入“信用中国”网站“拖欠农民工工资失信联合惩戒对象名单”的；</w:t>
      </w:r>
    </w:p>
    <w:p w14:paraId="1A9A392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④被列入“信用中国”网站 “严重失信主体名单”的；</w:t>
      </w:r>
    </w:p>
    <w:p w14:paraId="45E6C5AC">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⑤在“信用中国”网站上披露的仍在公示期的严重失信行为(具体行为类别及判定依据见附件2)的；</w:t>
      </w:r>
    </w:p>
    <w:p w14:paraId="17D1459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⑥被列入国家企业信用信息公示系统网站“经营异常名录”或者“严重违法失信名单”的；</w:t>
      </w:r>
    </w:p>
    <w:p w14:paraId="18C0B2D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⑦前三年有行贿犯罪行为的单位和个人；</w:t>
      </w:r>
    </w:p>
    <w:p w14:paraId="200F0E7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⑧被滁州市县两级公管部门及各行业主管部门取消在一定期限内的投标资格且在取消期限内的；</w:t>
      </w:r>
    </w:p>
    <w:p w14:paraId="3818960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⑨因拖欠农民工工资被县级及以上有关行政主管部门限制投标资格且在限制期限内的；</w:t>
      </w:r>
    </w:p>
    <w:p w14:paraId="58B79017">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1AD127AD">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3.投标人所属分公司、办事处等分支机构存在第2款信誉要求①-</w:t>
      </w:r>
      <w:r>
        <w:rPr>
          <w:rFonts w:hint="eastAsia" w:ascii="仿宋" w:hAnsi="仿宋" w:eastAsia="仿宋" w:cs="仿宋"/>
          <w:color w:val="auto"/>
          <w:sz w:val="28"/>
          <w:szCs w:val="28"/>
          <w:highlight w:val="none"/>
          <w:shd w:val="clear" w:fill="auto"/>
          <w:lang w:val="en-US" w:eastAsia="zh-CN"/>
        </w:rPr>
        <w:t>⑩</w:t>
      </w:r>
      <w:r>
        <w:rPr>
          <w:rFonts w:hint="eastAsia" w:ascii="仿宋" w:hAnsi="仿宋" w:eastAsia="仿宋"/>
          <w:color w:val="auto"/>
          <w:sz w:val="28"/>
          <w:szCs w:val="28"/>
          <w:highlight w:val="none"/>
        </w:rPr>
        <w:t>项情形之一的，接受投标人参加本项目。</w:t>
      </w:r>
    </w:p>
    <w:p w14:paraId="639F817D">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备注：第2、3条按照“关于联合惩戒失信行为加强信用查询管理的通知”查询或承诺。</w:t>
      </w:r>
    </w:p>
    <w:p w14:paraId="133C6370">
      <w:pPr>
        <w:ind w:firstLine="560" w:firstLineChars="20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三、获取招标文件</w:t>
      </w:r>
      <w:bookmarkEnd w:id="11"/>
      <w:bookmarkEnd w:id="12"/>
      <w:bookmarkEnd w:id="13"/>
      <w:bookmarkEnd w:id="14"/>
    </w:p>
    <w:p w14:paraId="3FEF237B">
      <w:pPr>
        <w:ind w:firstLine="540"/>
        <w:rPr>
          <w:rFonts w:hint="eastAsia" w:ascii="仿宋" w:hAnsi="仿宋" w:eastAsia="仿宋" w:cs="宋体"/>
          <w:iCs/>
          <w:color w:val="auto"/>
          <w:sz w:val="28"/>
          <w:szCs w:val="28"/>
          <w:highlight w:val="none"/>
        </w:rPr>
      </w:pPr>
      <w:r>
        <w:rPr>
          <w:rFonts w:hint="eastAsia" w:ascii="仿宋" w:hAnsi="仿宋" w:eastAsia="仿宋" w:cs="宋体"/>
          <w:color w:val="auto"/>
          <w:sz w:val="28"/>
          <w:szCs w:val="28"/>
          <w:highlight w:val="none"/>
        </w:rPr>
        <w:t>时间：</w:t>
      </w: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年</w:t>
      </w:r>
      <w:r>
        <w:rPr>
          <w:rFonts w:hint="eastAsia" w:ascii="仿宋" w:hAnsi="仿宋" w:eastAsia="仿宋" w:cs="宋体"/>
          <w:color w:val="auto"/>
          <w:sz w:val="28"/>
          <w:szCs w:val="28"/>
          <w:highlight w:val="none"/>
          <w:u w:val="single"/>
          <w:lang w:val="en-US" w:eastAsia="zh-CN"/>
        </w:rPr>
        <w:t>2</w:t>
      </w:r>
      <w:r>
        <w:rPr>
          <w:rFonts w:hint="eastAsia" w:ascii="仿宋" w:hAnsi="仿宋" w:eastAsia="仿宋" w:cs="宋体"/>
          <w:color w:val="auto"/>
          <w:sz w:val="28"/>
          <w:szCs w:val="28"/>
          <w:highlight w:val="none"/>
          <w:u w:val="single"/>
        </w:rPr>
        <w:t>月</w:t>
      </w:r>
      <w:r>
        <w:rPr>
          <w:rFonts w:hint="eastAsia" w:ascii="仿宋" w:hAnsi="仿宋" w:eastAsia="仿宋" w:cs="宋体"/>
          <w:color w:val="auto"/>
          <w:sz w:val="28"/>
          <w:szCs w:val="28"/>
          <w:highlight w:val="none"/>
          <w:u w:val="single"/>
          <w:lang w:val="en-US" w:eastAsia="zh-CN"/>
        </w:rPr>
        <w:t>11</w:t>
      </w:r>
      <w:r>
        <w:rPr>
          <w:rFonts w:hint="eastAsia" w:ascii="仿宋" w:hAnsi="仿宋" w:eastAsia="仿宋" w:cs="宋体"/>
          <w:color w:val="auto"/>
          <w:sz w:val="28"/>
          <w:szCs w:val="28"/>
          <w:highlight w:val="none"/>
          <w:u w:val="single"/>
        </w:rPr>
        <w:t>日</w:t>
      </w:r>
      <w:r>
        <w:rPr>
          <w:rFonts w:hint="eastAsia" w:ascii="仿宋" w:hAnsi="仿宋" w:eastAsia="仿宋" w:cs="宋体"/>
          <w:color w:val="auto"/>
          <w:sz w:val="28"/>
          <w:szCs w:val="28"/>
          <w:highlight w:val="none"/>
        </w:rPr>
        <w:t>至</w:t>
      </w:r>
      <w:r>
        <w:rPr>
          <w:rFonts w:hint="eastAsia" w:ascii="仿宋" w:hAnsi="仿宋" w:eastAsia="仿宋" w:cs="宋体"/>
          <w:color w:val="auto"/>
          <w:sz w:val="28"/>
          <w:szCs w:val="28"/>
          <w:highlight w:val="none"/>
          <w:u w:val="single"/>
        </w:rPr>
        <w:t xml:space="preserve"> 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年</w:t>
      </w:r>
      <w:r>
        <w:rPr>
          <w:rFonts w:hint="eastAsia" w:ascii="仿宋" w:hAnsi="仿宋" w:eastAsia="仿宋" w:cs="宋体"/>
          <w:color w:val="auto"/>
          <w:sz w:val="28"/>
          <w:szCs w:val="28"/>
          <w:highlight w:val="none"/>
          <w:u w:val="single"/>
          <w:lang w:val="en-US" w:eastAsia="zh-CN"/>
        </w:rPr>
        <w:t>3</w:t>
      </w:r>
      <w:r>
        <w:rPr>
          <w:rFonts w:hint="eastAsia" w:ascii="仿宋" w:hAnsi="仿宋" w:eastAsia="仿宋" w:cs="宋体"/>
          <w:color w:val="auto"/>
          <w:sz w:val="28"/>
          <w:szCs w:val="28"/>
          <w:highlight w:val="none"/>
          <w:u w:val="single"/>
        </w:rPr>
        <w:t>月</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日</w:t>
      </w:r>
      <w:r>
        <w:rPr>
          <w:rFonts w:hint="eastAsia" w:ascii="仿宋" w:hAnsi="仿宋" w:eastAsia="仿宋" w:cs="宋体"/>
          <w:iCs/>
          <w:color w:val="auto"/>
          <w:sz w:val="28"/>
          <w:szCs w:val="28"/>
          <w:highlight w:val="none"/>
          <w:u w:val="single"/>
        </w:rPr>
        <w:t>（提供期限自本公告发布之日起不得少于5个工作日）</w:t>
      </w:r>
    </w:p>
    <w:p w14:paraId="675A4963">
      <w:pPr>
        <w:ind w:firstLine="540"/>
        <w:rPr>
          <w:rFonts w:ascii="仿宋" w:hAnsi="仿宋" w:eastAsia="仿宋" w:cs="宋体"/>
          <w:color w:val="auto"/>
          <w:sz w:val="28"/>
          <w:szCs w:val="28"/>
          <w:highlight w:val="none"/>
          <w:u w:val="single"/>
        </w:rPr>
      </w:pPr>
      <w:r>
        <w:rPr>
          <w:rFonts w:hint="eastAsia" w:ascii="仿宋" w:hAnsi="仿宋" w:eastAsia="仿宋" w:cs="宋体"/>
          <w:color w:val="auto"/>
          <w:sz w:val="28"/>
          <w:szCs w:val="28"/>
          <w:highlight w:val="none"/>
        </w:rPr>
        <w:t>地点：滁州市公共资源交易中心网</w:t>
      </w:r>
    </w:p>
    <w:p w14:paraId="56BA6F9C">
      <w:pPr>
        <w:ind w:firstLine="540"/>
        <w:rPr>
          <w:rFonts w:ascii="仿宋" w:hAnsi="仿宋" w:eastAsia="仿宋" w:cs="宋体"/>
          <w:color w:val="auto"/>
          <w:sz w:val="28"/>
          <w:szCs w:val="28"/>
          <w:highlight w:val="none"/>
          <w:u w:val="single"/>
        </w:rPr>
      </w:pPr>
      <w:r>
        <w:rPr>
          <w:rFonts w:hint="eastAsia" w:ascii="仿宋" w:hAnsi="仿宋" w:eastAsia="仿宋" w:cs="宋体"/>
          <w:color w:val="auto"/>
          <w:sz w:val="28"/>
          <w:szCs w:val="28"/>
          <w:highlight w:val="none"/>
        </w:rPr>
        <w:t>方式：网上下载</w:t>
      </w:r>
    </w:p>
    <w:p w14:paraId="161CA3A8">
      <w:pPr>
        <w:ind w:firstLine="540"/>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售价：0元</w:t>
      </w:r>
    </w:p>
    <w:p w14:paraId="65935EC2">
      <w:pPr>
        <w:pStyle w:val="3"/>
        <w:numPr>
          <w:ilvl w:val="0"/>
          <w:numId w:val="0"/>
        </w:numPr>
        <w:spacing w:line="240" w:lineRule="auto"/>
        <w:rPr>
          <w:rFonts w:hint="eastAsia" w:ascii="黑体" w:hAnsi="黑体" w:eastAsia="黑体" w:cs="黑体"/>
          <w:color w:val="auto"/>
          <w:kern w:val="2"/>
          <w:sz w:val="28"/>
          <w:szCs w:val="28"/>
          <w:highlight w:val="none"/>
        </w:rPr>
      </w:pPr>
      <w:bookmarkStart w:id="15" w:name="_Toc28359005"/>
      <w:bookmarkStart w:id="16" w:name="_Toc28359082"/>
      <w:bookmarkStart w:id="17" w:name="_Toc35393793"/>
      <w:bookmarkStart w:id="18" w:name="_Toc35393624"/>
      <w:r>
        <w:rPr>
          <w:rFonts w:hint="eastAsia" w:ascii="黑体" w:hAnsi="黑体" w:eastAsia="黑体" w:cs="黑体"/>
          <w:color w:val="auto"/>
          <w:kern w:val="2"/>
          <w:sz w:val="28"/>
          <w:szCs w:val="28"/>
          <w:highlight w:val="none"/>
        </w:rPr>
        <w:t>四、提交投标文件</w:t>
      </w:r>
      <w:bookmarkEnd w:id="15"/>
      <w:bookmarkEnd w:id="16"/>
      <w:r>
        <w:rPr>
          <w:rFonts w:hint="eastAsia" w:ascii="黑体" w:hAnsi="黑体" w:eastAsia="黑体" w:cs="黑体"/>
          <w:color w:val="auto"/>
          <w:kern w:val="2"/>
          <w:sz w:val="28"/>
          <w:szCs w:val="28"/>
          <w:highlight w:val="none"/>
        </w:rPr>
        <w:t>截止时间、开标时间和地点</w:t>
      </w:r>
      <w:bookmarkEnd w:id="17"/>
      <w:bookmarkEnd w:id="18"/>
    </w:p>
    <w:p w14:paraId="2DDE7558">
      <w:pPr>
        <w:ind w:firstLine="560" w:firstLineChars="200"/>
        <w:rPr>
          <w:rFonts w:ascii="仿宋" w:hAnsi="仿宋" w:eastAsia="仿宋"/>
          <w:bCs/>
          <w:iCs/>
          <w:color w:val="auto"/>
          <w:sz w:val="28"/>
          <w:szCs w:val="28"/>
          <w:highlight w:val="none"/>
        </w:rPr>
      </w:pPr>
      <w:r>
        <w:rPr>
          <w:rFonts w:hint="eastAsia" w:ascii="仿宋" w:hAnsi="仿宋" w:eastAsia="仿宋" w:cs="宋体"/>
          <w:color w:val="auto"/>
          <w:sz w:val="28"/>
          <w:szCs w:val="28"/>
          <w:highlight w:val="none"/>
          <w:u w:val="single"/>
        </w:rPr>
        <w:t>202</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年</w:t>
      </w:r>
      <w:r>
        <w:rPr>
          <w:rFonts w:hint="eastAsia" w:ascii="仿宋" w:hAnsi="仿宋" w:eastAsia="仿宋" w:cs="宋体"/>
          <w:color w:val="auto"/>
          <w:sz w:val="28"/>
          <w:szCs w:val="28"/>
          <w:highlight w:val="none"/>
          <w:u w:val="single"/>
          <w:lang w:val="en-US" w:eastAsia="zh-CN"/>
        </w:rPr>
        <w:t>3</w:t>
      </w:r>
      <w:r>
        <w:rPr>
          <w:rFonts w:hint="eastAsia" w:ascii="仿宋" w:hAnsi="仿宋" w:eastAsia="仿宋" w:cs="宋体"/>
          <w:color w:val="auto"/>
          <w:sz w:val="28"/>
          <w:szCs w:val="28"/>
          <w:highlight w:val="none"/>
          <w:u w:val="single"/>
        </w:rPr>
        <w:t>月</w:t>
      </w:r>
      <w:r>
        <w:rPr>
          <w:rFonts w:hint="eastAsia" w:ascii="仿宋" w:hAnsi="仿宋" w:eastAsia="仿宋" w:cs="宋体"/>
          <w:color w:val="auto"/>
          <w:sz w:val="28"/>
          <w:szCs w:val="28"/>
          <w:highlight w:val="none"/>
          <w:u w:val="single"/>
          <w:lang w:val="en-US" w:eastAsia="zh-CN"/>
        </w:rPr>
        <w:t>6</w:t>
      </w:r>
      <w:r>
        <w:rPr>
          <w:rFonts w:hint="eastAsia" w:ascii="仿宋" w:hAnsi="仿宋" w:eastAsia="仿宋" w:cs="宋体"/>
          <w:color w:val="auto"/>
          <w:sz w:val="28"/>
          <w:szCs w:val="28"/>
          <w:highlight w:val="none"/>
          <w:u w:val="single"/>
        </w:rPr>
        <w:t>日</w:t>
      </w:r>
      <w:r>
        <w:rPr>
          <w:rFonts w:hint="eastAsia" w:ascii="仿宋" w:hAnsi="仿宋" w:eastAsia="仿宋"/>
          <w:bCs/>
          <w:color w:val="auto"/>
          <w:sz w:val="28"/>
          <w:szCs w:val="28"/>
          <w:highlight w:val="none"/>
          <w:u w:val="single"/>
          <w:lang w:val="en-US" w:eastAsia="zh-CN"/>
        </w:rPr>
        <w:t>8</w:t>
      </w:r>
      <w:r>
        <w:rPr>
          <w:rFonts w:hint="eastAsia" w:ascii="仿宋" w:hAnsi="仿宋" w:eastAsia="仿宋"/>
          <w:bCs/>
          <w:color w:val="auto"/>
          <w:sz w:val="28"/>
          <w:szCs w:val="28"/>
          <w:highlight w:val="none"/>
          <w:u w:val="single"/>
        </w:rPr>
        <w:t>点</w:t>
      </w:r>
      <w:r>
        <w:rPr>
          <w:rFonts w:hint="eastAsia" w:ascii="仿宋" w:hAnsi="仿宋" w:eastAsia="仿宋"/>
          <w:bCs/>
          <w:color w:val="auto"/>
          <w:sz w:val="28"/>
          <w:szCs w:val="28"/>
          <w:highlight w:val="none"/>
          <w:u w:val="single"/>
          <w:lang w:val="en-US" w:eastAsia="zh-CN"/>
        </w:rPr>
        <w:t>30</w:t>
      </w:r>
      <w:r>
        <w:rPr>
          <w:rFonts w:hint="eastAsia" w:ascii="仿宋" w:hAnsi="仿宋" w:eastAsia="仿宋"/>
          <w:bCs/>
          <w:color w:val="auto"/>
          <w:sz w:val="28"/>
          <w:szCs w:val="28"/>
          <w:highlight w:val="none"/>
          <w:u w:val="single"/>
        </w:rPr>
        <w:t>分</w:t>
      </w:r>
      <w:r>
        <w:rPr>
          <w:rFonts w:hint="eastAsia" w:ascii="仿宋" w:hAnsi="仿宋" w:eastAsia="仿宋"/>
          <w:bCs/>
          <w:color w:val="auto"/>
          <w:sz w:val="28"/>
          <w:szCs w:val="28"/>
          <w:highlight w:val="none"/>
        </w:rPr>
        <w:t>（北京时间）</w:t>
      </w:r>
      <w:r>
        <w:rPr>
          <w:rFonts w:hint="eastAsia" w:ascii="仿宋" w:hAnsi="仿宋" w:eastAsia="仿宋" w:cs="宋体"/>
          <w:iCs/>
          <w:color w:val="auto"/>
          <w:sz w:val="28"/>
          <w:szCs w:val="28"/>
          <w:highlight w:val="none"/>
          <w:u w:val="single"/>
        </w:rPr>
        <w:t>（自招标文件开始发出之日起至投标人提交投标文件截止之日止，不得少于20日）</w:t>
      </w:r>
    </w:p>
    <w:p w14:paraId="77B50E81">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地点：滁州市公共资源交易平台电子交易系统</w:t>
      </w:r>
    </w:p>
    <w:p w14:paraId="2DC0A8B5">
      <w:pPr>
        <w:keepNext/>
        <w:keepLines/>
        <w:spacing w:before="260" w:after="260"/>
        <w:rPr>
          <w:rFonts w:hint="eastAsia" w:ascii="黑体" w:hAnsi="黑体" w:eastAsia="黑体" w:cs="黑体"/>
          <w:color w:val="auto"/>
          <w:sz w:val="28"/>
          <w:szCs w:val="28"/>
          <w:highlight w:val="none"/>
        </w:rPr>
      </w:pPr>
      <w:bookmarkStart w:id="19" w:name="_Toc35393794"/>
      <w:bookmarkStart w:id="20" w:name="_Toc28359084"/>
      <w:bookmarkStart w:id="21" w:name="_Toc28359007"/>
      <w:bookmarkStart w:id="22" w:name="_Toc35393625"/>
      <w:r>
        <w:rPr>
          <w:rFonts w:hint="eastAsia" w:ascii="黑体" w:hAnsi="黑体" w:eastAsia="黑体" w:cs="黑体"/>
          <w:color w:val="auto"/>
          <w:sz w:val="28"/>
          <w:szCs w:val="28"/>
          <w:highlight w:val="none"/>
        </w:rPr>
        <w:t>五、公告期限</w:t>
      </w:r>
      <w:bookmarkEnd w:id="19"/>
      <w:bookmarkEnd w:id="20"/>
      <w:bookmarkEnd w:id="21"/>
      <w:bookmarkEnd w:id="22"/>
    </w:p>
    <w:p w14:paraId="51CD2322">
      <w:pPr>
        <w:ind w:firstLine="560" w:firstLineChars="2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自本公告发布之日起5个工作日。</w:t>
      </w:r>
    </w:p>
    <w:p w14:paraId="3F46CA04">
      <w:pPr>
        <w:keepNext/>
        <w:keepLines/>
        <w:spacing w:before="260" w:after="26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六、投标保证金金额及缴纳账户</w:t>
      </w:r>
    </w:p>
    <w:p w14:paraId="44E0A722">
      <w:pPr>
        <w:pStyle w:val="119"/>
        <w:rPr>
          <w:color w:val="auto"/>
          <w:highlight w:val="none"/>
        </w:rPr>
      </w:pPr>
      <w:bookmarkStart w:id="23" w:name="_Toc35393795"/>
      <w:bookmarkStart w:id="24" w:name="_Toc35393626"/>
      <w:r>
        <w:rPr>
          <w:color w:val="auto"/>
          <w:highlight w:val="none"/>
        </w:rPr>
        <w:t>窗体顶端</w:t>
      </w:r>
    </w:p>
    <w:p w14:paraId="59787A3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1.投标保证金</w:t>
      </w:r>
    </w:p>
    <w:p w14:paraId="6B2C723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收取投标保证金的金额：5.3万元，要求投标人提交投标保证金。</w:t>
      </w:r>
    </w:p>
    <w:p w14:paraId="49FC384B">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2.投标保证金形式</w:t>
      </w:r>
    </w:p>
    <w:p w14:paraId="43C38AB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支持现金（银行转账、银行电汇等）、非现金形式（支票、银行汇票、本票等）、电子保函、纸质银行保函。</w:t>
      </w:r>
    </w:p>
    <w:p w14:paraId="2ED4FC69">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3.接收投标保证金的账户信息</w:t>
      </w:r>
    </w:p>
    <w:p w14:paraId="068F10C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3.11)采用现金形式的，投标保证金应当从投标人基本存款账户转出，投标保证金的到账截止时间为投标截止时间。投标保证金转出账户与投标人投标文件提供的基本存款账户不一致的，视为未按照招标文件规定提交投标保证金。提交投标保证金的开户银行及账号如下（选择任何一家银行提交即可）：</w:t>
      </w:r>
    </w:p>
    <w:p w14:paraId="47A7654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①户名：滁州市公共资源交易中心</w:t>
      </w:r>
    </w:p>
    <w:p w14:paraId="11A4D29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开户行：中国银行滁州分行 </w:t>
      </w:r>
    </w:p>
    <w:p w14:paraId="2FF18F6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号：181228933301                                </w:t>
      </w:r>
    </w:p>
    <w:p w14:paraId="36EB817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②户  名：滁州市公共资源交易中心 </w:t>
      </w:r>
    </w:p>
    <w:p w14:paraId="7BEF4EF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开户行：中国建设银行股份有限公司滁州南谯支行</w:t>
      </w:r>
    </w:p>
    <w:p w14:paraId="3AE7E2D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号：6232811720000036751                                </w:t>
      </w:r>
    </w:p>
    <w:p w14:paraId="4E4769E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③户  名：滁州市公共资源交易中心        </w:t>
      </w:r>
    </w:p>
    <w:p w14:paraId="01C721C5">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开户行：中国农业银行滁州中都支行                </w:t>
      </w:r>
    </w:p>
    <w:p w14:paraId="34A87867">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账  号：123340010400044210000000073                                </w:t>
      </w:r>
    </w:p>
    <w:p w14:paraId="130D92F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采用现金形式缴纳保证金时须在交易附言中注明：“czsjqt202602-007项目投标保证金”。</w:t>
      </w:r>
    </w:p>
    <w:p w14:paraId="1E2EB82C">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用支票、银行汇票、本票等非现金形式提交投标保证金时，投标人应在付款人开户行申请书附言处注明“czsjqt202602-007项目投标保证金”字样，应确保收款人开户行进账单完整反映交易附言内容，由此导致无法识别投标保证金对应的投标项目，其后果由投标人负责。</w:t>
      </w:r>
    </w:p>
    <w:p w14:paraId="311327B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3)采用电子保函形式具体要求如下：</w:t>
      </w:r>
    </w:p>
    <w:p w14:paraId="3B30D58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①电子保函提交要求：</w:t>
      </w:r>
    </w:p>
    <w:p w14:paraId="28161FD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a.投标人须在投标文件提交截止时间前提供与滁州市公共资源交易中心金融服务平台对接的电子保函，否则视为投标保证金未按规定要求缴纳。</w:t>
      </w:r>
    </w:p>
    <w:p w14:paraId="4080F25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b.电子保函生效时间须为所投项目规定的保证金到账截止时间之前，电子保函的有效期截止时间不得短于招标文件约定的投标有效期截止时间，否则视为投标保证金未按规定要求缴纳。</w:t>
      </w:r>
    </w:p>
    <w:p w14:paraId="49E058A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c.投标有效期内未能确定中标结果，需要延长投标有效期，投标人同意延长投标有效期的，须相应延长电子保函的有效期。</w:t>
      </w:r>
    </w:p>
    <w:p w14:paraId="259F74C4">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d.投标人存在投标保证金不予退还的情形，采用电子保函形式的将予以追缴。</w:t>
      </w:r>
    </w:p>
    <w:p w14:paraId="1CCC55A4">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4)采用纸质银行保函形式具体要求如下：</w:t>
      </w:r>
    </w:p>
    <w:p w14:paraId="6C13A63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①应为投标人基本账户开户银行出具的不可撤销、不可转让的见索即付独立保函,所需费用由投标人承担。</w:t>
      </w:r>
    </w:p>
    <w:p w14:paraId="12E7974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②投标人在投标文件中必须提供基本存款账户证明（如基本存款账户开户许可证或基本存款账户信息），同时将纸质保函扫描件提供在投标文件中。</w:t>
      </w:r>
    </w:p>
    <w:p w14:paraId="4D9CD3D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③投标人在投标文件中必须提供明确有效的查询途径（ 网址链接及查询方式），否则该纸质银行保函无效。</w:t>
      </w:r>
    </w:p>
    <w:p w14:paraId="4F27CFE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④中标候选人须在中标候选人公示期间将其开具至本招标项目的保函原件提交招标人（或招标代理机构），且原件须与投标文件中提供的扫描件一致，如存在未按照规定提交或提交内容不一致的，招标人有权取消其中标候选人资格；发现弄虚作假的，招标人（或招标代理机构）应报公共资源交易监管部门依法处理。</w:t>
      </w:r>
    </w:p>
    <w:p w14:paraId="04E74BC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3.2保证金电子保函业务应急处置措施。由于自然灾害、事故灾难、突发公共网络安全事件或者系统原因，以及保证金电子保函系统使用过程中出现的以下情况：</w:t>
      </w:r>
    </w:p>
    <w:p w14:paraId="42674AA8">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（1）开标时，系统获取明文保函文件异常，无法正常获取保函文件；</w:t>
      </w:r>
    </w:p>
    <w:p w14:paraId="2730FA4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（2）保证金电子保函系统的软件或数据库出现错误，不能进行正常操作；</w:t>
      </w:r>
    </w:p>
    <w:p w14:paraId="502CD2C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（3）保证金电子保函系统服务器发生故障等情况，无法访问或无法使用电子保函；</w:t>
      </w:r>
    </w:p>
    <w:p w14:paraId="5B229B4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（4）保证金电子保函系统服务器受到病毒或其他外来的攻击；</w:t>
      </w:r>
    </w:p>
    <w:p w14:paraId="17775D6F">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（5）其他影响电子保函出具的异常情形。</w:t>
      </w:r>
    </w:p>
    <w:p w14:paraId="7DFE618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由于上述原因导致投标人无法正常参加开评标的，招标人或招标代理机构应及时报告公共资源交易服务平台核实问题原因。投标人确实已购买电子保函，经监管部门同意后，投标人可以继续参加开评标。</w:t>
      </w:r>
    </w:p>
    <w:p w14:paraId="09FB968C">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3.3本次招标失败，再次进行招标的，投标人须按照新的账户重新缴纳投标保证金。</w:t>
      </w:r>
    </w:p>
    <w:p w14:paraId="3AC11433">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3.4投标人为联合体投标的，由牵头人基本账户转出投标保证金或由牵头人办理保函。</w:t>
      </w:r>
    </w:p>
    <w:p w14:paraId="25FDB879">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3.5是否适用免缴投标保证金政策：不适用。</w:t>
      </w:r>
    </w:p>
    <w:p w14:paraId="2AF7FA6B">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4.备注</w:t>
      </w:r>
    </w:p>
    <w:p w14:paraId="6FE03F35">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4.1投标人为联合体投标的，保证金由牵头人基本账户转入交易中心账户或由牵头人办理投标担保。</w:t>
      </w:r>
    </w:p>
    <w:p w14:paraId="24177BBA">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4.2本项目不缴纳投标保证金条款仅针对在投标过程中未违反本招标文件第二章“投标人须知”中第24.4项约定的投标人。如在投标过程中投标人存在本招标文件第二章“投标人须知”中第24.4项约定情形，则无条件按招标人要求的金额、时间、账号缴纳投标保证金。投标人采用银行保函、担保机构担保、保证保险方式提交投标保证金的，如出现本招标文件“投标人须知”第24.4项所列情形的，提供担保的银行、担保机构及保险机构将无条件向招标人支付保函所列的全部投标保证金金额，该支付行为视同投标保证金不予退还。</w:t>
      </w:r>
    </w:p>
    <w:p w14:paraId="1F11A7D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4.3投标人采用虚假银行保函、担保机构担保、保证保险方式提交投标保证金的，应依法承担弄虚作假、骗取中标的法律责任。</w:t>
      </w:r>
    </w:p>
    <w:p w14:paraId="622E00F1">
      <w:pPr>
        <w:pStyle w:val="120"/>
        <w:rPr>
          <w:color w:val="auto"/>
          <w:highlight w:val="none"/>
        </w:rPr>
      </w:pPr>
      <w:r>
        <w:rPr>
          <w:rFonts w:hint="eastAsia" w:ascii="仿宋" w:hAnsi="仿宋" w:eastAsia="仿宋" w:cs="Times New Roman"/>
          <w:color w:val="auto"/>
          <w:sz w:val="28"/>
          <w:szCs w:val="28"/>
          <w:highlight w:val="none"/>
        </w:rPr>
        <w:t>本项目不缴纳投标保证金条款仅针对在投标过程中未违反本招标文件第二章“投标人须知”中第</w:t>
      </w:r>
      <w:r>
        <w:rPr>
          <w:rFonts w:hint="eastAsia" w:ascii="仿宋" w:hAnsi="仿宋" w:eastAsia="仿宋" w:cs="Times New Roman"/>
          <w:color w:val="auto"/>
          <w:sz w:val="28"/>
          <w:szCs w:val="28"/>
          <w:highlight w:val="none"/>
          <w:lang w:val="en-US" w:eastAsia="zh-CN"/>
        </w:rPr>
        <w:t>23.4</w:t>
      </w:r>
      <w:r>
        <w:rPr>
          <w:rFonts w:hint="eastAsia" w:ascii="仿宋" w:hAnsi="仿宋" w:eastAsia="仿宋" w:cs="Times New Roman"/>
          <w:color w:val="auto"/>
          <w:sz w:val="28"/>
          <w:szCs w:val="28"/>
          <w:highlight w:val="none"/>
        </w:rPr>
        <w:t>项约定的投标人。如在投标过程中投标人存在本招标文件第二章“投标人须知”中第</w:t>
      </w:r>
      <w:r>
        <w:rPr>
          <w:rFonts w:hint="eastAsia" w:ascii="仿宋" w:hAnsi="仿宋" w:eastAsia="仿宋" w:cs="Times New Roman"/>
          <w:color w:val="auto"/>
          <w:sz w:val="28"/>
          <w:szCs w:val="28"/>
          <w:highlight w:val="none"/>
          <w:lang w:val="en-US" w:eastAsia="zh-CN"/>
        </w:rPr>
        <w:t>23</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4</w:t>
      </w:r>
      <w:r>
        <w:rPr>
          <w:rFonts w:hint="eastAsia" w:ascii="仿宋" w:hAnsi="仿宋" w:eastAsia="仿宋" w:cs="Times New Roman"/>
          <w:color w:val="auto"/>
          <w:sz w:val="28"/>
          <w:szCs w:val="28"/>
          <w:highlight w:val="none"/>
        </w:rPr>
        <w:t>项约定情形，则无条件按招标人要求的金额、时间、账号缴纳投标保证金。</w:t>
      </w:r>
      <w:r>
        <w:rPr>
          <w:color w:val="auto"/>
          <w:highlight w:val="none"/>
        </w:rPr>
        <w:t>窗体底端</w:t>
      </w:r>
    </w:p>
    <w:p w14:paraId="055BD6F4">
      <w:pPr>
        <w:keepNext/>
        <w:keepLines/>
        <w:spacing w:before="260" w:after="26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七、其他补充事宜</w:t>
      </w:r>
      <w:bookmarkEnd w:id="23"/>
      <w:bookmarkEnd w:id="24"/>
    </w:p>
    <w:p w14:paraId="45BB9D5E">
      <w:pPr>
        <w:ind w:firstLine="560" w:firstLineChars="200"/>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；（2）CA数字证书有关问题：安徽CA客服</w:t>
      </w:r>
      <w:r>
        <w:rPr>
          <w:rFonts w:hint="eastAsia" w:ascii="仿宋" w:hAnsi="仿宋" w:eastAsia="仿宋" w:cs="Times New Roman"/>
          <w:color w:val="auto"/>
          <w:sz w:val="28"/>
          <w:szCs w:val="28"/>
          <w:highlight w:val="none"/>
          <w:lang w:val="en-US" w:eastAsia="zh-CN"/>
        </w:rPr>
        <w:t>400-615-8899</w:t>
      </w:r>
      <w:r>
        <w:rPr>
          <w:rFonts w:hint="eastAsia" w:ascii="仿宋" w:hAnsi="仿宋" w:eastAsia="仿宋" w:cs="Times New Roman"/>
          <w:color w:val="auto"/>
          <w:sz w:val="28"/>
          <w:szCs w:val="28"/>
          <w:highlight w:val="none"/>
        </w:rPr>
        <w:t>、0550-3019013（工作日）,CFCA客服025-66085508 、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729604CF">
      <w:pPr>
        <w:ind w:firstLine="560" w:firstLineChars="200"/>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2.请投标人登录滁州市公共资源交易中心网站查看参加本项目的程序（具体操作步骤和程序请参见服务指南&gt;交易须知&gt;投标人填写投标信息、下载文件及网上提问操作手册）。</w:t>
      </w:r>
    </w:p>
    <w:p w14:paraId="2AE69080">
      <w:pPr>
        <w:ind w:firstLine="560" w:firstLineChars="200"/>
        <w:rPr>
          <w:rFonts w:hint="eastAsia"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3.本项目采用不见面开标(远程解密)方式，开标时投标人无须至开标现场进行解密，开标采取远程解密方式解密投标文件，投标人远程解密方式：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解密时间要求为：从本项目解密程序开始时计时，至完成投标文件解密时间，不得超过60分钟，否则投标文件将被拒绝。</w:t>
      </w:r>
    </w:p>
    <w:p w14:paraId="411DBF83">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4.投标文件格式、内容和制作要求以招标文件为准，投标文件制作工具中提供的相关格式及内容仅供参考，投标企业可根据招标文件要求自行调整。</w:t>
      </w:r>
    </w:p>
    <w:p w14:paraId="7FCDD002">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5.投标人提出异议的截止时间及方式：如投标人对招标文件有异议，请于2026年2月24日8时30分（投标截止10日）前在滁州市公共资源交易中心网电子交易系统中进行异议，具体操作步骤和程序请参见服务指南&gt;交易须知&gt;在线异议、质疑和投诉操作手册。</w:t>
      </w:r>
    </w:p>
    <w:p w14:paraId="7C050F11">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6.受理异议的联系人及联系方式：汪德胜0550-3166090、杨韦0550-3519590。</w:t>
      </w:r>
    </w:p>
    <w:p w14:paraId="5F387A34">
      <w:pPr>
        <w:ind w:firstLine="560" w:firstLineChars="200"/>
        <w:rPr>
          <w:rFonts w:hint="default" w:ascii="黑体" w:hAnsi="黑体" w:eastAsia="黑体" w:cs="黑体"/>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7.投标人提出投诉的方式：投标人或者其他利害关系人认为招标投标活动违反法律、法规和规章规定的，有权向相关行政监督部门投诉。在线投诉具体步骤和程序请参照服务指南&gt;投诉渠道 https://ggzy.chuzhou.gov.cn/fwzn/011001/serviceGuide.html；投诉书格式等内容参见服务指南&gt;办事指南&gt;投标人服务&gt;投诉受理一次告知书https://ggzy.chuzhou.gov.cn/fwzn/011001/011001001/011001001003/20211022/4b7d87ec-2c58-49b0-b76c-3a6277377930.html。</w:t>
      </w:r>
    </w:p>
    <w:p w14:paraId="74C69905">
      <w:pPr>
        <w:keepNext/>
        <w:keepLines/>
        <w:spacing w:before="260" w:after="260"/>
        <w:rPr>
          <w:rFonts w:hint="eastAsia" w:ascii="黑体" w:hAnsi="黑体" w:eastAsia="黑体" w:cs="黑体"/>
          <w:color w:val="auto"/>
          <w:sz w:val="28"/>
          <w:szCs w:val="28"/>
          <w:highlight w:val="none"/>
        </w:rPr>
      </w:pPr>
      <w:r>
        <w:rPr>
          <w:rFonts w:hint="eastAsia" w:ascii="黑体" w:hAnsi="黑体" w:eastAsia="黑体" w:cs="黑体"/>
          <w:color w:val="auto"/>
          <w:sz w:val="28"/>
          <w:szCs w:val="28"/>
          <w:highlight w:val="none"/>
        </w:rPr>
        <w:t>八、对本次招标提出询问，请按以下方式联系</w:t>
      </w:r>
    </w:p>
    <w:p w14:paraId="25363789">
      <w:pPr>
        <w:pStyle w:val="3"/>
        <w:numPr>
          <w:ilvl w:val="0"/>
          <w:numId w:val="0"/>
        </w:numPr>
        <w:adjustRightInd/>
        <w:spacing w:line="240" w:lineRule="auto"/>
        <w:ind w:left="-199" w:leftChars="-95" w:firstLine="560" w:firstLineChars="2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1.招标人信息</w:t>
      </w:r>
    </w:p>
    <w:p w14:paraId="7682FBC4">
      <w:pPr>
        <w:ind w:left="-199" w:leftChars="-95" w:firstLine="840" w:firstLineChars="3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名    称：</w:t>
      </w:r>
      <w:r>
        <w:rPr>
          <w:rFonts w:hint="eastAsia" w:ascii="仿宋" w:hAnsi="仿宋" w:eastAsia="仿宋" w:cs="仿宋"/>
          <w:color w:val="auto"/>
          <w:sz w:val="28"/>
          <w:szCs w:val="28"/>
          <w:highlight w:val="none"/>
          <w:u w:val="single"/>
          <w:lang w:eastAsia="zh-CN"/>
        </w:rPr>
        <w:t>中国扬子集团有限公司</w:t>
      </w:r>
      <w:r>
        <w:rPr>
          <w:rFonts w:hint="eastAsia" w:ascii="仿宋" w:hAnsi="仿宋" w:eastAsia="仿宋" w:cs="仿宋"/>
          <w:color w:val="auto"/>
          <w:sz w:val="28"/>
          <w:szCs w:val="28"/>
          <w:highlight w:val="none"/>
          <w:u w:val="single"/>
        </w:rPr>
        <w:t xml:space="preserve">  </w:t>
      </w:r>
    </w:p>
    <w:p w14:paraId="0E980CE4">
      <w:pPr>
        <w:ind w:left="-199" w:leftChars="-95" w:firstLine="840" w:firstLineChars="300"/>
        <w:jc w:val="left"/>
        <w:rPr>
          <w:rFonts w:hint="eastAsia" w:ascii="仿宋" w:hAnsi="仿宋" w:eastAsia="仿宋" w:cs="仿宋"/>
          <w:color w:val="auto"/>
          <w:sz w:val="28"/>
          <w:szCs w:val="28"/>
          <w:highlight w:val="none"/>
          <w:u w:val="single"/>
          <w:lang w:eastAsia="zh-CN"/>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u w:val="single"/>
          <w:lang w:val="en-US" w:eastAsia="zh-CN"/>
        </w:rPr>
        <w:t>滁州市南谯区中都大道与醉翁路交叉口西南角城投大厦4楼</w:t>
      </w:r>
    </w:p>
    <w:p w14:paraId="2CAD7035">
      <w:pPr>
        <w:ind w:left="-199" w:leftChars="-95" w:firstLine="840" w:firstLineChars="300"/>
        <w:jc w:val="left"/>
        <w:rPr>
          <w:rFonts w:hint="default"/>
          <w:color w:val="auto"/>
          <w:highlight w:val="none"/>
          <w:u w:val="single"/>
          <w:lang w:val="en-US"/>
        </w:rPr>
      </w:pPr>
      <w:r>
        <w:rPr>
          <w:rFonts w:hint="eastAsia" w:ascii="仿宋" w:hAnsi="仿宋" w:eastAsia="仿宋" w:cs="仿宋"/>
          <w:color w:val="auto"/>
          <w:sz w:val="28"/>
          <w:szCs w:val="28"/>
          <w:highlight w:val="none"/>
        </w:rPr>
        <w:t>联系方式：</w:t>
      </w:r>
      <w:r>
        <w:rPr>
          <w:rFonts w:hint="eastAsia" w:ascii="仿宋" w:hAnsi="仿宋" w:eastAsia="仿宋" w:cs="仿宋"/>
          <w:color w:val="auto"/>
          <w:sz w:val="28"/>
          <w:szCs w:val="28"/>
          <w:highlight w:val="none"/>
          <w:u w:val="single"/>
          <w:lang w:val="en-US" w:eastAsia="zh-CN"/>
        </w:rPr>
        <w:t xml:space="preserve">            </w:t>
      </w:r>
    </w:p>
    <w:p w14:paraId="66A19F57">
      <w:pPr>
        <w:pStyle w:val="3"/>
        <w:numPr>
          <w:ilvl w:val="0"/>
          <w:numId w:val="0"/>
        </w:numPr>
        <w:adjustRightInd/>
        <w:spacing w:line="240" w:lineRule="auto"/>
        <w:ind w:left="-199" w:leftChars="-95" w:firstLine="840" w:firstLineChars="3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2.代理机构信息</w:t>
      </w:r>
    </w:p>
    <w:p w14:paraId="41D91C55">
      <w:pPr>
        <w:ind w:left="-199" w:leftChars="-95" w:firstLine="840" w:firstLineChars="3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名    称：</w:t>
      </w:r>
      <w:r>
        <w:rPr>
          <w:rFonts w:hint="eastAsia" w:ascii="仿宋" w:hAnsi="仿宋" w:eastAsia="仿宋" w:cs="仿宋"/>
          <w:color w:val="auto"/>
          <w:sz w:val="28"/>
          <w:szCs w:val="28"/>
          <w:highlight w:val="none"/>
          <w:u w:val="single"/>
        </w:rPr>
        <w:t>滁州市城投工程咨询管理有限公司</w:t>
      </w:r>
    </w:p>
    <w:p w14:paraId="322B203B">
      <w:pPr>
        <w:ind w:left="-199" w:leftChars="-95" w:firstLine="840" w:firstLineChars="3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地　　址：</w:t>
      </w:r>
      <w:r>
        <w:rPr>
          <w:rFonts w:hint="eastAsia" w:ascii="仿宋" w:hAnsi="仿宋" w:eastAsia="仿宋" w:cs="仿宋"/>
          <w:color w:val="auto"/>
          <w:sz w:val="28"/>
          <w:szCs w:val="28"/>
          <w:highlight w:val="none"/>
          <w:u w:val="single"/>
        </w:rPr>
        <w:t>滁州市龙蟠大道109号房产大厦6楼</w:t>
      </w:r>
    </w:p>
    <w:p w14:paraId="2C3C29BE">
      <w:pPr>
        <w:ind w:left="-199" w:leftChars="-95" w:firstLine="840" w:firstLineChars="300"/>
        <w:jc w:val="left"/>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联系方式：</w:t>
      </w:r>
      <w:r>
        <w:rPr>
          <w:rFonts w:hint="eastAsia" w:ascii="仿宋" w:hAnsi="仿宋" w:eastAsia="仿宋" w:cs="仿宋"/>
          <w:color w:val="auto"/>
          <w:sz w:val="28"/>
          <w:szCs w:val="28"/>
          <w:highlight w:val="none"/>
          <w:u w:val="single"/>
        </w:rPr>
        <w:t>0550-3519590、18005501210</w:t>
      </w:r>
    </w:p>
    <w:p w14:paraId="40EF0942">
      <w:pPr>
        <w:pStyle w:val="3"/>
        <w:numPr>
          <w:ilvl w:val="0"/>
          <w:numId w:val="0"/>
        </w:numPr>
        <w:adjustRightInd/>
        <w:spacing w:line="240" w:lineRule="auto"/>
        <w:ind w:left="-199" w:leftChars="-95" w:firstLine="840" w:firstLineChars="300"/>
        <w:jc w:val="left"/>
        <w:textAlignment w:val="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3.项目联系方式</w:t>
      </w:r>
    </w:p>
    <w:p w14:paraId="37DBCC98">
      <w:pPr>
        <w:pStyle w:val="19"/>
        <w:ind w:left="-199" w:leftChars="-95" w:firstLine="840" w:firstLineChars="300"/>
        <w:jc w:val="left"/>
        <w:rPr>
          <w:rFonts w:hint="eastAsia" w:ascii="仿宋" w:hAnsi="仿宋" w:eastAsia="仿宋" w:cs="仿宋"/>
          <w:color w:val="auto"/>
          <w:sz w:val="28"/>
          <w:szCs w:val="28"/>
          <w:highlight w:val="none"/>
          <w:u w:val="single" w:color="auto"/>
        </w:rPr>
      </w:pPr>
      <w:r>
        <w:rPr>
          <w:rFonts w:hint="eastAsia" w:ascii="仿宋" w:hAnsi="仿宋" w:eastAsia="仿宋" w:cs="仿宋"/>
          <w:color w:val="auto"/>
          <w:sz w:val="28"/>
          <w:szCs w:val="28"/>
          <w:highlight w:val="none"/>
        </w:rPr>
        <w:t>项目联系人</w:t>
      </w:r>
      <w:r>
        <w:rPr>
          <w:rFonts w:hint="eastAsia" w:ascii="仿宋" w:hAnsi="仿宋" w:eastAsia="仿宋" w:cs="仿宋"/>
          <w:color w:val="auto"/>
          <w:sz w:val="28"/>
          <w:szCs w:val="28"/>
          <w:highlight w:val="none"/>
          <w:u w:val="none" w:color="auto"/>
        </w:rPr>
        <w:t>：</w:t>
      </w:r>
      <w:r>
        <w:rPr>
          <w:rFonts w:hint="eastAsia" w:ascii="仿宋" w:hAnsi="仿宋" w:eastAsia="仿宋" w:cs="仿宋"/>
          <w:color w:val="auto"/>
          <w:sz w:val="28"/>
          <w:szCs w:val="28"/>
          <w:highlight w:val="none"/>
          <w:u w:val="single" w:color="auto"/>
          <w:lang w:eastAsia="zh-CN"/>
        </w:rPr>
        <w:t>汪德胜</w:t>
      </w:r>
      <w:r>
        <w:rPr>
          <w:rFonts w:hint="eastAsia" w:ascii="仿宋" w:hAnsi="仿宋" w:eastAsia="仿宋" w:cs="仿宋"/>
          <w:color w:val="auto"/>
          <w:sz w:val="28"/>
          <w:szCs w:val="28"/>
          <w:highlight w:val="none"/>
          <w:u w:val="single" w:color="auto"/>
          <w:lang w:val="en-US" w:eastAsia="zh-CN"/>
        </w:rPr>
        <w:t>、</w:t>
      </w:r>
      <w:r>
        <w:rPr>
          <w:rFonts w:hint="eastAsia" w:ascii="仿宋" w:hAnsi="仿宋" w:eastAsia="仿宋" w:cs="仿宋"/>
          <w:color w:val="auto"/>
          <w:sz w:val="28"/>
          <w:szCs w:val="28"/>
          <w:highlight w:val="none"/>
          <w:u w:val="single" w:color="auto"/>
        </w:rPr>
        <w:t xml:space="preserve">杨韦   </w:t>
      </w:r>
      <w:r>
        <w:rPr>
          <w:rFonts w:hint="eastAsia" w:ascii="仿宋" w:hAnsi="仿宋" w:eastAsia="仿宋" w:cs="仿宋"/>
          <w:color w:val="auto"/>
          <w:sz w:val="28"/>
          <w:szCs w:val="28"/>
          <w:highlight w:val="none"/>
          <w:u w:val="none" w:color="auto"/>
        </w:rPr>
        <w:t xml:space="preserve">  </w:t>
      </w:r>
      <w:r>
        <w:rPr>
          <w:rFonts w:hint="eastAsia" w:ascii="仿宋" w:hAnsi="仿宋" w:eastAsia="仿宋" w:cs="仿宋"/>
          <w:color w:val="auto"/>
          <w:sz w:val="28"/>
          <w:szCs w:val="28"/>
          <w:highlight w:val="none"/>
          <w:u w:val="single" w:color="auto"/>
        </w:rPr>
        <w:t xml:space="preserve">    </w:t>
      </w:r>
    </w:p>
    <w:p w14:paraId="2E11348D">
      <w:pPr>
        <w:ind w:left="-199" w:leftChars="-95" w:firstLine="840" w:firstLineChars="300"/>
        <w:jc w:val="left"/>
        <w:rPr>
          <w:rFonts w:ascii="仿宋" w:hAnsi="仿宋" w:eastAsia="仿宋"/>
          <w:color w:val="auto"/>
          <w:sz w:val="28"/>
          <w:szCs w:val="28"/>
          <w:highlight w:val="none"/>
          <w:u w:val="single"/>
        </w:rPr>
      </w:pPr>
      <w:r>
        <w:rPr>
          <w:rFonts w:hint="eastAsia" w:ascii="仿宋" w:hAnsi="仿宋" w:eastAsia="仿宋" w:cs="仿宋"/>
          <w:color w:val="auto"/>
          <w:sz w:val="28"/>
          <w:szCs w:val="28"/>
          <w:highlight w:val="none"/>
        </w:rPr>
        <w:t>电　　 话：</w:t>
      </w:r>
      <w:r>
        <w:rPr>
          <w:rFonts w:hint="eastAsia" w:ascii="仿宋" w:hAnsi="仿宋" w:eastAsia="仿宋" w:cs="仿宋"/>
          <w:color w:val="auto"/>
          <w:sz w:val="28"/>
          <w:szCs w:val="28"/>
          <w:highlight w:val="none"/>
          <w:u w:val="single"/>
          <w:lang w:val="en-US" w:eastAsia="zh-CN"/>
        </w:rPr>
        <w:t>0550-3166090、</w:t>
      </w:r>
      <w:r>
        <w:rPr>
          <w:rFonts w:hint="eastAsia" w:ascii="仿宋" w:hAnsi="仿宋" w:eastAsia="仿宋" w:cs="仿宋"/>
          <w:color w:val="auto"/>
          <w:sz w:val="28"/>
          <w:szCs w:val="28"/>
          <w:highlight w:val="none"/>
          <w:u w:val="single"/>
        </w:rPr>
        <w:t xml:space="preserve">0550-3519590 </w:t>
      </w:r>
    </w:p>
    <w:p w14:paraId="4E06D583">
      <w:pPr>
        <w:pStyle w:val="2"/>
        <w:keepNext/>
        <w:keepLines/>
        <w:pageBreakBefore w:val="0"/>
        <w:widowControl w:val="0"/>
        <w:kinsoku/>
        <w:wordWrap/>
        <w:overflowPunct/>
        <w:topLinePunct w:val="0"/>
        <w:autoSpaceDE/>
        <w:autoSpaceDN/>
        <w:bidi w:val="0"/>
        <w:adjustRightInd/>
        <w:snapToGrid/>
        <w:spacing w:before="156" w:beforeLines="50" w:after="156" w:afterLines="50" w:line="500" w:lineRule="exact"/>
        <w:textAlignment w:val="auto"/>
        <w:rPr>
          <w:rFonts w:hint="eastAsia" w:ascii="宋体"/>
          <w:b w:val="0"/>
          <w:color w:val="auto"/>
          <w:szCs w:val="32"/>
          <w:highlight w:val="none"/>
        </w:rPr>
      </w:pPr>
      <w:bookmarkStart w:id="25" w:name="_Toc20364"/>
      <w:r>
        <w:rPr>
          <w:rFonts w:hint="eastAsia"/>
          <w:color w:val="auto"/>
          <w:highlight w:val="none"/>
        </w:rPr>
        <w:br w:type="page"/>
      </w:r>
      <w:r>
        <w:rPr>
          <w:rFonts w:hint="eastAsia"/>
          <w:color w:val="auto"/>
          <w:highlight w:val="none"/>
        </w:rPr>
        <w:t>第二章 投标人须知</w:t>
      </w:r>
      <w:bookmarkEnd w:id="25"/>
    </w:p>
    <w:p w14:paraId="05CB2504">
      <w:pPr>
        <w:snapToGrid w:val="0"/>
        <w:spacing w:line="440" w:lineRule="exact"/>
        <w:jc w:val="center"/>
        <w:outlineLvl w:val="1"/>
        <w:rPr>
          <w:rFonts w:hint="eastAsia" w:ascii="宋体"/>
          <w:b/>
          <w:color w:val="auto"/>
          <w:sz w:val="28"/>
          <w:szCs w:val="28"/>
          <w:highlight w:val="none"/>
        </w:rPr>
      </w:pPr>
      <w:bookmarkStart w:id="26" w:name="_Toc1019"/>
      <w:bookmarkStart w:id="27" w:name="_Toc58430314"/>
      <w:bookmarkStart w:id="28" w:name="_Toc449028865"/>
      <w:r>
        <w:rPr>
          <w:rFonts w:hint="eastAsia" w:ascii="宋体"/>
          <w:b/>
          <w:color w:val="auto"/>
          <w:sz w:val="32"/>
          <w:szCs w:val="32"/>
          <w:highlight w:val="none"/>
        </w:rPr>
        <w:t>一、</w:t>
      </w:r>
      <w:r>
        <w:rPr>
          <w:rFonts w:hint="eastAsia" w:ascii="宋体"/>
          <w:b/>
          <w:color w:val="auto"/>
          <w:sz w:val="28"/>
          <w:szCs w:val="28"/>
          <w:highlight w:val="none"/>
        </w:rPr>
        <w:t>投标人须知前附表</w:t>
      </w:r>
      <w:bookmarkEnd w:id="26"/>
      <w:bookmarkEnd w:id="27"/>
      <w:bookmarkEnd w:id="28"/>
    </w:p>
    <w:tbl>
      <w:tblPr>
        <w:tblStyle w:val="35"/>
        <w:tblW w:w="10033" w:type="dxa"/>
        <w:tblInd w:w="-50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90"/>
        <w:gridCol w:w="1171"/>
        <w:gridCol w:w="1109"/>
        <w:gridCol w:w="6763"/>
      </w:tblGrid>
      <w:tr w14:paraId="4EE8AD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6" w:hRule="atLeast"/>
        </w:trPr>
        <w:tc>
          <w:tcPr>
            <w:tcW w:w="990" w:type="dxa"/>
            <w:noWrap w:val="0"/>
            <w:vAlign w:val="center"/>
          </w:tcPr>
          <w:p w14:paraId="15CEC65B">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条款号</w:t>
            </w:r>
          </w:p>
        </w:tc>
        <w:tc>
          <w:tcPr>
            <w:tcW w:w="2280" w:type="dxa"/>
            <w:gridSpan w:val="2"/>
            <w:noWrap w:val="0"/>
            <w:vAlign w:val="center"/>
          </w:tcPr>
          <w:p w14:paraId="5553C49F">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c>
          <w:tcPr>
            <w:tcW w:w="6763" w:type="dxa"/>
            <w:noWrap w:val="0"/>
            <w:vAlign w:val="center"/>
          </w:tcPr>
          <w:p w14:paraId="7FAE6257">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说明与要求</w:t>
            </w:r>
          </w:p>
        </w:tc>
      </w:tr>
      <w:tr w14:paraId="1B79EB7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9" w:hRule="atLeast"/>
        </w:trPr>
        <w:tc>
          <w:tcPr>
            <w:tcW w:w="990" w:type="dxa"/>
            <w:noWrap w:val="0"/>
            <w:vAlign w:val="center"/>
          </w:tcPr>
          <w:p w14:paraId="7AE7E669">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280" w:type="dxa"/>
            <w:gridSpan w:val="2"/>
            <w:noWrap w:val="0"/>
            <w:vAlign w:val="center"/>
          </w:tcPr>
          <w:p w14:paraId="75B67584">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763" w:type="dxa"/>
            <w:noWrap w:val="0"/>
            <w:vAlign w:val="center"/>
          </w:tcPr>
          <w:p w14:paraId="464D76D8">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hAnsi="宋体" w:cs="宋体"/>
                <w:color w:val="auto"/>
                <w:sz w:val="21"/>
                <w:szCs w:val="21"/>
                <w:highlight w:val="none"/>
                <w:lang w:eastAsia="zh-CN"/>
              </w:rPr>
              <w:t>滁州市扬子大道768号文创园经营服务项目</w:t>
            </w:r>
          </w:p>
        </w:tc>
      </w:tr>
      <w:tr w14:paraId="1582A4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19" w:hRule="atLeast"/>
        </w:trPr>
        <w:tc>
          <w:tcPr>
            <w:tcW w:w="990" w:type="dxa"/>
            <w:noWrap w:val="0"/>
            <w:vAlign w:val="center"/>
          </w:tcPr>
          <w:p w14:paraId="0B8CD01E">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280" w:type="dxa"/>
            <w:gridSpan w:val="2"/>
            <w:noWrap w:val="0"/>
            <w:vAlign w:val="center"/>
          </w:tcPr>
          <w:p w14:paraId="68A81843">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项目编号</w:t>
            </w:r>
          </w:p>
        </w:tc>
        <w:tc>
          <w:tcPr>
            <w:tcW w:w="6763" w:type="dxa"/>
            <w:noWrap w:val="0"/>
            <w:vAlign w:val="center"/>
          </w:tcPr>
          <w:p w14:paraId="2E23593F">
            <w:pPr>
              <w:pStyle w:val="19"/>
              <w:keepNext w:val="0"/>
              <w:keepLines w:val="0"/>
              <w:pageBreakBefore w:val="0"/>
              <w:kinsoku/>
              <w:overflowPunct/>
              <w:autoSpaceDE/>
              <w:autoSpaceDN/>
              <w:bidi w:val="0"/>
              <w:spacing w:line="500" w:lineRule="exact"/>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czsjqt202</w:t>
            </w:r>
            <w:r>
              <w:rPr>
                <w:rFonts w:hint="eastAsia" w:hAnsi="宋体" w:cs="宋体"/>
                <w:color w:val="auto"/>
                <w:sz w:val="21"/>
                <w:szCs w:val="21"/>
                <w:highlight w:val="none"/>
                <w:lang w:val="en-US" w:eastAsia="zh-CN"/>
              </w:rPr>
              <w:t>602-007</w:t>
            </w:r>
          </w:p>
        </w:tc>
      </w:tr>
      <w:tr w14:paraId="44AA63A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0" w:hRule="atLeast"/>
        </w:trPr>
        <w:tc>
          <w:tcPr>
            <w:tcW w:w="990" w:type="dxa"/>
            <w:noWrap w:val="0"/>
            <w:vAlign w:val="center"/>
          </w:tcPr>
          <w:p w14:paraId="07603EC1">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280" w:type="dxa"/>
            <w:gridSpan w:val="2"/>
            <w:noWrap w:val="0"/>
            <w:vAlign w:val="center"/>
          </w:tcPr>
          <w:p w14:paraId="126543AC">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合同履行期限</w:t>
            </w:r>
          </w:p>
        </w:tc>
        <w:tc>
          <w:tcPr>
            <w:tcW w:w="6763" w:type="dxa"/>
            <w:noWrap w:val="0"/>
            <w:vAlign w:val="center"/>
          </w:tcPr>
          <w:p w14:paraId="6DA7B7F3">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运营期</w:t>
            </w:r>
            <w:r>
              <w:rPr>
                <w:rFonts w:hint="eastAsia" w:ascii="宋体" w:hAnsi="宋体" w:cs="宋体"/>
                <w:color w:val="auto"/>
                <w:sz w:val="21"/>
                <w:szCs w:val="21"/>
                <w:highlight w:val="none"/>
                <w:lang w:val="en-US" w:eastAsia="zh-CN"/>
              </w:rPr>
              <w:t>10年（自招标人以书面形式将整个园区及附属用地交付至中标人之日起开始计算运营期）</w:t>
            </w:r>
          </w:p>
        </w:tc>
      </w:tr>
      <w:tr w14:paraId="7A7431C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9" w:hRule="atLeast"/>
        </w:trPr>
        <w:tc>
          <w:tcPr>
            <w:tcW w:w="990" w:type="dxa"/>
            <w:noWrap w:val="0"/>
            <w:vAlign w:val="center"/>
          </w:tcPr>
          <w:p w14:paraId="7C3649C4">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2280" w:type="dxa"/>
            <w:gridSpan w:val="2"/>
            <w:noWrap w:val="0"/>
            <w:vAlign w:val="center"/>
          </w:tcPr>
          <w:p w14:paraId="09D0C898">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763" w:type="dxa"/>
            <w:noWrap w:val="0"/>
            <w:vAlign w:val="center"/>
          </w:tcPr>
          <w:p w14:paraId="01585A78">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滁州市琅琊区扬子大道768号园区</w:t>
            </w:r>
          </w:p>
        </w:tc>
      </w:tr>
      <w:tr w14:paraId="566AB1D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8" w:hRule="atLeast"/>
        </w:trPr>
        <w:tc>
          <w:tcPr>
            <w:tcW w:w="990" w:type="dxa"/>
            <w:noWrap w:val="0"/>
            <w:vAlign w:val="center"/>
          </w:tcPr>
          <w:p w14:paraId="48B57503">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280" w:type="dxa"/>
            <w:gridSpan w:val="2"/>
            <w:noWrap w:val="0"/>
            <w:vAlign w:val="center"/>
          </w:tcPr>
          <w:p w14:paraId="614B13D7">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招标人联系人及电话</w:t>
            </w:r>
          </w:p>
        </w:tc>
        <w:tc>
          <w:tcPr>
            <w:tcW w:w="6763" w:type="dxa"/>
            <w:noWrap w:val="0"/>
            <w:vAlign w:val="center"/>
          </w:tcPr>
          <w:p w14:paraId="4355B9CB">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联系人：</w:t>
            </w:r>
            <w:r>
              <w:rPr>
                <w:rFonts w:hint="eastAsia" w:hAnsi="宋体" w:cs="宋体"/>
                <w:color w:val="auto"/>
                <w:sz w:val="21"/>
                <w:szCs w:val="21"/>
                <w:highlight w:val="none"/>
                <w:lang w:val="en-US" w:eastAsia="zh-CN"/>
              </w:rPr>
              <w:t>汪德胜</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 xml:space="preserve">    </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val="en-US" w:eastAsia="zh-CN"/>
              </w:rPr>
              <w:t>0550-316609</w:t>
            </w:r>
            <w:r>
              <w:rPr>
                <w:rFonts w:hint="eastAsia" w:hAnsi="宋体" w:cs="宋体"/>
                <w:color w:val="auto"/>
                <w:sz w:val="21"/>
                <w:szCs w:val="21"/>
                <w:highlight w:val="none"/>
                <w:lang w:val="en-US" w:eastAsia="zh-CN"/>
              </w:rPr>
              <w:t>0</w:t>
            </w:r>
            <w:r>
              <w:rPr>
                <w:rFonts w:hint="eastAsia" w:ascii="宋体" w:hAnsi="宋体" w:eastAsia="宋体" w:cs="宋体"/>
                <w:color w:val="auto"/>
                <w:sz w:val="21"/>
                <w:szCs w:val="21"/>
                <w:highlight w:val="none"/>
                <w:lang w:val="en-US" w:eastAsia="zh-CN"/>
              </w:rPr>
              <w:t xml:space="preserve"> </w:t>
            </w:r>
          </w:p>
        </w:tc>
      </w:tr>
      <w:tr w14:paraId="6A93D6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00" w:hRule="atLeast"/>
        </w:trPr>
        <w:tc>
          <w:tcPr>
            <w:tcW w:w="990" w:type="dxa"/>
            <w:noWrap w:val="0"/>
            <w:vAlign w:val="center"/>
          </w:tcPr>
          <w:p w14:paraId="075BAB1B">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2280" w:type="dxa"/>
            <w:gridSpan w:val="2"/>
            <w:noWrap w:val="0"/>
            <w:vAlign w:val="center"/>
          </w:tcPr>
          <w:p w14:paraId="33CACCB9">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采购代理机构联系人及电话</w:t>
            </w:r>
          </w:p>
        </w:tc>
        <w:tc>
          <w:tcPr>
            <w:tcW w:w="6763" w:type="dxa"/>
            <w:noWrap w:val="0"/>
            <w:vAlign w:val="center"/>
          </w:tcPr>
          <w:p w14:paraId="1234B95F">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联系人：杨韦       </w:t>
            </w:r>
            <w:r>
              <w:rPr>
                <w:rFonts w:hint="eastAsia"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电话0550-3519590   18005501210</w:t>
            </w:r>
          </w:p>
        </w:tc>
      </w:tr>
      <w:tr w14:paraId="14D7FE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990" w:type="dxa"/>
            <w:noWrap w:val="0"/>
            <w:vAlign w:val="center"/>
          </w:tcPr>
          <w:p w14:paraId="3A866B48">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2280" w:type="dxa"/>
            <w:gridSpan w:val="2"/>
            <w:noWrap w:val="0"/>
            <w:vAlign w:val="center"/>
          </w:tcPr>
          <w:p w14:paraId="21703FF3">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资金来源                                                                                                                                                                 </w:t>
            </w:r>
          </w:p>
        </w:tc>
        <w:tc>
          <w:tcPr>
            <w:tcW w:w="6763" w:type="dxa"/>
            <w:noWrap w:val="0"/>
            <w:vAlign w:val="center"/>
          </w:tcPr>
          <w:p w14:paraId="6A3B86F5">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自筹资金</w:t>
            </w:r>
          </w:p>
        </w:tc>
      </w:tr>
      <w:tr w14:paraId="6BFF78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2" w:hRule="atLeast"/>
        </w:trPr>
        <w:tc>
          <w:tcPr>
            <w:tcW w:w="990" w:type="dxa"/>
            <w:noWrap w:val="0"/>
            <w:vAlign w:val="center"/>
          </w:tcPr>
          <w:p w14:paraId="6C6535C7">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2280" w:type="dxa"/>
            <w:gridSpan w:val="2"/>
            <w:noWrap w:val="0"/>
            <w:vAlign w:val="center"/>
          </w:tcPr>
          <w:p w14:paraId="5B8A4A6F">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w:t>
            </w:r>
          </w:p>
        </w:tc>
        <w:tc>
          <w:tcPr>
            <w:tcW w:w="6763" w:type="dxa"/>
            <w:noWrap w:val="0"/>
            <w:vAlign w:val="center"/>
          </w:tcPr>
          <w:p w14:paraId="045103C1">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kern w:val="2"/>
                <w:sz w:val="21"/>
                <w:szCs w:val="21"/>
                <w:highlight w:val="none"/>
                <w:u w:val="none" w:color="000000"/>
                <w:lang w:val="en-US" w:eastAsia="zh-CN" w:bidi="ar-SA"/>
              </w:rPr>
            </w:pPr>
            <w:r>
              <w:rPr>
                <w:rFonts w:hint="eastAsia" w:hAnsi="宋体" w:cs="宋体"/>
                <w:color w:val="auto"/>
                <w:kern w:val="2"/>
                <w:sz w:val="21"/>
                <w:szCs w:val="21"/>
                <w:highlight w:val="none"/>
                <w:u w:val="none"/>
                <w:lang w:val="en-US" w:eastAsia="zh-CN" w:bidi="ar-SA"/>
              </w:rPr>
              <w:t>2692000</w:t>
            </w:r>
            <w:r>
              <w:rPr>
                <w:rFonts w:hint="eastAsia" w:ascii="宋体" w:hAnsi="宋体" w:eastAsia="宋体" w:cs="宋体"/>
                <w:color w:val="auto"/>
                <w:kern w:val="2"/>
                <w:sz w:val="21"/>
                <w:szCs w:val="21"/>
                <w:highlight w:val="none"/>
                <w:u w:val="none"/>
                <w:lang w:val="en-US" w:eastAsia="zh-CN" w:bidi="ar-SA"/>
              </w:rPr>
              <w:t>.00元/年</w:t>
            </w:r>
          </w:p>
        </w:tc>
      </w:tr>
      <w:tr w14:paraId="2C93876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90" w:type="dxa"/>
            <w:noWrap w:val="0"/>
            <w:vAlign w:val="center"/>
          </w:tcPr>
          <w:p w14:paraId="0008574E">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2280" w:type="dxa"/>
            <w:gridSpan w:val="2"/>
            <w:noWrap w:val="0"/>
            <w:vAlign w:val="center"/>
          </w:tcPr>
          <w:p w14:paraId="2D629750">
            <w:pPr>
              <w:pStyle w:val="19"/>
              <w:keepNext w:val="0"/>
              <w:keepLines w:val="0"/>
              <w:pageBreakBefore w:val="0"/>
              <w:kinsoku/>
              <w:overflowPunct/>
              <w:autoSpaceDE/>
              <w:autoSpaceDN/>
              <w:bidi w:val="0"/>
              <w:spacing w:line="500" w:lineRule="exact"/>
              <w:jc w:val="left"/>
              <w:textAlignment w:val="auto"/>
              <w:rPr>
                <w:rFonts w:hint="default" w:ascii="宋体" w:hAnsi="宋体" w:eastAsia="宋体" w:cs="宋体"/>
                <w:color w:val="auto"/>
                <w:sz w:val="21"/>
                <w:szCs w:val="21"/>
                <w:highlight w:val="none"/>
                <w:lang w:val="en-US" w:eastAsia="zh-CN"/>
              </w:rPr>
            </w:pPr>
            <w:r>
              <w:rPr>
                <w:rFonts w:hint="eastAsia" w:hAnsi="宋体" w:cs="宋体"/>
                <w:color w:val="auto"/>
                <w:sz w:val="21"/>
                <w:szCs w:val="21"/>
                <w:highlight w:val="none"/>
                <w:lang w:val="en-US" w:eastAsia="zh-CN"/>
              </w:rPr>
              <w:t>投标限价</w:t>
            </w:r>
          </w:p>
        </w:tc>
        <w:tc>
          <w:tcPr>
            <w:tcW w:w="6763" w:type="dxa"/>
            <w:noWrap w:val="0"/>
            <w:vAlign w:val="center"/>
          </w:tcPr>
          <w:p w14:paraId="668FF66C">
            <w:pPr>
              <w:keepNext w:val="0"/>
              <w:keepLines w:val="0"/>
              <w:pageBreakBefore w:val="0"/>
              <w:kinsoku/>
              <w:overflowPunct/>
              <w:autoSpaceDE/>
              <w:autoSpaceDN/>
              <w:bidi w:val="0"/>
              <w:spacing w:line="500" w:lineRule="exact"/>
              <w:textAlignment w:val="auto"/>
              <w:rPr>
                <w:rFonts w:hint="eastAsia" w:ascii="宋体" w:hAnsi="宋体" w:eastAsia="宋体" w:cs="宋体"/>
                <w:color w:val="auto"/>
                <w:kern w:val="2"/>
                <w:sz w:val="21"/>
                <w:szCs w:val="21"/>
                <w:highlight w:val="none"/>
                <w:u w:val="none" w:color="000000"/>
                <w:lang w:val="en-US" w:eastAsia="zh-CN" w:bidi="ar-SA"/>
              </w:rPr>
            </w:pPr>
            <w:r>
              <w:rPr>
                <w:rFonts w:hint="eastAsia" w:ascii="宋体" w:hAnsi="宋体" w:cs="宋体"/>
                <w:color w:val="auto"/>
                <w:sz w:val="21"/>
                <w:szCs w:val="21"/>
                <w:highlight w:val="none"/>
                <w:lang w:val="en-US" w:eastAsia="zh-CN"/>
              </w:rPr>
              <w:t>2692000.00元/年（其中768号文创园承租费限价为9元/平方米·月），</w:t>
            </w:r>
            <w:r>
              <w:rPr>
                <w:rFonts w:hint="eastAsia" w:ascii="宋体" w:hAnsi="宋体" w:cs="宋体"/>
                <w:color w:val="auto"/>
                <w:szCs w:val="21"/>
                <w:highlight w:val="none"/>
                <w:u w:val="none" w:color="000000"/>
                <w:lang w:val="en-US" w:eastAsia="zh-CN"/>
              </w:rPr>
              <w:t>投标报价不得低于此限价，否则按无效标处理。</w:t>
            </w:r>
            <w:r>
              <w:rPr>
                <w:rFonts w:hint="eastAsia"/>
                <w:color w:val="auto"/>
                <w:highlight w:val="none"/>
                <w:lang w:val="en-US" w:eastAsia="zh-CN"/>
              </w:rPr>
              <w:t>上述报价均</w:t>
            </w:r>
            <w:r>
              <w:rPr>
                <w:rFonts w:hint="eastAsia" w:eastAsia="宋体"/>
                <w:color w:val="auto"/>
                <w:highlight w:val="none"/>
              </w:rPr>
              <w:t>保留两位小数，第三位四舍五入</w:t>
            </w:r>
            <w:r>
              <w:rPr>
                <w:rFonts w:hint="eastAsia"/>
                <w:color w:val="auto"/>
                <w:highlight w:val="none"/>
                <w:lang w:eastAsia="zh-CN"/>
              </w:rPr>
              <w:t>。</w:t>
            </w:r>
          </w:p>
        </w:tc>
      </w:tr>
      <w:tr w14:paraId="1021CD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80" w:hRule="atLeast"/>
        </w:trPr>
        <w:tc>
          <w:tcPr>
            <w:tcW w:w="990" w:type="dxa"/>
            <w:noWrap w:val="0"/>
            <w:vAlign w:val="center"/>
          </w:tcPr>
          <w:p w14:paraId="55DF0AE1">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w:t>
            </w:r>
          </w:p>
        </w:tc>
        <w:tc>
          <w:tcPr>
            <w:tcW w:w="2280" w:type="dxa"/>
            <w:gridSpan w:val="2"/>
            <w:noWrap w:val="0"/>
            <w:vAlign w:val="center"/>
          </w:tcPr>
          <w:p w14:paraId="6CF77162">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采购内容</w:t>
            </w:r>
          </w:p>
        </w:tc>
        <w:tc>
          <w:tcPr>
            <w:tcW w:w="6763" w:type="dxa"/>
            <w:noWrap w:val="0"/>
            <w:vAlign w:val="center"/>
          </w:tcPr>
          <w:p w14:paraId="78F93E5B">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b/>
                <w:color w:val="auto"/>
                <w:kern w:val="0"/>
                <w:sz w:val="21"/>
                <w:szCs w:val="21"/>
                <w:highlight w:val="none"/>
              </w:rPr>
              <w:t>具体详见《采购内容及</w:t>
            </w:r>
            <w:r>
              <w:rPr>
                <w:rFonts w:hint="eastAsia" w:ascii="宋体" w:hAnsi="宋体" w:eastAsia="宋体" w:cs="宋体"/>
                <w:b/>
                <w:color w:val="auto"/>
                <w:kern w:val="0"/>
                <w:sz w:val="21"/>
                <w:szCs w:val="21"/>
                <w:highlight w:val="none"/>
                <w:lang w:val="en-US" w:eastAsia="zh-CN"/>
              </w:rPr>
              <w:t>服务</w:t>
            </w:r>
            <w:r>
              <w:rPr>
                <w:rFonts w:hint="eastAsia" w:ascii="宋体" w:hAnsi="宋体" w:eastAsia="宋体" w:cs="宋体"/>
                <w:b/>
                <w:color w:val="auto"/>
                <w:kern w:val="0"/>
                <w:sz w:val="21"/>
                <w:szCs w:val="21"/>
                <w:highlight w:val="none"/>
              </w:rPr>
              <w:t>要求》</w:t>
            </w:r>
          </w:p>
        </w:tc>
      </w:tr>
      <w:tr w14:paraId="388F84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90" w:type="dxa"/>
            <w:noWrap w:val="0"/>
            <w:vAlign w:val="center"/>
          </w:tcPr>
          <w:p w14:paraId="7272BBAC">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w:t>
            </w:r>
          </w:p>
        </w:tc>
        <w:tc>
          <w:tcPr>
            <w:tcW w:w="2280" w:type="dxa"/>
            <w:gridSpan w:val="2"/>
            <w:noWrap w:val="0"/>
            <w:vAlign w:val="center"/>
          </w:tcPr>
          <w:p w14:paraId="7FE2BA82">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标包划分</w:t>
            </w:r>
          </w:p>
        </w:tc>
        <w:tc>
          <w:tcPr>
            <w:tcW w:w="6763" w:type="dxa"/>
            <w:noWrap w:val="0"/>
            <w:vAlign w:val="center"/>
          </w:tcPr>
          <w:p w14:paraId="638A188D">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本项目划分为</w:t>
            </w:r>
            <w:r>
              <w:rPr>
                <w:rFonts w:hint="eastAsia" w:ascii="宋体" w:hAnsi="宋体" w:eastAsia="宋体" w:cs="宋体"/>
                <w:color w:val="auto"/>
                <w:sz w:val="21"/>
                <w:szCs w:val="21"/>
                <w:highlight w:val="none"/>
                <w:u w:val="single"/>
              </w:rPr>
              <w:t xml:space="preserve"> 1</w:t>
            </w:r>
            <w:r>
              <w:rPr>
                <w:rFonts w:hint="eastAsia" w:ascii="宋体" w:hAnsi="宋体" w:eastAsia="宋体" w:cs="宋体"/>
                <w:color w:val="auto"/>
                <w:sz w:val="21"/>
                <w:szCs w:val="21"/>
                <w:highlight w:val="none"/>
              </w:rPr>
              <w:t>个标包</w:t>
            </w:r>
          </w:p>
        </w:tc>
      </w:tr>
      <w:tr w14:paraId="6EF4D3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990" w:type="dxa"/>
            <w:noWrap w:val="0"/>
            <w:vAlign w:val="center"/>
          </w:tcPr>
          <w:p w14:paraId="167D1971">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p>
        </w:tc>
        <w:tc>
          <w:tcPr>
            <w:tcW w:w="2280" w:type="dxa"/>
            <w:gridSpan w:val="2"/>
            <w:noWrap w:val="0"/>
            <w:vAlign w:val="center"/>
          </w:tcPr>
          <w:p w14:paraId="0DE3BB8B">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招标方式</w:t>
            </w:r>
          </w:p>
        </w:tc>
        <w:tc>
          <w:tcPr>
            <w:tcW w:w="6763" w:type="dxa"/>
            <w:noWrap w:val="0"/>
            <w:vAlign w:val="center"/>
          </w:tcPr>
          <w:p w14:paraId="24B5EB72">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公开招标</w:t>
            </w:r>
          </w:p>
        </w:tc>
      </w:tr>
      <w:tr w14:paraId="4F128E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03" w:hRule="atLeast"/>
        </w:trPr>
        <w:tc>
          <w:tcPr>
            <w:tcW w:w="990" w:type="dxa"/>
            <w:noWrap w:val="0"/>
            <w:vAlign w:val="center"/>
          </w:tcPr>
          <w:p w14:paraId="662D4158">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w:t>
            </w:r>
          </w:p>
        </w:tc>
        <w:tc>
          <w:tcPr>
            <w:tcW w:w="2280" w:type="dxa"/>
            <w:gridSpan w:val="2"/>
            <w:noWrap w:val="0"/>
            <w:vAlign w:val="center"/>
          </w:tcPr>
          <w:p w14:paraId="2893D7D9">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投标人资格条件及其他要求</w:t>
            </w:r>
          </w:p>
        </w:tc>
        <w:tc>
          <w:tcPr>
            <w:tcW w:w="6763" w:type="dxa"/>
            <w:noWrap w:val="0"/>
            <w:vAlign w:val="center"/>
          </w:tcPr>
          <w:p w14:paraId="3BDA729D">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详见第一章“招标公告”</w:t>
            </w:r>
          </w:p>
        </w:tc>
      </w:tr>
      <w:tr w14:paraId="1C4926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25CEC60E">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9.1</w:t>
            </w:r>
          </w:p>
        </w:tc>
        <w:tc>
          <w:tcPr>
            <w:tcW w:w="2280" w:type="dxa"/>
            <w:gridSpan w:val="2"/>
            <w:noWrap w:val="0"/>
            <w:vAlign w:val="center"/>
          </w:tcPr>
          <w:p w14:paraId="1AAC71BB">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踏勘现场</w:t>
            </w:r>
          </w:p>
        </w:tc>
        <w:tc>
          <w:tcPr>
            <w:tcW w:w="6763" w:type="dxa"/>
            <w:noWrap w:val="0"/>
            <w:vAlign w:val="center"/>
          </w:tcPr>
          <w:p w14:paraId="26F60FA8">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不组织,投标人自行踏勘。</w:t>
            </w:r>
          </w:p>
        </w:tc>
      </w:tr>
      <w:tr w14:paraId="601CB6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09429FCF">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w:t>
            </w:r>
          </w:p>
        </w:tc>
        <w:tc>
          <w:tcPr>
            <w:tcW w:w="2280" w:type="dxa"/>
            <w:gridSpan w:val="2"/>
            <w:noWrap w:val="0"/>
            <w:vAlign w:val="center"/>
          </w:tcPr>
          <w:p w14:paraId="7AC19732">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投标预备会</w:t>
            </w:r>
          </w:p>
        </w:tc>
        <w:tc>
          <w:tcPr>
            <w:tcW w:w="6763" w:type="dxa"/>
            <w:noWrap w:val="0"/>
            <w:vAlign w:val="center"/>
          </w:tcPr>
          <w:p w14:paraId="1CB31937">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不召开</w:t>
            </w:r>
          </w:p>
        </w:tc>
      </w:tr>
      <w:tr w14:paraId="305E98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41D4BD18">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10.2</w:t>
            </w:r>
          </w:p>
        </w:tc>
        <w:tc>
          <w:tcPr>
            <w:tcW w:w="2280" w:type="dxa"/>
            <w:gridSpan w:val="2"/>
            <w:noWrap w:val="0"/>
            <w:vAlign w:val="center"/>
          </w:tcPr>
          <w:p w14:paraId="04CD0285">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投标人提出</w:t>
            </w:r>
            <w:r>
              <w:rPr>
                <w:rFonts w:hint="eastAsia" w:ascii="宋体" w:hAnsi="宋体" w:eastAsia="宋体" w:cs="宋体"/>
                <w:color w:val="auto"/>
                <w:sz w:val="21"/>
                <w:szCs w:val="21"/>
                <w:highlight w:val="none"/>
                <w:u w:val="none" w:color="auto"/>
              </w:rPr>
              <w:t>疑问</w:t>
            </w:r>
            <w:r>
              <w:rPr>
                <w:rFonts w:hint="eastAsia" w:ascii="宋体" w:hAnsi="宋体" w:eastAsia="宋体" w:cs="宋体"/>
                <w:color w:val="auto"/>
                <w:sz w:val="21"/>
                <w:szCs w:val="21"/>
                <w:highlight w:val="none"/>
              </w:rPr>
              <w:t>的截止时间及方式</w:t>
            </w:r>
          </w:p>
        </w:tc>
        <w:tc>
          <w:tcPr>
            <w:tcW w:w="6763" w:type="dxa"/>
            <w:noWrap w:val="0"/>
            <w:vAlign w:val="center"/>
          </w:tcPr>
          <w:p w14:paraId="78C0B83B">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color="auto"/>
              </w:rPr>
              <w:t>如投标人对招标文件有疑问，请于</w:t>
            </w:r>
            <w:r>
              <w:rPr>
                <w:rFonts w:hint="eastAsia" w:ascii="宋体" w:hAnsi="宋体" w:eastAsia="宋体" w:cs="宋体"/>
                <w:b/>
                <w:bCs/>
                <w:color w:val="auto"/>
                <w:sz w:val="21"/>
                <w:szCs w:val="21"/>
                <w:highlight w:val="none"/>
                <w:u w:val="none" w:color="auto"/>
              </w:rPr>
              <w:t>202</w:t>
            </w:r>
            <w:r>
              <w:rPr>
                <w:rFonts w:hint="eastAsia" w:hAnsi="宋体" w:cs="宋体"/>
                <w:b/>
                <w:bCs/>
                <w:color w:val="auto"/>
                <w:sz w:val="21"/>
                <w:szCs w:val="21"/>
                <w:highlight w:val="none"/>
                <w:u w:val="none" w:color="auto"/>
                <w:lang w:val="en-US" w:eastAsia="zh-CN"/>
              </w:rPr>
              <w:t>6</w:t>
            </w:r>
            <w:r>
              <w:rPr>
                <w:rFonts w:hint="eastAsia" w:ascii="宋体" w:hAnsi="宋体" w:eastAsia="宋体" w:cs="宋体"/>
                <w:b/>
                <w:bCs/>
                <w:color w:val="auto"/>
                <w:sz w:val="21"/>
                <w:szCs w:val="21"/>
                <w:highlight w:val="none"/>
                <w:u w:val="none" w:color="auto"/>
              </w:rPr>
              <w:t>年</w:t>
            </w:r>
            <w:r>
              <w:rPr>
                <w:rFonts w:hint="eastAsia" w:hAnsi="宋体" w:cs="宋体"/>
                <w:b/>
                <w:bCs/>
                <w:color w:val="auto"/>
                <w:sz w:val="21"/>
                <w:szCs w:val="21"/>
                <w:highlight w:val="none"/>
                <w:u w:val="none" w:color="auto"/>
                <w:lang w:val="en-US" w:eastAsia="zh-CN"/>
              </w:rPr>
              <w:t>2</w:t>
            </w:r>
            <w:r>
              <w:rPr>
                <w:rFonts w:hint="eastAsia" w:ascii="宋体" w:hAnsi="宋体" w:eastAsia="宋体" w:cs="宋体"/>
                <w:b/>
                <w:bCs/>
                <w:color w:val="auto"/>
                <w:sz w:val="21"/>
                <w:szCs w:val="21"/>
                <w:highlight w:val="none"/>
                <w:u w:val="none" w:color="auto"/>
              </w:rPr>
              <w:t>月</w:t>
            </w:r>
            <w:r>
              <w:rPr>
                <w:rFonts w:hint="eastAsia" w:hAnsi="宋体" w:cs="宋体"/>
                <w:b/>
                <w:bCs/>
                <w:color w:val="auto"/>
                <w:sz w:val="21"/>
                <w:szCs w:val="21"/>
                <w:highlight w:val="none"/>
                <w:u w:val="none" w:color="auto"/>
                <w:lang w:val="en-US" w:eastAsia="zh-CN"/>
              </w:rPr>
              <w:t>24</w:t>
            </w:r>
            <w:r>
              <w:rPr>
                <w:rFonts w:hint="eastAsia" w:ascii="宋体" w:hAnsi="宋体" w:eastAsia="宋体" w:cs="宋体"/>
                <w:b/>
                <w:bCs/>
                <w:color w:val="auto"/>
                <w:sz w:val="21"/>
                <w:szCs w:val="21"/>
                <w:highlight w:val="none"/>
                <w:u w:val="none" w:color="auto"/>
              </w:rPr>
              <w:t>日</w:t>
            </w:r>
            <w:r>
              <w:rPr>
                <w:rFonts w:hint="eastAsia" w:hAnsi="宋体" w:cs="宋体"/>
                <w:b/>
                <w:bCs/>
                <w:color w:val="auto"/>
                <w:sz w:val="21"/>
                <w:szCs w:val="21"/>
                <w:highlight w:val="none"/>
                <w:u w:val="none" w:color="auto"/>
                <w:lang w:val="en-US" w:eastAsia="zh-CN"/>
              </w:rPr>
              <w:t>8</w:t>
            </w:r>
            <w:r>
              <w:rPr>
                <w:rFonts w:hint="eastAsia" w:ascii="宋体" w:hAnsi="宋体" w:eastAsia="宋体" w:cs="宋体"/>
                <w:b/>
                <w:bCs/>
                <w:color w:val="auto"/>
                <w:sz w:val="21"/>
                <w:szCs w:val="21"/>
                <w:highlight w:val="none"/>
                <w:u w:val="none" w:color="auto"/>
              </w:rPr>
              <w:t>时</w:t>
            </w:r>
            <w:r>
              <w:rPr>
                <w:rFonts w:hint="eastAsia" w:hAnsi="宋体" w:cs="宋体"/>
                <w:b/>
                <w:bCs/>
                <w:color w:val="auto"/>
                <w:sz w:val="21"/>
                <w:szCs w:val="21"/>
                <w:highlight w:val="none"/>
                <w:u w:val="none" w:color="auto"/>
                <w:lang w:val="en-US" w:eastAsia="zh-CN"/>
              </w:rPr>
              <w:t>30分</w:t>
            </w:r>
            <w:r>
              <w:rPr>
                <w:rFonts w:hint="eastAsia" w:ascii="宋体" w:hAnsi="宋体" w:eastAsia="宋体" w:cs="宋体"/>
                <w:color w:val="auto"/>
                <w:sz w:val="21"/>
                <w:szCs w:val="21"/>
                <w:highlight w:val="none"/>
                <w:u w:val="none" w:color="auto"/>
              </w:rPr>
              <w:t>（投标截止10日）前</w:t>
            </w:r>
            <w:bookmarkStart w:id="29" w:name="_Hlk61815279"/>
            <w:r>
              <w:rPr>
                <w:rFonts w:hint="eastAsia" w:ascii="宋体" w:hAnsi="宋体" w:eastAsia="宋体" w:cs="宋体"/>
                <w:color w:val="auto"/>
                <w:sz w:val="21"/>
                <w:szCs w:val="21"/>
                <w:highlight w:val="none"/>
                <w:u w:val="none" w:color="auto"/>
              </w:rPr>
              <w:t xml:space="preserve">在滁州市公共资源交易中心网电子交易系统中进行异议（质疑），具体操作步骤和程序请参见服务指南&gt;交易须知&gt;在线异议、质疑和投诉操作手册。 </w:t>
            </w:r>
            <w:bookmarkEnd w:id="29"/>
          </w:p>
        </w:tc>
      </w:tr>
      <w:tr w14:paraId="63E100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3A60B3EB">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10.3</w:t>
            </w:r>
          </w:p>
        </w:tc>
        <w:tc>
          <w:tcPr>
            <w:tcW w:w="2280" w:type="dxa"/>
            <w:gridSpan w:val="2"/>
            <w:noWrap w:val="0"/>
            <w:vAlign w:val="center"/>
          </w:tcPr>
          <w:p w14:paraId="1ED00A52">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招标人澄清的时间及方式</w:t>
            </w:r>
          </w:p>
        </w:tc>
        <w:tc>
          <w:tcPr>
            <w:tcW w:w="6763" w:type="dxa"/>
            <w:noWrap w:val="0"/>
            <w:vAlign w:val="center"/>
          </w:tcPr>
          <w:p w14:paraId="3824FE5C">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u w:val="none" w:color="000000"/>
              </w:rPr>
              <w:t>202</w:t>
            </w:r>
            <w:r>
              <w:rPr>
                <w:rFonts w:hint="eastAsia" w:ascii="宋体" w:hAnsi="宋体" w:cs="宋体"/>
                <w:b/>
                <w:bCs/>
                <w:color w:val="auto"/>
                <w:sz w:val="21"/>
                <w:szCs w:val="21"/>
                <w:highlight w:val="none"/>
                <w:u w:val="none" w:color="000000"/>
                <w:lang w:val="en-US" w:eastAsia="zh-CN"/>
              </w:rPr>
              <w:t>6</w:t>
            </w:r>
            <w:r>
              <w:rPr>
                <w:rFonts w:hint="eastAsia" w:ascii="宋体" w:hAnsi="宋体" w:eastAsia="宋体" w:cs="宋体"/>
                <w:b/>
                <w:bCs/>
                <w:color w:val="auto"/>
                <w:sz w:val="21"/>
                <w:szCs w:val="21"/>
                <w:highlight w:val="none"/>
                <w:u w:val="none" w:color="000000"/>
              </w:rPr>
              <w:t>年</w:t>
            </w:r>
            <w:r>
              <w:rPr>
                <w:rFonts w:hint="eastAsia" w:ascii="宋体" w:hAnsi="宋体" w:cs="宋体"/>
                <w:b/>
                <w:bCs/>
                <w:color w:val="auto"/>
                <w:sz w:val="21"/>
                <w:szCs w:val="21"/>
                <w:highlight w:val="none"/>
                <w:u w:val="none" w:color="000000"/>
                <w:lang w:val="en-US" w:eastAsia="zh-CN"/>
              </w:rPr>
              <w:t>2</w:t>
            </w:r>
            <w:r>
              <w:rPr>
                <w:rFonts w:hint="eastAsia" w:ascii="宋体" w:hAnsi="宋体" w:eastAsia="宋体" w:cs="宋体"/>
                <w:b/>
                <w:bCs/>
                <w:color w:val="auto"/>
                <w:sz w:val="21"/>
                <w:szCs w:val="21"/>
                <w:highlight w:val="none"/>
                <w:u w:val="none" w:color="000000"/>
              </w:rPr>
              <w:t>月</w:t>
            </w:r>
            <w:r>
              <w:rPr>
                <w:rFonts w:hint="eastAsia" w:ascii="宋体" w:hAnsi="宋体" w:cs="宋体"/>
                <w:b/>
                <w:bCs/>
                <w:color w:val="auto"/>
                <w:sz w:val="21"/>
                <w:szCs w:val="21"/>
                <w:highlight w:val="none"/>
                <w:u w:val="none" w:color="000000"/>
                <w:lang w:val="en-US" w:eastAsia="zh-CN"/>
              </w:rPr>
              <w:t>26</w:t>
            </w:r>
            <w:r>
              <w:rPr>
                <w:rFonts w:hint="eastAsia" w:ascii="宋体" w:hAnsi="宋体" w:eastAsia="宋体" w:cs="宋体"/>
                <w:b/>
                <w:bCs/>
                <w:color w:val="auto"/>
                <w:sz w:val="21"/>
                <w:szCs w:val="21"/>
                <w:highlight w:val="none"/>
                <w:u w:val="none" w:color="000000"/>
              </w:rPr>
              <w:t>日17时</w:t>
            </w:r>
            <w:r>
              <w:rPr>
                <w:rFonts w:hint="eastAsia" w:ascii="宋体" w:hAnsi="宋体" w:eastAsia="宋体" w:cs="宋体"/>
                <w:b/>
                <w:bCs/>
                <w:color w:val="auto"/>
                <w:sz w:val="21"/>
                <w:szCs w:val="21"/>
                <w:highlight w:val="none"/>
              </w:rPr>
              <w:t>前</w:t>
            </w:r>
            <w:r>
              <w:rPr>
                <w:rFonts w:hint="eastAsia" w:ascii="宋体" w:hAnsi="宋体" w:eastAsia="宋体" w:cs="宋体"/>
                <w:color w:val="auto"/>
                <w:sz w:val="21"/>
                <w:szCs w:val="21"/>
                <w:highlight w:val="none"/>
              </w:rPr>
              <w:t>以澄清公告形式在滁州市公共资源交易网（http://ggzy.chuzhou.gov.cn /）“答疑澄清文件”栏目予以公告。</w:t>
            </w:r>
          </w:p>
        </w:tc>
      </w:tr>
      <w:tr w14:paraId="7AA9C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7" w:hRule="atLeast"/>
        </w:trPr>
        <w:tc>
          <w:tcPr>
            <w:tcW w:w="990" w:type="dxa"/>
            <w:noWrap w:val="0"/>
            <w:vAlign w:val="center"/>
          </w:tcPr>
          <w:p w14:paraId="72DEC790">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11.1</w:t>
            </w:r>
          </w:p>
        </w:tc>
        <w:tc>
          <w:tcPr>
            <w:tcW w:w="2280" w:type="dxa"/>
            <w:gridSpan w:val="2"/>
            <w:noWrap w:val="0"/>
            <w:vAlign w:val="center"/>
          </w:tcPr>
          <w:p w14:paraId="094E2F38">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联合体投标</w:t>
            </w:r>
          </w:p>
        </w:tc>
        <w:tc>
          <w:tcPr>
            <w:tcW w:w="6763" w:type="dxa"/>
            <w:noWrap w:val="0"/>
            <w:vAlign w:val="center"/>
          </w:tcPr>
          <w:p w14:paraId="2769C1DF">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本次招标</w:t>
            </w:r>
            <w:r>
              <w:rPr>
                <w:rFonts w:hint="eastAsia" w:ascii="宋体" w:hAnsi="宋体" w:eastAsia="宋体" w:cs="宋体"/>
                <w:color w:val="auto"/>
                <w:sz w:val="21"/>
                <w:szCs w:val="21"/>
                <w:highlight w:val="none"/>
                <w:u w:val="none" w:color="auto"/>
              </w:rPr>
              <w:t>不接受</w:t>
            </w:r>
            <w:r>
              <w:rPr>
                <w:rFonts w:hint="eastAsia" w:ascii="宋体" w:hAnsi="宋体" w:eastAsia="宋体" w:cs="宋体"/>
                <w:color w:val="auto"/>
                <w:sz w:val="21"/>
                <w:szCs w:val="21"/>
                <w:highlight w:val="none"/>
              </w:rPr>
              <w:t>联合体投标</w:t>
            </w:r>
          </w:p>
        </w:tc>
      </w:tr>
      <w:tr w14:paraId="58F735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90" w:type="dxa"/>
            <w:noWrap w:val="0"/>
            <w:vAlign w:val="center"/>
          </w:tcPr>
          <w:p w14:paraId="68FDC285">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12.1</w:t>
            </w:r>
          </w:p>
        </w:tc>
        <w:tc>
          <w:tcPr>
            <w:tcW w:w="2280" w:type="dxa"/>
            <w:gridSpan w:val="2"/>
            <w:noWrap w:val="0"/>
            <w:vAlign w:val="center"/>
          </w:tcPr>
          <w:p w14:paraId="6A09B796">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招标代理费</w:t>
            </w:r>
          </w:p>
        </w:tc>
        <w:tc>
          <w:tcPr>
            <w:tcW w:w="6763" w:type="dxa"/>
            <w:noWrap w:val="0"/>
            <w:vAlign w:val="center"/>
          </w:tcPr>
          <w:p w14:paraId="154D5E54">
            <w:pPr>
              <w:keepNext w:val="0"/>
              <w:keepLines w:val="0"/>
              <w:pageBreakBefore w:val="0"/>
              <w:suppressLineNumbers w:val="0"/>
              <w:kinsoku/>
              <w:overflowPunct/>
              <w:autoSpaceDE/>
              <w:autoSpaceDN/>
              <w:bidi w:val="0"/>
              <w:adjustRightInd/>
              <w:spacing w:before="0" w:beforeAutospacing="0" w:afterAutospacing="0" w:line="500" w:lineRule="exact"/>
              <w:ind w:left="0" w:right="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代理服务费金额：</w:t>
            </w:r>
            <w:r>
              <w:rPr>
                <w:rFonts w:hint="eastAsia" w:ascii="宋体" w:hAnsi="宋体" w:cs="宋体"/>
                <w:color w:val="auto"/>
                <w:sz w:val="21"/>
                <w:szCs w:val="21"/>
                <w:highlight w:val="none"/>
                <w:lang w:val="en-US" w:eastAsia="zh-CN"/>
              </w:rPr>
              <w:t>14200</w:t>
            </w:r>
            <w:r>
              <w:rPr>
                <w:rFonts w:hint="eastAsia" w:ascii="宋体" w:hAnsi="宋体" w:eastAsia="宋体" w:cs="宋体"/>
                <w:color w:val="auto"/>
                <w:sz w:val="21"/>
                <w:szCs w:val="21"/>
                <w:highlight w:val="none"/>
              </w:rPr>
              <w:t>元</w:t>
            </w:r>
            <w:r>
              <w:rPr>
                <w:rFonts w:hint="eastAsia" w:ascii="宋体" w:hAnsi="宋体" w:cs="宋体"/>
                <w:color w:val="auto"/>
                <w:sz w:val="21"/>
                <w:szCs w:val="21"/>
                <w:highlight w:val="none"/>
                <w:lang w:eastAsia="zh-CN"/>
              </w:rPr>
              <w:t>（参考计价格【2002】1980号文件规定的5</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lang w:eastAsia="zh-CN"/>
              </w:rPr>
              <w:t>。</w:t>
            </w:r>
          </w:p>
          <w:p w14:paraId="34FD9A70">
            <w:pPr>
              <w:keepNext w:val="0"/>
              <w:keepLines w:val="0"/>
              <w:pageBreakBefore w:val="0"/>
              <w:suppressLineNumbers w:val="0"/>
              <w:kinsoku/>
              <w:overflowPunct/>
              <w:autoSpaceDE/>
              <w:autoSpaceDN/>
              <w:bidi w:val="0"/>
              <w:adjustRightInd/>
              <w:spacing w:before="0" w:beforeAutospacing="0" w:afterAutospacing="0" w:line="500" w:lineRule="exact"/>
              <w:ind w:left="0" w:right="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代理服务费</w:t>
            </w:r>
            <w:r>
              <w:rPr>
                <w:rFonts w:hint="eastAsia" w:ascii="宋体" w:hAnsi="宋体" w:eastAsia="宋体" w:cs="宋体"/>
                <w:color w:val="auto"/>
                <w:sz w:val="21"/>
                <w:szCs w:val="21"/>
                <w:highlight w:val="none"/>
                <w:lang w:val="en-US" w:eastAsia="zh-CN"/>
              </w:rPr>
              <w:t>支付主体</w:t>
            </w:r>
            <w:r>
              <w:rPr>
                <w:rFonts w:hint="eastAsia" w:ascii="宋体" w:hAnsi="宋体" w:eastAsia="宋体" w:cs="宋体"/>
                <w:color w:val="auto"/>
                <w:sz w:val="21"/>
                <w:szCs w:val="21"/>
                <w:highlight w:val="none"/>
              </w:rPr>
              <w:t>：中标单位</w:t>
            </w:r>
            <w:r>
              <w:rPr>
                <w:rFonts w:hint="eastAsia" w:ascii="宋体" w:hAnsi="宋体" w:cs="宋体"/>
                <w:color w:val="auto"/>
                <w:sz w:val="21"/>
                <w:szCs w:val="21"/>
                <w:highlight w:val="none"/>
                <w:lang w:eastAsia="zh-CN"/>
              </w:rPr>
              <w:t>，</w:t>
            </w:r>
            <w:r>
              <w:rPr>
                <w:rFonts w:hint="eastAsia" w:ascii="宋体" w:hAnsi="宋体" w:eastAsia="宋体" w:cs="宋体"/>
                <w:color w:val="auto"/>
                <w:highlight w:val="none"/>
              </w:rPr>
              <w:t>中标单位在获取中标通知书时一次性支付给代理机构。</w:t>
            </w:r>
          </w:p>
          <w:p w14:paraId="057AEA41">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专家评审费支付主体：</w:t>
            </w:r>
            <w:r>
              <w:rPr>
                <w:rFonts w:hint="eastAsia" w:ascii="宋体" w:hAnsi="宋体" w:cs="宋体"/>
                <w:color w:val="auto"/>
                <w:sz w:val="21"/>
                <w:szCs w:val="21"/>
                <w:highlight w:val="none"/>
                <w:lang w:val="en-US" w:eastAsia="zh-CN"/>
              </w:rPr>
              <w:t>招标人</w:t>
            </w:r>
          </w:p>
        </w:tc>
      </w:tr>
      <w:tr w14:paraId="38B388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25" w:hRule="atLeast"/>
        </w:trPr>
        <w:tc>
          <w:tcPr>
            <w:tcW w:w="990" w:type="dxa"/>
            <w:noWrap w:val="0"/>
            <w:vAlign w:val="center"/>
          </w:tcPr>
          <w:p w14:paraId="57396632">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16.3</w:t>
            </w:r>
          </w:p>
        </w:tc>
        <w:tc>
          <w:tcPr>
            <w:tcW w:w="2280" w:type="dxa"/>
            <w:gridSpan w:val="2"/>
            <w:noWrap w:val="0"/>
            <w:vAlign w:val="center"/>
          </w:tcPr>
          <w:p w14:paraId="03588E31">
            <w:pPr>
              <w:keepNext w:val="0"/>
              <w:keepLines w:val="0"/>
              <w:pageBreakBefore w:val="0"/>
              <w:kinsoku/>
              <w:overflowPunct/>
              <w:autoSpaceDE/>
              <w:autoSpaceDN/>
              <w:bidi w:val="0"/>
              <w:spacing w:line="500" w:lineRule="exact"/>
              <w:ind w:right="-27" w:rightChars="-13"/>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投标人要求澄清招标文件的截止时间及方式</w:t>
            </w:r>
          </w:p>
        </w:tc>
        <w:tc>
          <w:tcPr>
            <w:tcW w:w="6763" w:type="dxa"/>
            <w:noWrap w:val="0"/>
            <w:vAlign w:val="center"/>
          </w:tcPr>
          <w:p w14:paraId="4FECF828">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同表10.2款</w:t>
            </w:r>
          </w:p>
        </w:tc>
      </w:tr>
      <w:tr w14:paraId="22C656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08FC4CD4">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23.1</w:t>
            </w:r>
          </w:p>
        </w:tc>
        <w:tc>
          <w:tcPr>
            <w:tcW w:w="2280" w:type="dxa"/>
            <w:gridSpan w:val="2"/>
            <w:noWrap w:val="0"/>
            <w:vAlign w:val="center"/>
          </w:tcPr>
          <w:p w14:paraId="65A368D6">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763" w:type="dxa"/>
            <w:noWrap w:val="0"/>
            <w:vAlign w:val="center"/>
          </w:tcPr>
          <w:p w14:paraId="1DF2EE27">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投标有效期为</w:t>
            </w:r>
            <w:r>
              <w:rPr>
                <w:rFonts w:hint="eastAsia" w:ascii="宋体" w:hAnsi="宋体" w:eastAsia="宋体" w:cs="宋体"/>
                <w:color w:val="auto"/>
                <w:sz w:val="21"/>
                <w:szCs w:val="21"/>
                <w:highlight w:val="none"/>
                <w:u w:val="single"/>
              </w:rPr>
              <w:t xml:space="preserve"> 90  </w:t>
            </w:r>
            <w:r>
              <w:rPr>
                <w:rFonts w:hint="eastAsia" w:ascii="宋体" w:hAnsi="宋体" w:eastAsia="宋体" w:cs="宋体"/>
                <w:color w:val="auto"/>
                <w:sz w:val="21"/>
                <w:szCs w:val="21"/>
                <w:highlight w:val="none"/>
              </w:rPr>
              <w:t>日历天（从投标截止之日算起）。在此期限内，凡符合本招标文件要求的投标文件均保持有效。</w:t>
            </w:r>
          </w:p>
        </w:tc>
      </w:tr>
      <w:tr w14:paraId="2B3285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5" w:hRule="atLeast"/>
        </w:trPr>
        <w:tc>
          <w:tcPr>
            <w:tcW w:w="990" w:type="dxa"/>
            <w:noWrap w:val="0"/>
            <w:vAlign w:val="center"/>
          </w:tcPr>
          <w:p w14:paraId="707463DC">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w:t>
            </w:r>
          </w:p>
        </w:tc>
        <w:tc>
          <w:tcPr>
            <w:tcW w:w="2280" w:type="dxa"/>
            <w:gridSpan w:val="2"/>
            <w:noWrap w:val="0"/>
            <w:vAlign w:val="center"/>
          </w:tcPr>
          <w:p w14:paraId="2900F1D0">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投标保证金</w:t>
            </w:r>
          </w:p>
        </w:tc>
        <w:tc>
          <w:tcPr>
            <w:tcW w:w="6763" w:type="dxa"/>
            <w:noWrap w:val="0"/>
            <w:vAlign w:val="top"/>
          </w:tcPr>
          <w:p w14:paraId="3E846791">
            <w:pPr>
              <w:keepNext w:val="0"/>
              <w:keepLines w:val="0"/>
              <w:pageBreakBefore w:val="0"/>
              <w:widowControl/>
              <w:shd w:val="clear" w:color="auto" w:fill="FFFFFF"/>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color="000000"/>
              </w:rPr>
              <w:t>详见第一章“招标公告”</w:t>
            </w:r>
          </w:p>
        </w:tc>
      </w:tr>
      <w:tr w14:paraId="4D5346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0" w:hRule="atLeast"/>
        </w:trPr>
        <w:tc>
          <w:tcPr>
            <w:tcW w:w="990" w:type="dxa"/>
            <w:noWrap w:val="0"/>
            <w:vAlign w:val="center"/>
          </w:tcPr>
          <w:p w14:paraId="7967E44C">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25.1</w:t>
            </w:r>
          </w:p>
        </w:tc>
        <w:tc>
          <w:tcPr>
            <w:tcW w:w="2280" w:type="dxa"/>
            <w:gridSpan w:val="2"/>
            <w:noWrap w:val="0"/>
            <w:vAlign w:val="center"/>
          </w:tcPr>
          <w:p w14:paraId="10016A4F">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投标文件数量</w:t>
            </w:r>
          </w:p>
        </w:tc>
        <w:tc>
          <w:tcPr>
            <w:tcW w:w="6763" w:type="dxa"/>
            <w:noWrap w:val="0"/>
            <w:vAlign w:val="center"/>
          </w:tcPr>
          <w:p w14:paraId="50019388">
            <w:pPr>
              <w:keepNext w:val="0"/>
              <w:keepLines w:val="0"/>
              <w:pageBreakBefore w:val="0"/>
              <w:widowControl/>
              <w:kinsoku/>
              <w:overflowPunct/>
              <w:autoSpaceDE/>
              <w:autoSpaceDN/>
              <w:bidi w:val="0"/>
              <w:spacing w:line="500" w:lineRule="exact"/>
              <w:ind w:firstLine="88" w:firstLineChars="42"/>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网上递交的电子投标文件：一份。以投标人在投标截止时间前网上递交的电子投标文件为准，逾期提交的，投标文件将被拒绝。</w:t>
            </w:r>
          </w:p>
          <w:p w14:paraId="603EA522">
            <w:pPr>
              <w:keepNext w:val="0"/>
              <w:keepLines w:val="0"/>
              <w:pageBreakBefore w:val="0"/>
              <w:widowControl/>
              <w:kinsoku/>
              <w:overflowPunct/>
              <w:autoSpaceDE/>
              <w:autoSpaceDN/>
              <w:bidi w:val="0"/>
              <w:spacing w:line="500" w:lineRule="exact"/>
              <w:ind w:firstLine="88" w:firstLineChars="42"/>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（投标单位中标后须递交与网上电子投标文件完全一致的纸质版投标文件，并按要求加盖公章；份数：正本1份，副本</w:t>
            </w:r>
            <w:r>
              <w:rPr>
                <w:rFonts w:hint="eastAsia" w:ascii="宋体" w:hAnsi="宋体" w:cs="宋体"/>
                <w:bCs/>
                <w:color w:val="auto"/>
                <w:kern w:val="0"/>
                <w:sz w:val="21"/>
                <w:szCs w:val="21"/>
                <w:highlight w:val="none"/>
                <w:lang w:val="en-US" w:eastAsia="zh-CN"/>
              </w:rPr>
              <w:t>1</w:t>
            </w:r>
            <w:r>
              <w:rPr>
                <w:rFonts w:hint="eastAsia" w:ascii="宋体" w:hAnsi="宋体" w:eastAsia="宋体" w:cs="宋体"/>
                <w:bCs/>
                <w:color w:val="auto"/>
                <w:kern w:val="0"/>
                <w:sz w:val="21"/>
                <w:szCs w:val="21"/>
                <w:highlight w:val="none"/>
              </w:rPr>
              <w:t>份；中标单位领取中标通知书时，一并递交给代理机构）</w:t>
            </w:r>
          </w:p>
        </w:tc>
      </w:tr>
      <w:tr w14:paraId="0D25E4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32935B60">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25.2</w:t>
            </w:r>
          </w:p>
        </w:tc>
        <w:tc>
          <w:tcPr>
            <w:tcW w:w="2280" w:type="dxa"/>
            <w:gridSpan w:val="2"/>
            <w:noWrap w:val="0"/>
            <w:vAlign w:val="center"/>
          </w:tcPr>
          <w:p w14:paraId="10CF3CC9">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签字或盖章要求</w:t>
            </w:r>
          </w:p>
        </w:tc>
        <w:tc>
          <w:tcPr>
            <w:tcW w:w="6763" w:type="dxa"/>
            <w:noWrap w:val="0"/>
            <w:vAlign w:val="center"/>
          </w:tcPr>
          <w:p w14:paraId="54862EC3">
            <w:pPr>
              <w:keepNext w:val="0"/>
              <w:keepLines w:val="0"/>
              <w:pageBreakBefore w:val="0"/>
              <w:widowControl/>
              <w:kinsoku/>
              <w:overflowPunct/>
              <w:autoSpaceDE/>
              <w:autoSpaceDN/>
              <w:bidi w:val="0"/>
              <w:spacing w:line="500" w:lineRule="exact"/>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电子投标文件须按格式文件要求签字或盖章（电子签章），招标文件格式中</w:t>
            </w:r>
          </w:p>
          <w:p w14:paraId="5D275024">
            <w:pPr>
              <w:keepNext w:val="0"/>
              <w:keepLines w:val="0"/>
              <w:pageBreakBefore w:val="0"/>
              <w:widowControl/>
              <w:kinsoku/>
              <w:overflowPunct/>
              <w:autoSpaceDE/>
              <w:autoSpaceDN/>
              <w:bidi w:val="0"/>
              <w:spacing w:line="500" w:lineRule="exact"/>
              <w:jc w:val="left"/>
              <w:textAlignment w:val="auto"/>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要求“签章”部位，指电子签章或盖章后扫描上传均可。</w:t>
            </w:r>
          </w:p>
          <w:p w14:paraId="7D95F064">
            <w:pPr>
              <w:keepNext w:val="0"/>
              <w:keepLines w:val="0"/>
              <w:pageBreakBefore w:val="0"/>
              <w:widowControl/>
              <w:kinsoku/>
              <w:overflowPunct/>
              <w:autoSpaceDE/>
              <w:autoSpaceDN/>
              <w:bidi w:val="0"/>
              <w:spacing w:line="500" w:lineRule="exact"/>
              <w:ind w:firstLine="88" w:firstLineChars="42"/>
              <w:jc w:val="left"/>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0"/>
                <w:sz w:val="21"/>
                <w:szCs w:val="21"/>
                <w:highlight w:val="none"/>
              </w:rPr>
              <w:t>否则经评委会一致认定且经过招投标监管部门批准后，按照无效投标处理。</w:t>
            </w:r>
          </w:p>
        </w:tc>
      </w:tr>
      <w:tr w14:paraId="7D3645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3" w:hRule="atLeast"/>
        </w:trPr>
        <w:tc>
          <w:tcPr>
            <w:tcW w:w="990" w:type="dxa"/>
            <w:noWrap w:val="0"/>
            <w:vAlign w:val="center"/>
          </w:tcPr>
          <w:p w14:paraId="0A58C62D">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26.1</w:t>
            </w:r>
          </w:p>
        </w:tc>
        <w:tc>
          <w:tcPr>
            <w:tcW w:w="2280" w:type="dxa"/>
            <w:gridSpan w:val="2"/>
            <w:noWrap w:val="0"/>
            <w:vAlign w:val="center"/>
          </w:tcPr>
          <w:p w14:paraId="4477348E">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投标文件提交截止时间</w:t>
            </w:r>
          </w:p>
        </w:tc>
        <w:tc>
          <w:tcPr>
            <w:tcW w:w="6763" w:type="dxa"/>
            <w:noWrap w:val="0"/>
            <w:vAlign w:val="center"/>
          </w:tcPr>
          <w:p w14:paraId="7CE670B6">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网上递交投标文件截止时间：</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点</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分（北京时间）</w:t>
            </w:r>
          </w:p>
          <w:p w14:paraId="4E8698BF">
            <w:pPr>
              <w:keepNext w:val="0"/>
              <w:keepLines w:val="0"/>
              <w:pageBreakBefore w:val="0"/>
              <w:kinsoku/>
              <w:overflowPunct/>
              <w:autoSpaceDE/>
              <w:autoSpaceDN/>
              <w:bidi w:val="0"/>
              <w:spacing w:line="500" w:lineRule="exact"/>
              <w:textAlignment w:val="auto"/>
              <w:rPr>
                <w:rFonts w:hint="eastAsia" w:ascii="宋体" w:hAnsi="宋体" w:eastAsia="宋体" w:cs="宋体"/>
                <w:bCs/>
                <w:color w:val="auto"/>
                <w:sz w:val="21"/>
                <w:szCs w:val="21"/>
                <w:highlight w:val="none"/>
              </w:rPr>
            </w:pPr>
            <w:r>
              <w:rPr>
                <w:rFonts w:hint="eastAsia" w:ascii="宋体" w:hAnsi="宋体" w:eastAsia="宋体" w:cs="宋体"/>
                <w:b/>
                <w:color w:val="auto"/>
                <w:sz w:val="21"/>
                <w:szCs w:val="21"/>
                <w:highlight w:val="none"/>
              </w:rPr>
              <w:t>注：以投标人在投标截止时间前网上递交的电子投标文件为准，逾期提交的，投标文件将被拒绝。</w:t>
            </w:r>
          </w:p>
          <w:p w14:paraId="57F82D13">
            <w:pPr>
              <w:keepNext w:val="0"/>
              <w:keepLines w:val="0"/>
              <w:pageBreakBefore w:val="0"/>
              <w:kinsoku/>
              <w:wordWrap w:val="0"/>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1.解密程序开始后60分钟内（以本项目网上招投标系统解密倒计时为准）。</w:t>
            </w:r>
          </w:p>
          <w:p w14:paraId="467F62D3">
            <w:pPr>
              <w:keepNext w:val="0"/>
              <w:keepLines w:val="0"/>
              <w:pageBreakBefore w:val="0"/>
              <w:kinsoku/>
              <w:wordWrap w:val="0"/>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2.解密时间为202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点</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分至202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w:t>
            </w: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rPr>
              <w:t>点</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w:t>
            </w:r>
          </w:p>
        </w:tc>
      </w:tr>
      <w:tr w14:paraId="40AF82F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990" w:type="dxa"/>
            <w:noWrap w:val="0"/>
            <w:vAlign w:val="center"/>
          </w:tcPr>
          <w:p w14:paraId="7053BEB5">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27.3</w:t>
            </w:r>
          </w:p>
        </w:tc>
        <w:tc>
          <w:tcPr>
            <w:tcW w:w="2280" w:type="dxa"/>
            <w:gridSpan w:val="2"/>
            <w:noWrap w:val="0"/>
            <w:vAlign w:val="center"/>
          </w:tcPr>
          <w:p w14:paraId="5E09FEC3">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是否退还投标文件</w:t>
            </w:r>
          </w:p>
        </w:tc>
        <w:tc>
          <w:tcPr>
            <w:tcW w:w="6763" w:type="dxa"/>
            <w:noWrap w:val="0"/>
            <w:vAlign w:val="center"/>
          </w:tcPr>
          <w:p w14:paraId="68B850B1">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73E332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 w:hRule="atLeast"/>
        </w:trPr>
        <w:tc>
          <w:tcPr>
            <w:tcW w:w="990" w:type="dxa"/>
            <w:noWrap w:val="0"/>
            <w:vAlign w:val="center"/>
          </w:tcPr>
          <w:p w14:paraId="25A71143">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28.1</w:t>
            </w:r>
          </w:p>
        </w:tc>
        <w:tc>
          <w:tcPr>
            <w:tcW w:w="2280" w:type="dxa"/>
            <w:gridSpan w:val="2"/>
            <w:noWrap w:val="0"/>
            <w:vAlign w:val="center"/>
          </w:tcPr>
          <w:p w14:paraId="73D35E36">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开标时间及地点</w:t>
            </w:r>
          </w:p>
        </w:tc>
        <w:tc>
          <w:tcPr>
            <w:tcW w:w="6763" w:type="dxa"/>
            <w:noWrap w:val="0"/>
            <w:vAlign w:val="center"/>
          </w:tcPr>
          <w:p w14:paraId="6ABB467E">
            <w:pPr>
              <w:keepNext w:val="0"/>
              <w:keepLines w:val="0"/>
              <w:pageBreakBefore w:val="0"/>
              <w:kinsoku/>
              <w:overflowPunct/>
              <w:autoSpaceDE/>
              <w:autoSpaceDN/>
              <w:bidi w:val="0"/>
              <w:spacing w:line="500" w:lineRule="exac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开标时间：</w:t>
            </w:r>
            <w:r>
              <w:rPr>
                <w:rFonts w:hint="eastAsia" w:ascii="宋体" w:hAnsi="宋体" w:eastAsia="宋体" w:cs="宋体"/>
                <w:b/>
                <w:bCs/>
                <w:color w:val="auto"/>
                <w:sz w:val="21"/>
                <w:szCs w:val="21"/>
                <w:highlight w:val="none"/>
              </w:rPr>
              <w:t>202</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年</w:t>
            </w: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月</w:t>
            </w: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日</w:t>
            </w: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点</w:t>
            </w:r>
            <w:r>
              <w:rPr>
                <w:rFonts w:hint="eastAsia" w:ascii="宋体" w:hAnsi="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分（北京时间）</w:t>
            </w:r>
          </w:p>
          <w:p w14:paraId="17DC36CC">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开标地点：</w:t>
            </w:r>
            <w:r>
              <w:rPr>
                <w:rFonts w:hint="eastAsia" w:ascii="宋体" w:hAnsi="宋体" w:eastAsia="宋体" w:cs="宋体"/>
                <w:color w:val="auto"/>
                <w:sz w:val="21"/>
                <w:szCs w:val="21"/>
                <w:highlight w:val="none"/>
                <w:lang w:val="en-US" w:eastAsia="zh-CN"/>
              </w:rPr>
              <w:t>滁州市公共资源交易平台电子交易系统</w:t>
            </w:r>
          </w:p>
        </w:tc>
      </w:tr>
      <w:tr w14:paraId="3649F6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0" w:hRule="atLeast"/>
        </w:trPr>
        <w:tc>
          <w:tcPr>
            <w:tcW w:w="990" w:type="dxa"/>
            <w:noWrap w:val="0"/>
            <w:vAlign w:val="center"/>
          </w:tcPr>
          <w:p w14:paraId="41CAE7B3">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28.3</w:t>
            </w:r>
          </w:p>
        </w:tc>
        <w:tc>
          <w:tcPr>
            <w:tcW w:w="2280" w:type="dxa"/>
            <w:gridSpan w:val="2"/>
            <w:noWrap w:val="0"/>
            <w:vAlign w:val="center"/>
          </w:tcPr>
          <w:p w14:paraId="6A1FEC08">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开标程序</w:t>
            </w:r>
          </w:p>
        </w:tc>
        <w:tc>
          <w:tcPr>
            <w:tcW w:w="6763" w:type="dxa"/>
            <w:noWrap w:val="0"/>
            <w:vAlign w:val="center"/>
          </w:tcPr>
          <w:p w14:paraId="647B32F2">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开标顺序：解密电子投标文件后，由评标委员会评审。</w:t>
            </w:r>
          </w:p>
        </w:tc>
      </w:tr>
      <w:tr w14:paraId="77C46E1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4" w:hRule="atLeast"/>
        </w:trPr>
        <w:tc>
          <w:tcPr>
            <w:tcW w:w="990" w:type="dxa"/>
            <w:noWrap w:val="0"/>
            <w:vAlign w:val="center"/>
          </w:tcPr>
          <w:p w14:paraId="2BAD96C0">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29.1</w:t>
            </w:r>
          </w:p>
        </w:tc>
        <w:tc>
          <w:tcPr>
            <w:tcW w:w="2280" w:type="dxa"/>
            <w:gridSpan w:val="2"/>
            <w:noWrap w:val="0"/>
            <w:vAlign w:val="center"/>
          </w:tcPr>
          <w:p w14:paraId="75DDD623">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评标委员会的组建</w:t>
            </w:r>
          </w:p>
        </w:tc>
        <w:tc>
          <w:tcPr>
            <w:tcW w:w="6763" w:type="dxa"/>
            <w:noWrap w:val="0"/>
            <w:vAlign w:val="top"/>
          </w:tcPr>
          <w:p w14:paraId="3543BAA3">
            <w:pPr>
              <w:keepNext w:val="0"/>
              <w:keepLines w:val="0"/>
              <w:pageBreakBefore w:val="0"/>
              <w:suppressLineNumbers w:val="0"/>
              <w:kinsoku/>
              <w:overflowPunct/>
              <w:topLinePunct w:val="0"/>
              <w:autoSpaceDE/>
              <w:autoSpaceDN/>
              <w:bidi w:val="0"/>
              <w:adjustRightInd/>
              <w:spacing w:before="0" w:beforeAutospacing="0" w:afterAutospacing="0" w:line="500" w:lineRule="exact"/>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评标委员会构成：</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人，其中招标人代表</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人，评标专家</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人。</w:t>
            </w:r>
          </w:p>
          <w:p w14:paraId="27748DB4">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评标专家确定方式：专家评委由招标人在开标前从专家库中随机抽取。</w:t>
            </w:r>
          </w:p>
        </w:tc>
      </w:tr>
      <w:tr w14:paraId="591EBC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990" w:type="dxa"/>
            <w:noWrap w:val="0"/>
            <w:vAlign w:val="center"/>
          </w:tcPr>
          <w:p w14:paraId="683CDA41">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32.1.1</w:t>
            </w:r>
          </w:p>
        </w:tc>
        <w:tc>
          <w:tcPr>
            <w:tcW w:w="2280" w:type="dxa"/>
            <w:gridSpan w:val="2"/>
            <w:noWrap w:val="0"/>
            <w:vAlign w:val="center"/>
          </w:tcPr>
          <w:p w14:paraId="06F6F938">
            <w:pPr>
              <w:pStyle w:val="19"/>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是否授权评标委员会确定中标候选人</w:t>
            </w:r>
          </w:p>
        </w:tc>
        <w:tc>
          <w:tcPr>
            <w:tcW w:w="6763" w:type="dxa"/>
            <w:noWrap w:val="0"/>
            <w:vAlign w:val="center"/>
          </w:tcPr>
          <w:p w14:paraId="31DEBBA7">
            <w:pPr>
              <w:pStyle w:val="19"/>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是，评标委员会推荐</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名中标候选人。</w:t>
            </w:r>
          </w:p>
        </w:tc>
      </w:tr>
      <w:tr w14:paraId="3E693FC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5" w:hRule="atLeast"/>
        </w:trPr>
        <w:tc>
          <w:tcPr>
            <w:tcW w:w="990" w:type="dxa"/>
            <w:noWrap w:val="0"/>
            <w:vAlign w:val="center"/>
          </w:tcPr>
          <w:p w14:paraId="6B832CBB">
            <w:pPr>
              <w:pStyle w:val="19"/>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32.1.2</w:t>
            </w:r>
          </w:p>
        </w:tc>
        <w:tc>
          <w:tcPr>
            <w:tcW w:w="2280" w:type="dxa"/>
            <w:gridSpan w:val="2"/>
            <w:noWrap w:val="0"/>
            <w:vAlign w:val="center"/>
          </w:tcPr>
          <w:p w14:paraId="377E543C">
            <w:pPr>
              <w:pStyle w:val="19"/>
              <w:keepNext w:val="0"/>
              <w:keepLines w:val="0"/>
              <w:pageBreakBefore w:val="0"/>
              <w:suppressLineNumbers w:val="0"/>
              <w:kinsoku/>
              <w:overflowPunct/>
              <w:topLinePunct w:val="0"/>
              <w:autoSpaceDE/>
              <w:autoSpaceDN/>
              <w:bidi w:val="0"/>
              <w:adjustRightInd/>
              <w:spacing w:before="0" w:beforeAutospacing="0" w:afterAutospacing="0" w:line="50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中标结果公告媒介</w:t>
            </w:r>
            <w:r>
              <w:rPr>
                <w:rFonts w:hint="eastAsia" w:ascii="宋体" w:hAnsi="宋体" w:eastAsia="宋体" w:cs="宋体"/>
                <w:color w:val="auto"/>
                <w:sz w:val="21"/>
                <w:szCs w:val="21"/>
                <w:highlight w:val="none"/>
                <w:lang w:val="en-US" w:eastAsia="zh-CN"/>
              </w:rPr>
              <w:t>及期限</w:t>
            </w:r>
          </w:p>
        </w:tc>
        <w:tc>
          <w:tcPr>
            <w:tcW w:w="6763" w:type="dxa"/>
            <w:noWrap w:val="0"/>
            <w:vAlign w:val="top"/>
          </w:tcPr>
          <w:p w14:paraId="07048C6C">
            <w:pPr>
              <w:pStyle w:val="19"/>
              <w:keepNext w:val="0"/>
              <w:keepLines w:val="0"/>
              <w:pageBreakBefore w:val="0"/>
              <w:suppressLineNumbers w:val="0"/>
              <w:kinsoku/>
              <w:overflowPunct/>
              <w:topLinePunct w:val="0"/>
              <w:autoSpaceDE/>
              <w:autoSpaceDN/>
              <w:bidi w:val="0"/>
              <w:adjustRightInd/>
              <w:spacing w:before="0" w:beforeAutospacing="0" w:afterAutospacing="0" w:line="500" w:lineRule="exact"/>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公示媒介：同招标公告发布媒介</w:t>
            </w:r>
          </w:p>
          <w:p w14:paraId="00B11C24">
            <w:pPr>
              <w:pStyle w:val="19"/>
              <w:keepNext w:val="0"/>
              <w:keepLines w:val="0"/>
              <w:pageBreakBefore w:val="0"/>
              <w:suppressLineNumbers w:val="0"/>
              <w:kinsoku/>
              <w:overflowPunct/>
              <w:topLinePunct w:val="0"/>
              <w:autoSpaceDE/>
              <w:autoSpaceDN/>
              <w:bidi w:val="0"/>
              <w:adjustRightInd/>
              <w:spacing w:before="0" w:beforeAutospacing="0" w:afterAutospacing="0" w:line="500" w:lineRule="exact"/>
              <w:ind w:left="0" w:leftChars="0" w:right="0" w:rightChars="0"/>
              <w:textAlignment w:val="auto"/>
              <w:rPr>
                <w:rFonts w:hint="eastAsia" w:ascii="宋体" w:hAnsi="宋体" w:eastAsia="宋体" w:cs="宋体"/>
                <w:color w:val="auto"/>
                <w:spacing w:val="-4"/>
                <w:sz w:val="21"/>
                <w:szCs w:val="21"/>
                <w:highlight w:val="none"/>
              </w:rPr>
            </w:pPr>
            <w:r>
              <w:rPr>
                <w:rFonts w:hint="eastAsia" w:ascii="宋体" w:hAnsi="宋体" w:eastAsia="宋体" w:cs="宋体"/>
                <w:color w:val="auto"/>
                <w:sz w:val="21"/>
                <w:szCs w:val="21"/>
                <w:highlight w:val="none"/>
              </w:rPr>
              <w:t>公示期限：公示发布次日起3日（如公示第三日为休息日或节假日，则顺延至休息日或节假日后第一个工作日）</w:t>
            </w:r>
          </w:p>
        </w:tc>
      </w:tr>
      <w:tr w14:paraId="580D58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990" w:type="dxa"/>
            <w:vMerge w:val="restart"/>
            <w:noWrap w:val="0"/>
            <w:vAlign w:val="center"/>
          </w:tcPr>
          <w:p w14:paraId="69982C78">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32.2</w:t>
            </w:r>
          </w:p>
        </w:tc>
        <w:tc>
          <w:tcPr>
            <w:tcW w:w="2280" w:type="dxa"/>
            <w:gridSpan w:val="2"/>
            <w:noWrap w:val="0"/>
            <w:vAlign w:val="center"/>
          </w:tcPr>
          <w:p w14:paraId="6037B194">
            <w:pPr>
              <w:keepNext w:val="0"/>
              <w:keepLines w:val="0"/>
              <w:pageBreakBefore w:val="0"/>
              <w:suppressLineNumbers w:val="0"/>
              <w:kinsoku/>
              <w:overflowPunct/>
              <w:autoSpaceDE/>
              <w:autoSpaceDN/>
              <w:bidi w:val="0"/>
              <w:spacing w:before="0" w:beforeAutospacing="0" w:afterAutospacing="0" w:line="50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w:t>
            </w:r>
          </w:p>
        </w:tc>
        <w:tc>
          <w:tcPr>
            <w:tcW w:w="6763" w:type="dxa"/>
            <w:noWrap w:val="0"/>
            <w:vAlign w:val="center"/>
          </w:tcPr>
          <w:p w14:paraId="0AFE232E">
            <w:pPr>
              <w:keepNext w:val="0"/>
              <w:keepLines w:val="0"/>
              <w:pageBreakBefore w:val="0"/>
              <w:suppressLineNumbers w:val="0"/>
              <w:kinsoku/>
              <w:overflowPunct/>
              <w:autoSpaceDE/>
              <w:autoSpaceDN/>
              <w:bidi w:val="0"/>
              <w:spacing w:before="0" w:beforeAutospacing="0" w:afterAutospacing="0" w:line="500" w:lineRule="exact"/>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中标通知书须加盖公共资源交易中心见证章后方可发出。</w:t>
            </w:r>
          </w:p>
        </w:tc>
      </w:tr>
      <w:tr w14:paraId="2DB919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5" w:hRule="atLeast"/>
        </w:trPr>
        <w:tc>
          <w:tcPr>
            <w:tcW w:w="990" w:type="dxa"/>
            <w:vMerge w:val="continue"/>
            <w:noWrap w:val="0"/>
            <w:vAlign w:val="center"/>
          </w:tcPr>
          <w:p w14:paraId="72CD02C8">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p>
        </w:tc>
        <w:tc>
          <w:tcPr>
            <w:tcW w:w="2280" w:type="dxa"/>
            <w:gridSpan w:val="2"/>
            <w:noWrap w:val="0"/>
            <w:vAlign w:val="center"/>
          </w:tcPr>
          <w:p w14:paraId="0D0D29ED">
            <w:pPr>
              <w:keepNext w:val="0"/>
              <w:keepLines w:val="0"/>
              <w:pageBreakBefore w:val="0"/>
              <w:suppressLineNumbers w:val="0"/>
              <w:kinsoku/>
              <w:overflowPunct/>
              <w:autoSpaceDE/>
              <w:autoSpaceDN/>
              <w:bidi w:val="0"/>
              <w:spacing w:before="0" w:beforeAutospacing="0" w:afterAutospacing="0" w:line="500" w:lineRule="exact"/>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中标通知书发出形式</w:t>
            </w:r>
          </w:p>
        </w:tc>
        <w:tc>
          <w:tcPr>
            <w:tcW w:w="6763" w:type="dxa"/>
            <w:noWrap w:val="0"/>
            <w:vAlign w:val="center"/>
          </w:tcPr>
          <w:p w14:paraId="365BE8DE">
            <w:pPr>
              <w:keepNext w:val="0"/>
              <w:keepLines w:val="0"/>
              <w:pageBreakBefore w:val="0"/>
              <w:suppressLineNumbers w:val="0"/>
              <w:kinsoku/>
              <w:overflowPunct/>
              <w:autoSpaceDE/>
              <w:autoSpaceDN/>
              <w:bidi w:val="0"/>
              <w:spacing w:before="0" w:beforeAutospacing="0" w:afterAutospacing="0" w:line="500" w:lineRule="exact"/>
              <w:ind w:left="0" w:leftChars="0" w:right="0" w:righ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数据电文</w:t>
            </w:r>
          </w:p>
        </w:tc>
      </w:tr>
      <w:tr w14:paraId="520597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990" w:type="dxa"/>
            <w:noWrap w:val="0"/>
            <w:vAlign w:val="center"/>
          </w:tcPr>
          <w:p w14:paraId="39C6B4AC">
            <w:pPr>
              <w:keepNext w:val="0"/>
              <w:keepLines w:val="0"/>
              <w:pageBreakBefore w:val="0"/>
              <w:kinsoku/>
              <w:overflowPunct/>
              <w:autoSpaceDE/>
              <w:autoSpaceDN/>
              <w:bidi w:val="0"/>
              <w:spacing w:line="5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36.1</w:t>
            </w:r>
          </w:p>
        </w:tc>
        <w:tc>
          <w:tcPr>
            <w:tcW w:w="2280" w:type="dxa"/>
            <w:gridSpan w:val="2"/>
            <w:noWrap w:val="0"/>
            <w:vAlign w:val="center"/>
          </w:tcPr>
          <w:p w14:paraId="1335C4C5">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履约担保</w:t>
            </w:r>
          </w:p>
        </w:tc>
        <w:tc>
          <w:tcPr>
            <w:tcW w:w="6763" w:type="dxa"/>
            <w:noWrap w:val="0"/>
            <w:vAlign w:val="center"/>
          </w:tcPr>
          <w:p w14:paraId="6B16E86E">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是否收取履约担保：收取</w:t>
            </w:r>
          </w:p>
          <w:p w14:paraId="1EA062BB">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履约担保的形式：支持银行转账、银行电汇、银行保函、担保机构担保、保证保险使用 </w:t>
            </w:r>
          </w:p>
          <w:p w14:paraId="29AFDA03">
            <w:pPr>
              <w:keepNext w:val="0"/>
              <w:keepLines w:val="0"/>
              <w:pageBreakBefore w:val="0"/>
              <w:kinsoku/>
              <w:overflowPunct/>
              <w:autoSpaceDE/>
              <w:autoSpaceDN/>
              <w:bidi w:val="0"/>
              <w:spacing w:line="50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履约担保的金额：</w:t>
            </w:r>
            <w:r>
              <w:rPr>
                <w:rFonts w:hint="eastAsia" w:ascii="宋体" w:hAnsi="宋体" w:cs="宋体"/>
                <w:color w:val="auto"/>
                <w:sz w:val="21"/>
                <w:szCs w:val="21"/>
                <w:highlight w:val="none"/>
                <w:lang w:val="en-US" w:eastAsia="zh-CN"/>
              </w:rPr>
              <w:t>年承租费×10%</w:t>
            </w:r>
          </w:p>
          <w:p w14:paraId="6E450C3E">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收款单位：另行通知</w:t>
            </w:r>
          </w:p>
          <w:p w14:paraId="1FA44CE3">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开户行、账号：另行通知</w:t>
            </w:r>
          </w:p>
          <w:p w14:paraId="29ACDB11">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缴纳时间：签订合同前缴纳。</w:t>
            </w:r>
          </w:p>
          <w:p w14:paraId="23FFD127">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履约保证金退还方式：</w:t>
            </w:r>
            <w:r>
              <w:rPr>
                <w:rFonts w:hint="eastAsia" w:ascii="宋体" w:hAnsi="宋体" w:cs="宋体"/>
                <w:color w:val="auto"/>
                <w:sz w:val="21"/>
                <w:szCs w:val="21"/>
                <w:highlight w:val="none"/>
                <w:lang w:val="en-US" w:eastAsia="zh-CN"/>
              </w:rPr>
              <w:t>运营期满且完成场地移交后30日内一次性退还</w:t>
            </w:r>
            <w:r>
              <w:rPr>
                <w:rFonts w:hint="eastAsia" w:ascii="宋体" w:hAnsi="宋体" w:eastAsia="宋体" w:cs="宋体"/>
                <w:color w:val="auto"/>
                <w:sz w:val="21"/>
                <w:szCs w:val="21"/>
                <w:highlight w:val="none"/>
                <w:lang w:val="en-US" w:eastAsia="zh-CN"/>
              </w:rPr>
              <w:t>。</w:t>
            </w:r>
          </w:p>
          <w:p w14:paraId="1B995EF0">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其他相关要求：保函内容及格式等均须经招标人认可。</w:t>
            </w:r>
          </w:p>
        </w:tc>
      </w:tr>
      <w:tr w14:paraId="320FDB7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8" w:hRule="atLeast"/>
        </w:trPr>
        <w:tc>
          <w:tcPr>
            <w:tcW w:w="2161" w:type="dxa"/>
            <w:gridSpan w:val="2"/>
            <w:noWrap w:val="0"/>
            <w:vAlign w:val="center"/>
          </w:tcPr>
          <w:p w14:paraId="38E78669">
            <w:pPr>
              <w:keepNext w:val="0"/>
              <w:keepLines w:val="0"/>
              <w:pageBreakBefore w:val="0"/>
              <w:kinsoku/>
              <w:overflowPunct/>
              <w:autoSpaceDE/>
              <w:autoSpaceDN/>
              <w:bidi w:val="0"/>
              <w:spacing w:line="500" w:lineRule="exact"/>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付款方式、时间、条件</w:t>
            </w:r>
          </w:p>
        </w:tc>
        <w:tc>
          <w:tcPr>
            <w:tcW w:w="7872" w:type="dxa"/>
            <w:gridSpan w:val="2"/>
            <w:noWrap w:val="0"/>
            <w:vAlign w:val="center"/>
          </w:tcPr>
          <w:p w14:paraId="2784496D">
            <w:pPr>
              <w:keepNext w:val="0"/>
              <w:keepLines w:val="0"/>
              <w:pageBreakBefore w:val="0"/>
              <w:numPr>
                <w:ilvl w:val="0"/>
                <w:numId w:val="0"/>
              </w:numPr>
              <w:kinsoku/>
              <w:overflowPunct/>
              <w:autoSpaceDE/>
              <w:autoSpaceDN/>
              <w:bidi w:val="0"/>
              <w:spacing w:line="500" w:lineRule="exac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承租费每半年支付一次，合同签订前一次性支付半年承租费至招标人指定账户，其余每半年在到期前30日内一次性支付半年承租费。</w:t>
            </w:r>
          </w:p>
          <w:p w14:paraId="59B20CCB">
            <w:pPr>
              <w:keepNext w:val="0"/>
              <w:keepLines w:val="0"/>
              <w:pageBreakBefore w:val="0"/>
              <w:numPr>
                <w:ilvl w:val="0"/>
                <w:numId w:val="0"/>
              </w:numPr>
              <w:kinsoku/>
              <w:overflowPunct/>
              <w:autoSpaceDE/>
              <w:autoSpaceDN/>
              <w:bidi w:val="0"/>
              <w:spacing w:line="500" w:lineRule="exact"/>
              <w:textAlignment w:val="auto"/>
              <w:rPr>
                <w:rFonts w:hint="default"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lang w:val="en-US" w:eastAsia="zh-CN"/>
              </w:rPr>
              <w:t>注：招标人在收到每笔款项后，向中标人开具合法有效的增值税发票</w:t>
            </w:r>
            <w:r>
              <w:rPr>
                <w:rFonts w:hint="eastAsia" w:ascii="宋体" w:hAnsi="宋体" w:cs="宋体"/>
                <w:color w:val="auto"/>
                <w:sz w:val="21"/>
                <w:szCs w:val="21"/>
                <w:highlight w:val="none"/>
                <w:lang w:val="en-US" w:eastAsia="zh-CN"/>
              </w:rPr>
              <w:t>。</w:t>
            </w:r>
          </w:p>
        </w:tc>
      </w:tr>
      <w:tr w14:paraId="267212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2161" w:type="dxa"/>
            <w:gridSpan w:val="2"/>
            <w:noWrap w:val="0"/>
            <w:vAlign w:val="center"/>
          </w:tcPr>
          <w:p w14:paraId="24F7052A">
            <w:pPr>
              <w:keepNext w:val="0"/>
              <w:keepLines w:val="0"/>
              <w:pageBreakBefore w:val="0"/>
              <w:kinsoku/>
              <w:overflow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招标文件获取方式和时间</w:t>
            </w:r>
          </w:p>
        </w:tc>
        <w:tc>
          <w:tcPr>
            <w:tcW w:w="7872" w:type="dxa"/>
            <w:gridSpan w:val="2"/>
            <w:noWrap w:val="0"/>
            <w:vAlign w:val="top"/>
          </w:tcPr>
          <w:p w14:paraId="09E65554">
            <w:pPr>
              <w:keepNext w:val="0"/>
              <w:keepLines w:val="0"/>
              <w:pageBreakBefore w:val="0"/>
              <w:kinsoku/>
              <w:overflowPunct/>
              <w:topLine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招标文件获取方式：网上下载；</w:t>
            </w:r>
          </w:p>
          <w:p w14:paraId="2E38D369">
            <w:pPr>
              <w:keepNext w:val="0"/>
              <w:keepLines w:val="0"/>
              <w:pageBreakBefore w:val="0"/>
              <w:kinsoku/>
              <w:overflowPunct/>
              <w:topLinePunct/>
              <w:autoSpaceDE/>
              <w:autoSpaceDN/>
              <w:bidi w:val="0"/>
              <w:spacing w:line="50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获取时间：招标文件发布至投标截止时间。</w:t>
            </w:r>
          </w:p>
        </w:tc>
      </w:tr>
      <w:tr w14:paraId="0CB0A0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2161" w:type="dxa"/>
            <w:gridSpan w:val="2"/>
            <w:shd w:val="clear" w:color="auto" w:fill="auto"/>
            <w:noWrap w:val="0"/>
            <w:vAlign w:val="center"/>
          </w:tcPr>
          <w:p w14:paraId="32F4A12D">
            <w:pPr>
              <w:keepNext w:val="0"/>
              <w:keepLines w:val="0"/>
              <w:pageBreakBefore w:val="0"/>
              <w:suppressLineNumbers w:val="0"/>
              <w:kinsoku/>
              <w:overflowPunct/>
              <w:autoSpaceDE/>
              <w:autoSpaceDN/>
              <w:bidi w:val="0"/>
              <w:adjustRightInd w:val="0"/>
              <w:snapToGrid w:val="0"/>
              <w:spacing w:before="0" w:beforeAutospacing="0" w:afterAutospacing="0" w:line="50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投诉</w:t>
            </w:r>
          </w:p>
        </w:tc>
        <w:tc>
          <w:tcPr>
            <w:tcW w:w="7872" w:type="dxa"/>
            <w:gridSpan w:val="2"/>
            <w:shd w:val="clear" w:color="auto" w:fill="auto"/>
            <w:noWrap w:val="0"/>
            <w:vAlign w:val="top"/>
          </w:tcPr>
          <w:p w14:paraId="33605BA1">
            <w:pPr>
              <w:keepNext w:val="0"/>
              <w:keepLines w:val="0"/>
              <w:pageBreakBefore w:val="0"/>
              <w:suppressLineNumbers w:val="0"/>
              <w:kinsoku/>
              <w:overflowPunct/>
              <w:autoSpaceDE/>
              <w:autoSpaceDN/>
              <w:bidi w:val="0"/>
              <w:adjustRightInd w:val="0"/>
              <w:snapToGrid w:val="0"/>
              <w:spacing w:before="0" w:beforeAutospacing="0" w:afterAutospacing="0" w:line="500" w:lineRule="exact"/>
              <w:ind w:left="0" w:leftChars="0" w:right="0" w:rightChars="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 xml:space="preserve">投标人或者其他利害关系人认为招标投标活动违反法律、法规和规章规定的，有权向相关行政监督部门投诉。在线投诉具体步骤和程序请参照服务指南&gt;投诉渠道 </w:t>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"https://ggzy.chuzhou.gov.cn/fwzn/011001/serviceGuide.html"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https://ggzy.chuzhou.gov.cn/fwzn/011001/serviceGuide.html</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t>；投诉书格式等内容参见服务指南&gt;办事指南&gt;投标人服务&gt;投诉受理一次告知书https://ggzy.chuzhou.gov.cn/fwzn/011001/011001001/011001001003/20211022/4b7d87ec-2c58-49b0-b76c-3a6277377930.html。</w:t>
            </w:r>
          </w:p>
        </w:tc>
      </w:tr>
      <w:tr w14:paraId="368AEB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2161" w:type="dxa"/>
            <w:gridSpan w:val="2"/>
            <w:shd w:val="clear" w:color="auto" w:fill="auto"/>
            <w:noWrap w:val="0"/>
            <w:vAlign w:val="center"/>
          </w:tcPr>
          <w:p w14:paraId="3ACE33EA">
            <w:pPr>
              <w:keepNext w:val="0"/>
              <w:keepLines w:val="0"/>
              <w:pageBreakBefore w:val="0"/>
              <w:widowControl/>
              <w:suppressLineNumbers w:val="0"/>
              <w:kinsoku/>
              <w:overflowPunct/>
              <w:autoSpaceDE/>
              <w:autoSpaceDN/>
              <w:bidi w:val="0"/>
              <w:spacing w:before="0" w:beforeAutospacing="0" w:afterAutospacing="0" w:line="500" w:lineRule="exact"/>
              <w:ind w:left="0" w:leftChars="0" w:right="0" w:rightChars="0"/>
              <w:jc w:val="left"/>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特别提示</w:t>
            </w:r>
          </w:p>
        </w:tc>
        <w:tc>
          <w:tcPr>
            <w:tcW w:w="7872" w:type="dxa"/>
            <w:gridSpan w:val="2"/>
            <w:shd w:val="clear" w:color="auto" w:fill="auto"/>
            <w:noWrap w:val="0"/>
            <w:vAlign w:val="top"/>
          </w:tcPr>
          <w:p w14:paraId="10EE8CFD">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1.本项目投标保证金、履约保证金、工程质量保证金、农民工工资保证金均支持保函使用。以现金形式提交保证金的，应当同时退还保证金本金和银行同期存款利息。</w:t>
            </w:r>
          </w:p>
          <w:p w14:paraId="01555877">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2.投标人应填写投标信息并下载招标文件，否则无法上传投标文件。</w:t>
            </w:r>
          </w:p>
          <w:p w14:paraId="1729968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3.本项目采用电子招标投标，请投标人在滁州市公共资源交易中心网站&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4009980000。</w:t>
            </w:r>
          </w:p>
          <w:p w14:paraId="0CC6CC3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4.如果过程中出现招标文件更改，应以最后发布的招标答疑澄清文件中的模板制作本项目最新投标文件。</w:t>
            </w:r>
          </w:p>
          <w:p w14:paraId="75A815C6">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 xml:space="preserve">5.投标人应当用本单位CA数字证书制作投标文件，制作成功后进行投标文件上传。 </w:t>
            </w:r>
          </w:p>
          <w:p w14:paraId="60B3C5C5">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6.投标人须用CA数字证书盖章和加密投标文件，建议使用主锁。（如未办理CA数字证书请及时办理，网上办理和窗口办理均可。查看办理所需资料请登录滁州市公共资源交易中心网站&gt;服务指南&gt;办事指南&gt;CA数字证书和电子签章。因未及时办理CA数字证书手续导致无法投标的，责任自负）</w:t>
            </w:r>
          </w:p>
          <w:p w14:paraId="547A331E">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7.请投标人注意加密投标文件CA数字证书的有效期，不在有效期的CA数字证书无法解密投标文件。</w:t>
            </w:r>
          </w:p>
          <w:p w14:paraId="29E2016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8.投标人投标MAC地址一致或申请开具电子保函MAC地址一致的，由评标委员会否决其投标。</w:t>
            </w:r>
          </w:p>
          <w:p w14:paraId="36871C9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9.投标人投标文件中单方面出现其他投标人材料的（依法组成联合体投标的除外），由评标委员会否决其投标。</w:t>
            </w:r>
          </w:p>
          <w:p w14:paraId="084B45F2">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10.评标时查询投标文件制作机器码、文件创建标识码及造价软件加密锁号。若存在投标文件制作机器码或创建标识码或造价软件加密锁号信息与其他投标人雷同的，由评标委员会否决其投标，依法依规予以处理。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5582C8E0">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11.若存在不予退还投标人投标保证金的情形，银行转账的，由市公共资源交易中心代为收缴，递交保函的，由招标人予以追缴。</w:t>
            </w:r>
          </w:p>
          <w:p w14:paraId="0C9FD00A">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12.投标人以联合体名义投标的，其异议投诉应当由联合体全体成员共同提出。联合体成员单独进行异议投诉的，应当书面征得联合体其他成员同意，联合体成员之间投诉的除外。</w:t>
            </w:r>
          </w:p>
          <w:p w14:paraId="53B38D0C">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0" w:afterAutospacing="0" w:line="50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13.投标人联系人或联系电话相同的，由评标委员会否决其投标，并报告监管部门作不良行为处理和进一步调查。</w:t>
            </w:r>
          </w:p>
          <w:p w14:paraId="38AB4946">
            <w:pPr>
              <w:keepNext w:val="0"/>
              <w:keepLines w:val="0"/>
              <w:pageBreakBefore w:val="0"/>
              <w:suppressLineNumbers w:val="0"/>
              <w:kinsoku/>
              <w:overflowPunct/>
              <w:autoSpaceDE/>
              <w:autoSpaceDN/>
              <w:bidi w:val="0"/>
              <w:spacing w:before="0" w:beforeAutospacing="0" w:afterAutospacing="0" w:line="500" w:lineRule="exact"/>
              <w:ind w:left="0" w:leftChars="0" w:right="0" w:rightChars="0"/>
              <w:jc w:val="left"/>
              <w:textAlignment w:val="auto"/>
              <w:rPr>
                <w:rFonts w:hint="eastAsia" w:ascii="宋体" w:hAnsi="宋体" w:eastAsia="宋体" w:cs="宋体"/>
                <w:b/>
                <w:bCs/>
                <w:color w:val="auto"/>
                <w:kern w:val="2"/>
                <w:sz w:val="21"/>
                <w:szCs w:val="21"/>
                <w:highlight w:val="none"/>
                <w:lang w:val="en-US" w:eastAsia="zh-CN" w:bidi="ar"/>
              </w:rPr>
            </w:pPr>
            <w:r>
              <w:rPr>
                <w:rFonts w:hint="eastAsia" w:ascii="宋体" w:hAnsi="宋体" w:eastAsia="宋体" w:cs="宋体"/>
                <w:b w:val="0"/>
                <w:bCs w:val="0"/>
                <w:color w:val="auto"/>
                <w:sz w:val="21"/>
                <w:szCs w:val="21"/>
                <w:highlight w:val="none"/>
              </w:rPr>
              <w:t>14.注册地在安徽省内且未在安徽省外开展业务、省外无违法违规行为的企业可通过安徽政务服务网开具由安徽省公共信用信息服务中心出具的《公共信用信息报告（无违法违规证明版或核查版）》代替《诚信投标承诺书》，信用报告出具有关问题可咨询滁州市信用办0550-3035032。</w:t>
            </w:r>
          </w:p>
        </w:tc>
      </w:tr>
      <w:tr w14:paraId="22FA13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2161" w:type="dxa"/>
            <w:gridSpan w:val="2"/>
            <w:shd w:val="clear" w:color="auto" w:fill="auto"/>
            <w:noWrap w:val="0"/>
            <w:vAlign w:val="center"/>
          </w:tcPr>
          <w:p w14:paraId="49A64C3C">
            <w:pPr>
              <w:keepNext w:val="0"/>
              <w:keepLines w:val="0"/>
              <w:pageBreakBefore w:val="0"/>
              <w:suppressLineNumbers w:val="0"/>
              <w:kinsoku/>
              <w:overflowPunct/>
              <w:topLinePunct w:val="0"/>
              <w:autoSpaceDE/>
              <w:autoSpaceDN/>
              <w:bidi w:val="0"/>
              <w:adjustRightInd/>
              <w:spacing w:before="0" w:beforeAutospacing="0" w:afterAutospacing="0" w:line="500" w:lineRule="exact"/>
              <w:ind w:left="0" w:leftChars="0" w:right="0" w:rightChars="0"/>
              <w:jc w:val="center"/>
              <w:textAlignment w:val="auto"/>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其他</w:t>
            </w:r>
          </w:p>
        </w:tc>
        <w:tc>
          <w:tcPr>
            <w:tcW w:w="7872" w:type="dxa"/>
            <w:gridSpan w:val="2"/>
            <w:shd w:val="clear" w:color="auto" w:fill="auto"/>
            <w:noWrap w:val="0"/>
            <w:vAlign w:val="top"/>
          </w:tcPr>
          <w:p w14:paraId="0EE72171">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Autospacing="0" w:line="500" w:lineRule="exact"/>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项目负责人必须是投标人本单位工作人员，提供虚假资料谋取中标将被依法处罚。投标人对所提交的投标人或拟派项目负责人业绩、投标人资质等证明资料承担缔约过失责任和法律责任。若投诉人或举报人对前述资料或证明资料存在争议，进行有效投诉或举报， 被投诉人、被举报人应当主动配合执法机关调查，并在规定的期限内举证，提供有关证明资料的原件；拒不配合执法机构调查，且未在规定期限内举证、提供证明资料原件的，执法机构（滁州市公共资源交易监督管理局）依法处理。</w:t>
            </w:r>
          </w:p>
          <w:p w14:paraId="3797DB0F">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Autospacing="0" w:line="500" w:lineRule="exact"/>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2.中标人未履行下述义务的，滁州市公共资源交易监督管理局将依法对中标人进行处理，追究相关责任：</w:t>
            </w:r>
          </w:p>
          <w:p w14:paraId="538C4586">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Autospacing="0" w:line="500" w:lineRule="exact"/>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①中标人无正当理由不与招标人订立合同，在签订合同时向招标人提出附加条件，或者不按照招标文件要求提交履约保证金的，招标人有权取消中标人中标资格，并将相关违约行为报送监管部门处理；</w:t>
            </w:r>
          </w:p>
          <w:p w14:paraId="52749288">
            <w:pPr>
              <w:keepNext w:val="0"/>
              <w:keepLines w:val="0"/>
              <w:pageBreakBefore w:val="0"/>
              <w:numPr>
                <w:ilvl w:val="0"/>
                <w:numId w:val="0"/>
              </w:numPr>
              <w:suppressLineNumbers w:val="0"/>
              <w:kinsoku/>
              <w:wordWrap/>
              <w:overflowPunct/>
              <w:topLinePunct w:val="0"/>
              <w:autoSpaceDE/>
              <w:autoSpaceDN/>
              <w:bidi w:val="0"/>
              <w:adjustRightInd/>
              <w:snapToGrid w:val="0"/>
              <w:spacing w:before="0" w:beforeAutospacing="0" w:afterAutospacing="0" w:line="500" w:lineRule="exact"/>
              <w:ind w:left="0" w:right="0"/>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②合同签订后，中标人存在规定时间内不组织人员进场开工、不履行供货安装义务等情况，招标人有权解除合同，并追究违约责任，同时将相关违约行为报送监管部门，记不良行为记录， 实施信用惩戒。</w:t>
            </w:r>
          </w:p>
        </w:tc>
      </w:tr>
      <w:tr w14:paraId="2037D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2161" w:type="dxa"/>
            <w:gridSpan w:val="2"/>
            <w:shd w:val="clear" w:color="auto" w:fill="auto"/>
            <w:noWrap w:val="0"/>
            <w:vAlign w:val="center"/>
          </w:tcPr>
          <w:p w14:paraId="1D8BEB11">
            <w:pPr>
              <w:keepNext w:val="0"/>
              <w:keepLines w:val="0"/>
              <w:pageBreakBefore w:val="0"/>
              <w:suppressLineNumbers w:val="0"/>
              <w:kinsoku/>
              <w:overflowPunct/>
              <w:topLinePunct w:val="0"/>
              <w:autoSpaceDE/>
              <w:autoSpaceDN/>
              <w:bidi w:val="0"/>
              <w:adjustRightInd w:val="0"/>
              <w:snapToGrid w:val="0"/>
              <w:spacing w:before="0" w:beforeAutospacing="0" w:afterAutospacing="0" w:line="500" w:lineRule="exact"/>
              <w:ind w:left="0" w:leftChars="0" w:right="0" w:rightChars="0"/>
              <w:jc w:val="center"/>
              <w:textAlignment w:val="auto"/>
              <w:rPr>
                <w:rFonts w:hint="eastAsia" w:ascii="宋体" w:hAnsi="宋体" w:eastAsia="宋体" w:cs="宋体"/>
                <w:bCs/>
                <w:color w:val="auto"/>
                <w:kern w:val="2"/>
                <w:sz w:val="21"/>
                <w:szCs w:val="21"/>
                <w:highlight w:val="none"/>
                <w:lang w:val="en-US" w:eastAsia="zh-CN" w:bidi="ar"/>
              </w:rPr>
            </w:pPr>
            <w:r>
              <w:rPr>
                <w:rFonts w:hint="eastAsia" w:ascii="宋体" w:hAnsi="宋体" w:eastAsia="宋体" w:cs="宋体"/>
                <w:bCs/>
                <w:color w:val="auto"/>
                <w:sz w:val="21"/>
                <w:szCs w:val="21"/>
                <w:highlight w:val="none"/>
                <w:lang w:val="en-US" w:eastAsia="zh-CN" w:bidi="ar"/>
              </w:rPr>
              <w:t>变更招标方式</w:t>
            </w:r>
          </w:p>
        </w:tc>
        <w:tc>
          <w:tcPr>
            <w:tcW w:w="7872" w:type="dxa"/>
            <w:gridSpan w:val="2"/>
            <w:shd w:val="clear" w:color="auto" w:fill="auto"/>
            <w:noWrap w:val="0"/>
            <w:vAlign w:val="center"/>
          </w:tcPr>
          <w:p w14:paraId="13AB35BB">
            <w:pPr>
              <w:pStyle w:val="17"/>
              <w:keepNext w:val="0"/>
              <w:keepLines w:val="0"/>
              <w:pageBreakBefore w:val="0"/>
              <w:suppressLineNumbers w:val="0"/>
              <w:kinsoku/>
              <w:overflowPunct/>
              <w:topLinePunct w:val="0"/>
              <w:autoSpaceDE/>
              <w:autoSpaceDN/>
              <w:bidi w:val="0"/>
              <w:adjustRightInd w:val="0"/>
              <w:snapToGrid w:val="0"/>
              <w:spacing w:before="0" w:beforeAutospacing="0" w:after="0" w:afterLines="0" w:afterAutospacing="0" w:line="500" w:lineRule="exact"/>
              <w:ind w:left="0" w:leftChars="0" w:right="0" w:rightChars="0"/>
              <w:textAlignment w:val="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按照滁州市公共资源交易监督管理局现行规定执行。</w:t>
            </w:r>
          </w:p>
        </w:tc>
      </w:tr>
    </w:tbl>
    <w:p w14:paraId="3B3ADF5B">
      <w:pPr>
        <w:keepNext w:val="0"/>
        <w:keepLines w:val="0"/>
        <w:pageBreakBefore/>
        <w:widowControl w:val="0"/>
        <w:kinsoku/>
        <w:wordWrap/>
        <w:overflowPunct/>
        <w:topLinePunct w:val="0"/>
        <w:autoSpaceDE/>
        <w:autoSpaceDN/>
        <w:bidi w:val="0"/>
        <w:spacing w:before="312" w:beforeLines="100" w:after="312" w:afterLines="100" w:line="500" w:lineRule="exact"/>
        <w:jc w:val="center"/>
        <w:textAlignment w:val="auto"/>
        <w:outlineLvl w:val="1"/>
        <w:rPr>
          <w:rFonts w:hint="eastAsia" w:ascii="宋体"/>
          <w:b/>
          <w:color w:val="auto"/>
          <w:sz w:val="28"/>
          <w:szCs w:val="32"/>
          <w:highlight w:val="none"/>
        </w:rPr>
      </w:pPr>
      <w:bookmarkStart w:id="30" w:name="_Toc58430315"/>
      <w:bookmarkStart w:id="31" w:name="_Toc28397"/>
      <w:bookmarkStart w:id="32" w:name="_Toc449028866"/>
      <w:r>
        <w:rPr>
          <w:rFonts w:hint="eastAsia" w:ascii="宋体"/>
          <w:b/>
          <w:color w:val="auto"/>
          <w:sz w:val="28"/>
          <w:szCs w:val="28"/>
          <w:highlight w:val="none"/>
        </w:rPr>
        <w:t>二、投标人须知</w:t>
      </w:r>
      <w:bookmarkEnd w:id="30"/>
      <w:bookmarkEnd w:id="31"/>
      <w:bookmarkEnd w:id="32"/>
    </w:p>
    <w:p w14:paraId="3828F999">
      <w:pPr>
        <w:keepNext w:val="0"/>
        <w:keepLines w:val="0"/>
        <w:widowControl w:val="0"/>
        <w:kinsoku/>
        <w:wordWrap/>
        <w:overflowPunct/>
        <w:topLinePunct w:val="0"/>
        <w:autoSpaceDE/>
        <w:autoSpaceDN/>
        <w:bidi w:val="0"/>
        <w:spacing w:before="156" w:beforeLines="50" w:after="156" w:afterLines="50" w:line="500" w:lineRule="exact"/>
        <w:jc w:val="center"/>
        <w:textAlignment w:val="auto"/>
        <w:rPr>
          <w:rFonts w:hint="eastAsia" w:ascii="宋体" w:hAnsi="宋体" w:cs="宋体"/>
          <w:color w:val="auto"/>
          <w:sz w:val="28"/>
          <w:szCs w:val="28"/>
          <w:highlight w:val="none"/>
        </w:rPr>
      </w:pPr>
      <w:bookmarkStart w:id="33" w:name="_Toc449028867"/>
      <w:r>
        <w:rPr>
          <w:rFonts w:hint="eastAsia" w:ascii="宋体" w:hAnsi="宋体" w:cs="宋体"/>
          <w:b/>
          <w:color w:val="auto"/>
          <w:sz w:val="28"/>
          <w:szCs w:val="28"/>
          <w:highlight w:val="none"/>
        </w:rPr>
        <w:t>（一）总  则</w:t>
      </w:r>
      <w:bookmarkEnd w:id="33"/>
    </w:p>
    <w:p w14:paraId="2615EED1">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1.项目概况</w:t>
      </w:r>
    </w:p>
    <w:p w14:paraId="40F3ECDA">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1.1本次招标采购项目名称：见投标人须知前附表。</w:t>
      </w:r>
    </w:p>
    <w:p w14:paraId="1F1B383F">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项目编号：见投标人须知前附表。</w:t>
      </w:r>
    </w:p>
    <w:p w14:paraId="5576BA49">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招 标 人：见投标人须知前附表。</w:t>
      </w:r>
    </w:p>
    <w:p w14:paraId="444FBDE3">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供货期：见投标人须知前附表。</w:t>
      </w:r>
    </w:p>
    <w:p w14:paraId="445D0D05">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供货地点：见投标人须知前附表。</w:t>
      </w:r>
    </w:p>
    <w:p w14:paraId="3E1120C7">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1.2招标人及联系人: 见投标人须知前附表。</w:t>
      </w:r>
    </w:p>
    <w:p w14:paraId="18BCC25F">
      <w:pPr>
        <w:keepNext w:val="0"/>
        <w:keepLines w:val="0"/>
        <w:widowControl w:val="0"/>
        <w:kinsoku/>
        <w:wordWrap/>
        <w:overflowPunct/>
        <w:topLinePunct w:val="0"/>
        <w:autoSpaceDE/>
        <w:autoSpaceDN/>
        <w:bidi w:val="0"/>
        <w:snapToGrid w:val="0"/>
        <w:spacing w:line="500" w:lineRule="exact"/>
        <w:ind w:firstLine="525" w:firstLineChars="25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 xml:space="preserve">  采购代理机构及联系人: 见投标人须知前附表。</w:t>
      </w:r>
    </w:p>
    <w:p w14:paraId="1562297F">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1.3资金来源：见投标人须知前附表。</w:t>
      </w:r>
    </w:p>
    <w:p w14:paraId="6A274FFD">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1.4本项目预算：见投标人须知前附表。</w:t>
      </w:r>
    </w:p>
    <w:p w14:paraId="549AAA95">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1.5本项目最高限价：见投标人须知前附表。</w:t>
      </w:r>
    </w:p>
    <w:p w14:paraId="5EB37319">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2.招标范围：</w:t>
      </w:r>
    </w:p>
    <w:p w14:paraId="710B942B">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u w:val="single"/>
        </w:rPr>
      </w:pPr>
      <w:r>
        <w:rPr>
          <w:rFonts w:hint="eastAsia" w:ascii="宋体" w:hAnsi="宋体" w:cs="宋体"/>
          <w:color w:val="auto"/>
          <w:szCs w:val="21"/>
          <w:highlight w:val="none"/>
        </w:rPr>
        <w:t>2.1 采购内容：详见《采购内容及服务要求》。</w:t>
      </w:r>
    </w:p>
    <w:p w14:paraId="5CC88A00">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 技术要求：详见《采购内容及服务要求》。</w:t>
      </w:r>
    </w:p>
    <w:p w14:paraId="15683BDD">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3.标包划分：</w:t>
      </w:r>
    </w:p>
    <w:p w14:paraId="2EB33DDE">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3.1本项目划分：见投标人须知前附表。</w:t>
      </w:r>
    </w:p>
    <w:p w14:paraId="04A28851">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4.招标方式：</w:t>
      </w:r>
    </w:p>
    <w:p w14:paraId="5C21E3CF">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4.1本项目招标方式：见投标人须知前附表。</w:t>
      </w:r>
    </w:p>
    <w:p w14:paraId="2D18212F">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5.计价方式：</w:t>
      </w:r>
    </w:p>
    <w:p w14:paraId="22F6B613">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5.1本次招标项目合同采用</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lang w:val="en-US" w:eastAsia="zh-CN"/>
        </w:rPr>
        <w:t>单价合同</w:t>
      </w:r>
      <w:r>
        <w:rPr>
          <w:rFonts w:hint="eastAsia" w:ascii="宋体" w:hAnsi="宋体" w:cs="宋体"/>
          <w:color w:val="auto"/>
          <w:szCs w:val="21"/>
          <w:highlight w:val="none"/>
          <w:u w:val="single"/>
        </w:rPr>
        <w:t xml:space="preserve"> 。</w:t>
      </w:r>
    </w:p>
    <w:p w14:paraId="5094BB49">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6.评标办法：</w:t>
      </w:r>
    </w:p>
    <w:p w14:paraId="1CDB0268">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6.1本次招标评标采用</w:t>
      </w:r>
      <w:r>
        <w:rPr>
          <w:rFonts w:hint="eastAsia" w:ascii="宋体" w:hAnsi="宋体" w:cs="宋体"/>
          <w:color w:val="auto"/>
          <w:szCs w:val="21"/>
          <w:highlight w:val="none"/>
          <w:u w:val="single"/>
        </w:rPr>
        <w:t xml:space="preserve">  综合评分法  </w:t>
      </w:r>
      <w:r>
        <w:rPr>
          <w:rFonts w:hint="eastAsia" w:ascii="宋体" w:hAnsi="宋体" w:cs="宋体"/>
          <w:color w:val="auto"/>
          <w:szCs w:val="21"/>
          <w:highlight w:val="none"/>
        </w:rPr>
        <w:t>（详见第三章评标办法）</w:t>
      </w:r>
    </w:p>
    <w:p w14:paraId="4F78502A">
      <w:pPr>
        <w:keepNext w:val="0"/>
        <w:keepLines w:val="0"/>
        <w:widowControl w:val="0"/>
        <w:kinsoku/>
        <w:wordWrap/>
        <w:overflowPunct/>
        <w:topLinePunct w:val="0"/>
        <w:autoSpaceDE/>
        <w:autoSpaceDN/>
        <w:bidi w:val="0"/>
        <w:snapToGrid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7.投标人资格：</w:t>
      </w:r>
    </w:p>
    <w:p w14:paraId="58F16810">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7.1</w:t>
      </w:r>
      <w:r>
        <w:rPr>
          <w:rFonts w:hint="eastAsia" w:ascii="宋体"/>
          <w:color w:val="auto"/>
          <w:szCs w:val="21"/>
          <w:highlight w:val="none"/>
        </w:rPr>
        <w:t>详见投标人须知前附表。</w:t>
      </w:r>
    </w:p>
    <w:p w14:paraId="7158C81B">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7.2根据电子化采购的特点，投标人参加本项目投标，投标人参加本项目投标，需在安徽省公共资源交易市场主体库（http://61.190.70.20/ahggfwpt-zhutiku）登记并进行信息确认提交。</w:t>
      </w:r>
    </w:p>
    <w:p w14:paraId="39A7C7FA">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7.3投标人必须确保自己在信息库中注册的信息真实、准确，并保证投标文件中的有关信息与库中的信息相一致。否则，投标人因此蒙受损失，招标人概不负责。</w:t>
      </w:r>
    </w:p>
    <w:p w14:paraId="78B1D79A">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8. 投标费用</w:t>
      </w:r>
    </w:p>
    <w:p w14:paraId="2EF6A889">
      <w:pPr>
        <w:keepNext w:val="0"/>
        <w:keepLines w:val="0"/>
        <w:widowControl w:val="0"/>
        <w:kinsoku/>
        <w:wordWrap/>
        <w:overflowPunct/>
        <w:topLinePunct w:val="0"/>
        <w:autoSpaceDE/>
        <w:autoSpaceDN/>
        <w:bidi w:val="0"/>
        <w:snapToGrid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8.1投标人准备和参加投标活动发生的费用自理。</w:t>
      </w:r>
    </w:p>
    <w:p w14:paraId="371454FD">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9.</w:t>
      </w:r>
      <w:bookmarkStart w:id="34" w:name="_Toc296602429"/>
      <w:bookmarkStart w:id="35" w:name="_Toc247513962"/>
      <w:bookmarkStart w:id="36" w:name="_Toc152045539"/>
      <w:bookmarkStart w:id="37" w:name="_Toc152042315"/>
      <w:bookmarkStart w:id="38" w:name="_Toc247592876"/>
      <w:bookmarkStart w:id="39" w:name="_Toc144974507"/>
      <w:bookmarkStart w:id="40" w:name="_Toc247527563"/>
      <w:r>
        <w:rPr>
          <w:rFonts w:hint="eastAsia" w:ascii="宋体" w:hAnsi="宋体" w:cs="宋体"/>
          <w:b/>
          <w:color w:val="auto"/>
          <w:szCs w:val="21"/>
          <w:highlight w:val="none"/>
        </w:rPr>
        <w:t xml:space="preserve"> 踏勘现场</w:t>
      </w:r>
      <w:bookmarkEnd w:id="34"/>
      <w:bookmarkEnd w:id="35"/>
      <w:bookmarkEnd w:id="36"/>
      <w:bookmarkEnd w:id="37"/>
      <w:bookmarkEnd w:id="38"/>
      <w:bookmarkEnd w:id="39"/>
      <w:bookmarkEnd w:id="40"/>
    </w:p>
    <w:p w14:paraId="44E5D883">
      <w:pPr>
        <w:keepNext w:val="0"/>
        <w:keepLines w:val="0"/>
        <w:widowControl w:val="0"/>
        <w:kinsoku/>
        <w:wordWrap/>
        <w:overflowPunct/>
        <w:topLinePunct w:val="0"/>
        <w:autoSpaceDE/>
        <w:autoSpaceDN/>
        <w:bidi w:val="0"/>
        <w:spacing w:line="500" w:lineRule="exact"/>
        <w:ind w:firstLine="409" w:firstLineChars="195"/>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9.1 投标人须知前附表规定组织踏勘现场的，招标人按投标人须知前附表规定的时间、地点组织投标人踏勘项目现场。 </w:t>
      </w:r>
    </w:p>
    <w:p w14:paraId="087A1C60">
      <w:pPr>
        <w:keepNext w:val="0"/>
        <w:keepLines w:val="0"/>
        <w:widowControl w:val="0"/>
        <w:kinsoku/>
        <w:wordWrap/>
        <w:overflowPunct/>
        <w:topLinePunct w:val="0"/>
        <w:autoSpaceDE/>
        <w:autoSpaceDN/>
        <w:bidi w:val="0"/>
        <w:spacing w:line="500" w:lineRule="exact"/>
        <w:ind w:firstLine="409" w:firstLineChars="195"/>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9.2 投标人踏勘现场发生的费用自理。</w:t>
      </w:r>
    </w:p>
    <w:p w14:paraId="7B5E485C">
      <w:pPr>
        <w:keepNext w:val="0"/>
        <w:keepLines w:val="0"/>
        <w:widowControl w:val="0"/>
        <w:kinsoku/>
        <w:wordWrap/>
        <w:overflowPunct/>
        <w:topLinePunct w:val="0"/>
        <w:autoSpaceDE/>
        <w:autoSpaceDN/>
        <w:bidi w:val="0"/>
        <w:spacing w:line="500" w:lineRule="exact"/>
        <w:ind w:firstLine="409" w:firstLineChars="195"/>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9.3 除招标人的原因外，投标人自行负责在踏勘现场中所发生的人员伤亡和财产损失。</w:t>
      </w:r>
    </w:p>
    <w:p w14:paraId="42E882E6">
      <w:pPr>
        <w:keepNext w:val="0"/>
        <w:keepLines w:val="0"/>
        <w:widowControl w:val="0"/>
        <w:kinsoku/>
        <w:wordWrap/>
        <w:overflowPunct/>
        <w:topLinePunct w:val="0"/>
        <w:autoSpaceDE/>
        <w:autoSpaceDN/>
        <w:bidi w:val="0"/>
        <w:spacing w:line="500" w:lineRule="exact"/>
        <w:ind w:firstLine="409" w:firstLineChars="195"/>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9.4 招标人在踏勘现场中介绍的场地和相关的周边环境情况，供投标人在编制投标文件时参考，招标人不对投标人据此作出的判断和决策负责。</w:t>
      </w:r>
      <w:bookmarkStart w:id="41" w:name="_Toc152045540"/>
      <w:bookmarkStart w:id="42" w:name="_Toc247513963"/>
      <w:bookmarkStart w:id="43" w:name="_Toc152042316"/>
      <w:bookmarkStart w:id="44" w:name="_Toc247592877"/>
      <w:bookmarkStart w:id="45" w:name="_Toc296602430"/>
      <w:bookmarkStart w:id="46" w:name="_Toc247527564"/>
      <w:bookmarkStart w:id="47" w:name="_Toc144974508"/>
    </w:p>
    <w:p w14:paraId="712C4F49">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10. 投标预备会</w:t>
      </w:r>
      <w:bookmarkEnd w:id="41"/>
      <w:bookmarkEnd w:id="42"/>
      <w:bookmarkEnd w:id="43"/>
      <w:bookmarkEnd w:id="44"/>
      <w:bookmarkEnd w:id="45"/>
      <w:bookmarkEnd w:id="46"/>
      <w:bookmarkEnd w:id="47"/>
      <w:r>
        <w:rPr>
          <w:rFonts w:hint="eastAsia" w:ascii="宋体" w:hAnsi="宋体" w:cs="宋体"/>
          <w:b/>
          <w:color w:val="auto"/>
          <w:szCs w:val="21"/>
          <w:highlight w:val="none"/>
        </w:rPr>
        <w:t>（本项目不采用）</w:t>
      </w:r>
    </w:p>
    <w:p w14:paraId="347EC024">
      <w:pPr>
        <w:keepNext w:val="0"/>
        <w:keepLines w:val="0"/>
        <w:widowControl w:val="0"/>
        <w:kinsoku/>
        <w:wordWrap/>
        <w:overflowPunct/>
        <w:topLinePunct w:val="0"/>
        <w:autoSpaceDE/>
        <w:autoSpaceDN/>
        <w:bidi w:val="0"/>
        <w:spacing w:line="500" w:lineRule="exact"/>
        <w:ind w:firstLine="409" w:firstLineChars="195"/>
        <w:textAlignment w:val="auto"/>
        <w:rPr>
          <w:rFonts w:hint="eastAsia" w:ascii="宋体"/>
          <w:color w:val="auto"/>
          <w:szCs w:val="21"/>
          <w:highlight w:val="none"/>
        </w:rPr>
      </w:pPr>
      <w:r>
        <w:rPr>
          <w:rFonts w:hint="eastAsia" w:ascii="宋体"/>
          <w:color w:val="auto"/>
          <w:szCs w:val="21"/>
          <w:highlight w:val="none"/>
        </w:rPr>
        <w:t>10.1投标人须知前附表规定召开投标预备会的，招标人按投标人须知前附表规定的时间和地点召开投标预备会，澄清投标人提出的问题。</w:t>
      </w:r>
    </w:p>
    <w:p w14:paraId="022B3409">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11. 联合投标(本项目不采用）</w:t>
      </w:r>
    </w:p>
    <w:p w14:paraId="012380DF">
      <w:pPr>
        <w:keepNext w:val="0"/>
        <w:keepLines w:val="0"/>
        <w:widowControl w:val="0"/>
        <w:kinsoku/>
        <w:wordWrap/>
        <w:overflowPunct/>
        <w:topLinePunct w:val="0"/>
        <w:autoSpaceDE/>
        <w:autoSpaceDN/>
        <w:bidi w:val="0"/>
        <w:spacing w:line="500" w:lineRule="exact"/>
        <w:ind w:firstLine="409" w:firstLineChars="195"/>
        <w:textAlignment w:val="auto"/>
        <w:rPr>
          <w:rFonts w:hint="eastAsia" w:ascii="宋体"/>
          <w:color w:val="auto"/>
          <w:szCs w:val="21"/>
          <w:highlight w:val="none"/>
        </w:rPr>
      </w:pPr>
      <w:r>
        <w:rPr>
          <w:rFonts w:hint="eastAsia" w:ascii="宋体" w:hAnsi="宋体" w:cs="宋体"/>
          <w:color w:val="auto"/>
          <w:szCs w:val="21"/>
          <w:highlight w:val="none"/>
        </w:rPr>
        <w:t xml:space="preserve">11.1 </w:t>
      </w:r>
      <w:r>
        <w:rPr>
          <w:rFonts w:hint="eastAsia" w:ascii="宋体"/>
          <w:bCs/>
          <w:color w:val="auto"/>
          <w:szCs w:val="21"/>
          <w:highlight w:val="none"/>
        </w:rPr>
        <w:t>本项</w:t>
      </w:r>
      <w:r>
        <w:rPr>
          <w:rFonts w:hint="eastAsia"/>
          <w:bCs/>
          <w:color w:val="auto"/>
          <w:szCs w:val="21"/>
          <w:highlight w:val="none"/>
        </w:rPr>
        <w:t>目不接受联合体投标。</w:t>
      </w:r>
    </w:p>
    <w:p w14:paraId="75006443">
      <w:pPr>
        <w:keepNext w:val="0"/>
        <w:keepLines w:val="0"/>
        <w:widowControl w:val="0"/>
        <w:kinsoku/>
        <w:wordWrap/>
        <w:overflowPunct/>
        <w:topLinePunct w:val="0"/>
        <w:autoSpaceDE/>
        <w:autoSpaceDN/>
        <w:bidi w:val="0"/>
        <w:spacing w:line="500" w:lineRule="exact"/>
        <w:ind w:firstLine="413" w:firstLineChars="196"/>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12.招标代理费</w:t>
      </w:r>
    </w:p>
    <w:p w14:paraId="6B470126">
      <w:pPr>
        <w:keepNext w:val="0"/>
        <w:keepLines w:val="0"/>
        <w:widowControl w:val="0"/>
        <w:kinsoku/>
        <w:wordWrap/>
        <w:overflowPunct/>
        <w:topLinePunct w:val="0"/>
        <w:autoSpaceDE/>
        <w:autoSpaceDN/>
        <w:bidi w:val="0"/>
        <w:spacing w:line="500" w:lineRule="exact"/>
        <w:ind w:firstLine="210" w:firstLineChars="100"/>
        <w:jc w:val="left"/>
        <w:textAlignment w:val="auto"/>
        <w:rPr>
          <w:rFonts w:hint="eastAsia" w:ascii="宋体"/>
          <w:color w:val="auto"/>
          <w:szCs w:val="21"/>
          <w:highlight w:val="none"/>
        </w:rPr>
      </w:pPr>
      <w:r>
        <w:rPr>
          <w:rFonts w:hint="eastAsia" w:ascii="宋体"/>
          <w:bCs/>
          <w:color w:val="auto"/>
          <w:szCs w:val="21"/>
          <w:highlight w:val="none"/>
        </w:rPr>
        <w:t xml:space="preserve">  12.1</w:t>
      </w:r>
      <w:r>
        <w:rPr>
          <w:rFonts w:ascii="宋体"/>
          <w:bCs/>
          <w:color w:val="auto"/>
          <w:szCs w:val="21"/>
          <w:highlight w:val="none"/>
        </w:rPr>
        <w:t xml:space="preserve"> </w:t>
      </w:r>
      <w:r>
        <w:rPr>
          <w:rFonts w:hint="eastAsia" w:ascii="宋体"/>
          <w:bCs/>
          <w:color w:val="auto"/>
          <w:szCs w:val="21"/>
          <w:highlight w:val="none"/>
        </w:rPr>
        <w:t>招标代理费：</w:t>
      </w:r>
      <w:r>
        <w:rPr>
          <w:rFonts w:hint="eastAsia" w:ascii="宋体"/>
          <w:color w:val="auto"/>
          <w:szCs w:val="21"/>
          <w:highlight w:val="none"/>
        </w:rPr>
        <w:t>见投标人须知前附表。</w:t>
      </w:r>
    </w:p>
    <w:p w14:paraId="58174AE2">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bCs/>
          <w:color w:val="auto"/>
          <w:szCs w:val="21"/>
          <w:highlight w:val="none"/>
        </w:rPr>
        <w:t>12.2</w:t>
      </w:r>
      <w:r>
        <w:rPr>
          <w:rFonts w:ascii="宋体"/>
          <w:bCs/>
          <w:color w:val="auto"/>
          <w:szCs w:val="21"/>
          <w:highlight w:val="none"/>
        </w:rPr>
        <w:t xml:space="preserve"> </w:t>
      </w:r>
      <w:r>
        <w:rPr>
          <w:rFonts w:hint="eastAsia" w:ascii="宋体"/>
          <w:bCs/>
          <w:color w:val="auto"/>
          <w:szCs w:val="21"/>
          <w:highlight w:val="none"/>
        </w:rPr>
        <w:t>专家评审劳务费：</w:t>
      </w:r>
      <w:r>
        <w:rPr>
          <w:rFonts w:hint="eastAsia" w:ascii="宋体"/>
          <w:color w:val="auto"/>
          <w:szCs w:val="21"/>
          <w:highlight w:val="none"/>
        </w:rPr>
        <w:t>见投标人须知前附表。</w:t>
      </w:r>
    </w:p>
    <w:p w14:paraId="6C7C4579">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13.投标人应注意的事项</w:t>
      </w:r>
    </w:p>
    <w:p w14:paraId="3BB0FD92">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6BFAEDAA">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13.2投标人对采购内容中规定的技术参数、规格、数量和要求等必须最大限度的满足招标文件的相关要求。</w:t>
      </w:r>
    </w:p>
    <w:p w14:paraId="791CCA39">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13.3推荐品牌有助于投标人选择所投产品，仅供参考，并无限制性，可以选择性能不低于推荐品牌的产品，但所投产品的技术参数，要最大限度满足招标文件提供的详细参数。</w:t>
      </w:r>
    </w:p>
    <w:p w14:paraId="0A0DA98F">
      <w:pPr>
        <w:keepNext w:val="0"/>
        <w:keepLines w:val="0"/>
        <w:widowControl w:val="0"/>
        <w:kinsoku/>
        <w:wordWrap/>
        <w:overflowPunct/>
        <w:topLinePunct w:val="0"/>
        <w:autoSpaceDE/>
        <w:autoSpaceDN/>
        <w:bidi w:val="0"/>
        <w:spacing w:line="500" w:lineRule="exact"/>
        <w:ind w:firstLine="411" w:firstLineChars="196"/>
        <w:jc w:val="left"/>
        <w:textAlignment w:val="auto"/>
        <w:rPr>
          <w:rFonts w:hint="eastAsia" w:ascii="宋体" w:hAnsi="宋体" w:cs="宋体"/>
          <w:b w:val="0"/>
          <w:bCs/>
          <w:color w:val="auto"/>
          <w:szCs w:val="21"/>
          <w:highlight w:val="none"/>
        </w:rPr>
      </w:pPr>
      <w:r>
        <w:rPr>
          <w:rFonts w:hint="eastAsia" w:ascii="宋体" w:hAnsi="宋体" w:cs="宋体"/>
          <w:color w:val="auto"/>
          <w:szCs w:val="21"/>
          <w:highlight w:val="none"/>
        </w:rPr>
        <w:t>13.4 所有投标人的投标保证金都应在投标文件规定的投标保证金缴纳截止时间前缴纳，以资金到账时间为准</w:t>
      </w:r>
      <w:r>
        <w:rPr>
          <w:rFonts w:hint="eastAsia" w:ascii="宋体" w:hAnsi="宋体" w:cs="宋体"/>
          <w:b w:val="0"/>
          <w:bCs/>
          <w:color w:val="auto"/>
          <w:szCs w:val="21"/>
          <w:highlight w:val="none"/>
        </w:rPr>
        <w:t>（采用支票、汇票、本票、保函等的，以支票、汇票、本票、保函等递交的时间为准）。</w:t>
      </w:r>
    </w:p>
    <w:p w14:paraId="22DF5F9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13.5</w:t>
      </w:r>
      <w:r>
        <w:rPr>
          <w:rFonts w:hint="eastAsia" w:ascii="宋体" w:hAnsi="宋体" w:cs="宋体"/>
          <w:bCs/>
          <w:color w:val="auto"/>
          <w:szCs w:val="21"/>
          <w:highlight w:val="none"/>
        </w:rPr>
        <w:t>单位负责人为同一人或者存在直接控股、管理关系的不同投标人，不得参加同一合同项下的采购活动。</w:t>
      </w:r>
      <w:r>
        <w:rPr>
          <w:rFonts w:hint="eastAsia" w:ascii="宋体" w:hAnsi="宋体" w:cs="宋体"/>
          <w:color w:val="auto"/>
          <w:szCs w:val="21"/>
          <w:highlight w:val="none"/>
        </w:rPr>
        <w:t>为采购项目提供整体设计、规范编制或者项目管理、监理、检测等服务的投标人，不得再参加该采购项目的其他采购活动。</w:t>
      </w:r>
    </w:p>
    <w:p w14:paraId="3E385BA4">
      <w:pPr>
        <w:keepNext w:val="0"/>
        <w:keepLines w:val="0"/>
        <w:widowControl w:val="0"/>
        <w:kinsoku/>
        <w:wordWrap/>
        <w:overflowPunct/>
        <w:topLinePunct w:val="0"/>
        <w:autoSpaceDE/>
        <w:autoSpaceDN/>
        <w:bidi w:val="0"/>
        <w:spacing w:line="500" w:lineRule="exact"/>
        <w:ind w:firstLine="417" w:firstLineChars="199"/>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13.6投标人被视为充分熟悉本招标项目所在地的与履行合同有关的各种情况，包括但不限于：</w:t>
      </w:r>
    </w:p>
    <w:p w14:paraId="7CCCDC9D">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（1）国家对本次投标货物和服务的生产、安装调试、验收、维修等有关法律、法规及行业管理标准；</w:t>
      </w:r>
    </w:p>
    <w:p w14:paraId="311D83F2">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（2）安徽省及滁州市等有关管理部门的相关规定；</w:t>
      </w:r>
    </w:p>
    <w:p w14:paraId="23064E36">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（3）招标人的相关场地情况、基础建设、电力供应情况及相关设计标准。</w:t>
      </w:r>
    </w:p>
    <w:p w14:paraId="58AD6A69">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本招标文件不再对上述情况进行描述。</w:t>
      </w:r>
    </w:p>
    <w:p w14:paraId="5E588A9D">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13.7凡投标人在我市公共资源交易活动中出现违法违规、破坏市场秩序等不良行为且被监管部门处罚的，一律在滁州市公共资源交易网等相关网站曝光。</w:t>
      </w:r>
    </w:p>
    <w:p w14:paraId="0EDC8A1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13.8投标人的不良行为、失信行为及行政处罚等效力不因企业名称的变更而改变。</w:t>
      </w:r>
    </w:p>
    <w:p w14:paraId="4888A021">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13.9中标候选人无正当理由放弃中标候选人资格的，其保证金将不予退还，并被记不良信息记录。</w:t>
      </w:r>
    </w:p>
    <w:p w14:paraId="70FC25D4">
      <w:pPr>
        <w:pStyle w:val="12"/>
        <w:keepNext w:val="0"/>
        <w:keepLines w:val="0"/>
        <w:widowControl w:val="0"/>
        <w:kinsoku/>
        <w:wordWrap/>
        <w:overflowPunct/>
        <w:topLinePunct w:val="0"/>
        <w:autoSpaceDE/>
        <w:autoSpaceDN/>
        <w:bidi w:val="0"/>
        <w:spacing w:after="0" w:line="500" w:lineRule="exact"/>
        <w:ind w:left="0" w:leftChars="0"/>
        <w:jc w:val="left"/>
        <w:textAlignment w:val="auto"/>
        <w:rPr>
          <w:rFonts w:ascii="宋体" w:hAnsi="宋体" w:cs="宋体"/>
          <w:color w:val="auto"/>
          <w:sz w:val="21"/>
          <w:szCs w:val="21"/>
          <w:highlight w:val="none"/>
        </w:rPr>
      </w:pPr>
      <w:r>
        <w:rPr>
          <w:rFonts w:hint="eastAsia" w:ascii="宋体" w:hAnsi="宋体" w:cs="宋体"/>
          <w:color w:val="auto"/>
          <w:sz w:val="21"/>
          <w:szCs w:val="21"/>
          <w:highlight w:val="none"/>
        </w:rPr>
        <w:t>13.10若存在不予退还投标人投标保证金的情形，银行转账的，由市公共资源交易中心代为收缴，递交保函、支票、汇票、本票的，由招标人予以追缴。</w:t>
      </w:r>
    </w:p>
    <w:p w14:paraId="59CCFBB8">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14.保密</w:t>
      </w:r>
    </w:p>
    <w:p w14:paraId="0D7146D9">
      <w:pPr>
        <w:pStyle w:val="12"/>
        <w:keepNext w:val="0"/>
        <w:keepLines w:val="0"/>
        <w:widowControl w:val="0"/>
        <w:kinsoku/>
        <w:wordWrap/>
        <w:overflowPunct/>
        <w:topLinePunct w:val="0"/>
        <w:autoSpaceDE/>
        <w:autoSpaceDN/>
        <w:bidi w:val="0"/>
        <w:spacing w:after="0" w:line="500" w:lineRule="exact"/>
        <w:ind w:left="0" w:leftChars="0"/>
        <w:jc w:val="left"/>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参与招标投标活动的各方应对招标文件和投标文件中的商业和技术等秘密保密，违者应对由此造成的后果承担法律责任。 </w:t>
      </w:r>
    </w:p>
    <w:p w14:paraId="09F9A179">
      <w:pPr>
        <w:keepNext w:val="0"/>
        <w:keepLines w:val="0"/>
        <w:widowControl w:val="0"/>
        <w:kinsoku/>
        <w:wordWrap/>
        <w:overflowPunct/>
        <w:topLinePunct w:val="0"/>
        <w:autoSpaceDE/>
        <w:autoSpaceDN/>
        <w:bidi w:val="0"/>
        <w:spacing w:before="156" w:beforeLines="50" w:after="156" w:afterLines="50" w:line="500" w:lineRule="exact"/>
        <w:jc w:val="center"/>
        <w:textAlignment w:val="auto"/>
        <w:rPr>
          <w:rFonts w:hint="eastAsia" w:ascii="宋体" w:hAnsi="宋体" w:cs="宋体"/>
          <w:b/>
          <w:color w:val="auto"/>
          <w:sz w:val="28"/>
          <w:szCs w:val="28"/>
          <w:highlight w:val="none"/>
        </w:rPr>
      </w:pPr>
      <w:bookmarkStart w:id="48" w:name="_Toc449028868"/>
      <w:r>
        <w:rPr>
          <w:rFonts w:hint="eastAsia" w:ascii="宋体" w:hAnsi="宋体" w:cs="宋体"/>
          <w:b/>
          <w:color w:val="auto"/>
          <w:sz w:val="28"/>
          <w:szCs w:val="28"/>
          <w:highlight w:val="none"/>
        </w:rPr>
        <w:t>（二）</w:t>
      </w:r>
      <w:bookmarkEnd w:id="48"/>
      <w:r>
        <w:rPr>
          <w:rFonts w:hint="eastAsia" w:ascii="宋体" w:hAnsi="宋体" w:cs="宋体"/>
          <w:b/>
          <w:color w:val="auto"/>
          <w:sz w:val="28"/>
          <w:szCs w:val="28"/>
          <w:highlight w:val="none"/>
        </w:rPr>
        <w:t>招标文件</w:t>
      </w:r>
    </w:p>
    <w:p w14:paraId="145D248F">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15. 招标文件的编制依据</w:t>
      </w:r>
    </w:p>
    <w:p w14:paraId="31342AA2">
      <w:pPr>
        <w:keepNext w:val="0"/>
        <w:keepLines w:val="0"/>
        <w:widowControl w:val="0"/>
        <w:kinsoku/>
        <w:wordWrap/>
        <w:overflowPunct/>
        <w:topLinePunct w:val="0"/>
        <w:autoSpaceDE/>
        <w:autoSpaceDN/>
        <w:bidi w:val="0"/>
        <w:spacing w:line="500" w:lineRule="exact"/>
        <w:ind w:firstLine="420" w:firstLineChars="200"/>
        <w:textAlignment w:val="auto"/>
        <w:rPr>
          <w:rFonts w:hint="eastAsia" w:ascii="宋体"/>
          <w:color w:val="auto"/>
          <w:szCs w:val="21"/>
          <w:highlight w:val="none"/>
        </w:rPr>
      </w:pPr>
      <w:r>
        <w:rPr>
          <w:rFonts w:hint="eastAsia" w:ascii="宋体"/>
          <w:color w:val="auto"/>
          <w:szCs w:val="21"/>
          <w:highlight w:val="none"/>
        </w:rPr>
        <w:t>根据</w:t>
      </w:r>
      <w:r>
        <w:rPr>
          <w:rFonts w:hint="eastAsia"/>
          <w:color w:val="auto"/>
          <w:highlight w:val="none"/>
        </w:rPr>
        <w:t>《中华人民共和国招标投标法》、《中华人民共和国招标投标法实施条例》</w:t>
      </w:r>
      <w:r>
        <w:rPr>
          <w:rFonts w:hint="eastAsia" w:ascii="宋体"/>
          <w:color w:val="auto"/>
          <w:szCs w:val="21"/>
          <w:highlight w:val="none"/>
        </w:rPr>
        <w:t>和</w:t>
      </w:r>
      <w:r>
        <w:rPr>
          <w:rFonts w:hint="eastAsia"/>
          <w:color w:val="auto"/>
          <w:highlight w:val="none"/>
        </w:rPr>
        <w:t>《中华人民共和国民法典》</w:t>
      </w:r>
      <w:r>
        <w:rPr>
          <w:rFonts w:hint="eastAsia" w:ascii="宋体"/>
          <w:color w:val="auto"/>
          <w:spacing w:val="-2"/>
          <w:szCs w:val="21"/>
          <w:highlight w:val="none"/>
        </w:rPr>
        <w:t>等相关法律法规和规章及部、省、市级规范性文件的规定，编制本招标文件。</w:t>
      </w:r>
    </w:p>
    <w:p w14:paraId="5A895353">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16. 招标文件的组成</w:t>
      </w:r>
    </w:p>
    <w:p w14:paraId="472135B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16.1 招标文件包括内容：</w:t>
      </w:r>
    </w:p>
    <w:p w14:paraId="501514E9">
      <w:pPr>
        <w:keepNext w:val="0"/>
        <w:keepLines w:val="0"/>
        <w:widowControl w:val="0"/>
        <w:kinsoku/>
        <w:wordWrap/>
        <w:overflowPunct/>
        <w:topLinePunct w:val="0"/>
        <w:autoSpaceDE/>
        <w:autoSpaceDN/>
        <w:bidi w:val="0"/>
        <w:spacing w:line="500" w:lineRule="exact"/>
        <w:ind w:firstLine="1470" w:firstLineChars="7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第一章  招标公告</w:t>
      </w:r>
    </w:p>
    <w:p w14:paraId="268C50A4">
      <w:pPr>
        <w:keepNext w:val="0"/>
        <w:keepLines w:val="0"/>
        <w:widowControl w:val="0"/>
        <w:kinsoku/>
        <w:wordWrap/>
        <w:overflowPunct/>
        <w:topLinePunct w:val="0"/>
        <w:autoSpaceDE/>
        <w:autoSpaceDN/>
        <w:bidi w:val="0"/>
        <w:spacing w:line="500" w:lineRule="exact"/>
        <w:ind w:firstLine="1470" w:firstLineChars="7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第二章  投标人须知</w:t>
      </w:r>
    </w:p>
    <w:p w14:paraId="3D35206C">
      <w:pPr>
        <w:keepNext w:val="0"/>
        <w:keepLines w:val="0"/>
        <w:widowControl w:val="0"/>
        <w:kinsoku/>
        <w:wordWrap/>
        <w:overflowPunct/>
        <w:topLinePunct w:val="0"/>
        <w:autoSpaceDE/>
        <w:autoSpaceDN/>
        <w:bidi w:val="0"/>
        <w:spacing w:line="500" w:lineRule="exact"/>
        <w:ind w:firstLine="1470" w:firstLineChars="7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第三章  评标办法</w:t>
      </w:r>
    </w:p>
    <w:p w14:paraId="7A6131F8">
      <w:pPr>
        <w:keepNext w:val="0"/>
        <w:keepLines w:val="0"/>
        <w:widowControl w:val="0"/>
        <w:kinsoku/>
        <w:wordWrap/>
        <w:overflowPunct/>
        <w:topLinePunct w:val="0"/>
        <w:autoSpaceDE/>
        <w:autoSpaceDN/>
        <w:bidi w:val="0"/>
        <w:spacing w:line="500" w:lineRule="exact"/>
        <w:ind w:firstLine="1470" w:firstLineChars="700"/>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第四章  采购内容及服务要求</w:t>
      </w:r>
    </w:p>
    <w:p w14:paraId="6CCAF591">
      <w:pPr>
        <w:keepNext w:val="0"/>
        <w:keepLines w:val="0"/>
        <w:widowControl w:val="0"/>
        <w:kinsoku/>
        <w:wordWrap/>
        <w:overflowPunct/>
        <w:topLinePunct w:val="0"/>
        <w:autoSpaceDE/>
        <w:autoSpaceDN/>
        <w:bidi w:val="0"/>
        <w:spacing w:line="500" w:lineRule="exact"/>
        <w:ind w:firstLine="1470" w:firstLineChars="7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第五章  合同条款及格式</w:t>
      </w:r>
    </w:p>
    <w:p w14:paraId="05F1316D">
      <w:pPr>
        <w:keepNext w:val="0"/>
        <w:keepLines w:val="0"/>
        <w:widowControl w:val="0"/>
        <w:kinsoku/>
        <w:wordWrap/>
        <w:overflowPunct/>
        <w:topLinePunct w:val="0"/>
        <w:autoSpaceDE/>
        <w:autoSpaceDN/>
        <w:bidi w:val="0"/>
        <w:spacing w:line="500" w:lineRule="exact"/>
        <w:ind w:firstLine="1470" w:firstLineChars="7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第六章  投标文件格式</w:t>
      </w:r>
    </w:p>
    <w:p w14:paraId="36C15C60">
      <w:pPr>
        <w:keepNext w:val="0"/>
        <w:keepLines w:val="0"/>
        <w:widowControl w:val="0"/>
        <w:kinsoku/>
        <w:wordWrap/>
        <w:overflowPunct/>
        <w:topLinePunct w:val="0"/>
        <w:autoSpaceDE/>
        <w:autoSpaceDN/>
        <w:bidi w:val="0"/>
        <w:spacing w:line="5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16.2 除16.1款内容外，招标答疑亦为招标文件的组成部分，对招标人和投标人起约束作用。</w:t>
      </w:r>
    </w:p>
    <w:p w14:paraId="27D73E34">
      <w:pPr>
        <w:keepNext w:val="0"/>
        <w:keepLines w:val="0"/>
        <w:widowControl w:val="0"/>
        <w:kinsoku/>
        <w:wordWrap/>
        <w:overflowPunct/>
        <w:topLinePunct w:val="0"/>
        <w:autoSpaceDE/>
        <w:autoSpaceDN/>
        <w:bidi w:val="0"/>
        <w:spacing w:line="50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16.3投标人应仔细阅读和检查招标文件的全部内容。如发现缺页或附件不全，应及时向招标人提出，以便补齐。</w:t>
      </w:r>
    </w:p>
    <w:p w14:paraId="3802D219">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16.4投标人可以通过电子交易系统对招标文件提出澄清（质疑）。招标文件的澄清将在滁州市公共资源交易中心（</w:t>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HYPERLINK "qq://txfile/"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http:// ggzy.chuzhou.gov.cn/</w:t>
      </w:r>
      <w:r>
        <w:rPr>
          <w:rFonts w:hint="eastAsia" w:ascii="宋体" w:hAnsi="宋体" w:cs="宋体"/>
          <w:color w:val="auto"/>
          <w:szCs w:val="21"/>
          <w:highlight w:val="none"/>
        </w:rPr>
        <w:fldChar w:fldCharType="end"/>
      </w:r>
      <w:r>
        <w:rPr>
          <w:rFonts w:hint="eastAsia" w:ascii="宋体" w:hAnsi="宋体" w:cs="宋体"/>
          <w:color w:val="auto"/>
          <w:szCs w:val="21"/>
          <w:highlight w:val="none"/>
        </w:rPr>
        <w:t>）发布，但不指明澄清问题的来源。如果澄清内容影响投标文件编制的，将相应延长投标截止时间。</w:t>
      </w:r>
    </w:p>
    <w:p w14:paraId="6F3CABE3">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17. 招标文件的异议、澄清</w:t>
      </w:r>
    </w:p>
    <w:p w14:paraId="5DFC0577">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17.1投标人或其他利害关系人投标人应仔细阅读和检查招标文件的全部内容，对招标文件有异议的，应在投标截止时间10日前以投标人须知前附表规定的网上留言或书面形式提出。招标人将在收到异议之日起3日内作出答复；作出答复前，将暂停招标投标活动。</w:t>
      </w:r>
    </w:p>
    <w:p w14:paraId="60B39551">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bCs/>
          <w:color w:val="auto"/>
          <w:szCs w:val="21"/>
          <w:highlight w:val="none"/>
        </w:rPr>
      </w:pPr>
      <w:r>
        <w:rPr>
          <w:rFonts w:hint="eastAsia" w:ascii="宋体" w:hAnsi="宋体" w:cs="宋体"/>
          <w:bCs/>
          <w:color w:val="auto"/>
          <w:szCs w:val="21"/>
          <w:highlight w:val="none"/>
        </w:rPr>
        <w:t>17.2招标人可以澄清招标文件，并以投标人须知前附表规定澄清的方式在滁州市公共资源交易中心网站发布。但如果修改招标文件的时间距投标截止时间不足15天，并且修改内容影响投标文件编制的，将相应延长投标截止时间。</w:t>
      </w:r>
    </w:p>
    <w:p w14:paraId="6AAFCF04">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lang w:val="en-US" w:eastAsia="zh-CN"/>
        </w:rPr>
        <w:t>18.</w:t>
      </w:r>
      <w:r>
        <w:rPr>
          <w:rFonts w:hint="eastAsia" w:ascii="宋体" w:hAnsi="宋体" w:eastAsia="宋体" w:cs="宋体"/>
          <w:b/>
          <w:bCs/>
          <w:color w:val="auto"/>
          <w:szCs w:val="21"/>
          <w:highlight w:val="none"/>
        </w:rPr>
        <w:t>招标文件的解释</w:t>
      </w:r>
    </w:p>
    <w:p w14:paraId="7D6C28C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（1）构成本招标文件的各个组成文件应互为解释，互为说明；</w:t>
      </w:r>
    </w:p>
    <w:p w14:paraId="21A2BC6E">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（2）同一组成文件中就同一事项的规定或约定不一致的，以编排顺序在后者为准；</w:t>
      </w:r>
    </w:p>
    <w:p w14:paraId="182D9E6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（3）如有不明确或不一致，构成合同文件组成内容的，以合同文件约定内容为准，且以专用合同条款约定的合同文件优先顺序解释；</w:t>
      </w:r>
    </w:p>
    <w:p w14:paraId="3552653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（4）系统中提供的表格（或格式文件）与招标文件中不一致时，以招标文件中提供的为准；</w:t>
      </w:r>
    </w:p>
    <w:p w14:paraId="099013C2">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（5）按本款前述规定仍不能形成结论的，由招标人（或其委托的采购代理机构）负责解释。</w:t>
      </w:r>
    </w:p>
    <w:p w14:paraId="0B31E7BB">
      <w:pPr>
        <w:keepNext w:val="0"/>
        <w:keepLines w:val="0"/>
        <w:widowControl w:val="0"/>
        <w:kinsoku/>
        <w:wordWrap/>
        <w:overflowPunct/>
        <w:topLinePunct w:val="0"/>
        <w:autoSpaceDE/>
        <w:autoSpaceDN/>
        <w:bidi w:val="0"/>
        <w:spacing w:line="5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 xml:space="preserve">    1</w:t>
      </w:r>
      <w:r>
        <w:rPr>
          <w:rFonts w:hint="eastAsia" w:ascii="宋体" w:hAnsi="宋体" w:cs="宋体"/>
          <w:b/>
          <w:color w:val="auto"/>
          <w:szCs w:val="21"/>
          <w:highlight w:val="none"/>
          <w:lang w:val="en-US" w:eastAsia="zh-CN"/>
        </w:rPr>
        <w:t>9</w:t>
      </w:r>
      <w:r>
        <w:rPr>
          <w:rFonts w:hint="eastAsia" w:ascii="宋体" w:hAnsi="宋体" w:cs="宋体"/>
          <w:b/>
          <w:color w:val="auto"/>
          <w:szCs w:val="21"/>
          <w:highlight w:val="none"/>
        </w:rPr>
        <w:t>. 招标文件的发出</w:t>
      </w:r>
    </w:p>
    <w:p w14:paraId="54AF67D5">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.1招标文件、招标文件的澄清、修改、补充及招标答疑等均应报公共资源交易监督管理机构备案后，方可发出。</w:t>
      </w:r>
    </w:p>
    <w:p w14:paraId="45499DE5">
      <w:pPr>
        <w:keepNext w:val="0"/>
        <w:keepLines w:val="0"/>
        <w:widowControl w:val="0"/>
        <w:kinsoku/>
        <w:wordWrap/>
        <w:overflowPunct/>
        <w:topLinePunct w:val="0"/>
        <w:autoSpaceDE/>
        <w:autoSpaceDN/>
        <w:bidi w:val="0"/>
        <w:spacing w:before="156" w:beforeLines="50" w:after="156" w:afterLines="50" w:line="500" w:lineRule="exact"/>
        <w:jc w:val="center"/>
        <w:textAlignment w:val="auto"/>
        <w:rPr>
          <w:rFonts w:hint="eastAsia" w:ascii="宋体" w:hAnsi="宋体" w:cs="宋体"/>
          <w:b/>
          <w:color w:val="auto"/>
          <w:sz w:val="28"/>
          <w:szCs w:val="28"/>
          <w:highlight w:val="none"/>
        </w:rPr>
      </w:pPr>
      <w:bookmarkStart w:id="49" w:name="_Toc449028869"/>
      <w:r>
        <w:rPr>
          <w:rFonts w:hint="eastAsia" w:ascii="宋体" w:hAnsi="宋体" w:cs="宋体"/>
          <w:b/>
          <w:color w:val="auto"/>
          <w:sz w:val="28"/>
          <w:szCs w:val="28"/>
          <w:highlight w:val="none"/>
        </w:rPr>
        <w:t>（三）投标文件的编制</w:t>
      </w:r>
      <w:bookmarkEnd w:id="49"/>
    </w:p>
    <w:p w14:paraId="553ABA4C">
      <w:pPr>
        <w:keepNext w:val="0"/>
        <w:keepLines w:val="0"/>
        <w:widowControl w:val="0"/>
        <w:kinsoku/>
        <w:wordWrap/>
        <w:overflowPunct/>
        <w:topLinePunct w:val="0"/>
        <w:autoSpaceDE/>
        <w:autoSpaceDN/>
        <w:bidi w:val="0"/>
        <w:spacing w:line="500" w:lineRule="exact"/>
        <w:ind w:firstLine="306" w:firstLineChars="145"/>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20. 投标的语言及度量衡单位</w:t>
      </w:r>
    </w:p>
    <w:p w14:paraId="5F4B94EC">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20.1投标人的投标文件、以及投标人与招标人就投标的所有往来函电，均须使用简体中文。</w:t>
      </w:r>
    </w:p>
    <w:p w14:paraId="75FEFF56">
      <w:pPr>
        <w:keepNext w:val="0"/>
        <w:keepLines w:val="0"/>
        <w:widowControl w:val="0"/>
        <w:kinsoku/>
        <w:wordWrap/>
        <w:overflowPunct/>
        <w:topLinePunct w:val="0"/>
        <w:autoSpaceDE/>
        <w:autoSpaceDN/>
        <w:bidi w:val="0"/>
        <w:spacing w:line="500" w:lineRule="exact"/>
        <w:ind w:firstLine="210" w:firstLineChars="1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20.2除招标文件中另有规定外，投标文件所使用的度量衡均须采用法定计量单位。</w:t>
      </w:r>
    </w:p>
    <w:p w14:paraId="314120BA">
      <w:pPr>
        <w:keepNext w:val="0"/>
        <w:keepLines w:val="0"/>
        <w:widowControl w:val="0"/>
        <w:kinsoku/>
        <w:wordWrap/>
        <w:overflowPunct/>
        <w:topLinePunct w:val="0"/>
        <w:autoSpaceDE/>
        <w:autoSpaceDN/>
        <w:bidi w:val="0"/>
        <w:spacing w:line="500" w:lineRule="exact"/>
        <w:ind w:firstLine="211" w:firstLineChars="1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21. 投标文件的组成、上传说明</w:t>
      </w:r>
    </w:p>
    <w:p w14:paraId="282C9962">
      <w:pPr>
        <w:keepNext w:val="0"/>
        <w:keepLines w:val="0"/>
        <w:widowControl w:val="0"/>
        <w:kinsoku/>
        <w:wordWrap/>
        <w:overflowPunct/>
        <w:topLinePunct w:val="0"/>
        <w:autoSpaceDE/>
        <w:autoSpaceDN/>
        <w:bidi w:val="0"/>
        <w:spacing w:line="500" w:lineRule="exact"/>
        <w:ind w:firstLine="211" w:firstLineChars="100"/>
        <w:jc w:val="left"/>
        <w:textAlignment w:val="auto"/>
        <w:rPr>
          <w:rFonts w:hint="eastAsia" w:ascii="宋体" w:hAnsi="宋体" w:cs="宋体"/>
          <w:color w:val="auto"/>
          <w:szCs w:val="21"/>
          <w:highlight w:val="none"/>
        </w:rPr>
      </w:pPr>
      <w:r>
        <w:rPr>
          <w:rFonts w:hint="eastAsia" w:ascii="宋体" w:hAnsi="宋体" w:cs="宋体"/>
          <w:b/>
          <w:color w:val="auto"/>
          <w:szCs w:val="21"/>
          <w:highlight w:val="none"/>
        </w:rPr>
        <w:t>21.1投标文件的组成</w:t>
      </w:r>
    </w:p>
    <w:p w14:paraId="64F765DD">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投标文件由投标文件一（资信证明文件）、投标文件二（技术标）和投标文件三（商务标）三部分组成。</w:t>
      </w:r>
      <w:r>
        <w:rPr>
          <w:rFonts w:hint="eastAsia" w:ascii="宋体" w:hAnsi="宋体" w:cs="宋体"/>
          <w:b/>
          <w:bCs/>
          <w:color w:val="auto"/>
          <w:szCs w:val="21"/>
          <w:highlight w:val="none"/>
        </w:rPr>
        <w:t>具体内容详见第六章投标文件格式内容。</w:t>
      </w:r>
    </w:p>
    <w:p w14:paraId="4184321C">
      <w:pPr>
        <w:keepNext w:val="0"/>
        <w:keepLines w:val="0"/>
        <w:widowControl w:val="0"/>
        <w:kinsoku/>
        <w:wordWrap/>
        <w:overflowPunct/>
        <w:topLinePunct w:val="0"/>
        <w:autoSpaceDE/>
        <w:autoSpaceDN/>
        <w:bidi w:val="0"/>
        <w:spacing w:line="500" w:lineRule="exact"/>
        <w:ind w:firstLine="211" w:firstLineChars="1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21.2投标文件的上传</w:t>
      </w:r>
    </w:p>
    <w:p w14:paraId="39B9BBC7">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人在滁州市公共资源交易中心网，利用用户名或CA数字证书登录下载招标文件(.czzf格式)后，在下载投标文件制作工具安装后，在线制作投标文件，制作好的投标文件格式有2种:第一种.cztf格式加密投标文件；第二种.ncztf格式是非加密投标文件。请投标人将第一种投标文件通过系统“上传投标文件”上传到系统中。</w:t>
      </w:r>
    </w:p>
    <w:p w14:paraId="7E72A597">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（2）如果一个项目有多个标段，则需按标段下载对应标段招标文件分别生成对应的投标文件，通过系统“上传投标文件”按标段分别上传到系统中。</w:t>
      </w:r>
    </w:p>
    <w:p w14:paraId="2B1AF34D">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（3）请投标人通过系统下载投标工具制作投标文件，并利用CA数字证书进行上传投标文件，上传已加密的投标文件，务必通过此方式上传投标文件。</w:t>
      </w:r>
    </w:p>
    <w:p w14:paraId="303161F7">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（4）投标人在投标文件编制、签章、上传过程中如有任何操作的疑问请及时联系技术支持，电话：0550-3801701。</w:t>
      </w:r>
    </w:p>
    <w:p w14:paraId="6E40E23F">
      <w:pPr>
        <w:keepNext w:val="0"/>
        <w:keepLines w:val="0"/>
        <w:widowControl w:val="0"/>
        <w:kinsoku/>
        <w:wordWrap/>
        <w:overflowPunct/>
        <w:topLinePunct w:val="0"/>
        <w:autoSpaceDE/>
        <w:autoSpaceDN/>
        <w:bidi w:val="0"/>
        <w:spacing w:line="500" w:lineRule="exact"/>
        <w:ind w:firstLine="315" w:firstLineChars="1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如果因投标人自身原因导致投标文件在规定时间内未能解密、解密失败或解密超时，投标文件无效；因招标人或代理公司原因或网上平台发生故障，导致无法按时完成投标文件解密的，经代理公司申请后可延迟解密时间。</w:t>
      </w:r>
    </w:p>
    <w:p w14:paraId="2B5120C4">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21.3投标文件的编制</w:t>
      </w:r>
    </w:p>
    <w:p w14:paraId="6E008257">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（1）投标文件应按第六章“投标文件格式”进行编写，如有必要，可以增加附页，作为投标文件的组成部分。</w:t>
      </w:r>
    </w:p>
    <w:p w14:paraId="3C950680">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（2）本次招标投标不需要提供纸质投标文件，投标人应按照电子招标投标的要求，在投标人的会员系统中制作、电子签章、上传投标文件。</w:t>
      </w:r>
    </w:p>
    <w:p w14:paraId="06752A2F">
      <w:pPr>
        <w:keepNext w:val="0"/>
        <w:keepLines w:val="0"/>
        <w:widowControl w:val="0"/>
        <w:kinsoku/>
        <w:wordWrap/>
        <w:overflowPunct/>
        <w:topLinePunct w:val="0"/>
        <w:autoSpaceDE/>
        <w:autoSpaceDN/>
        <w:bidi w:val="0"/>
        <w:spacing w:line="500" w:lineRule="exact"/>
        <w:ind w:left="-9" w:right="-199" w:rightChars="-95"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（3）网上递交的电子投标文件制作工具等要求详见系统内帮助模块。</w:t>
      </w:r>
    </w:p>
    <w:p w14:paraId="0110216F">
      <w:pPr>
        <w:keepNext w:val="0"/>
        <w:keepLines w:val="0"/>
        <w:widowControl w:val="0"/>
        <w:kinsoku/>
        <w:wordWrap/>
        <w:overflowPunct/>
        <w:topLinePunct w:val="0"/>
        <w:autoSpaceDE/>
        <w:autoSpaceDN/>
        <w:bidi w:val="0"/>
        <w:spacing w:line="500" w:lineRule="exact"/>
        <w:ind w:firstLine="424" w:firstLineChars="202"/>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（4）网上递交的电子投标文件应按招标文件规定的格式由投标人的法定代表人和投标人分别签章。</w:t>
      </w:r>
    </w:p>
    <w:p w14:paraId="220F066D">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color w:val="auto"/>
          <w:szCs w:val="21"/>
          <w:highlight w:val="none"/>
        </w:rPr>
      </w:pPr>
      <w:r>
        <w:rPr>
          <w:rFonts w:hint="eastAsia" w:ascii="宋体" w:hAnsi="宋体" w:cs="宋体"/>
          <w:b/>
          <w:color w:val="auto"/>
          <w:szCs w:val="21"/>
          <w:highlight w:val="none"/>
        </w:rPr>
        <w:t>22</w:t>
      </w:r>
      <w:r>
        <w:rPr>
          <w:rFonts w:hint="eastAsia" w:ascii="宋体" w:hAnsi="宋体" w:cs="宋体"/>
          <w:color w:val="auto"/>
          <w:szCs w:val="21"/>
          <w:highlight w:val="none"/>
        </w:rPr>
        <w:t>.</w:t>
      </w:r>
      <w:r>
        <w:rPr>
          <w:rFonts w:hint="eastAsia" w:ascii="宋体" w:hAnsi="宋体" w:cs="宋体"/>
          <w:b/>
          <w:color w:val="auto"/>
          <w:szCs w:val="21"/>
          <w:highlight w:val="none"/>
        </w:rPr>
        <w:t>投标报价</w:t>
      </w:r>
    </w:p>
    <w:p w14:paraId="0DAD967A">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cs="宋体"/>
          <w:color w:val="auto"/>
          <w:szCs w:val="21"/>
          <w:highlight w:val="none"/>
        </w:rPr>
        <w:t>22.1投标报价文件中的单价和总价全部采用人民币表示。投标人的报价应含有服务（货物</w:t>
      </w:r>
      <w:r>
        <w:rPr>
          <w:rFonts w:hint="eastAsia" w:ascii="宋体" w:hAnsi="宋体" w:eastAsia="宋体" w:cs="宋体"/>
          <w:color w:val="auto"/>
          <w:szCs w:val="21"/>
          <w:highlight w:val="none"/>
        </w:rPr>
        <w:t>）、利润、税金、政策性文件规定及合同包含的所有风险、责任、义务等，即为完成招标文件要求的服务（货物）内容所包含的一切应有费用，招标人后期不再追加费用，投标供应商自行考虑投标风险。</w:t>
      </w:r>
    </w:p>
    <w:p w14:paraId="4C4CC5B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投标人只允许有一个方案、一个报价。</w:t>
      </w:r>
    </w:p>
    <w:p w14:paraId="2477C9E1">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投标人应按</w:t>
      </w:r>
      <w:r>
        <w:rPr>
          <w:rFonts w:hint="eastAsia" w:ascii="宋体" w:hAnsi="宋体" w:eastAsia="宋体" w:cs="宋体"/>
          <w:color w:val="auto"/>
          <w:szCs w:val="21"/>
          <w:highlight w:val="none"/>
          <w:lang w:val="en-US" w:eastAsia="zh-CN"/>
        </w:rPr>
        <w:t>第四章</w:t>
      </w:r>
      <w:r>
        <w:rPr>
          <w:rFonts w:hint="eastAsia" w:ascii="宋体" w:hAnsi="宋体" w:eastAsia="宋体" w:cs="宋体"/>
          <w:color w:val="auto"/>
          <w:szCs w:val="21"/>
          <w:highlight w:val="none"/>
        </w:rPr>
        <w:t>“采购内容及服务要求”所列</w:t>
      </w:r>
      <w:r>
        <w:rPr>
          <w:rFonts w:hint="eastAsia" w:ascii="宋体" w:hAnsi="宋体" w:eastAsia="宋体" w:cs="宋体"/>
          <w:color w:val="auto"/>
          <w:szCs w:val="21"/>
          <w:highlight w:val="none"/>
          <w:lang w:val="en-US" w:eastAsia="zh-CN"/>
        </w:rPr>
        <w:t>服务内容</w:t>
      </w:r>
      <w:r>
        <w:rPr>
          <w:rFonts w:hint="eastAsia" w:ascii="宋体" w:hAnsi="宋体" w:eastAsia="宋体" w:cs="宋体"/>
          <w:color w:val="auto"/>
          <w:szCs w:val="21"/>
          <w:highlight w:val="none"/>
        </w:rPr>
        <w:t>进行价报价，投标报价为完成本次招标项目的全费用价格，其组成包括国家对中标单位征收的各种税费等所有一切费用，</w:t>
      </w:r>
      <w:r>
        <w:rPr>
          <w:rFonts w:hint="eastAsia" w:ascii="宋体" w:hAnsi="宋体" w:eastAsia="宋体" w:cs="宋体"/>
          <w:color w:val="auto"/>
          <w:szCs w:val="21"/>
          <w:highlight w:val="none"/>
          <w:lang w:val="en-US" w:eastAsia="zh-CN"/>
        </w:rPr>
        <w:t>所报利润占比</w:t>
      </w:r>
      <w:r>
        <w:rPr>
          <w:rFonts w:hint="eastAsia" w:ascii="宋体" w:hAnsi="宋体" w:eastAsia="宋体" w:cs="宋体"/>
          <w:color w:val="auto"/>
          <w:szCs w:val="21"/>
          <w:highlight w:val="none"/>
        </w:rPr>
        <w:t>今后将不作任何调整。</w:t>
      </w:r>
    </w:p>
    <w:p w14:paraId="628B3AB7">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技术要求中规定的安装、调试和培训费用应包括在投标价格中。投标文件报价为含税价，采购人不再为此次招标支付任何费用。</w:t>
      </w:r>
    </w:p>
    <w:p w14:paraId="700281EA">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eastAsia="宋体" w:cs="宋体"/>
          <w:color w:val="auto"/>
          <w:szCs w:val="21"/>
          <w:highlight w:val="none"/>
        </w:rPr>
        <w:t>22.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投标报价应由法定代表人或被授权人签署</w:t>
      </w:r>
      <w:r>
        <w:rPr>
          <w:rFonts w:hint="eastAsia" w:ascii="宋体" w:hAnsi="宋体" w:cs="宋体"/>
          <w:color w:val="auto"/>
          <w:szCs w:val="21"/>
          <w:highlight w:val="none"/>
        </w:rPr>
        <w:t>。</w:t>
      </w:r>
    </w:p>
    <w:p w14:paraId="43E1B52A">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bCs/>
          <w:color w:val="auto"/>
          <w:szCs w:val="21"/>
          <w:highlight w:val="none"/>
        </w:rPr>
        <w:t>22.</w:t>
      </w:r>
      <w:r>
        <w:rPr>
          <w:rFonts w:hint="eastAsia" w:ascii="宋体" w:hAnsi="宋体" w:cs="宋体"/>
          <w:bCs/>
          <w:color w:val="auto"/>
          <w:szCs w:val="21"/>
          <w:highlight w:val="none"/>
          <w:lang w:val="en-US" w:eastAsia="zh-CN"/>
        </w:rPr>
        <w:t>6</w:t>
      </w:r>
      <w:r>
        <w:rPr>
          <w:rFonts w:hint="eastAsia" w:ascii="宋体" w:hAnsi="宋体" w:cs="宋体"/>
          <w:bCs/>
          <w:color w:val="auto"/>
          <w:szCs w:val="21"/>
          <w:highlight w:val="none"/>
        </w:rPr>
        <w:t>投标人的报价不得</w:t>
      </w:r>
      <w:r>
        <w:rPr>
          <w:rFonts w:hint="eastAsia" w:ascii="宋体" w:hAnsi="宋体" w:cs="宋体"/>
          <w:bCs/>
          <w:color w:val="auto"/>
          <w:szCs w:val="21"/>
          <w:highlight w:val="none"/>
          <w:lang w:val="en-US" w:eastAsia="zh-CN"/>
        </w:rPr>
        <w:t>低于</w:t>
      </w:r>
      <w:r>
        <w:rPr>
          <w:rFonts w:hint="eastAsia" w:ascii="宋体" w:hAnsi="宋体" w:cs="宋体"/>
          <w:bCs/>
          <w:color w:val="auto"/>
          <w:szCs w:val="21"/>
          <w:highlight w:val="none"/>
        </w:rPr>
        <w:t>本次</w:t>
      </w:r>
      <w:r>
        <w:rPr>
          <w:rFonts w:hint="eastAsia" w:ascii="宋体" w:hAnsi="宋体" w:cs="宋体"/>
          <w:bCs/>
          <w:color w:val="auto"/>
          <w:szCs w:val="21"/>
          <w:highlight w:val="none"/>
          <w:lang w:val="en-US" w:eastAsia="zh-CN"/>
        </w:rPr>
        <w:t>投标限价</w:t>
      </w:r>
      <w:r>
        <w:rPr>
          <w:rFonts w:hint="eastAsia" w:ascii="宋体" w:hAnsi="宋体" w:cs="宋体"/>
          <w:b/>
          <w:color w:val="auto"/>
          <w:szCs w:val="21"/>
          <w:highlight w:val="none"/>
        </w:rPr>
        <w:t>，</w:t>
      </w:r>
      <w:r>
        <w:rPr>
          <w:rFonts w:hint="eastAsia" w:ascii="宋体" w:hAnsi="宋体" w:cs="宋体"/>
          <w:b/>
          <w:bCs/>
          <w:color w:val="auto"/>
          <w:szCs w:val="21"/>
          <w:highlight w:val="none"/>
        </w:rPr>
        <w:t>否则将作为无效投标处理。</w:t>
      </w:r>
    </w:p>
    <w:p w14:paraId="3A83D83D">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如投标文件中未列明全面实现投标货物功能而必须配置的配套或辅助设施及相应技术措施的费用，这些费用将被视为已包含在总投标价中。</w:t>
      </w:r>
    </w:p>
    <w:p w14:paraId="6211134F">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总投标价中不得包含招标文件要求以外的内容，否则，在评标时不予核减，但在授予合同时，采购人有权将这部分价格从其中标价格中扣除。</w:t>
      </w:r>
    </w:p>
    <w:p w14:paraId="3FB23BBB">
      <w:pPr>
        <w:keepNext w:val="0"/>
        <w:keepLines w:val="0"/>
        <w:widowControl w:val="0"/>
        <w:kinsoku/>
        <w:wordWrap/>
        <w:overflowPunct/>
        <w:topLinePunct w:val="0"/>
        <w:autoSpaceDE/>
        <w:autoSpaceDN/>
        <w:bidi w:val="0"/>
        <w:spacing w:line="500" w:lineRule="exact"/>
        <w:ind w:firstLine="403" w:firstLineChars="192"/>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22.</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47F3FB4F">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23. 投标有效期</w:t>
      </w:r>
    </w:p>
    <w:p w14:paraId="6F42621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23.1 除投标人须知前附表另有规定外，投标有效期为90天。</w:t>
      </w:r>
    </w:p>
    <w:p w14:paraId="01E1F04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23.2在投标有效期内，投标人撤销或修改其投标文件的，应承担招标文件和法律规定的责任。</w:t>
      </w:r>
    </w:p>
    <w:p w14:paraId="3D57D9D3">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23.3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14:paraId="0A845446">
      <w:pPr>
        <w:keepNext w:val="0"/>
        <w:keepLines w:val="0"/>
        <w:widowControl w:val="0"/>
        <w:kinsoku/>
        <w:wordWrap/>
        <w:overflowPunct/>
        <w:topLinePunct w:val="0"/>
        <w:autoSpaceDE/>
        <w:autoSpaceDN/>
        <w:bidi w:val="0"/>
        <w:spacing w:line="500" w:lineRule="exact"/>
        <w:ind w:firstLine="405" w:firstLineChars="192"/>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24. 投标保证金</w:t>
      </w:r>
    </w:p>
    <w:p w14:paraId="0A9547D9">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bookmarkStart w:id="50" w:name="_Toc449028870"/>
      <w:r>
        <w:rPr>
          <w:rFonts w:hint="eastAsia" w:ascii="宋体" w:hAnsi="宋体" w:eastAsia="宋体" w:cs="宋体"/>
          <w:color w:val="auto"/>
          <w:szCs w:val="21"/>
          <w:highlight w:val="none"/>
        </w:rPr>
        <w:t>24.1投标人须知前附表规定递交投标保证金的，投标人在递交投标文件的同时，应按投标人须知前附表规定的金额、担保形式和</w:t>
      </w:r>
      <w:r>
        <w:rPr>
          <w:rFonts w:hint="eastAsia" w:ascii="宋体" w:hAnsi="宋体" w:eastAsia="宋体" w:cs="宋体"/>
          <w:color w:val="auto"/>
          <w:szCs w:val="21"/>
          <w:highlight w:val="none"/>
          <w:lang w:val="en-US" w:eastAsia="zh-CN"/>
        </w:rPr>
        <w:t>招标文件</w:t>
      </w:r>
      <w:r>
        <w:rPr>
          <w:rFonts w:hint="eastAsia" w:ascii="宋体" w:hAnsi="宋体" w:eastAsia="宋体" w:cs="宋体"/>
          <w:color w:val="auto"/>
          <w:szCs w:val="21"/>
          <w:highlight w:val="none"/>
        </w:rPr>
        <w:t>规定的或者事先经过招标人认可的保证金格式递交保证金，并作为其投标文件的组成部分。</w:t>
      </w:r>
    </w:p>
    <w:p w14:paraId="1A3C9C75">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无论采取何种形式的投标保证金，投标保证金有效期均应与投标有效期一致（采用投标电子保函的保证期截止时间不得早于该项目投标有效期的截止时间）。招标人如果按本章第</w:t>
      </w:r>
      <w:r>
        <w:rPr>
          <w:rFonts w:hint="eastAsia" w:ascii="宋体" w:hAnsi="宋体" w:eastAsia="宋体" w:cs="宋体"/>
          <w:color w:val="auto"/>
          <w:szCs w:val="21"/>
          <w:highlight w:val="none"/>
          <w:lang w:val="en-US" w:eastAsia="zh-CN"/>
        </w:rPr>
        <w:t>23.3</w:t>
      </w:r>
      <w:r>
        <w:rPr>
          <w:rFonts w:hint="eastAsia" w:ascii="宋体" w:hAnsi="宋体" w:eastAsia="宋体" w:cs="宋体"/>
          <w:color w:val="auto"/>
          <w:szCs w:val="21"/>
          <w:highlight w:val="none"/>
        </w:rPr>
        <w:t>项的规定延长了投标有效期，则投标保证金的有效期也相应延长。</w:t>
      </w:r>
    </w:p>
    <w:p w14:paraId="5162EA67">
      <w:pPr>
        <w:keepNext w:val="0"/>
        <w:keepLines w:val="0"/>
        <w:widowControl w:val="0"/>
        <w:kinsoku/>
        <w:wordWrap/>
        <w:overflowPunct/>
        <w:topLinePunct w:val="0"/>
        <w:autoSpaceDE/>
        <w:autoSpaceDN/>
        <w:bidi w:val="0"/>
        <w:spacing w:line="500" w:lineRule="exact"/>
        <w:ind w:firstLine="420" w:firstLineChars="200"/>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24.2</w:t>
      </w:r>
      <w:r>
        <w:rPr>
          <w:rFonts w:hint="eastAsia" w:ascii="宋体" w:hAnsi="宋体" w:eastAsia="宋体" w:cs="宋体"/>
          <w:color w:val="auto"/>
          <w:szCs w:val="21"/>
          <w:highlight w:val="none"/>
        </w:rPr>
        <w:t>投标人不按本章第</w:t>
      </w:r>
      <w:r>
        <w:rPr>
          <w:rFonts w:hint="eastAsia" w:ascii="宋体" w:hAnsi="宋体" w:eastAsia="宋体" w:cs="宋体"/>
          <w:color w:val="auto"/>
          <w:szCs w:val="21"/>
          <w:highlight w:val="none"/>
          <w:lang w:val="en-US" w:eastAsia="zh-CN"/>
        </w:rPr>
        <w:t>24.1</w:t>
      </w:r>
      <w:r>
        <w:rPr>
          <w:rFonts w:hint="eastAsia" w:ascii="宋体" w:hAnsi="宋体" w:eastAsia="宋体" w:cs="宋体"/>
          <w:color w:val="auto"/>
          <w:szCs w:val="21"/>
          <w:highlight w:val="none"/>
        </w:rPr>
        <w:t>1项要求提交投标保证金的，评标委员会将否决其投标。</w:t>
      </w:r>
    </w:p>
    <w:p w14:paraId="6D2210C9">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24.3未中标投标人的投标保证金，中标通知书同步推送至交易中心服务端，银行接到退还指令后一个工作日内退还保证金到达原交纳的基本账户；中标人的投标保证金，在中标人与招标人签订合同并将公开信息推送至交易中心服务端，银行接到退还指令后一个工作日内退付保证金到达原交纳的基本账户。</w:t>
      </w:r>
    </w:p>
    <w:p w14:paraId="144F875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24.4有下列情形之一的，投标保证金将不予退还： </w:t>
      </w:r>
    </w:p>
    <w:p w14:paraId="2BA2D500">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（1）投标截止后投标人撤销投标文件的；</w:t>
      </w:r>
    </w:p>
    <w:p w14:paraId="3CD75BF7">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（2）中标人无正当理由不与招标人订立合同，在签订合同时向招标人提出附加条件，或者不按照招标文件要求提交履约保证金的。</w:t>
      </w:r>
    </w:p>
    <w:p w14:paraId="57C6249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24.5投标保证金按《</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"https://www.chuzhou.gov.cn/group1/M00/12/83/CpYI8mGDiKqAD_IkAAEIAMLVghw186.doc" \t "_blank"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滁州市公共资源交易投标保证金管理规定</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》（滁公管〔2021〕7号）规定执行。</w:t>
      </w:r>
    </w:p>
    <w:p w14:paraId="47FA373B">
      <w:pPr>
        <w:keepNext w:val="0"/>
        <w:keepLines w:val="0"/>
        <w:widowControl w:val="0"/>
        <w:kinsoku/>
        <w:wordWrap/>
        <w:overflowPunct/>
        <w:topLinePunct w:val="0"/>
        <w:autoSpaceDE/>
        <w:autoSpaceDN/>
        <w:bidi w:val="0"/>
        <w:spacing w:before="156" w:beforeLines="50" w:after="156" w:afterLines="50" w:line="500" w:lineRule="exact"/>
        <w:jc w:val="center"/>
        <w:textAlignment w:val="auto"/>
        <w:rPr>
          <w:rFonts w:hint="eastAsia" w:ascii="宋体" w:hAnsi="宋体" w:cs="宋体"/>
          <w:b/>
          <w:color w:val="auto"/>
          <w:sz w:val="28"/>
          <w:szCs w:val="28"/>
          <w:highlight w:val="none"/>
        </w:rPr>
      </w:pPr>
      <w:r>
        <w:rPr>
          <w:rFonts w:hint="eastAsia" w:ascii="宋体" w:hAnsi="宋体" w:cs="宋体"/>
          <w:b/>
          <w:color w:val="auto"/>
          <w:sz w:val="28"/>
          <w:szCs w:val="28"/>
          <w:highlight w:val="none"/>
        </w:rPr>
        <w:t>（四）投标文件的递交</w:t>
      </w:r>
      <w:bookmarkEnd w:id="50"/>
    </w:p>
    <w:p w14:paraId="308EECC9">
      <w:pPr>
        <w:keepNext w:val="0"/>
        <w:keepLines w:val="0"/>
        <w:widowControl w:val="0"/>
        <w:kinsoku/>
        <w:wordWrap/>
        <w:overflowPunct/>
        <w:topLinePunct w:val="0"/>
        <w:autoSpaceDE/>
        <w:autoSpaceDN/>
        <w:bidi w:val="0"/>
        <w:spacing w:line="500" w:lineRule="exact"/>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 xml:space="preserve">   25. 投标文件的份数和签署</w:t>
      </w:r>
    </w:p>
    <w:p w14:paraId="35CE0152">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bookmarkStart w:id="51" w:name="_Toc449028871"/>
      <w:r>
        <w:rPr>
          <w:rFonts w:hint="eastAsia" w:ascii="宋体" w:hAnsi="宋体" w:cs="宋体"/>
          <w:color w:val="auto"/>
          <w:szCs w:val="21"/>
          <w:highlight w:val="none"/>
        </w:rPr>
        <w:t>25.1投标人中标后须递交与网上电子投标文件完全一致的纸质版和电子版投标文件，在领取中标通知书时，一并递交给招标代理机构。</w:t>
      </w:r>
    </w:p>
    <w:p w14:paraId="53E28C3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25.2电子投标文件须按格式文件要求签字或盖章（电子签章），否则经评委会一致认定且经过公共资源交易监督部门批准后, 按照无效投标处理。</w:t>
      </w:r>
    </w:p>
    <w:p w14:paraId="1E2DE4C5">
      <w:pPr>
        <w:keepNext w:val="0"/>
        <w:keepLines w:val="0"/>
        <w:widowControl w:val="0"/>
        <w:kinsoku/>
        <w:wordWrap/>
        <w:overflowPunct/>
        <w:topLinePunct w:val="0"/>
        <w:autoSpaceDE/>
        <w:autoSpaceDN/>
        <w:bidi w:val="0"/>
        <w:spacing w:line="500" w:lineRule="exact"/>
        <w:ind w:firstLine="312" w:firstLineChars="148"/>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26. 投标文件的提交</w:t>
      </w:r>
    </w:p>
    <w:p w14:paraId="55592A55">
      <w:pPr>
        <w:keepNext w:val="0"/>
        <w:keepLines w:val="0"/>
        <w:widowControl w:val="0"/>
        <w:kinsoku/>
        <w:wordWrap/>
        <w:overflowPunct/>
        <w:topLinePunct w:val="0"/>
        <w:autoSpaceDE/>
        <w:autoSpaceDN/>
        <w:bidi w:val="0"/>
        <w:spacing w:line="500" w:lineRule="exact"/>
        <w:ind w:firstLine="310" w:firstLineChars="148"/>
        <w:jc w:val="left"/>
        <w:textAlignment w:val="auto"/>
        <w:rPr>
          <w:rFonts w:hint="eastAsia" w:ascii="宋体" w:hAnsi="宋体" w:cs="宋体"/>
          <w:b/>
          <w:color w:val="auto"/>
          <w:szCs w:val="21"/>
          <w:highlight w:val="none"/>
        </w:rPr>
      </w:pPr>
      <w:r>
        <w:rPr>
          <w:rFonts w:hint="eastAsia" w:ascii="宋体" w:hAnsi="宋体" w:cs="宋体"/>
          <w:color w:val="auto"/>
          <w:szCs w:val="21"/>
          <w:highlight w:val="none"/>
        </w:rPr>
        <w:t>26.1投标人应在投标人须知前附表规定的投标截止时间前在网上递交投标文件。未在开标截止时间前通过网上招标投标系统递交有效电子投标文件的，开标系统不予接收，投标将被拒绝。</w:t>
      </w:r>
    </w:p>
    <w:p w14:paraId="1EA5C20E">
      <w:pPr>
        <w:keepNext w:val="0"/>
        <w:keepLines w:val="0"/>
        <w:widowControl w:val="0"/>
        <w:kinsoku/>
        <w:wordWrap/>
        <w:overflowPunct/>
        <w:topLinePunct w:val="0"/>
        <w:autoSpaceDE/>
        <w:autoSpaceDN/>
        <w:bidi w:val="0"/>
        <w:spacing w:line="500" w:lineRule="exact"/>
        <w:ind w:firstLine="314" w:firstLineChars="149"/>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27．投标文件的修改与撤回</w:t>
      </w:r>
    </w:p>
    <w:p w14:paraId="3B423365">
      <w:pPr>
        <w:keepNext w:val="0"/>
        <w:keepLines w:val="0"/>
        <w:widowControl w:val="0"/>
        <w:kinsoku/>
        <w:wordWrap/>
        <w:overflowPunct/>
        <w:topLinePunct w:val="0"/>
        <w:autoSpaceDE/>
        <w:autoSpaceDN/>
        <w:bidi w:val="0"/>
        <w:spacing w:line="500" w:lineRule="exact"/>
        <w:ind w:firstLine="310" w:firstLineChars="148"/>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27.1采用网上招投标的，在规定的投标截止时间前，投标人可以自行从网上招投标系统撤回已递交的投标文件，并可修改后重新上传，开标时以投标截止时间前投标人最终上传的投标文件为准。</w:t>
      </w:r>
    </w:p>
    <w:p w14:paraId="4AEBA7E0">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28.偏离</w:t>
      </w:r>
    </w:p>
    <w:p w14:paraId="38FA224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28.1投标文件偏离招标文件某些要求，视为投标文件存在偏差。偏差包括重大偏差和细微偏差。</w:t>
      </w:r>
    </w:p>
    <w:p w14:paraId="0C38DFF9">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28.1.1投标文件应对招标文件的实质性要求和条件作出满足性或更有利于招标人的响应，否则，视为投标文件存在重大偏差，投标人的投标将被否决。</w:t>
      </w:r>
    </w:p>
    <w:p w14:paraId="6315AE2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投标文件存在第三章“评标办法”中所列任一无效投标情形的，均属于存在重大偏差。</w:t>
      </w:r>
    </w:p>
    <w:p w14:paraId="31F8DC66">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28.1.2投标文件中的下列偏差为细微偏差：</w:t>
      </w:r>
    </w:p>
    <w:p w14:paraId="13ECBB5F">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在按照第四章“评标办法”的规定对投标价进行算术性错误修正及其他错误修正后，最终投标报价未超过最高投标限价（如有）或未被否决投标的情况下，出现第四章“评标办法”规定的算术性错误和投标报价的其他错误；</w:t>
      </w:r>
    </w:p>
    <w:p w14:paraId="109B37E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（2）投标文件个别文字有遗漏错误等不影响投标文件实质性内容的偏差。</w:t>
      </w:r>
    </w:p>
    <w:p w14:paraId="162DFB5D">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28.1.3评标委员会对投标文件中的细微偏差按如下规定处理：</w:t>
      </w:r>
    </w:p>
    <w:p w14:paraId="270475BE">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对于本章第28.1.2 项（1）目所述的细微偏差，按照第四章“评标办法”的规定予以修正并要求投标人进行澄清；</w:t>
      </w:r>
    </w:p>
    <w:p w14:paraId="47B91DDB">
      <w:pPr>
        <w:keepNext w:val="0"/>
        <w:keepLines w:val="0"/>
        <w:widowControl w:val="0"/>
        <w:kinsoku/>
        <w:wordWrap/>
        <w:overflowPunct/>
        <w:topLinePunct w:val="0"/>
        <w:autoSpaceDE/>
        <w:autoSpaceDN/>
        <w:bidi w:val="0"/>
        <w:spacing w:before="156" w:beforeLines="50" w:after="156" w:afterLines="50" w:line="500" w:lineRule="exact"/>
        <w:ind w:firstLine="420" w:firstLineChars="200"/>
        <w:textAlignment w:val="auto"/>
        <w:rPr>
          <w:rFonts w:hint="eastAsia" w:ascii="宋体" w:hAnsi="宋体" w:cs="宋体"/>
          <w:b/>
          <w:color w:val="auto"/>
          <w:sz w:val="28"/>
          <w:szCs w:val="28"/>
          <w:highlight w:val="none"/>
        </w:rPr>
      </w:pPr>
      <w:r>
        <w:rPr>
          <w:rFonts w:hint="eastAsia" w:ascii="宋体" w:hAnsi="宋体" w:cs="宋体"/>
          <w:color w:val="auto"/>
          <w:szCs w:val="21"/>
          <w:highlight w:val="none"/>
        </w:rPr>
        <w:t>对于本章第28.1.2 项（2）目所述的细微偏差，可要求投标人对细微偏差进行澄清。</w:t>
      </w:r>
    </w:p>
    <w:p w14:paraId="4F920611">
      <w:pPr>
        <w:keepNext w:val="0"/>
        <w:keepLines w:val="0"/>
        <w:widowControl w:val="0"/>
        <w:kinsoku/>
        <w:wordWrap/>
        <w:overflowPunct/>
        <w:topLinePunct w:val="0"/>
        <w:autoSpaceDE/>
        <w:autoSpaceDN/>
        <w:bidi w:val="0"/>
        <w:spacing w:before="156" w:beforeLines="50" w:after="156" w:afterLines="50" w:line="500" w:lineRule="exact"/>
        <w:jc w:val="center"/>
        <w:textAlignment w:val="auto"/>
        <w:rPr>
          <w:rFonts w:hint="eastAsia" w:ascii="宋体" w:hAnsi="宋体" w:cs="宋体"/>
          <w:b/>
          <w:color w:val="auto"/>
          <w:sz w:val="28"/>
          <w:szCs w:val="28"/>
          <w:highlight w:val="none"/>
        </w:rPr>
      </w:pPr>
      <w:r>
        <w:rPr>
          <w:rFonts w:hint="eastAsia" w:ascii="宋体" w:hAnsi="宋体" w:cs="宋体"/>
          <w:b/>
          <w:color w:val="auto"/>
          <w:sz w:val="28"/>
          <w:szCs w:val="28"/>
          <w:highlight w:val="none"/>
        </w:rPr>
        <w:t>（五）开标、评标和定标</w:t>
      </w:r>
      <w:bookmarkEnd w:id="51"/>
    </w:p>
    <w:p w14:paraId="2AB5941A">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29. 开标</w:t>
      </w:r>
    </w:p>
    <w:p w14:paraId="0BDA0B2F">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29.1 开标的时间和地点</w:t>
      </w:r>
    </w:p>
    <w:p w14:paraId="049DE12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29.1.1招标人</w:t>
      </w:r>
      <w:r>
        <w:rPr>
          <w:rFonts w:hint="eastAsia" w:ascii="宋体"/>
          <w:color w:val="auto"/>
          <w:szCs w:val="21"/>
          <w:highlight w:val="none"/>
        </w:rPr>
        <w:t>按招标公告中的开标时间和地点公开开标，并邀请所有投标人参加。</w:t>
      </w:r>
    </w:p>
    <w:p w14:paraId="13D649EF">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29.2 参与开标的监督部门</w:t>
      </w:r>
    </w:p>
    <w:p w14:paraId="146C061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29.2.1招标人可以邀请相关监管部门参加。</w:t>
      </w:r>
    </w:p>
    <w:p w14:paraId="179CE005">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29.3开标程序</w:t>
      </w:r>
    </w:p>
    <w:p w14:paraId="09217A80">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开标会议由采购代理机构主持。</w:t>
      </w:r>
    </w:p>
    <w:p w14:paraId="2486E5DF">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（1）宣布开标纪律；</w:t>
      </w:r>
    </w:p>
    <w:p w14:paraId="538C7773">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（2）宣布招标人、代理机构主持人、见证人等有关人员姓名；</w:t>
      </w:r>
    </w:p>
    <w:p w14:paraId="55DEC451">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（3）公布投标截止时间前，通过滁州市公共资源交易中心网上招投标系统递交投标文件的投标人名称等； </w:t>
      </w:r>
    </w:p>
    <w:p w14:paraId="2C37FC3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（4）投标人在投标截止时间后，规定时间内完成投标文件解密工作；</w:t>
      </w:r>
    </w:p>
    <w:p w14:paraId="504A0197">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（5）公布投标人投标报价、质量目标、</w:t>
      </w:r>
      <w:r>
        <w:rPr>
          <w:rFonts w:hint="eastAsia" w:ascii="宋体" w:hAnsi="宋体" w:cs="宋体"/>
          <w:color w:val="auto"/>
          <w:szCs w:val="21"/>
          <w:highlight w:val="none"/>
          <w:lang w:val="en-US" w:eastAsia="zh-CN"/>
        </w:rPr>
        <w:t>供货</w:t>
      </w:r>
      <w:r>
        <w:rPr>
          <w:rFonts w:hint="eastAsia" w:ascii="宋体" w:hAnsi="宋体" w:cs="宋体"/>
          <w:color w:val="auto"/>
          <w:szCs w:val="21"/>
          <w:highlight w:val="none"/>
        </w:rPr>
        <w:t>期及其他内容，并记录在案；</w:t>
      </w:r>
    </w:p>
    <w:p w14:paraId="4EDAD00B">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（6）开标结束。</w:t>
      </w:r>
    </w:p>
    <w:p w14:paraId="6B182CC5">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多标段项目按照标段顺序按以上程序依次开标。</w:t>
      </w:r>
    </w:p>
    <w:p w14:paraId="5268268F">
      <w:pPr>
        <w:keepNext w:val="0"/>
        <w:keepLines w:val="0"/>
        <w:widowControl w:val="0"/>
        <w:kinsoku/>
        <w:wordWrap/>
        <w:overflowPunct/>
        <w:topLinePunct w:val="0"/>
        <w:autoSpaceDE/>
        <w:autoSpaceDN/>
        <w:bidi w:val="0"/>
        <w:spacing w:line="500" w:lineRule="exact"/>
        <w:ind w:right="-155" w:rightChars="-74" w:firstLine="420" w:firstLineChars="200"/>
        <w:jc w:val="left"/>
        <w:textAlignment w:val="auto"/>
        <w:rPr>
          <w:rFonts w:hint="eastAsia" w:ascii="宋体"/>
          <w:color w:val="auto"/>
          <w:szCs w:val="21"/>
          <w:highlight w:val="none"/>
        </w:rPr>
      </w:pPr>
      <w:r>
        <w:rPr>
          <w:rFonts w:hint="eastAsia" w:ascii="宋体"/>
          <w:color w:val="auto"/>
          <w:szCs w:val="21"/>
          <w:highlight w:val="none"/>
        </w:rPr>
        <w:t>29.4开标异议</w:t>
      </w:r>
    </w:p>
    <w:p w14:paraId="4E2E2C31">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投标人对开标有异议的，应当在开标现场提出，招标人当场作出答复，并制作记录。异议与答复应通过电子交易系统进行。</w:t>
      </w:r>
    </w:p>
    <w:p w14:paraId="03A0D5DB">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30.评标委员会</w:t>
      </w:r>
    </w:p>
    <w:p w14:paraId="18A488BB">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color w:val="auto"/>
          <w:szCs w:val="21"/>
          <w:highlight w:val="none"/>
        </w:rPr>
        <w:t>30.1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评标委员会成员人数以及技术、经济等方面专家的确定方式见投标人须知前附表。</w:t>
      </w:r>
    </w:p>
    <w:p w14:paraId="581B24F1">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30</w:t>
      </w:r>
      <w:r>
        <w:rPr>
          <w:rFonts w:ascii="宋体" w:hAnsi="宋体" w:cs="宋体"/>
          <w:color w:val="auto"/>
          <w:szCs w:val="21"/>
          <w:highlight w:val="none"/>
        </w:rPr>
        <w:t>.2</w:t>
      </w:r>
      <w:r>
        <w:rPr>
          <w:rFonts w:hint="eastAsia" w:ascii="宋体" w:hAnsi="宋体" w:cs="宋体"/>
          <w:color w:val="auto"/>
          <w:szCs w:val="21"/>
          <w:highlight w:val="none"/>
        </w:rPr>
        <w:t>评标委员会成员有下列情形之一的，应当回避：</w:t>
      </w:r>
    </w:p>
    <w:p w14:paraId="41C3FA23">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6949AA2E">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38F5E75B">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4BF55E74">
      <w:pPr>
        <w:keepNext w:val="0"/>
        <w:keepLines w:val="0"/>
        <w:widowControl w:val="0"/>
        <w:kinsoku/>
        <w:wordWrap/>
        <w:overflowPunct/>
        <w:topLinePunct w:val="0"/>
        <w:autoSpaceDE/>
        <w:autoSpaceDN/>
        <w:bidi w:val="0"/>
        <w:spacing w:line="50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5AEA5294">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（5）存在其他法定回避情形的。</w:t>
      </w:r>
    </w:p>
    <w:p w14:paraId="5B0AA38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项目实施主体及其子公司、下属单位、上级主管部门或者控股公司的工作人员或者退休人员不得以专家身份参与本单位或者代理项目的评标评审。 </w:t>
      </w:r>
    </w:p>
    <w:p w14:paraId="3F4F49D3">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评标委员会或评审机构成员有前两款规定情形的，应当主动提出回避；已经进入的应当更换，被更换的成员评标评审意见无效。 </w:t>
      </w:r>
    </w:p>
    <w:p w14:paraId="5549DE9D">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30.3评标过程中，评标委员会成员有回避事由、擅离职守或因健康等原因不能继续评标的， 招标人有权更换。被更换的评标委员会成员作出的评审结论无效，由更换后的评标委员会成员重新进行评审。</w:t>
      </w:r>
    </w:p>
    <w:p w14:paraId="5382954D">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31.评标</w:t>
      </w:r>
    </w:p>
    <w:p w14:paraId="2E70D71A">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31.1评标委员会按照第三章“评标办法”规定的方法、评审因素、标准和程序对投标文件进行评审。第三章“评标办法”没有规定的方法、评审因素和标准，不作为评标依据。</w:t>
      </w:r>
    </w:p>
    <w:p w14:paraId="61EB956E">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hAnsi="宋体" w:cs="宋体"/>
          <w:color w:val="auto"/>
          <w:szCs w:val="21"/>
          <w:highlight w:val="none"/>
        </w:rPr>
      </w:pPr>
      <w:bookmarkStart w:id="52" w:name="_Toc449028873"/>
      <w:r>
        <w:rPr>
          <w:rFonts w:hint="eastAsia" w:ascii="宋体" w:hAnsi="宋体" w:cs="宋体"/>
          <w:color w:val="auto"/>
          <w:szCs w:val="21"/>
          <w:highlight w:val="none"/>
        </w:rPr>
        <w:t>31.2评标完成后，评标委员会应向招标人提交书面评标报告和中标候选人名单。评标委员会推荐中标候选人的人数见投标人须知前附表。</w:t>
      </w:r>
    </w:p>
    <w:p w14:paraId="4A67A798">
      <w:pPr>
        <w:keepNext w:val="0"/>
        <w:keepLines w:val="0"/>
        <w:widowControl w:val="0"/>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31.3评标原则：遵循公平、公正、科学和择优的原则。</w:t>
      </w:r>
    </w:p>
    <w:p w14:paraId="26F17486">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31.4投标文件的澄清</w:t>
      </w:r>
    </w:p>
    <w:p w14:paraId="1BAE8759">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31.4.1在评标过程中，评标委员会认为需要，在公共资源交易监督管理部门的监督下，可要求投标人对投标文件中的有关问题进行澄清或提供补充说明及有关资料，投标人应做出书面答复。</w:t>
      </w:r>
    </w:p>
    <w:p w14:paraId="165DFD65">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31.4.2书面答复须经投标人法定代表人或其委托代理人签字或盖章，签字或盖章的书面答复将被视为投标文件的组成部分。</w:t>
      </w:r>
    </w:p>
    <w:p w14:paraId="6CAF4E05">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31.5报价合理性的判断</w:t>
      </w:r>
    </w:p>
    <w:p w14:paraId="2DA2CFD7">
      <w:pPr>
        <w:keepNext w:val="0"/>
        <w:keepLines w:val="0"/>
        <w:widowControl w:val="0"/>
        <w:kinsoku/>
        <w:wordWrap/>
        <w:overflowPunct/>
        <w:topLinePunct w:val="0"/>
        <w:autoSpaceDE/>
        <w:autoSpaceDN/>
        <w:bidi w:val="0"/>
        <w:spacing w:line="500" w:lineRule="exact"/>
        <w:ind w:firstLine="422" w:firstLineChars="200"/>
        <w:jc w:val="left"/>
        <w:textAlignment w:val="auto"/>
        <w:rPr>
          <w:rFonts w:hint="eastAsia" w:ascii="宋体" w:hAnsi="宋体"/>
          <w:b/>
          <w:bCs/>
          <w:color w:val="auto"/>
          <w:szCs w:val="21"/>
          <w:highlight w:val="none"/>
        </w:rPr>
      </w:pPr>
      <w:r>
        <w:rPr>
          <w:rFonts w:hint="eastAsia" w:ascii="宋体" w:hAnsi="宋体"/>
          <w:b/>
          <w:bCs/>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8F4DC66">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31.6评审意见分歧的处理办法</w:t>
      </w:r>
    </w:p>
    <w:p w14:paraId="02B40815">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（1）评标委员会应当对投标人提供的报告、证明材料及详细说明认真研究。对存在意见分歧的，可采用投票方式表决决定（按多数评委意见为准）；</w:t>
      </w:r>
    </w:p>
    <w:p w14:paraId="277F9D2F">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20DCD1E3">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31.7评标报告的签署</w:t>
      </w:r>
    </w:p>
    <w:p w14:paraId="6DA4A811">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31.7.1 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054F7FE7">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31.8评标过程的保密</w:t>
      </w:r>
    </w:p>
    <w:p w14:paraId="43F76A1B">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评标委员会成员和与评标活动有关的工作人员不得透露对投标文件的评审和比较、中标人的推荐情况以及与评标有关的其他情况。</w:t>
      </w:r>
    </w:p>
    <w:p w14:paraId="478A8E4A">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31.9评标结果公告</w:t>
      </w:r>
    </w:p>
    <w:p w14:paraId="7C4947FF">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color w:val="auto"/>
          <w:highlight w:val="none"/>
        </w:rPr>
      </w:pPr>
      <w:r>
        <w:rPr>
          <w:rFonts w:hint="eastAsia" w:ascii="宋体"/>
          <w:color w:val="auto"/>
          <w:szCs w:val="21"/>
          <w:highlight w:val="none"/>
        </w:rPr>
        <w:t>招标人应将中标人的情况在滁州市公共资源交易中心等网站上予以公告，公告期为3日。</w:t>
      </w:r>
    </w:p>
    <w:p w14:paraId="76B128E7">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32.定标</w:t>
      </w:r>
    </w:p>
    <w:p w14:paraId="2C160958">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32.1中标人的确定</w:t>
      </w:r>
    </w:p>
    <w:p w14:paraId="6C4A750C">
      <w:pPr>
        <w:keepNext w:val="0"/>
        <w:keepLines w:val="0"/>
        <w:pageBreakBefore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32.1.1招标人确定排名第一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529012A8">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32.1.2中标人确定后，招标人应将中标信息在滁州市公共资源交易中心等网站上公告。</w:t>
      </w:r>
    </w:p>
    <w:p w14:paraId="17E0A064">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32.2 中标通知书</w:t>
      </w:r>
    </w:p>
    <w:p w14:paraId="6D7C16AF">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32.2.1招标人或代理机构应在中标人确定之日起2个工作日内，在滁州市公共资源交易中心等网站公告中标结果并同时向中标人发出中标通知书。</w:t>
      </w:r>
    </w:p>
    <w:p w14:paraId="4D3605A2">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32.2.2中标通知书须加盖招标人、代理机构公章并经公共资源交易中心加盖见证章后，方可发出。</w:t>
      </w:r>
    </w:p>
    <w:p w14:paraId="00E1F7B2">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32.2.3招标人将在发出中标通知书的同时，向未通过资格审查的投标人告知其未通过的原因。</w:t>
      </w:r>
    </w:p>
    <w:p w14:paraId="7EF77203">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b/>
          <w:color w:val="auto"/>
          <w:szCs w:val="21"/>
          <w:highlight w:val="none"/>
        </w:rPr>
        <w:t>33.开评标异常情况处理</w:t>
      </w:r>
    </w:p>
    <w:p w14:paraId="2FDA2F5C">
      <w:pPr>
        <w:keepNext w:val="0"/>
        <w:keepLines w:val="0"/>
        <w:widowControl w:val="0"/>
        <w:kinsoku/>
        <w:wordWrap/>
        <w:overflowPunct/>
        <w:topLinePunct w:val="0"/>
        <w:autoSpaceDE/>
        <w:autoSpaceDN/>
        <w:bidi w:val="0"/>
        <w:spacing w:line="500" w:lineRule="exact"/>
        <w:ind w:firstLine="421"/>
        <w:jc w:val="left"/>
        <w:textAlignment w:val="auto"/>
        <w:rPr>
          <w:rFonts w:hint="eastAsia" w:ascii="宋体"/>
          <w:b/>
          <w:color w:val="auto"/>
          <w:szCs w:val="21"/>
          <w:highlight w:val="none"/>
        </w:rPr>
      </w:pPr>
      <w:r>
        <w:rPr>
          <w:rFonts w:hint="eastAsia" w:ascii="宋体"/>
          <w:color w:val="auto"/>
          <w:kern w:val="10"/>
          <w:szCs w:val="21"/>
          <w:highlight w:val="none"/>
        </w:rPr>
        <w:t>33.1</w:t>
      </w:r>
      <w:r>
        <w:rPr>
          <w:rFonts w:hint="eastAsia" w:ascii="宋体"/>
          <w:b/>
          <w:color w:val="auto"/>
          <w:szCs w:val="21"/>
          <w:highlight w:val="none"/>
        </w:rPr>
        <w:t xml:space="preserve">重新招标 </w:t>
      </w:r>
    </w:p>
    <w:p w14:paraId="7BD8D08C">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r>
        <w:rPr>
          <w:rFonts w:hint="eastAsia" w:ascii="宋体"/>
          <w:color w:val="auto"/>
          <w:szCs w:val="21"/>
          <w:highlight w:val="none"/>
        </w:rPr>
        <w:t>项目有下列情形之一的，招标人将重新招标：</w:t>
      </w:r>
    </w:p>
    <w:p w14:paraId="660C42D0">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 xml:space="preserve">(1)投标截止时间止，投标人少于三个的； </w:t>
      </w:r>
    </w:p>
    <w:p w14:paraId="5AE8FE98">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(2)符合专业条件的供应商或者对招标文件作实质响应的供应商不足三家的；</w:t>
      </w:r>
    </w:p>
    <w:p w14:paraId="453064DB">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(3)出现影响招标公正的违法、违规行为的；</w:t>
      </w:r>
    </w:p>
    <w:p w14:paraId="5B711E88">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(4)投标人的报价均脱离实际且无充分证据的；</w:t>
      </w:r>
    </w:p>
    <w:p w14:paraId="73CB2A09">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(5)技术标暗标项目，所有投标人的技术标均能反映投标人信息的；</w:t>
      </w:r>
    </w:p>
    <w:p w14:paraId="322A9312">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(6)因重大变故，采购任务取消的。</w:t>
      </w:r>
    </w:p>
    <w:p w14:paraId="7ED88B95">
      <w:pPr>
        <w:keepNext w:val="0"/>
        <w:keepLines w:val="0"/>
        <w:widowControl w:val="0"/>
        <w:kinsoku/>
        <w:wordWrap/>
        <w:overflowPunct/>
        <w:topLinePunct w:val="0"/>
        <w:autoSpaceDE/>
        <w:autoSpaceDN/>
        <w:bidi w:val="0"/>
        <w:adjustRightInd w:val="0"/>
        <w:snapToGrid w:val="0"/>
        <w:spacing w:line="500" w:lineRule="exact"/>
        <w:ind w:firstLine="420" w:firstLineChars="200"/>
        <w:textAlignment w:val="auto"/>
        <w:rPr>
          <w:rFonts w:hint="eastAsia" w:ascii="宋体"/>
          <w:color w:val="auto"/>
          <w:kern w:val="10"/>
          <w:szCs w:val="21"/>
          <w:highlight w:val="none"/>
        </w:rPr>
      </w:pPr>
      <w:r>
        <w:rPr>
          <w:rFonts w:hint="eastAsia" w:ascii="宋体"/>
          <w:color w:val="auto"/>
          <w:kern w:val="10"/>
          <w:szCs w:val="21"/>
          <w:highlight w:val="none"/>
        </w:rPr>
        <w:t>33.2变更采购方式</w:t>
      </w:r>
    </w:p>
    <w:p w14:paraId="4192E810">
      <w:pPr>
        <w:keepNext w:val="0"/>
        <w:keepLines w:val="0"/>
        <w:widowControl w:val="0"/>
        <w:tabs>
          <w:tab w:val="left" w:pos="720"/>
        </w:tabs>
        <w:kinsoku/>
        <w:wordWrap/>
        <w:overflowPunct/>
        <w:topLinePunct w:val="0"/>
        <w:autoSpaceDE/>
        <w:autoSpaceDN/>
        <w:bidi w:val="0"/>
        <w:spacing w:line="500" w:lineRule="exact"/>
        <w:ind w:firstLine="420" w:firstLineChars="200"/>
        <w:jc w:val="left"/>
        <w:textAlignment w:val="auto"/>
        <w:rPr>
          <w:rFonts w:hint="eastAsia" w:ascii="宋体"/>
          <w:color w:val="auto"/>
          <w:szCs w:val="21"/>
          <w:highlight w:val="none"/>
        </w:rPr>
      </w:pPr>
      <w:bookmarkStart w:id="53" w:name="_Toc449028872"/>
      <w:r>
        <w:rPr>
          <w:rFonts w:hint="eastAsia" w:ascii="宋体"/>
          <w:color w:val="auto"/>
          <w:szCs w:val="21"/>
          <w:highlight w:val="none"/>
        </w:rPr>
        <w:t>按照滁州市公管局相关规定执行。</w:t>
      </w:r>
      <w:bookmarkEnd w:id="53"/>
    </w:p>
    <w:p w14:paraId="2A60196A">
      <w:pPr>
        <w:keepNext w:val="0"/>
        <w:keepLines w:val="0"/>
        <w:widowControl w:val="0"/>
        <w:kinsoku/>
        <w:wordWrap/>
        <w:overflowPunct/>
        <w:topLinePunct w:val="0"/>
        <w:autoSpaceDE/>
        <w:autoSpaceDN/>
        <w:bidi w:val="0"/>
        <w:spacing w:line="500" w:lineRule="exact"/>
        <w:jc w:val="center"/>
        <w:textAlignment w:val="auto"/>
        <w:rPr>
          <w:rFonts w:hint="eastAsia" w:ascii="黑体" w:eastAsia="黑体"/>
          <w:color w:val="auto"/>
          <w:sz w:val="24"/>
          <w:highlight w:val="none"/>
        </w:rPr>
      </w:pPr>
      <w:r>
        <w:rPr>
          <w:rFonts w:hint="eastAsia" w:ascii="黑体" w:eastAsia="黑体"/>
          <w:color w:val="auto"/>
          <w:sz w:val="28"/>
          <w:szCs w:val="28"/>
          <w:highlight w:val="none"/>
        </w:rPr>
        <w:t>（六）合同的授予</w:t>
      </w:r>
      <w:bookmarkEnd w:id="52"/>
    </w:p>
    <w:p w14:paraId="1FFF3C66">
      <w:pPr>
        <w:keepNext w:val="0"/>
        <w:keepLines w:val="0"/>
        <w:widowControl w:val="0"/>
        <w:kinsoku/>
        <w:wordWrap/>
        <w:overflowPunct/>
        <w:topLinePunct w:val="0"/>
        <w:autoSpaceDE/>
        <w:autoSpaceDN/>
        <w:bidi w:val="0"/>
        <w:spacing w:line="500" w:lineRule="exact"/>
        <w:ind w:firstLine="521" w:firstLineChars="247"/>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34.合同授予标准</w:t>
      </w:r>
    </w:p>
    <w:p w14:paraId="0A2BDD59">
      <w:pPr>
        <w:keepNext w:val="0"/>
        <w:keepLines w:val="0"/>
        <w:widowControl w:val="0"/>
        <w:kinsoku/>
        <w:wordWrap/>
        <w:overflowPunct/>
        <w:topLinePunct w:val="0"/>
        <w:autoSpaceDE/>
        <w:autoSpaceDN/>
        <w:bidi w:val="0"/>
        <w:spacing w:line="500" w:lineRule="exact"/>
        <w:ind w:firstLine="525" w:firstLineChars="2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34.1本招标项目的合同将授予按本投标须知第32.1.1条规定所确定的中标人。</w:t>
      </w:r>
    </w:p>
    <w:p w14:paraId="0364D53F">
      <w:pPr>
        <w:keepNext w:val="0"/>
        <w:keepLines w:val="0"/>
        <w:widowControl w:val="0"/>
        <w:kinsoku/>
        <w:wordWrap/>
        <w:overflowPunct/>
        <w:topLinePunct w:val="0"/>
        <w:autoSpaceDE/>
        <w:autoSpaceDN/>
        <w:bidi w:val="0"/>
        <w:spacing w:line="500" w:lineRule="exact"/>
        <w:ind w:firstLine="521" w:firstLineChars="247"/>
        <w:jc w:val="left"/>
        <w:textAlignment w:val="auto"/>
        <w:rPr>
          <w:rFonts w:hint="eastAsia" w:ascii="宋体" w:hAnsi="宋体" w:cs="宋体"/>
          <w:b/>
          <w:color w:val="auto"/>
          <w:szCs w:val="21"/>
          <w:highlight w:val="none"/>
        </w:rPr>
      </w:pPr>
      <w:r>
        <w:rPr>
          <w:rFonts w:hint="eastAsia" w:ascii="宋体" w:hAnsi="宋体" w:cs="宋体"/>
          <w:b/>
          <w:color w:val="auto"/>
          <w:szCs w:val="21"/>
          <w:highlight w:val="none"/>
        </w:rPr>
        <w:t>35.合同协议书的签订</w:t>
      </w:r>
    </w:p>
    <w:p w14:paraId="7FCE9ACE">
      <w:pPr>
        <w:keepNext w:val="0"/>
        <w:keepLines w:val="0"/>
        <w:widowControl w:val="0"/>
        <w:kinsoku/>
        <w:wordWrap/>
        <w:overflowPunct/>
        <w:topLinePunct w:val="0"/>
        <w:autoSpaceDE/>
        <w:autoSpaceDN/>
        <w:bidi w:val="0"/>
        <w:spacing w:line="500" w:lineRule="exact"/>
        <w:ind w:firstLine="525" w:firstLineChars="2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35.1招标人与中标人将于中标通知书发出之日起30日内，按照招标文件和中标人的投标文件订立书面采购合同。招标人和中标人不得再行订立背离合同实质性内容的其他协议。</w:t>
      </w:r>
    </w:p>
    <w:p w14:paraId="7E56508C">
      <w:pPr>
        <w:keepNext w:val="0"/>
        <w:keepLines w:val="0"/>
        <w:widowControl w:val="0"/>
        <w:kinsoku/>
        <w:wordWrap/>
        <w:overflowPunct/>
        <w:topLinePunct w:val="0"/>
        <w:autoSpaceDE/>
        <w:autoSpaceDN/>
        <w:bidi w:val="0"/>
        <w:spacing w:line="500" w:lineRule="exact"/>
        <w:ind w:firstLine="525" w:firstLineChars="25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35.2</w:t>
      </w:r>
      <w:r>
        <w:rPr>
          <w:rFonts w:hint="eastAsia" w:ascii="宋体" w:hAnsi="宋体" w:eastAsia="宋体" w:cs="宋体"/>
          <w:color w:val="auto"/>
          <w:szCs w:val="21"/>
          <w:highlight w:val="none"/>
        </w:rPr>
        <w:t>发出中标通知书后，招标人无正当理由拒签合同的，招标人向中标人退还投标保证金；给中标人造成损失的，还应当赔偿损失。</w:t>
      </w:r>
    </w:p>
    <w:p w14:paraId="7BE759BB">
      <w:pPr>
        <w:keepNext w:val="0"/>
        <w:keepLines w:val="0"/>
        <w:widowControl w:val="0"/>
        <w:kinsoku/>
        <w:wordWrap/>
        <w:overflowPunct/>
        <w:topLinePunct w:val="0"/>
        <w:autoSpaceDE/>
        <w:autoSpaceDN/>
        <w:bidi w:val="0"/>
        <w:spacing w:line="500" w:lineRule="exact"/>
        <w:ind w:firstLine="525" w:firstLineChars="2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依法必须进行招标的项目，除中标人以外的其他投标人存在串通投标、弄虚作假、行贿情形且在评标过程中未被发现的，视为对中标结果没有造成实质性影响，招标人可以依法继续开展招标活动。</w:t>
      </w:r>
    </w:p>
    <w:p w14:paraId="2A2C97DF">
      <w:pPr>
        <w:keepNext w:val="0"/>
        <w:keepLines w:val="0"/>
        <w:widowControl w:val="0"/>
        <w:kinsoku/>
        <w:wordWrap/>
        <w:overflowPunct/>
        <w:topLinePunct w:val="0"/>
        <w:autoSpaceDE/>
        <w:autoSpaceDN/>
        <w:bidi w:val="0"/>
        <w:spacing w:line="500" w:lineRule="exact"/>
        <w:textAlignment w:val="auto"/>
        <w:rPr>
          <w:rFonts w:hint="eastAsia" w:ascii="宋体" w:hAnsi="宋体" w:cs="宋体"/>
          <w:b/>
          <w:color w:val="auto"/>
          <w:szCs w:val="21"/>
          <w:highlight w:val="none"/>
        </w:rPr>
      </w:pPr>
      <w:r>
        <w:rPr>
          <w:rFonts w:hint="eastAsia" w:ascii="宋体" w:hAnsi="宋体" w:cs="宋体"/>
          <w:color w:val="auto"/>
          <w:szCs w:val="21"/>
          <w:highlight w:val="none"/>
        </w:rPr>
        <w:t xml:space="preserve">    36.</w:t>
      </w:r>
      <w:bookmarkStart w:id="54" w:name="_Toc217446068"/>
      <w:r>
        <w:rPr>
          <w:rFonts w:hint="eastAsia" w:ascii="宋体" w:hAnsi="宋体" w:cs="宋体"/>
          <w:b/>
          <w:color w:val="auto"/>
          <w:szCs w:val="21"/>
          <w:highlight w:val="none"/>
        </w:rPr>
        <w:t>履约</w:t>
      </w:r>
      <w:bookmarkEnd w:id="54"/>
      <w:r>
        <w:rPr>
          <w:rFonts w:hint="eastAsia" w:ascii="宋体" w:hAnsi="宋体" w:cs="宋体"/>
          <w:b/>
          <w:color w:val="auto"/>
          <w:szCs w:val="21"/>
          <w:highlight w:val="none"/>
        </w:rPr>
        <w:t>担保</w:t>
      </w:r>
    </w:p>
    <w:p w14:paraId="1382A7BC">
      <w:pPr>
        <w:keepNext w:val="0"/>
        <w:keepLines w:val="0"/>
        <w:widowControl w:val="0"/>
        <w:kinsoku/>
        <w:wordWrap/>
        <w:overflowPunct/>
        <w:topLinePunct w:val="0"/>
        <w:autoSpaceDE/>
        <w:autoSpaceDN/>
        <w:bidi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36.1在签订合同前，中标人应按投标人须知前附表规定的担保形式、金额和招标文件第五章“合同条款及格式”规定的或者事先经过招标人书面认可的履约担保格式向招标人提交履约担保。</w:t>
      </w:r>
    </w:p>
    <w:p w14:paraId="3A7A8A2A">
      <w:pPr>
        <w:keepNext w:val="0"/>
        <w:keepLines w:val="0"/>
        <w:widowControl w:val="0"/>
        <w:kinsoku/>
        <w:wordWrap/>
        <w:overflowPunct/>
        <w:topLinePunct w:val="0"/>
        <w:autoSpaceDE/>
        <w:autoSpaceDN/>
        <w:bidi w:val="0"/>
        <w:spacing w:line="50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36.2中标人不能按本章第36.1项要求提交履约担保的，视为放弃中标，其投标保证金不予退还，</w:t>
      </w:r>
      <w:r>
        <w:rPr>
          <w:rFonts w:hint="eastAsia" w:ascii="宋体" w:hAnsi="宋体" w:cs="宋体"/>
          <w:color w:val="auto"/>
          <w:szCs w:val="21"/>
          <w:highlight w:val="none"/>
          <w:shd w:val="clear" w:color="auto" w:fill="FFFFFF"/>
        </w:rPr>
        <w:t>给招标人造成损失的，依法承担民事责任</w:t>
      </w:r>
      <w:r>
        <w:rPr>
          <w:rFonts w:hint="eastAsia" w:ascii="宋体" w:hAnsi="宋体" w:cs="宋体"/>
          <w:color w:val="auto"/>
          <w:szCs w:val="21"/>
          <w:highlight w:val="none"/>
        </w:rPr>
        <w:t>。</w:t>
      </w:r>
    </w:p>
    <w:p w14:paraId="1BA9B298">
      <w:pPr>
        <w:keepNext w:val="0"/>
        <w:keepLines w:val="0"/>
        <w:widowControl w:val="0"/>
        <w:kinsoku/>
        <w:wordWrap/>
        <w:overflowPunct/>
        <w:topLinePunct w:val="0"/>
        <w:autoSpaceDE/>
        <w:autoSpaceDN/>
        <w:bidi w:val="0"/>
        <w:spacing w:before="312" w:beforeLines="100" w:after="312" w:afterLines="100" w:line="500" w:lineRule="exact"/>
        <w:jc w:val="center"/>
        <w:textAlignment w:val="auto"/>
        <w:rPr>
          <w:rFonts w:hint="eastAsia" w:ascii="宋体" w:hAnsi="Times New Roman" w:eastAsia="宋体" w:cs="Times New Roman"/>
          <w:b/>
          <w:color w:val="auto"/>
          <w:sz w:val="28"/>
          <w:szCs w:val="28"/>
          <w:highlight w:val="none"/>
        </w:rPr>
      </w:pPr>
      <w:bookmarkStart w:id="55" w:name="_Toc449028874"/>
      <w:r>
        <w:rPr>
          <w:rFonts w:hint="eastAsia" w:ascii="宋体" w:hAnsi="Times New Roman" w:eastAsia="宋体" w:cs="Times New Roman"/>
          <w:b/>
          <w:color w:val="auto"/>
          <w:sz w:val="28"/>
          <w:szCs w:val="28"/>
          <w:highlight w:val="none"/>
        </w:rPr>
        <w:t>（七）纪律和监督</w:t>
      </w:r>
      <w:bookmarkEnd w:id="55"/>
    </w:p>
    <w:p w14:paraId="2FB81EF7">
      <w:pPr>
        <w:keepNext w:val="0"/>
        <w:keepLines w:val="0"/>
        <w:widowControl w:val="0"/>
        <w:kinsoku/>
        <w:wordWrap/>
        <w:overflowPunct/>
        <w:topLinePunct w:val="0"/>
        <w:autoSpaceDE/>
        <w:autoSpaceDN/>
        <w:bidi w:val="0"/>
        <w:spacing w:line="500" w:lineRule="exact"/>
        <w:ind w:firstLine="310" w:firstLineChars="147"/>
        <w:jc w:val="left"/>
        <w:textAlignment w:val="auto"/>
        <w:rPr>
          <w:rFonts w:hint="eastAsia" w:ascii="宋体"/>
          <w:b/>
          <w:color w:val="auto"/>
          <w:szCs w:val="21"/>
          <w:highlight w:val="none"/>
        </w:rPr>
      </w:pPr>
      <w:r>
        <w:rPr>
          <w:rFonts w:hint="eastAsia" w:ascii="宋体"/>
          <w:b/>
          <w:color w:val="auto"/>
          <w:szCs w:val="21"/>
          <w:highlight w:val="none"/>
        </w:rPr>
        <w:t xml:space="preserve">37.对招标人的纪律要求 </w:t>
      </w:r>
    </w:p>
    <w:p w14:paraId="44CAF792">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color w:val="auto"/>
          <w:kern w:val="10"/>
          <w:szCs w:val="21"/>
          <w:highlight w:val="none"/>
        </w:rPr>
      </w:pPr>
      <w:r>
        <w:rPr>
          <w:rFonts w:hint="eastAsia" w:ascii="宋体"/>
          <w:color w:val="auto"/>
          <w:kern w:val="10"/>
          <w:szCs w:val="21"/>
          <w:highlight w:val="none"/>
        </w:rPr>
        <w:t xml:space="preserve">37.1招标人不得泄漏招标投标活动中应当保密的情况和资料，不得与投标人串通损害国家利益，社会公共利益或者他人合法权益。 </w:t>
      </w:r>
    </w:p>
    <w:p w14:paraId="06CBA933">
      <w:pPr>
        <w:keepNext w:val="0"/>
        <w:keepLines w:val="0"/>
        <w:widowControl w:val="0"/>
        <w:kinsoku/>
        <w:wordWrap/>
        <w:overflowPunct/>
        <w:topLinePunct w:val="0"/>
        <w:autoSpaceDE/>
        <w:autoSpaceDN/>
        <w:bidi w:val="0"/>
        <w:spacing w:line="500" w:lineRule="exact"/>
        <w:ind w:firstLine="310" w:firstLineChars="147"/>
        <w:jc w:val="left"/>
        <w:textAlignment w:val="auto"/>
        <w:rPr>
          <w:rFonts w:hint="eastAsia" w:ascii="宋体"/>
          <w:b/>
          <w:color w:val="auto"/>
          <w:szCs w:val="21"/>
          <w:highlight w:val="none"/>
        </w:rPr>
      </w:pPr>
      <w:r>
        <w:rPr>
          <w:rFonts w:hint="eastAsia" w:ascii="宋体"/>
          <w:b/>
          <w:color w:val="auto"/>
          <w:szCs w:val="21"/>
          <w:highlight w:val="none"/>
        </w:rPr>
        <w:t xml:space="preserve">38.对投标人的纪律要求 </w:t>
      </w:r>
    </w:p>
    <w:p w14:paraId="568ED2C9">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color w:val="auto"/>
          <w:kern w:val="10"/>
          <w:szCs w:val="21"/>
          <w:highlight w:val="none"/>
        </w:rPr>
      </w:pPr>
      <w:r>
        <w:rPr>
          <w:rFonts w:hint="eastAsia" w:ascii="宋体"/>
          <w:color w:val="auto"/>
          <w:kern w:val="10"/>
          <w:szCs w:val="21"/>
          <w:highlight w:val="none"/>
        </w:rPr>
        <w:t>38.1投标人不得相互串通投标或者与招标人串通投标，不得向招标人或者评标委员会成员行贿谋取中标，不得以他人名义投标或者以其他方式弄虚作假骗取中标；投标人不得以任何方式干扰、影响评标工作。</w:t>
      </w:r>
    </w:p>
    <w:p w14:paraId="6032A3DA">
      <w:pPr>
        <w:keepNext w:val="0"/>
        <w:keepLines w:val="0"/>
        <w:widowControl w:val="0"/>
        <w:kinsoku/>
        <w:wordWrap/>
        <w:overflowPunct/>
        <w:topLinePunct w:val="0"/>
        <w:autoSpaceDE/>
        <w:autoSpaceDN/>
        <w:bidi w:val="0"/>
        <w:spacing w:line="500" w:lineRule="exact"/>
        <w:ind w:firstLine="310" w:firstLineChars="147"/>
        <w:jc w:val="left"/>
        <w:textAlignment w:val="auto"/>
        <w:rPr>
          <w:rFonts w:hint="eastAsia" w:ascii="宋体"/>
          <w:b/>
          <w:color w:val="auto"/>
          <w:szCs w:val="21"/>
          <w:highlight w:val="none"/>
        </w:rPr>
      </w:pPr>
      <w:r>
        <w:rPr>
          <w:rFonts w:hint="eastAsia" w:ascii="宋体"/>
          <w:b/>
          <w:color w:val="auto"/>
          <w:szCs w:val="21"/>
          <w:highlight w:val="none"/>
        </w:rPr>
        <w:t xml:space="preserve">39.对评标委员会成员的纪律要求 </w:t>
      </w:r>
    </w:p>
    <w:p w14:paraId="14D4C5C3">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color w:val="auto"/>
          <w:kern w:val="10"/>
          <w:szCs w:val="21"/>
          <w:highlight w:val="none"/>
        </w:rPr>
      </w:pPr>
      <w:r>
        <w:rPr>
          <w:rFonts w:hint="eastAsia" w:ascii="宋体"/>
          <w:color w:val="auto"/>
          <w:kern w:val="10"/>
          <w:szCs w:val="21"/>
          <w:highlight w:val="none"/>
        </w:rPr>
        <w:t>39.1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160F23B6">
      <w:pPr>
        <w:keepNext w:val="0"/>
        <w:keepLines w:val="0"/>
        <w:widowControl w:val="0"/>
        <w:kinsoku/>
        <w:wordWrap/>
        <w:overflowPunct/>
        <w:topLinePunct w:val="0"/>
        <w:autoSpaceDE/>
        <w:autoSpaceDN/>
        <w:bidi w:val="0"/>
        <w:spacing w:line="500" w:lineRule="exact"/>
        <w:ind w:firstLine="310" w:firstLineChars="147"/>
        <w:jc w:val="left"/>
        <w:textAlignment w:val="auto"/>
        <w:rPr>
          <w:rFonts w:hint="eastAsia" w:ascii="宋体"/>
          <w:b/>
          <w:color w:val="auto"/>
          <w:szCs w:val="21"/>
          <w:highlight w:val="none"/>
        </w:rPr>
      </w:pPr>
      <w:r>
        <w:rPr>
          <w:rFonts w:hint="eastAsia" w:ascii="宋体"/>
          <w:b/>
          <w:color w:val="auto"/>
          <w:szCs w:val="21"/>
          <w:highlight w:val="none"/>
        </w:rPr>
        <w:t xml:space="preserve">40.对与评标活动有关的工作人员的纪律要求 </w:t>
      </w:r>
    </w:p>
    <w:p w14:paraId="480EE5D4">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color w:val="auto"/>
          <w:kern w:val="10"/>
          <w:szCs w:val="21"/>
          <w:highlight w:val="none"/>
        </w:rPr>
      </w:pPr>
      <w:r>
        <w:rPr>
          <w:rFonts w:hint="eastAsia" w:ascii="宋体"/>
          <w:color w:val="auto"/>
          <w:kern w:val="10"/>
          <w:szCs w:val="21"/>
          <w:highlight w:val="none"/>
        </w:rPr>
        <w:t>40.1与评标活动有关的工作人员不得收受他人的财物或者其他好处，不得向他人透漏对投标文件的评审和比较、中标人的推荐情况以及评标有关的其他情况。在评标活动中，与评标活动有关的工作人员不得擅离职守，影响评标程序正常进行。</w:t>
      </w:r>
    </w:p>
    <w:p w14:paraId="17FC2BF6">
      <w:pPr>
        <w:keepNext w:val="0"/>
        <w:keepLines w:val="0"/>
        <w:widowControl w:val="0"/>
        <w:kinsoku/>
        <w:wordWrap/>
        <w:overflowPunct/>
        <w:topLinePunct w:val="0"/>
        <w:autoSpaceDE/>
        <w:autoSpaceDN/>
        <w:bidi w:val="0"/>
        <w:spacing w:before="312" w:beforeLines="100" w:after="312" w:afterLines="100" w:line="500" w:lineRule="exact"/>
        <w:jc w:val="center"/>
        <w:textAlignment w:val="auto"/>
        <w:rPr>
          <w:rFonts w:hint="eastAsia" w:ascii="宋体"/>
          <w:b/>
          <w:color w:val="auto"/>
          <w:sz w:val="28"/>
          <w:szCs w:val="28"/>
          <w:highlight w:val="none"/>
        </w:rPr>
      </w:pPr>
      <w:r>
        <w:rPr>
          <w:rFonts w:hint="eastAsia" w:ascii="宋体"/>
          <w:b/>
          <w:color w:val="auto"/>
          <w:sz w:val="28"/>
          <w:szCs w:val="28"/>
          <w:highlight w:val="none"/>
        </w:rPr>
        <w:t>（八）投诉</w:t>
      </w:r>
    </w:p>
    <w:p w14:paraId="10B781C3">
      <w:pPr>
        <w:spacing w:line="440" w:lineRule="exact"/>
        <w:ind w:firstLine="422" w:firstLineChars="200"/>
        <w:jc w:val="left"/>
        <w:rPr>
          <w:rFonts w:hint="eastAsia" w:ascii="宋体" w:hAnsi="宋体"/>
          <w:b/>
          <w:color w:val="auto"/>
          <w:szCs w:val="21"/>
          <w:highlight w:val="none"/>
        </w:rPr>
      </w:pPr>
      <w:r>
        <w:rPr>
          <w:rFonts w:hint="eastAsia" w:ascii="宋体" w:hAnsi="宋体"/>
          <w:b/>
          <w:color w:val="auto"/>
          <w:szCs w:val="21"/>
          <w:highlight w:val="none"/>
          <w:lang w:val="en-US" w:eastAsia="zh-CN"/>
        </w:rPr>
        <w:t>41</w:t>
      </w:r>
      <w:r>
        <w:rPr>
          <w:rFonts w:hint="eastAsia" w:ascii="宋体" w:hAnsi="宋体"/>
          <w:b/>
          <w:color w:val="auto"/>
          <w:szCs w:val="21"/>
          <w:highlight w:val="none"/>
        </w:rPr>
        <w:t>. 异议</w:t>
      </w:r>
    </w:p>
    <w:p w14:paraId="619F45D8">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lang w:val="en-US" w:eastAsia="zh-CN"/>
        </w:rPr>
        <w:t>41</w:t>
      </w:r>
      <w:r>
        <w:rPr>
          <w:rFonts w:hint="eastAsia" w:ascii="宋体" w:hAnsi="Times New Roman" w:eastAsia="宋体" w:cs="Times New Roman"/>
          <w:color w:val="auto"/>
          <w:kern w:val="10"/>
          <w:szCs w:val="21"/>
          <w:highlight w:val="none"/>
        </w:rPr>
        <w:t>.1 若投标人或者其他利害关系人对中标结果有异议，可在公示期内以书面形式，并在工作时间内（上午8:00-12:00,下午2:30-5:30）向招标人或招标代理机构提出异议。</w:t>
      </w:r>
    </w:p>
    <w:p w14:paraId="5E84DB3D">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异议应以书面形式实名提出，也可以通过电子交易系统使用电子印章在线提出异议，具体网址见滁州市公共资源交易中心网站—通知公告—滁州市公共资源交易维权渠道，书面异议材料应当包括以下内容： </w:t>
      </w:r>
    </w:p>
    <w:p w14:paraId="52CF6B05">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（1）异议人的名称、地址、有效联系方式； </w:t>
      </w:r>
    </w:p>
    <w:p w14:paraId="0289586E">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（2）项目名称、项目编号、标段号（如有）； </w:t>
      </w:r>
    </w:p>
    <w:p w14:paraId="6A67F752">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（3）被异议人名称； </w:t>
      </w:r>
    </w:p>
    <w:p w14:paraId="4FBC4DBA">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（4）具体的异议事项、基本事实及必要的证明材料； </w:t>
      </w:r>
    </w:p>
    <w:p w14:paraId="592C3678">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（5）明确的请求及主张； </w:t>
      </w:r>
    </w:p>
    <w:p w14:paraId="01193D5F">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（6）提起异议的日期。 </w:t>
      </w:r>
    </w:p>
    <w:p w14:paraId="02FE9B04">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（7）异议人为法人的，应当由法定代表人或授权代表签字并加盖公章；为其他组织或个人的，异议材料须由其主要负责人或者异议人本人签字，并附有效身份证明复印件。 </w:t>
      </w:r>
    </w:p>
    <w:p w14:paraId="30897893">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（8）异议人需要修改、补充异议材料的，应当在招标人或招标代理机构规定的期限内提交修改或补充材料。 </w:t>
      </w:r>
    </w:p>
    <w:p w14:paraId="0DCD3FA7">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lang w:val="en-US" w:eastAsia="zh-CN"/>
        </w:rPr>
        <w:t>41</w:t>
      </w:r>
      <w:r>
        <w:rPr>
          <w:rFonts w:hint="eastAsia" w:ascii="宋体" w:hAnsi="Times New Roman" w:eastAsia="宋体" w:cs="Times New Roman"/>
          <w:color w:val="auto"/>
          <w:kern w:val="10"/>
          <w:szCs w:val="21"/>
          <w:highlight w:val="none"/>
        </w:rPr>
        <w:t xml:space="preserve">.2 有下列情形之一的，不予受理： </w:t>
      </w:r>
    </w:p>
    <w:p w14:paraId="14CB03F0">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（1）提出异议的主体不是所异议项目投标人或者其他利害关系人的；</w:t>
      </w:r>
    </w:p>
    <w:p w14:paraId="6CD9AD6C">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（2）对于依法必须招标的项目，未在公示期间提出异议的；</w:t>
      </w:r>
    </w:p>
    <w:p w14:paraId="32B85A5F">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（3）异议材料不完整的； </w:t>
      </w:r>
    </w:p>
    <w:p w14:paraId="1007847C">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（4）异议事项含有主观猜测等内容且未提供有效线索、难以查证的； </w:t>
      </w:r>
    </w:p>
    <w:p w14:paraId="250F3D03">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（5）对其他投标人的投标文件详细内容异议，无法提供合法来源渠道的； </w:t>
      </w:r>
    </w:p>
    <w:p w14:paraId="05D0EDAD">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 xml:space="preserve">  （6）异议事项已进入投诉处理、行政复议或行政诉讼程序的。</w:t>
      </w:r>
    </w:p>
    <w:p w14:paraId="60518F5A">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lang w:val="en-US" w:eastAsia="zh-CN"/>
        </w:rPr>
        <w:t>41</w:t>
      </w:r>
      <w:r>
        <w:rPr>
          <w:rFonts w:hint="eastAsia" w:ascii="宋体" w:hAnsi="Times New Roman" w:eastAsia="宋体" w:cs="Times New Roman"/>
          <w:color w:val="auto"/>
          <w:kern w:val="10"/>
          <w:szCs w:val="21"/>
          <w:highlight w:val="none"/>
        </w:rPr>
        <w:t>.3 投标人或其他利害关系人对招标文件有异议的，应在投标截止时间10日前以网上留言或书面形式（包括信函、电报、传真等可以有形的表现所载内容的形式，下同）提出。招标人将在收到异议之日起3日内作出答复。</w:t>
      </w:r>
    </w:p>
    <w:p w14:paraId="5EE4ED0F">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lang w:val="en-US" w:eastAsia="zh-CN"/>
        </w:rPr>
        <w:t>41</w:t>
      </w:r>
      <w:r>
        <w:rPr>
          <w:rFonts w:hint="eastAsia" w:ascii="宋体" w:hAnsi="Times New Roman" w:eastAsia="宋体" w:cs="Times New Roman"/>
          <w:color w:val="auto"/>
          <w:kern w:val="10"/>
          <w:szCs w:val="21"/>
          <w:highlight w:val="none"/>
        </w:rPr>
        <w:t>.4投标人对开标有异议的，应当在开标现场提出，招标人当场作出答复，并制作记录。异议与答复应通过电子交易系统进行。</w:t>
      </w:r>
    </w:p>
    <w:p w14:paraId="696EBECE">
      <w:pPr>
        <w:wordWrap w:val="0"/>
        <w:spacing w:line="440" w:lineRule="exact"/>
        <w:ind w:firstLine="422" w:firstLineChars="200"/>
        <w:jc w:val="left"/>
        <w:rPr>
          <w:rFonts w:hint="eastAsia" w:ascii="宋体" w:hAnsi="宋体" w:cs="宋体"/>
          <w:b/>
          <w:color w:val="auto"/>
          <w:szCs w:val="21"/>
          <w:highlight w:val="none"/>
        </w:rPr>
      </w:pPr>
      <w:r>
        <w:rPr>
          <w:rFonts w:hint="eastAsia" w:ascii="宋体" w:hAnsi="宋体" w:cs="宋体"/>
          <w:b/>
          <w:color w:val="auto"/>
          <w:szCs w:val="21"/>
          <w:highlight w:val="none"/>
        </w:rPr>
        <w:t>4</w:t>
      </w:r>
      <w:r>
        <w:rPr>
          <w:rFonts w:hint="eastAsia" w:ascii="宋体" w:hAnsi="宋体" w:cs="宋体"/>
          <w:b/>
          <w:color w:val="auto"/>
          <w:szCs w:val="21"/>
          <w:highlight w:val="none"/>
          <w:lang w:val="en-US" w:eastAsia="zh-CN"/>
        </w:rPr>
        <w:t>42</w:t>
      </w:r>
      <w:r>
        <w:rPr>
          <w:rFonts w:hint="eastAsia" w:ascii="宋体" w:hAnsi="宋体" w:cs="宋体"/>
          <w:b/>
          <w:color w:val="auto"/>
          <w:szCs w:val="21"/>
          <w:highlight w:val="none"/>
        </w:rPr>
        <w:t>. 投诉</w:t>
      </w:r>
    </w:p>
    <w:p w14:paraId="5C638886">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lang w:val="en-US" w:eastAsia="zh-CN"/>
        </w:rPr>
        <w:t>42</w:t>
      </w:r>
      <w:r>
        <w:rPr>
          <w:rFonts w:hint="eastAsia" w:ascii="宋体" w:hAnsi="Times New Roman" w:eastAsia="宋体" w:cs="Times New Roman"/>
          <w:color w:val="auto"/>
          <w:kern w:val="10"/>
          <w:szCs w:val="21"/>
          <w:highlight w:val="none"/>
        </w:rPr>
        <w:t>.1投标人和其他利害关系人认为本次招标活动违反法律、法规和规章规定的，有权向有关行政监督部门投诉。投诉应当有明确的请求和必要的证明材料。</w:t>
      </w:r>
    </w:p>
    <w:p w14:paraId="7918B047">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4</w:t>
      </w:r>
      <w:r>
        <w:rPr>
          <w:rFonts w:hint="eastAsia" w:ascii="宋体" w:hAnsi="Times New Roman" w:eastAsia="宋体" w:cs="Times New Roman"/>
          <w:color w:val="auto"/>
          <w:kern w:val="10"/>
          <w:szCs w:val="21"/>
          <w:highlight w:val="none"/>
          <w:lang w:val="en-US" w:eastAsia="zh-CN"/>
        </w:rPr>
        <w:t>2</w:t>
      </w:r>
      <w:r>
        <w:rPr>
          <w:rFonts w:hint="eastAsia" w:ascii="宋体" w:hAnsi="Times New Roman" w:eastAsia="宋体" w:cs="Times New Roman"/>
          <w:color w:val="auto"/>
          <w:kern w:val="10"/>
          <w:szCs w:val="21"/>
          <w:highlight w:val="none"/>
        </w:rPr>
        <w:t>.2投标人和其他利害关系人对评标结果等事项投诉的，应当在开标期间或中标结果公示期间，先向招标人提出异议。</w:t>
      </w:r>
      <w:r>
        <w:rPr>
          <w:rFonts w:hint="eastAsia" w:ascii="宋体" w:hAnsi="Times New Roman" w:eastAsia="宋体" w:cs="Times New Roman"/>
          <w:b/>
          <w:bCs/>
          <w:color w:val="auto"/>
          <w:kern w:val="10"/>
          <w:szCs w:val="21"/>
          <w:highlight w:val="none"/>
        </w:rPr>
        <w:t>注：一份质疑（异议）函只能针对一个项目提出质疑（异议），且针对同一招标采购程序环节的质疑（异议）应当一次性提出。</w:t>
      </w:r>
    </w:p>
    <w:p w14:paraId="72E41080">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hAnsi="Times New Roman" w:eastAsia="宋体" w:cs="Times New Roman"/>
          <w:color w:val="auto"/>
          <w:kern w:val="10"/>
          <w:szCs w:val="21"/>
          <w:highlight w:val="none"/>
        </w:rPr>
      </w:pPr>
      <w:r>
        <w:rPr>
          <w:rFonts w:hint="eastAsia" w:ascii="宋体" w:hAnsi="Times New Roman" w:eastAsia="宋体" w:cs="Times New Roman"/>
          <w:color w:val="auto"/>
          <w:kern w:val="10"/>
          <w:szCs w:val="21"/>
          <w:highlight w:val="none"/>
        </w:rPr>
        <w:t>4</w:t>
      </w:r>
      <w:r>
        <w:rPr>
          <w:rFonts w:hint="eastAsia" w:ascii="宋体" w:hAnsi="Times New Roman" w:eastAsia="宋体" w:cs="Times New Roman"/>
          <w:color w:val="auto"/>
          <w:kern w:val="10"/>
          <w:szCs w:val="21"/>
          <w:highlight w:val="none"/>
          <w:lang w:val="en-US" w:eastAsia="zh-CN"/>
        </w:rPr>
        <w:t>2</w:t>
      </w:r>
      <w:r>
        <w:rPr>
          <w:rFonts w:hint="eastAsia" w:ascii="宋体" w:hAnsi="Times New Roman" w:eastAsia="宋体" w:cs="Times New Roman"/>
          <w:color w:val="auto"/>
          <w:kern w:val="10"/>
          <w:szCs w:val="21"/>
          <w:highlight w:val="none"/>
        </w:rPr>
        <w:t>.3投标人对招标人的答复不满意，或者招标人未在规定的时间内答复的，可以自知道或者应当知道之日起10日内以书面形式（http://ggzy.chuzhou.gov.cn/fwzn/011001/011001001/011001001003/20200727/7fb88e17-63dd-4f17-b17c-290526c6eda8.html）向有关行政监督部门提出投诉和线上提交投诉材料（http://ggzy.chuzhou.gov.cn/fwzn/011001/011001001/011001001003/20200221/b079d9ca-90f2-4cce-aa7c-94a444e7ac91.html）。</w:t>
      </w:r>
    </w:p>
    <w:p w14:paraId="0FA621D6">
      <w:pPr>
        <w:keepNext w:val="0"/>
        <w:keepLines w:val="0"/>
        <w:widowControl w:val="0"/>
        <w:kinsoku/>
        <w:wordWrap/>
        <w:overflowPunct/>
        <w:topLinePunct w:val="0"/>
        <w:autoSpaceDE/>
        <w:autoSpaceDN/>
        <w:bidi w:val="0"/>
        <w:adjustRightInd w:val="0"/>
        <w:snapToGrid w:val="0"/>
        <w:spacing w:line="500" w:lineRule="exact"/>
        <w:ind w:firstLine="315" w:firstLineChars="150"/>
        <w:textAlignment w:val="auto"/>
        <w:rPr>
          <w:rFonts w:hint="eastAsia" w:ascii="宋体"/>
          <w:color w:val="auto"/>
          <w:kern w:val="10"/>
          <w:szCs w:val="21"/>
          <w:highlight w:val="none"/>
        </w:rPr>
      </w:pPr>
    </w:p>
    <w:p w14:paraId="412EF72F">
      <w:pPr>
        <w:spacing w:line="440" w:lineRule="exact"/>
        <w:ind w:firstLine="600" w:firstLineChars="200"/>
        <w:jc w:val="left"/>
        <w:rPr>
          <w:rFonts w:hint="eastAsia" w:ascii="黑体" w:eastAsia="黑体"/>
          <w:color w:val="auto"/>
          <w:sz w:val="30"/>
          <w:szCs w:val="30"/>
          <w:highlight w:val="none"/>
        </w:rPr>
      </w:pPr>
    </w:p>
    <w:p w14:paraId="3313C28A">
      <w:pPr>
        <w:pStyle w:val="2"/>
        <w:spacing w:line="280" w:lineRule="exact"/>
        <w:jc w:val="center"/>
        <w:rPr>
          <w:rFonts w:hint="eastAsia" w:ascii="宋体"/>
          <w:b w:val="0"/>
          <w:color w:val="auto"/>
          <w:szCs w:val="32"/>
          <w:highlight w:val="none"/>
        </w:rPr>
      </w:pPr>
      <w:r>
        <w:rPr>
          <w:rFonts w:ascii="宋体"/>
          <w:b w:val="0"/>
          <w:color w:val="auto"/>
          <w:szCs w:val="32"/>
          <w:highlight w:val="none"/>
        </w:rPr>
        <w:br w:type="page"/>
      </w:r>
      <w:bookmarkStart w:id="56" w:name="_Toc28871"/>
      <w:r>
        <w:rPr>
          <w:rFonts w:hint="eastAsia" w:ascii="宋体"/>
          <w:bCs w:val="0"/>
          <w:color w:val="auto"/>
          <w:szCs w:val="32"/>
          <w:highlight w:val="none"/>
        </w:rPr>
        <w:t>第三章 评标办法（综合评分法）</w:t>
      </w:r>
      <w:bookmarkEnd w:id="56"/>
    </w:p>
    <w:p w14:paraId="7EF2958B">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jc w:val="center"/>
        <w:textAlignment w:val="auto"/>
        <w:outlineLvl w:val="1"/>
        <w:rPr>
          <w:rFonts w:hint="eastAsia" w:ascii="宋体" w:hAnsi="宋体" w:eastAsia="宋体" w:cs="宋体"/>
          <w:b/>
          <w:color w:val="auto"/>
          <w:sz w:val="28"/>
          <w:szCs w:val="28"/>
          <w:highlight w:val="none"/>
        </w:rPr>
      </w:pPr>
      <w:bookmarkStart w:id="57" w:name="_Toc58430317"/>
      <w:bookmarkStart w:id="58" w:name="_Toc20697"/>
      <w:bookmarkStart w:id="59" w:name="_Toc449028877"/>
      <w:bookmarkStart w:id="60" w:name="_Toc362983801"/>
      <w:bookmarkStart w:id="61" w:name="_Toc267320058"/>
      <w:bookmarkStart w:id="62" w:name="_Toc363135205"/>
      <w:r>
        <w:rPr>
          <w:rFonts w:hint="eastAsia" w:ascii="宋体" w:hAnsi="宋体" w:eastAsia="宋体" w:cs="宋体"/>
          <w:b/>
          <w:color w:val="auto"/>
          <w:sz w:val="28"/>
          <w:szCs w:val="28"/>
          <w:highlight w:val="none"/>
        </w:rPr>
        <w:t>一、总则</w:t>
      </w:r>
      <w:bookmarkEnd w:id="57"/>
      <w:bookmarkEnd w:id="58"/>
      <w:bookmarkEnd w:id="59"/>
      <w:bookmarkEnd w:id="60"/>
    </w:p>
    <w:p w14:paraId="4E6A22D1">
      <w:pPr>
        <w:keepNext w:val="0"/>
        <w:keepLines w:val="0"/>
        <w:pageBreakBefore w:val="0"/>
        <w:kinsoku/>
        <w:overflowPunct/>
        <w:topLinePunct w:val="0"/>
        <w:autoSpaceDE/>
        <w:autoSpaceDN/>
        <w:bidi w:val="0"/>
        <w:adjustRightInd/>
        <w:snapToGrid/>
        <w:spacing w:line="500" w:lineRule="exact"/>
        <w:ind w:firstLine="316" w:firstLineChars="15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1. 本次评标采用综合评分法</w:t>
      </w:r>
    </w:p>
    <w:p w14:paraId="272D8D97">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1.1综合评分法是指投标文件满足招标文件全部实质性要求且按照评审因素的量化指标评审总得分从高到低的供应商为中标候选人的评标方法。</w:t>
      </w:r>
    </w:p>
    <w:p w14:paraId="5391C2AB">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1.2综合评分法一般适用于较为复杂、评价指标难以量化且价格为非主要因素的非标准定制商品和非通用服务项目的项目评审。</w:t>
      </w:r>
    </w:p>
    <w:p w14:paraId="69D2704D">
      <w:pPr>
        <w:keepNext w:val="0"/>
        <w:keepLines w:val="0"/>
        <w:pageBreakBefore w:val="0"/>
        <w:kinsoku/>
        <w:overflowPunct/>
        <w:topLinePunct w:val="0"/>
        <w:autoSpaceDE/>
        <w:autoSpaceDN/>
        <w:bidi w:val="0"/>
        <w:adjustRightInd/>
        <w:snapToGrid/>
        <w:spacing w:line="500" w:lineRule="exact"/>
        <w:ind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2．评标程序</w:t>
      </w:r>
    </w:p>
    <w:p w14:paraId="282E4EA9">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2.1投标文件的初审</w:t>
      </w:r>
    </w:p>
    <w:p w14:paraId="725D457B">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2.1.1资格性检查。依据法律法规和招标文件的规定，对投标文件中的资格证明、投标保证金等进行审查，以确定投标人是否具备投标资格。 </w:t>
      </w:r>
    </w:p>
    <w:p w14:paraId="0ACCF393">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2.1.2符合性检查。依据招标文件的规定，从投标文件的有效性、完整性和对招标文件的响应程度进行审查，以确定投标人是否对招标文件的实质性要求作出响应。</w:t>
      </w:r>
    </w:p>
    <w:p w14:paraId="77021C7A">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2.2投标文件的澄清</w:t>
      </w:r>
    </w:p>
    <w:p w14:paraId="4E3398FE">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2.2.1在评标过程中，评标委员会认为需要，在监督人员在场的情况下，可要求投标人对投标文件中的有关问题进行澄清或提供补充说明及有关资料，投标人应做出书面答复。书面答复中不得变更价格、供货期、自报质量等实质性内容。</w:t>
      </w:r>
    </w:p>
    <w:p w14:paraId="4A638BA9">
      <w:pPr>
        <w:keepNext w:val="0"/>
        <w:keepLines w:val="0"/>
        <w:pageBreakBefore w:val="0"/>
        <w:kinsoku/>
        <w:wordWrap w:val="0"/>
        <w:overflowPunct/>
        <w:topLinePunct w:val="0"/>
        <w:autoSpaceDE/>
        <w:autoSpaceDN/>
        <w:bidi w:val="0"/>
        <w:adjustRightInd/>
        <w:snapToGrid/>
        <w:spacing w:line="500" w:lineRule="exact"/>
        <w:ind w:firstLine="422" w:firstLineChars="200"/>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本项目采用远程开标，具体操作方法详见服务指南&gt;交易须知&gt;开标大厅远程解密、质疑(异议)及回复以及评标过程中询标流程操作手册。</w:t>
      </w:r>
    </w:p>
    <w:p w14:paraId="40721524">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2.2.2书面答复须经投标人法定代理人或其授权委托代理人的签字或印鉴，签字或盖印鉴的书面答复将视为投标文件的组成部分。投标截止时间后，投标人对投标报价或其它实质性内容修正的函件和增加的任何优惠条件，一律不得作为评标、定标的依据。</w:t>
      </w:r>
    </w:p>
    <w:p w14:paraId="699D3B3B">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2.2.3  招标人不接受投标人主动提出的澄清。</w:t>
      </w:r>
    </w:p>
    <w:p w14:paraId="455A0A7A">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2.3比较与评价</w:t>
      </w:r>
    </w:p>
    <w:p w14:paraId="5AEEEA7F">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2．3.1按招标文件中规定的评标方法和标准，对资格性检查和符合性检查合格的投标文件进行商务和技术评估，综合比较与评价。 </w:t>
      </w:r>
    </w:p>
    <w:p w14:paraId="5925AEFF">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2.4推荐中标候选人名单</w:t>
      </w:r>
    </w:p>
    <w:p w14:paraId="283A272F">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2.4.1中标候选人数量应当根据采购需要确定，但必须按顺序排列中标候选人。</w:t>
      </w:r>
    </w:p>
    <w:p w14:paraId="01C99A3B">
      <w:pPr>
        <w:keepNext w:val="0"/>
        <w:keepLines w:val="0"/>
        <w:pageBreakBefore w:val="0"/>
        <w:kinsoku/>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2.5在投标文件的审查、澄清、评价和比较以及授予合同过程中，投标人对招标人和评标委员会成员施加影响的任何行为，都将导致取消其中标资格。</w:t>
      </w:r>
      <w:bookmarkStart w:id="63" w:name="_Toc58430318"/>
      <w:bookmarkStart w:id="64" w:name="_Toc362983802"/>
      <w:bookmarkStart w:id="65" w:name="_Toc449028878"/>
    </w:p>
    <w:p w14:paraId="0A8A5E82">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jc w:val="center"/>
        <w:textAlignment w:val="auto"/>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二、投标文件初审</w:t>
      </w:r>
      <w:bookmarkEnd w:id="63"/>
      <w:bookmarkEnd w:id="64"/>
      <w:bookmarkEnd w:id="65"/>
    </w:p>
    <w:p w14:paraId="024ECF41">
      <w:pPr>
        <w:keepNext w:val="0"/>
        <w:keepLines w:val="0"/>
        <w:pageBreakBefore w:val="0"/>
        <w:kinsoku/>
        <w:overflowPunct/>
        <w:topLinePunct w:val="0"/>
        <w:autoSpaceDE/>
        <w:autoSpaceDN/>
        <w:bidi w:val="0"/>
        <w:adjustRightInd/>
        <w:snapToGrid/>
        <w:spacing w:line="500" w:lineRule="exact"/>
        <w:ind w:firstLine="310" w:firstLineChars="147"/>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3.资格性审查:</w:t>
      </w:r>
    </w:p>
    <w:p w14:paraId="6F3453ED">
      <w:pPr>
        <w:keepNext w:val="0"/>
        <w:keepLines w:val="0"/>
        <w:pageBreakBefore w:val="0"/>
        <w:kinsoku/>
        <w:overflowPunct/>
        <w:topLinePunct w:val="0"/>
        <w:autoSpaceDE/>
        <w:autoSpaceDN/>
        <w:bidi w:val="0"/>
        <w:adjustRightInd/>
        <w:snapToGrid/>
        <w:spacing w:line="500" w:lineRule="exact"/>
        <w:ind w:firstLine="308" w:firstLineChars="147"/>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3.1评审细则</w:t>
      </w:r>
    </w:p>
    <w:tbl>
      <w:tblPr>
        <w:tblStyle w:val="35"/>
        <w:tblW w:w="9926" w:type="dxa"/>
        <w:tblInd w:w="-4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725"/>
        <w:gridCol w:w="4305"/>
        <w:gridCol w:w="3176"/>
      </w:tblGrid>
      <w:tr w14:paraId="0016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0" w:type="dxa"/>
            <w:noWrap w:val="0"/>
            <w:vAlign w:val="center"/>
          </w:tcPr>
          <w:p w14:paraId="0D487E45">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6030" w:type="dxa"/>
            <w:gridSpan w:val="2"/>
            <w:noWrap w:val="0"/>
            <w:vAlign w:val="center"/>
          </w:tcPr>
          <w:p w14:paraId="3FE11266">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评审因素</w:t>
            </w:r>
          </w:p>
        </w:tc>
        <w:tc>
          <w:tcPr>
            <w:tcW w:w="3176" w:type="dxa"/>
            <w:noWrap w:val="0"/>
            <w:vAlign w:val="center"/>
          </w:tcPr>
          <w:p w14:paraId="2465DDBA">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评审标准</w:t>
            </w:r>
          </w:p>
        </w:tc>
      </w:tr>
      <w:tr w14:paraId="752D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0" w:type="dxa"/>
            <w:noWrap w:val="0"/>
            <w:vAlign w:val="center"/>
          </w:tcPr>
          <w:p w14:paraId="648199F9">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725" w:type="dxa"/>
            <w:noWrap w:val="0"/>
            <w:vAlign w:val="center"/>
          </w:tcPr>
          <w:p w14:paraId="2D80C8BF">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重要要求</w:t>
            </w:r>
          </w:p>
        </w:tc>
        <w:tc>
          <w:tcPr>
            <w:tcW w:w="4305" w:type="dxa"/>
            <w:noWrap w:val="0"/>
            <w:vAlign w:val="center"/>
          </w:tcPr>
          <w:p w14:paraId="0C9F220B">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（1）法定代表人身份证明和本人有效身份证(或法定代表人授权委托书和委托代理人有效身份证)</w:t>
            </w:r>
          </w:p>
        </w:tc>
        <w:tc>
          <w:tcPr>
            <w:tcW w:w="3176" w:type="dxa"/>
            <w:noWrap w:val="0"/>
            <w:vAlign w:val="center"/>
          </w:tcPr>
          <w:p w14:paraId="6DDDDC33">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检验电子标书</w:t>
            </w:r>
          </w:p>
        </w:tc>
      </w:tr>
      <w:tr w14:paraId="036E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720" w:type="dxa"/>
            <w:vMerge w:val="restart"/>
            <w:noWrap w:val="0"/>
            <w:vAlign w:val="center"/>
          </w:tcPr>
          <w:p w14:paraId="1CD7ADA7">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725" w:type="dxa"/>
            <w:vMerge w:val="restart"/>
            <w:noWrap w:val="0"/>
            <w:vAlign w:val="center"/>
          </w:tcPr>
          <w:p w14:paraId="6A87C2C8">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投标人应符合的基本资格条件</w:t>
            </w:r>
          </w:p>
        </w:tc>
        <w:tc>
          <w:tcPr>
            <w:tcW w:w="4305" w:type="dxa"/>
            <w:noWrap w:val="0"/>
            <w:vAlign w:val="center"/>
          </w:tcPr>
          <w:p w14:paraId="0ECD13F8">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val="en-US" w:eastAsia="zh-CN"/>
              </w:rPr>
              <w:t>具有独立承担民事责任能力</w:t>
            </w:r>
          </w:p>
        </w:tc>
        <w:tc>
          <w:tcPr>
            <w:tcW w:w="3176" w:type="dxa"/>
            <w:noWrap w:val="0"/>
            <w:vAlign w:val="center"/>
          </w:tcPr>
          <w:p w14:paraId="71ADBC66">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评审核验电子标书中的下列证书、证明材料：</w:t>
            </w:r>
          </w:p>
          <w:p w14:paraId="7E6BFB1A">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投标人有效的营业执照（或三证合一证书）</w:t>
            </w:r>
          </w:p>
        </w:tc>
      </w:tr>
      <w:tr w14:paraId="3A088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720" w:type="dxa"/>
            <w:vMerge w:val="continue"/>
            <w:noWrap w:val="0"/>
            <w:vAlign w:val="center"/>
          </w:tcPr>
          <w:p w14:paraId="4AC7900E">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color w:val="auto"/>
                <w:szCs w:val="21"/>
                <w:highlight w:val="none"/>
              </w:rPr>
            </w:pPr>
          </w:p>
        </w:tc>
        <w:tc>
          <w:tcPr>
            <w:tcW w:w="1725" w:type="dxa"/>
            <w:vMerge w:val="continue"/>
            <w:noWrap w:val="0"/>
            <w:vAlign w:val="center"/>
          </w:tcPr>
          <w:p w14:paraId="1A614F9B">
            <w:pPr>
              <w:keepNext w:val="0"/>
              <w:keepLines w:val="0"/>
              <w:pageBreakBefore w:val="0"/>
              <w:kinsoku/>
              <w:overflowPunct/>
              <w:topLinePunct w:val="0"/>
              <w:autoSpaceDE/>
              <w:autoSpaceDN/>
              <w:bidi w:val="0"/>
              <w:adjustRightInd/>
              <w:snapToGrid/>
              <w:spacing w:line="500" w:lineRule="exact"/>
              <w:textAlignment w:val="auto"/>
              <w:rPr>
                <w:rFonts w:hint="eastAsia" w:ascii="宋体" w:hAnsi="宋体" w:eastAsia="宋体" w:cs="宋体"/>
                <w:color w:val="auto"/>
                <w:szCs w:val="21"/>
                <w:highlight w:val="none"/>
              </w:rPr>
            </w:pPr>
          </w:p>
        </w:tc>
        <w:tc>
          <w:tcPr>
            <w:tcW w:w="4305" w:type="dxa"/>
            <w:noWrap w:val="0"/>
            <w:vAlign w:val="center"/>
          </w:tcPr>
          <w:p w14:paraId="410804C3">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rPr>
              <w:t>）</w:t>
            </w:r>
            <w:r>
              <w:rPr>
                <w:rFonts w:hint="eastAsia" w:ascii="宋体" w:hAnsi="宋体" w:cs="宋体"/>
                <w:color w:val="auto"/>
                <w:szCs w:val="21"/>
                <w:highlight w:val="none"/>
              </w:rPr>
              <w:t>诚信投标承诺书</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公共信用信息报告（无违法违规证明版或核查版）</w:t>
            </w:r>
          </w:p>
        </w:tc>
        <w:tc>
          <w:tcPr>
            <w:tcW w:w="3176" w:type="dxa"/>
            <w:noWrap w:val="0"/>
            <w:vAlign w:val="center"/>
          </w:tcPr>
          <w:p w14:paraId="0F686670">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格式见附件，检验电子标书</w:t>
            </w:r>
          </w:p>
        </w:tc>
      </w:tr>
    </w:tbl>
    <w:p w14:paraId="058CF8D1">
      <w:pPr>
        <w:keepNext w:val="0"/>
        <w:keepLines w:val="0"/>
        <w:pageBreakBefore w:val="0"/>
        <w:kinsoku/>
        <w:overflowPunct/>
        <w:topLinePunct w:val="0"/>
        <w:autoSpaceDE/>
        <w:autoSpaceDN/>
        <w:bidi w:val="0"/>
        <w:adjustRightInd/>
        <w:snapToGrid/>
        <w:spacing w:line="500" w:lineRule="exact"/>
        <w:ind w:right="-164" w:rightChars="-78" w:firstLine="508" w:firstLineChars="241"/>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3.2资格审查材料必须上传到投标人系统-安徽省公共资源交易市场主体库中对应栏目，制作资格审查文件时插上CA数字证书，从投标企业注册信息中挑选相关材料。若所需材料无对应栏目，则将该材料上传至“其他投标用证明材料”里或电子投标文件对应栏中，做电子投标文件时从“其他所需材料”里获取。请各投标人位自行完善主体库管理中的单位信息，保证信息最新且有效。</w:t>
      </w:r>
    </w:p>
    <w:p w14:paraId="01A2936E">
      <w:pPr>
        <w:keepNext w:val="0"/>
        <w:keepLines w:val="0"/>
        <w:pageBreakBefore w:val="0"/>
        <w:kinsoku/>
        <w:overflowPunct/>
        <w:topLinePunct w:val="0"/>
        <w:autoSpaceDE/>
        <w:autoSpaceDN/>
        <w:bidi w:val="0"/>
        <w:adjustRightInd/>
        <w:snapToGrid/>
        <w:spacing w:line="500" w:lineRule="exact"/>
        <w:ind w:right="-164" w:rightChars="-78" w:firstLine="508" w:firstLineChars="241"/>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3.3如评标专家在检验电子投标文件过程中，如果由于投标人自身原因导致评标专家无法查看并检验电子投标文件中相关资料的，否决其投标。即使投标人将原件携带至现场的，同样按否决投标处理。</w:t>
      </w:r>
    </w:p>
    <w:p w14:paraId="3763E6F8">
      <w:pPr>
        <w:keepNext w:val="0"/>
        <w:keepLines w:val="0"/>
        <w:pageBreakBefore w:val="0"/>
        <w:kinsoku/>
        <w:overflowPunct/>
        <w:topLinePunct w:val="0"/>
        <w:autoSpaceDE/>
        <w:autoSpaceDN/>
        <w:bidi w:val="0"/>
        <w:adjustRightInd/>
        <w:snapToGrid/>
        <w:spacing w:line="500" w:lineRule="exact"/>
        <w:ind w:firstLine="310" w:firstLineChars="147"/>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4.符合性审查</w:t>
      </w:r>
    </w:p>
    <w:p w14:paraId="2CD59433">
      <w:pPr>
        <w:keepNext w:val="0"/>
        <w:keepLines w:val="0"/>
        <w:pageBreakBefore w:val="0"/>
        <w:kinsoku/>
        <w:overflowPunct/>
        <w:topLinePunct w:val="0"/>
        <w:autoSpaceDE/>
        <w:autoSpaceDN/>
        <w:bidi w:val="0"/>
        <w:adjustRightInd/>
        <w:snapToGrid/>
        <w:spacing w:line="500" w:lineRule="exact"/>
        <w:ind w:firstLine="315" w:firstLineChars="1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4.1评审细则</w:t>
      </w:r>
    </w:p>
    <w:tbl>
      <w:tblPr>
        <w:tblStyle w:val="35"/>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318"/>
        <w:gridCol w:w="2931"/>
        <w:gridCol w:w="4691"/>
      </w:tblGrid>
      <w:tr w14:paraId="6D36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735" w:type="dxa"/>
            <w:noWrap w:val="0"/>
            <w:vAlign w:val="center"/>
          </w:tcPr>
          <w:p w14:paraId="40D76283">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序号</w:t>
            </w:r>
          </w:p>
        </w:tc>
        <w:tc>
          <w:tcPr>
            <w:tcW w:w="4249" w:type="dxa"/>
            <w:gridSpan w:val="2"/>
            <w:noWrap w:val="0"/>
            <w:vAlign w:val="center"/>
          </w:tcPr>
          <w:p w14:paraId="76769715">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审查因素</w:t>
            </w:r>
          </w:p>
        </w:tc>
        <w:tc>
          <w:tcPr>
            <w:tcW w:w="4691" w:type="dxa"/>
            <w:noWrap w:val="0"/>
            <w:vAlign w:val="center"/>
          </w:tcPr>
          <w:p w14:paraId="0AE4C923">
            <w:pPr>
              <w:keepNext w:val="0"/>
              <w:keepLines w:val="0"/>
              <w:pageBreakBefore w:val="0"/>
              <w:kinsoku/>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审查内容</w:t>
            </w:r>
          </w:p>
        </w:tc>
      </w:tr>
      <w:tr w14:paraId="4270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735" w:type="dxa"/>
            <w:vMerge w:val="restart"/>
            <w:noWrap w:val="0"/>
            <w:vAlign w:val="center"/>
          </w:tcPr>
          <w:p w14:paraId="16FFF87D">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318" w:type="dxa"/>
            <w:vMerge w:val="restart"/>
            <w:noWrap w:val="0"/>
            <w:vAlign w:val="center"/>
          </w:tcPr>
          <w:p w14:paraId="0CC65124">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投标文件的有效性</w:t>
            </w:r>
          </w:p>
        </w:tc>
        <w:tc>
          <w:tcPr>
            <w:tcW w:w="2931" w:type="dxa"/>
            <w:noWrap w:val="0"/>
            <w:vAlign w:val="center"/>
          </w:tcPr>
          <w:p w14:paraId="35453C6C">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（1）投标文件签署</w:t>
            </w:r>
          </w:p>
        </w:tc>
        <w:tc>
          <w:tcPr>
            <w:tcW w:w="4691" w:type="dxa"/>
            <w:noWrap w:val="0"/>
            <w:vAlign w:val="center"/>
          </w:tcPr>
          <w:p w14:paraId="290AB4A6">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签字、盖章符合要求。</w:t>
            </w:r>
          </w:p>
          <w:p w14:paraId="1E827793">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zh-CN"/>
              </w:rPr>
              <w:t>（</w:t>
            </w:r>
            <w:r>
              <w:rPr>
                <w:rFonts w:hint="eastAsia" w:ascii="宋体" w:hAnsi="宋体" w:eastAsia="宋体" w:cs="宋体"/>
                <w:b/>
                <w:bCs/>
                <w:color w:val="auto"/>
                <w:szCs w:val="21"/>
                <w:highlight w:val="none"/>
              </w:rPr>
              <w:t>注：技术标采用暗标，无需签字、盖章）</w:t>
            </w:r>
          </w:p>
        </w:tc>
      </w:tr>
      <w:tr w14:paraId="62660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trPr>
        <w:tc>
          <w:tcPr>
            <w:tcW w:w="735" w:type="dxa"/>
            <w:vMerge w:val="continue"/>
            <w:noWrap w:val="0"/>
            <w:vAlign w:val="center"/>
          </w:tcPr>
          <w:p w14:paraId="7F80040C">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1318" w:type="dxa"/>
            <w:vMerge w:val="continue"/>
            <w:noWrap w:val="0"/>
            <w:vAlign w:val="center"/>
          </w:tcPr>
          <w:p w14:paraId="1EA7C3AD">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2931" w:type="dxa"/>
            <w:noWrap w:val="0"/>
            <w:vAlign w:val="center"/>
          </w:tcPr>
          <w:p w14:paraId="6E40D1A8">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（2）投标方案</w:t>
            </w:r>
          </w:p>
        </w:tc>
        <w:tc>
          <w:tcPr>
            <w:tcW w:w="4691" w:type="dxa"/>
            <w:noWrap w:val="0"/>
            <w:vAlign w:val="center"/>
          </w:tcPr>
          <w:p w14:paraId="260A367A">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每个分包只能有一个方案投标。</w:t>
            </w:r>
          </w:p>
        </w:tc>
      </w:tr>
      <w:tr w14:paraId="4A9E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5" w:type="dxa"/>
            <w:vMerge w:val="continue"/>
            <w:noWrap w:val="0"/>
            <w:vAlign w:val="center"/>
          </w:tcPr>
          <w:p w14:paraId="298505DC">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1318" w:type="dxa"/>
            <w:vMerge w:val="continue"/>
            <w:noWrap w:val="0"/>
            <w:vAlign w:val="center"/>
          </w:tcPr>
          <w:p w14:paraId="3F8E5D57">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2931" w:type="dxa"/>
            <w:noWrap w:val="0"/>
            <w:vAlign w:val="center"/>
          </w:tcPr>
          <w:p w14:paraId="151D96B4">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（3）报价唯一</w:t>
            </w:r>
          </w:p>
        </w:tc>
        <w:tc>
          <w:tcPr>
            <w:tcW w:w="4691" w:type="dxa"/>
            <w:noWrap w:val="0"/>
            <w:vAlign w:val="center"/>
          </w:tcPr>
          <w:p w14:paraId="76BB2BF9">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只能在限价范围内报价，</w:t>
            </w:r>
            <w:r>
              <w:rPr>
                <w:rFonts w:hint="eastAsia" w:ascii="宋体" w:hAnsi="宋体" w:eastAsia="宋体" w:cs="宋体"/>
                <w:color w:val="auto"/>
                <w:szCs w:val="21"/>
                <w:highlight w:val="none"/>
              </w:rPr>
              <w:t>只能有一个有效报价，不得提交选择性报价。</w:t>
            </w:r>
          </w:p>
        </w:tc>
      </w:tr>
      <w:tr w14:paraId="4230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trPr>
        <w:tc>
          <w:tcPr>
            <w:tcW w:w="735" w:type="dxa"/>
            <w:vMerge w:val="continue"/>
            <w:noWrap w:val="0"/>
            <w:vAlign w:val="center"/>
          </w:tcPr>
          <w:p w14:paraId="79074638">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1318" w:type="dxa"/>
            <w:vMerge w:val="continue"/>
            <w:noWrap w:val="0"/>
            <w:vAlign w:val="center"/>
          </w:tcPr>
          <w:p w14:paraId="6F44D52E">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2931" w:type="dxa"/>
            <w:noWrap w:val="0"/>
            <w:vAlign w:val="center"/>
          </w:tcPr>
          <w:p w14:paraId="6C52594A">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(4) 投标文件的有效期</w:t>
            </w:r>
          </w:p>
        </w:tc>
        <w:tc>
          <w:tcPr>
            <w:tcW w:w="4691" w:type="dxa"/>
            <w:noWrap w:val="0"/>
            <w:vAlign w:val="center"/>
          </w:tcPr>
          <w:p w14:paraId="70A45BE0">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完全响应。</w:t>
            </w:r>
          </w:p>
        </w:tc>
      </w:tr>
      <w:tr w14:paraId="07DA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735" w:type="dxa"/>
            <w:vMerge w:val="restart"/>
            <w:noWrap w:val="0"/>
            <w:vAlign w:val="center"/>
          </w:tcPr>
          <w:p w14:paraId="6DDEA34F">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318" w:type="dxa"/>
            <w:vMerge w:val="restart"/>
            <w:noWrap w:val="0"/>
            <w:vAlign w:val="center"/>
          </w:tcPr>
          <w:p w14:paraId="32EE3EB5">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投标文件的完整性</w:t>
            </w:r>
          </w:p>
        </w:tc>
        <w:tc>
          <w:tcPr>
            <w:tcW w:w="2931" w:type="dxa"/>
            <w:noWrap w:val="0"/>
            <w:vAlign w:val="center"/>
          </w:tcPr>
          <w:p w14:paraId="7DCC6431">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（5）投标文件份数</w:t>
            </w:r>
          </w:p>
        </w:tc>
        <w:tc>
          <w:tcPr>
            <w:tcW w:w="4691" w:type="dxa"/>
            <w:noWrap w:val="0"/>
            <w:vAlign w:val="center"/>
          </w:tcPr>
          <w:p w14:paraId="1BE43C41">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网上递交的电子投标文件：一份； </w:t>
            </w:r>
          </w:p>
        </w:tc>
      </w:tr>
      <w:tr w14:paraId="1308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trPr>
        <w:tc>
          <w:tcPr>
            <w:tcW w:w="735" w:type="dxa"/>
            <w:vMerge w:val="continue"/>
            <w:noWrap w:val="0"/>
            <w:vAlign w:val="center"/>
          </w:tcPr>
          <w:p w14:paraId="5DD867CC">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1318" w:type="dxa"/>
            <w:vMerge w:val="continue"/>
            <w:noWrap w:val="0"/>
            <w:vAlign w:val="center"/>
          </w:tcPr>
          <w:p w14:paraId="7BC0F10D">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2931" w:type="dxa"/>
            <w:noWrap w:val="0"/>
            <w:vAlign w:val="center"/>
          </w:tcPr>
          <w:p w14:paraId="7F0C6E29">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（6）投标文件形式内容</w:t>
            </w:r>
          </w:p>
        </w:tc>
        <w:tc>
          <w:tcPr>
            <w:tcW w:w="4691" w:type="dxa"/>
            <w:noWrap w:val="0"/>
            <w:vAlign w:val="center"/>
          </w:tcPr>
          <w:p w14:paraId="7D04EA98">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投标文件内容清晰、齐全无遗漏。</w:t>
            </w:r>
          </w:p>
        </w:tc>
      </w:tr>
      <w:tr w14:paraId="3360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735" w:type="dxa"/>
            <w:vMerge w:val="restart"/>
            <w:noWrap w:val="0"/>
            <w:vAlign w:val="center"/>
          </w:tcPr>
          <w:p w14:paraId="16ABA9A5">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318" w:type="dxa"/>
            <w:vMerge w:val="restart"/>
            <w:noWrap w:val="0"/>
            <w:vAlign w:val="center"/>
          </w:tcPr>
          <w:p w14:paraId="33355584">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投标文件的响应程度</w:t>
            </w:r>
          </w:p>
        </w:tc>
        <w:tc>
          <w:tcPr>
            <w:tcW w:w="2931" w:type="dxa"/>
            <w:noWrap w:val="0"/>
            <w:vAlign w:val="center"/>
          </w:tcPr>
          <w:p w14:paraId="7ECE28CB">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（7）技术参数响应程度</w:t>
            </w:r>
          </w:p>
        </w:tc>
        <w:tc>
          <w:tcPr>
            <w:tcW w:w="4691" w:type="dxa"/>
            <w:noWrap w:val="0"/>
            <w:vAlign w:val="center"/>
          </w:tcPr>
          <w:p w14:paraId="1DC44340">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highlight w:val="none"/>
                <w:lang w:val="en-US" w:eastAsia="zh-CN"/>
              </w:rPr>
            </w:pPr>
            <w:r>
              <w:rPr>
                <w:rFonts w:hint="eastAsia" w:ascii="宋体" w:hAnsi="宋体" w:cs="宋体"/>
                <w:color w:val="auto"/>
                <w:highlight w:val="none"/>
                <w:lang w:val="en-US" w:eastAsia="zh-CN"/>
              </w:rPr>
              <w:t>完全</w:t>
            </w:r>
            <w:r>
              <w:rPr>
                <w:rFonts w:hint="eastAsia" w:ascii="宋体" w:hAnsi="宋体" w:eastAsia="宋体" w:cs="宋体"/>
                <w:color w:val="auto"/>
                <w:highlight w:val="none"/>
              </w:rPr>
              <w:t>响应</w:t>
            </w:r>
            <w:r>
              <w:rPr>
                <w:rFonts w:hint="eastAsia" w:ascii="宋体" w:hAnsi="宋体" w:cs="宋体"/>
                <w:color w:val="auto"/>
                <w:highlight w:val="none"/>
                <w:lang w:val="en-US" w:eastAsia="zh-CN"/>
              </w:rPr>
              <w:t>或优于</w:t>
            </w:r>
            <w:r>
              <w:rPr>
                <w:rFonts w:hint="eastAsia" w:ascii="宋体" w:hAnsi="宋体" w:eastAsia="宋体" w:cs="宋体"/>
                <w:color w:val="auto"/>
                <w:highlight w:val="none"/>
                <w:lang w:val="zh-CN"/>
              </w:rPr>
              <w:t>招标文件要求。</w:t>
            </w:r>
          </w:p>
        </w:tc>
      </w:tr>
      <w:tr w14:paraId="151D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735" w:type="dxa"/>
            <w:vMerge w:val="continue"/>
            <w:noWrap w:val="0"/>
            <w:vAlign w:val="center"/>
          </w:tcPr>
          <w:p w14:paraId="3522BD57">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1318" w:type="dxa"/>
            <w:vMerge w:val="continue"/>
            <w:noWrap w:val="0"/>
            <w:vAlign w:val="center"/>
          </w:tcPr>
          <w:p w14:paraId="29B3C6D8">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rPr>
            </w:pPr>
          </w:p>
        </w:tc>
        <w:tc>
          <w:tcPr>
            <w:tcW w:w="2931" w:type="dxa"/>
            <w:noWrap w:val="0"/>
            <w:vAlign w:val="center"/>
          </w:tcPr>
          <w:p w14:paraId="7D59E45B">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（8）商务条款响应程度（包括不限于业绩、</w:t>
            </w:r>
            <w:r>
              <w:rPr>
                <w:rFonts w:hint="eastAsia" w:ascii="宋体" w:hAnsi="宋体" w:eastAsia="宋体" w:cs="宋体"/>
                <w:color w:val="auto"/>
                <w:szCs w:val="21"/>
                <w:highlight w:val="none"/>
              </w:rPr>
              <w:t>供货</w:t>
            </w:r>
            <w:r>
              <w:rPr>
                <w:rFonts w:hint="eastAsia" w:ascii="宋体" w:hAnsi="宋体" w:eastAsia="宋体" w:cs="宋体"/>
                <w:color w:val="auto"/>
                <w:szCs w:val="21"/>
                <w:highlight w:val="none"/>
                <w:lang w:val="zh-CN"/>
              </w:rPr>
              <w:t>期、售后服务、技术培训等）</w:t>
            </w:r>
          </w:p>
        </w:tc>
        <w:tc>
          <w:tcPr>
            <w:tcW w:w="4691" w:type="dxa"/>
            <w:noWrap w:val="0"/>
            <w:vAlign w:val="center"/>
          </w:tcPr>
          <w:p w14:paraId="2F218664">
            <w:pPr>
              <w:keepNext w:val="0"/>
              <w:keepLines w:val="0"/>
              <w:pageBreakBefore w:val="0"/>
              <w:kinsoku/>
              <w:overflowPunct/>
              <w:topLinePunct w:val="0"/>
              <w:autoSpaceDE/>
              <w:autoSpaceDN/>
              <w:bidi w:val="0"/>
              <w:adjustRightInd/>
              <w:snapToGrid/>
              <w:spacing w:line="500" w:lineRule="exact"/>
              <w:jc w:val="left"/>
              <w:textAlignment w:val="auto"/>
              <w:rPr>
                <w:rFonts w:hint="eastAsia" w:ascii="宋体" w:hAnsi="宋体" w:eastAsia="宋体" w:cs="宋体"/>
                <w:color w:val="auto"/>
                <w:szCs w:val="21"/>
                <w:highlight w:val="none"/>
                <w:lang w:val="zh-CN"/>
              </w:rPr>
            </w:pPr>
            <w:r>
              <w:rPr>
                <w:rFonts w:hint="eastAsia" w:ascii="宋体" w:hAnsi="宋体" w:cs="宋体"/>
                <w:color w:val="auto"/>
                <w:highlight w:val="none"/>
                <w:lang w:val="en-US" w:eastAsia="zh-CN"/>
              </w:rPr>
              <w:t>完全</w:t>
            </w:r>
            <w:r>
              <w:rPr>
                <w:rFonts w:hint="eastAsia" w:ascii="宋体" w:hAnsi="宋体" w:eastAsia="宋体" w:cs="宋体"/>
                <w:color w:val="auto"/>
                <w:highlight w:val="none"/>
              </w:rPr>
              <w:t>响应</w:t>
            </w:r>
            <w:r>
              <w:rPr>
                <w:rFonts w:hint="eastAsia" w:ascii="宋体" w:hAnsi="宋体" w:cs="宋体"/>
                <w:color w:val="auto"/>
                <w:highlight w:val="none"/>
                <w:lang w:val="en-US" w:eastAsia="zh-CN"/>
              </w:rPr>
              <w:t>或优于</w:t>
            </w:r>
            <w:r>
              <w:rPr>
                <w:rFonts w:hint="eastAsia" w:ascii="宋体" w:hAnsi="宋体" w:eastAsia="宋体" w:cs="宋体"/>
                <w:color w:val="auto"/>
                <w:highlight w:val="none"/>
                <w:lang w:val="zh-CN"/>
              </w:rPr>
              <w:t>招标文件要求。</w:t>
            </w:r>
          </w:p>
        </w:tc>
      </w:tr>
    </w:tbl>
    <w:p w14:paraId="431B6F33">
      <w:pPr>
        <w:keepNext w:val="0"/>
        <w:keepLines w:val="0"/>
        <w:pageBreakBefore w:val="0"/>
        <w:kinsoku/>
        <w:overflowPunct/>
        <w:topLinePunct w:val="0"/>
        <w:autoSpaceDE/>
        <w:autoSpaceDN/>
        <w:bidi w:val="0"/>
        <w:adjustRightInd/>
        <w:snapToGrid/>
        <w:spacing w:line="500" w:lineRule="exact"/>
        <w:ind w:right="36" w:rightChars="17" w:firstLine="506" w:firstLineChars="241"/>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4.2资格审查及评分细则中涉及的有关证明材料及相关证书，电子投标文件中须按招标文件要求上传</w:t>
      </w:r>
      <w:r>
        <w:rPr>
          <w:rFonts w:hint="eastAsia" w:ascii="宋体" w:hAnsi="宋体" w:eastAsia="宋体" w:cs="宋体"/>
          <w:b/>
          <w:color w:val="auto"/>
          <w:szCs w:val="21"/>
          <w:highlight w:val="none"/>
        </w:rPr>
        <w:t>扫描件</w:t>
      </w:r>
      <w:r>
        <w:rPr>
          <w:rFonts w:hint="eastAsia" w:ascii="宋体" w:hAnsi="宋体" w:eastAsia="宋体" w:cs="宋体"/>
          <w:color w:val="auto"/>
          <w:szCs w:val="21"/>
          <w:highlight w:val="none"/>
        </w:rPr>
        <w:t>，以供审查。</w:t>
      </w:r>
    </w:p>
    <w:p w14:paraId="4387B2A3">
      <w:pPr>
        <w:keepNext w:val="0"/>
        <w:keepLines w:val="0"/>
        <w:pageBreakBefore w:val="0"/>
        <w:kinsoku/>
        <w:overflowPunct/>
        <w:topLinePunct w:val="0"/>
        <w:autoSpaceDE/>
        <w:autoSpaceDN/>
        <w:bidi w:val="0"/>
        <w:adjustRightInd/>
        <w:snapToGrid/>
        <w:spacing w:line="500" w:lineRule="exact"/>
        <w:ind w:right="36" w:rightChars="17" w:firstLine="506" w:firstLineChars="241"/>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4.3评标委员会判定投标文件的响应性只根据投标文件本身的内容，而不寻求外部的证据，但投标有不真实不正确的内容时除外。</w:t>
      </w:r>
    </w:p>
    <w:p w14:paraId="44D2FA3D">
      <w:pPr>
        <w:keepNext w:val="0"/>
        <w:keepLines w:val="0"/>
        <w:pageBreakBefore w:val="0"/>
        <w:kinsoku/>
        <w:overflowPunct/>
        <w:topLinePunct w:val="0"/>
        <w:autoSpaceDE/>
        <w:autoSpaceDN/>
        <w:bidi w:val="0"/>
        <w:adjustRightInd/>
        <w:snapToGrid/>
        <w:spacing w:line="500" w:lineRule="exact"/>
        <w:ind w:right="36" w:rightChars="17" w:firstLine="506" w:firstLineChars="241"/>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4.4如果投标文件实质上没有响应招标文件的要求，评标委员会将予以拒绝，投标人不得通过修正或撤销不符合要求的偏离或保留，而使其投标成为实质上响应的投标。</w:t>
      </w:r>
    </w:p>
    <w:p w14:paraId="0BCF7B17">
      <w:pPr>
        <w:keepNext w:val="0"/>
        <w:keepLines w:val="0"/>
        <w:pageBreakBefore w:val="0"/>
        <w:kinsoku/>
        <w:overflowPunct/>
        <w:topLinePunct w:val="0"/>
        <w:autoSpaceDE/>
        <w:autoSpaceDN/>
        <w:bidi w:val="0"/>
        <w:adjustRightInd/>
        <w:snapToGrid/>
        <w:spacing w:line="500" w:lineRule="exact"/>
        <w:ind w:right="36" w:rightChars="17"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4.5投标人可在现场20分钟内对评标委员会的评审结论提出质疑，评标委员会根据招标文件及有关规定对投标人的质疑进行复议。</w:t>
      </w:r>
    </w:p>
    <w:p w14:paraId="038A954C">
      <w:pPr>
        <w:keepNext w:val="0"/>
        <w:keepLines w:val="0"/>
        <w:pageBreakBefore w:val="0"/>
        <w:kinsoku/>
        <w:overflowPunct/>
        <w:topLinePunct w:val="0"/>
        <w:autoSpaceDE/>
        <w:autoSpaceDN/>
        <w:bidi w:val="0"/>
        <w:adjustRightInd/>
        <w:snapToGrid/>
        <w:spacing w:line="500" w:lineRule="exact"/>
        <w:ind w:right="36" w:rightChars="17" w:firstLine="525" w:firstLineChars="25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4.6只有通过初审的投标人才能进入下一步程序。</w:t>
      </w:r>
    </w:p>
    <w:p w14:paraId="0ECC2C84">
      <w:pPr>
        <w:keepNext w:val="0"/>
        <w:keepLines w:val="0"/>
        <w:pageBreakBefore w:val="0"/>
        <w:kinsoku/>
        <w:overflowPunct/>
        <w:topLinePunct w:val="0"/>
        <w:autoSpaceDE/>
        <w:autoSpaceDN/>
        <w:bidi w:val="0"/>
        <w:adjustRightInd/>
        <w:snapToGrid/>
        <w:spacing w:line="500" w:lineRule="exact"/>
        <w:ind w:right="36" w:rightChars="17"/>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温馨提示：1.请各投标人自行完善安徽省公共资源交易市场主体库中的单位基本信息，保证信息最新且有效。</w:t>
      </w:r>
    </w:p>
    <w:p w14:paraId="414E14D9">
      <w:pPr>
        <w:keepNext w:val="0"/>
        <w:keepLines w:val="0"/>
        <w:pageBreakBefore w:val="0"/>
        <w:kinsoku/>
        <w:overflowPunct/>
        <w:topLinePunct w:val="0"/>
        <w:autoSpaceDE/>
        <w:autoSpaceDN/>
        <w:bidi w:val="0"/>
        <w:adjustRightInd/>
        <w:snapToGrid/>
        <w:spacing w:line="500" w:lineRule="exact"/>
        <w:ind w:right="36" w:rightChars="17"/>
        <w:jc w:val="left"/>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2.投标文件资格审查资料请精心准备,如评标专家在检验电子投标文件过程中，如果由于投标人自身原因导致评标专家无法查看并检验电子投标文件中以上相关资料的，按无效投标处理。即使投标人将原件携带至现场的，同样按无效投标处理。</w:t>
      </w:r>
    </w:p>
    <w:p w14:paraId="1602B5E0">
      <w:pPr>
        <w:keepNext w:val="0"/>
        <w:keepLines w:val="0"/>
        <w:pageBreakBefore w:val="0"/>
        <w:widowControl w:val="0"/>
        <w:kinsoku/>
        <w:wordWrap/>
        <w:overflowPunct/>
        <w:topLinePunct w:val="0"/>
        <w:autoSpaceDE/>
        <w:autoSpaceDN/>
        <w:bidi w:val="0"/>
        <w:adjustRightInd/>
        <w:snapToGrid/>
        <w:spacing w:before="156" w:beforeLines="50" w:after="156" w:afterLines="50" w:line="500" w:lineRule="exact"/>
        <w:jc w:val="center"/>
        <w:textAlignment w:val="auto"/>
        <w:outlineLvl w:val="1"/>
        <w:rPr>
          <w:rFonts w:hint="eastAsia" w:ascii="宋体"/>
          <w:b/>
          <w:color w:val="auto"/>
          <w:sz w:val="28"/>
          <w:szCs w:val="28"/>
          <w:highlight w:val="none"/>
        </w:rPr>
      </w:pPr>
      <w:bookmarkStart w:id="66" w:name="_Toc14002"/>
      <w:bookmarkStart w:id="67" w:name="_Toc362983803"/>
      <w:bookmarkStart w:id="68" w:name="_Toc58430319"/>
      <w:bookmarkStart w:id="69" w:name="_Toc449028879"/>
      <w:r>
        <w:rPr>
          <w:rFonts w:hint="eastAsia" w:ascii="宋体"/>
          <w:b/>
          <w:color w:val="auto"/>
          <w:sz w:val="28"/>
          <w:szCs w:val="28"/>
          <w:highlight w:val="none"/>
        </w:rPr>
        <w:t>三、投标文件的澄清和补正</w:t>
      </w:r>
      <w:bookmarkEnd w:id="66"/>
      <w:bookmarkEnd w:id="67"/>
      <w:bookmarkEnd w:id="68"/>
      <w:bookmarkEnd w:id="69"/>
    </w:p>
    <w:p w14:paraId="02C99671">
      <w:pPr>
        <w:keepNext w:val="0"/>
        <w:keepLines w:val="0"/>
        <w:pageBreakBefore w:val="0"/>
        <w:widowControl w:val="0"/>
        <w:kinsoku/>
        <w:wordWrap/>
        <w:overflowPunct/>
        <w:topLinePunct w:val="0"/>
        <w:autoSpaceDE/>
        <w:autoSpaceDN/>
        <w:bidi w:val="0"/>
        <w:adjustRightInd/>
        <w:snapToGrid/>
        <w:spacing w:line="500" w:lineRule="exact"/>
        <w:ind w:right="36" w:rightChars="17"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5.1评审阶段，评委可能会要求有关投标人就其投标文件中含义不明确、同类问题表述不一致或者有明显文字和计算错误的内容进行澄清。投标人必须在规定时间内进行回复，</w:t>
      </w:r>
      <w:r>
        <w:rPr>
          <w:rFonts w:hint="eastAsia" w:ascii="宋体" w:hAnsi="宋体" w:cs="宋体"/>
          <w:b/>
          <w:bCs/>
          <w:color w:val="auto"/>
          <w:szCs w:val="21"/>
          <w:highlight w:val="none"/>
          <w:lang w:bidi="ar"/>
        </w:rPr>
        <w:t>如因投标人未参加开标导致开评标过程中无法澄清、说明或补正的，视同投标人放弃该权利。</w:t>
      </w:r>
    </w:p>
    <w:p w14:paraId="6DD91EAE">
      <w:pPr>
        <w:keepNext w:val="0"/>
        <w:keepLines w:val="0"/>
        <w:pageBreakBefore w:val="0"/>
        <w:widowControl w:val="0"/>
        <w:kinsoku/>
        <w:wordWrap/>
        <w:overflowPunct/>
        <w:topLinePunct w:val="0"/>
        <w:autoSpaceDE/>
        <w:autoSpaceDN/>
        <w:bidi w:val="0"/>
        <w:adjustRightInd/>
        <w:snapToGrid/>
        <w:spacing w:line="500" w:lineRule="exact"/>
        <w:ind w:right="36" w:rightChars="17" w:firstLine="525" w:firstLineChars="2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5.2本项目采用远程开标，投标人的澄清、说明或者补正应当在系统进行，但不得超出投标书的范围或者改变投标书的实质性内容。具体操作方法详见服务指南&gt;交易须知&gt;开标大厅远程解密、质疑(异议)及回复以及评标过程中询标流程操作手册。</w:t>
      </w:r>
    </w:p>
    <w:p w14:paraId="372574E5">
      <w:pPr>
        <w:keepNext w:val="0"/>
        <w:keepLines w:val="0"/>
        <w:pageBreakBefore w:val="0"/>
        <w:widowControl w:val="0"/>
        <w:kinsoku/>
        <w:wordWrap/>
        <w:overflowPunct/>
        <w:topLinePunct w:val="0"/>
        <w:autoSpaceDE/>
        <w:autoSpaceDN/>
        <w:bidi w:val="0"/>
        <w:adjustRightInd/>
        <w:snapToGrid/>
        <w:spacing w:line="500" w:lineRule="exact"/>
        <w:ind w:right="36" w:rightChars="17" w:firstLine="525" w:firstLineChars="2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5.3评委会修正错误的原则：</w:t>
      </w:r>
    </w:p>
    <w:p w14:paraId="35389036">
      <w:pPr>
        <w:keepNext w:val="0"/>
        <w:keepLines w:val="0"/>
        <w:pageBreakBefore w:val="0"/>
        <w:widowControl w:val="0"/>
        <w:kinsoku/>
        <w:wordWrap/>
        <w:overflowPunct/>
        <w:topLinePunct w:val="0"/>
        <w:autoSpaceDE/>
        <w:autoSpaceDN/>
        <w:bidi w:val="0"/>
        <w:adjustRightInd/>
        <w:snapToGrid/>
        <w:spacing w:line="500" w:lineRule="exact"/>
        <w:ind w:right="36" w:rightChars="17" w:firstLine="525" w:firstLineChars="2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5.3.1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4486DE1A">
      <w:pPr>
        <w:keepNext w:val="0"/>
        <w:keepLines w:val="0"/>
        <w:pageBreakBefore w:val="0"/>
        <w:widowControl w:val="0"/>
        <w:kinsoku/>
        <w:wordWrap/>
        <w:overflowPunct/>
        <w:topLinePunct w:val="0"/>
        <w:autoSpaceDE/>
        <w:autoSpaceDN/>
        <w:bidi w:val="0"/>
        <w:adjustRightInd/>
        <w:snapToGrid/>
        <w:spacing w:line="500" w:lineRule="exact"/>
        <w:ind w:right="36" w:rightChars="17" w:firstLine="525" w:firstLineChars="25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5.3.2如果单价与数量的乘积和总价不一致，以单价为准，修正总价及开标一览表；当单价小数点有明显的错位时，评委会将以总价为准，并修正其单价；投标的数量与招标的数量不一致时，以招标数量为准。</w:t>
      </w:r>
    </w:p>
    <w:p w14:paraId="4C23F428">
      <w:pPr>
        <w:keepNext w:val="0"/>
        <w:keepLines w:val="0"/>
        <w:pageBreakBefore w:val="0"/>
        <w:widowControl w:val="0"/>
        <w:kinsoku/>
        <w:wordWrap/>
        <w:overflowPunct/>
        <w:topLinePunct w:val="0"/>
        <w:autoSpaceDE/>
        <w:autoSpaceDN/>
        <w:bidi w:val="0"/>
        <w:adjustRightInd/>
        <w:snapToGrid/>
        <w:spacing w:line="500" w:lineRule="exact"/>
        <w:ind w:right="36" w:rightChars="17" w:firstLine="403" w:firstLineChars="192"/>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 5.4评委会将按上述修正错误的方法调整投标文件中的投标报价，调整后的价格应对投标人具有约束力。无论投标人是接受或是拒绝调整后的价格，都应当由法定代表人（或委托代理人）签字予以书面确认。投标人拒绝对投标文件出现的错漏按上述原则进行修正、澄清、说明，评标委员会应当否决其投标。</w:t>
      </w:r>
    </w:p>
    <w:bookmarkEnd w:id="61"/>
    <w:p w14:paraId="6DA1F5B4">
      <w:pPr>
        <w:spacing w:before="156" w:beforeLines="50" w:after="156" w:afterLines="50"/>
        <w:jc w:val="center"/>
        <w:outlineLvl w:val="1"/>
        <w:rPr>
          <w:rFonts w:hint="eastAsia" w:ascii="宋体"/>
          <w:b/>
          <w:color w:val="auto"/>
          <w:sz w:val="28"/>
          <w:szCs w:val="28"/>
          <w:highlight w:val="none"/>
        </w:rPr>
      </w:pPr>
      <w:bookmarkStart w:id="70" w:name="_Toc3630"/>
      <w:bookmarkStart w:id="71" w:name="_Toc58430320"/>
      <w:bookmarkStart w:id="72" w:name="_Toc449028880"/>
      <w:bookmarkStart w:id="73" w:name="_Hlk101517174"/>
      <w:r>
        <w:rPr>
          <w:rFonts w:hint="eastAsia" w:ascii="宋体"/>
          <w:b/>
          <w:color w:val="auto"/>
          <w:sz w:val="28"/>
          <w:szCs w:val="28"/>
          <w:highlight w:val="none"/>
        </w:rPr>
        <w:t>四、比较与评价</w:t>
      </w:r>
      <w:bookmarkEnd w:id="70"/>
      <w:bookmarkEnd w:id="71"/>
      <w:bookmarkEnd w:id="72"/>
    </w:p>
    <w:p w14:paraId="0952BFD5">
      <w:pPr>
        <w:keepNext w:val="0"/>
        <w:keepLines w:val="0"/>
        <w:pageBreakBefore w:val="0"/>
        <w:kinsoku/>
        <w:wordWrap/>
        <w:overflowPunct/>
        <w:topLinePunct w:val="0"/>
        <w:autoSpaceDE/>
        <w:autoSpaceDN/>
        <w:bidi w:val="0"/>
        <w:spacing w:line="500" w:lineRule="exact"/>
        <w:ind w:right="36" w:rightChars="17" w:firstLine="417" w:firstLineChars="198"/>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 6.</w:t>
      </w:r>
      <w:bookmarkStart w:id="74" w:name="_Toc362983805"/>
      <w:r>
        <w:rPr>
          <w:rFonts w:hint="eastAsia" w:ascii="宋体" w:hAnsi="宋体" w:eastAsia="宋体" w:cs="宋体"/>
          <w:b/>
          <w:color w:val="auto"/>
          <w:szCs w:val="21"/>
          <w:highlight w:val="none"/>
        </w:rPr>
        <w:t>详细评审即按招标文件中规定的评标方法和标准，评标委员会将对通过初审的投标文件，进行技术和商务部分评估、综合比较与评价。</w:t>
      </w:r>
    </w:p>
    <w:bookmarkEnd w:id="73"/>
    <w:p w14:paraId="7D00DDCD">
      <w:pPr>
        <w:keepNext w:val="0"/>
        <w:keepLines w:val="0"/>
        <w:pageBreakBefore w:val="0"/>
        <w:kinsoku/>
        <w:wordWrap/>
        <w:overflowPunct/>
        <w:topLinePunct w:val="0"/>
        <w:autoSpaceDE/>
        <w:autoSpaceDN/>
        <w:bidi w:val="0"/>
        <w:adjustRightInd w:val="0"/>
        <w:snapToGrid w:val="0"/>
        <w:spacing w:line="500" w:lineRule="exact"/>
        <w:ind w:firstLine="422" w:firstLineChars="200"/>
        <w:jc w:val="left"/>
        <w:textAlignment w:val="auto"/>
        <w:rPr>
          <w:rFonts w:hint="default" w:ascii="宋体" w:hAnsi="宋体" w:eastAsia="宋体" w:cs="宋体"/>
          <w:b/>
          <w:bCs/>
          <w:color w:val="auto"/>
          <w:szCs w:val="21"/>
          <w:highlight w:val="none"/>
          <w:lang w:val="en-US" w:eastAsia="zh-CN"/>
        </w:rPr>
      </w:pPr>
      <w:r>
        <w:rPr>
          <w:rFonts w:hint="eastAsia" w:ascii="宋体" w:hAnsi="宋体" w:eastAsia="宋体" w:cs="宋体"/>
          <w:b/>
          <w:bCs/>
          <w:color w:val="auto"/>
          <w:szCs w:val="21"/>
          <w:highlight w:val="none"/>
          <w:lang w:val="en-US" w:eastAsia="zh-CN"/>
        </w:rPr>
        <w:t>6.</w:t>
      </w:r>
      <w:r>
        <w:rPr>
          <w:rFonts w:hint="eastAsia" w:ascii="宋体" w:hAnsi="宋体" w:cs="宋体"/>
          <w:b/>
          <w:bCs/>
          <w:color w:val="auto"/>
          <w:szCs w:val="21"/>
          <w:highlight w:val="none"/>
          <w:lang w:val="en-US" w:eastAsia="zh-CN"/>
        </w:rPr>
        <w:t>1</w:t>
      </w:r>
      <w:r>
        <w:rPr>
          <w:rFonts w:hint="eastAsia" w:ascii="宋体" w:hAnsi="宋体" w:eastAsia="宋体" w:cs="宋体"/>
          <w:b/>
          <w:bCs/>
          <w:color w:val="auto"/>
          <w:szCs w:val="21"/>
          <w:highlight w:val="none"/>
          <w:lang w:val="en-US" w:eastAsia="zh-CN"/>
        </w:rPr>
        <w:t>资信标评分细则（</w:t>
      </w:r>
      <w:r>
        <w:rPr>
          <w:rFonts w:hint="eastAsia" w:ascii="宋体" w:hAnsi="宋体" w:cs="宋体"/>
          <w:b/>
          <w:bCs/>
          <w:color w:val="auto"/>
          <w:szCs w:val="21"/>
          <w:highlight w:val="none"/>
          <w:lang w:val="en-US" w:eastAsia="zh-CN"/>
        </w:rPr>
        <w:t>80</w:t>
      </w:r>
      <w:r>
        <w:rPr>
          <w:rFonts w:hint="eastAsia" w:ascii="宋体" w:hAnsi="宋体" w:eastAsia="宋体" w:cs="宋体"/>
          <w:b/>
          <w:bCs/>
          <w:color w:val="auto"/>
          <w:szCs w:val="21"/>
          <w:highlight w:val="none"/>
          <w:lang w:val="en-US" w:eastAsia="zh-CN"/>
        </w:rPr>
        <w:t>分</w:t>
      </w:r>
      <w:r>
        <w:rPr>
          <w:rFonts w:hint="eastAsia" w:ascii="宋体" w:hAnsi="宋体" w:cs="宋体"/>
          <w:b/>
          <w:bCs/>
          <w:color w:val="auto"/>
          <w:szCs w:val="21"/>
          <w:highlight w:val="none"/>
          <w:lang w:val="en-US" w:eastAsia="zh-CN"/>
        </w:rPr>
        <w:t>）</w:t>
      </w:r>
    </w:p>
    <w:tbl>
      <w:tblPr>
        <w:tblStyle w:val="35"/>
        <w:tblW w:w="10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245"/>
        <w:gridCol w:w="900"/>
        <w:gridCol w:w="7350"/>
      </w:tblGrid>
      <w:tr w14:paraId="5260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48EED9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245" w:type="dxa"/>
            <w:noWrap w:val="0"/>
            <w:vAlign w:val="center"/>
          </w:tcPr>
          <w:p w14:paraId="17F80AF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评分因素</w:t>
            </w:r>
          </w:p>
        </w:tc>
        <w:tc>
          <w:tcPr>
            <w:tcW w:w="900" w:type="dxa"/>
            <w:noWrap w:val="0"/>
            <w:vAlign w:val="center"/>
          </w:tcPr>
          <w:p w14:paraId="43BEF5A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7350" w:type="dxa"/>
            <w:noWrap w:val="0"/>
            <w:vAlign w:val="center"/>
          </w:tcPr>
          <w:p w14:paraId="3701195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评审细则</w:t>
            </w:r>
          </w:p>
        </w:tc>
      </w:tr>
      <w:tr w14:paraId="094C3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7EEAEB3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w:t>
            </w:r>
          </w:p>
        </w:tc>
        <w:tc>
          <w:tcPr>
            <w:tcW w:w="1245" w:type="dxa"/>
            <w:noWrap w:val="0"/>
            <w:vAlign w:val="center"/>
          </w:tcPr>
          <w:p w14:paraId="733AF3E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768园区规划方案</w:t>
            </w:r>
          </w:p>
        </w:tc>
        <w:tc>
          <w:tcPr>
            <w:tcW w:w="900" w:type="dxa"/>
            <w:noWrap w:val="0"/>
            <w:vAlign w:val="center"/>
          </w:tcPr>
          <w:p w14:paraId="25A2F0DD">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val="en-US" w:eastAsia="zh-CN"/>
              </w:rPr>
              <w:t>分</w:t>
            </w:r>
          </w:p>
        </w:tc>
        <w:tc>
          <w:tcPr>
            <w:tcW w:w="7350" w:type="dxa"/>
            <w:noWrap w:val="0"/>
            <w:vAlign w:val="center"/>
          </w:tcPr>
          <w:p w14:paraId="55F42821">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宋体" w:hAnsi="宋体" w:eastAsia="宋体" w:cs="宋体"/>
                <w:b/>
                <w:bCs/>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根据本项目的服务内容及768园区的业态分布，提供768</w:t>
            </w:r>
            <w:r>
              <w:rPr>
                <w:rFonts w:hint="eastAsia" w:ascii="宋体" w:hAnsi="宋体" w:cs="宋体"/>
                <w:color w:val="auto"/>
                <w:sz w:val="21"/>
                <w:szCs w:val="21"/>
                <w:highlight w:val="none"/>
                <w:lang w:val="en-US" w:eastAsia="zh-CN"/>
              </w:rPr>
              <w:t>园区</w:t>
            </w:r>
            <w:r>
              <w:rPr>
                <w:rFonts w:hint="eastAsia" w:ascii="宋体" w:hAnsi="宋体" w:eastAsia="宋体" w:cs="宋体"/>
                <w:color w:val="auto"/>
                <w:sz w:val="21"/>
                <w:szCs w:val="21"/>
                <w:highlight w:val="none"/>
                <w:lang w:val="en-US" w:eastAsia="zh-CN"/>
              </w:rPr>
              <w:t>规划方案，包括不但限于</w:t>
            </w:r>
            <w:r>
              <w:rPr>
                <w:rFonts w:hint="default" w:ascii="Calibri" w:hAnsi="Calibri" w:eastAsia="宋体" w:cs="Calibri"/>
                <w:color w:val="auto"/>
                <w:sz w:val="21"/>
                <w:szCs w:val="21"/>
                <w:highlight w:val="none"/>
                <w:lang w:val="en-US" w:eastAsia="zh-CN"/>
              </w:rPr>
              <w:t>①</w:t>
            </w:r>
            <w:r>
              <w:rPr>
                <w:rFonts w:hint="eastAsia" w:ascii="宋体" w:hAnsi="宋体" w:eastAsia="宋体" w:cs="宋体"/>
                <w:color w:val="auto"/>
                <w:sz w:val="21"/>
                <w:szCs w:val="21"/>
                <w:highlight w:val="none"/>
                <w:lang w:val="en-US" w:eastAsia="zh-CN"/>
              </w:rPr>
              <w:t>项目背景、现有资源、历史文化底蕴的理解</w:t>
            </w:r>
            <w:r>
              <w:rPr>
                <w:rFonts w:hint="eastAsia" w:ascii="宋体" w:hAnsi="宋体" w:cs="宋体"/>
                <w:color w:val="auto"/>
                <w:sz w:val="21"/>
                <w:szCs w:val="21"/>
                <w:highlight w:val="none"/>
                <w:lang w:val="en-US" w:eastAsia="zh-CN"/>
              </w:rPr>
              <w:t>；</w:t>
            </w:r>
            <w:r>
              <w:rPr>
                <w:rFonts w:hint="default" w:ascii="Calibri" w:hAnsi="Calibri" w:cs="Calibri"/>
                <w:color w:val="auto"/>
                <w:sz w:val="21"/>
                <w:szCs w:val="21"/>
                <w:highlight w:val="none"/>
                <w:lang w:val="en-US" w:eastAsia="zh-CN"/>
              </w:rPr>
              <w:t>②</w:t>
            </w:r>
            <w:r>
              <w:rPr>
                <w:rFonts w:hint="eastAsia" w:ascii="宋体" w:hAnsi="宋体" w:cs="宋体"/>
                <w:color w:val="auto"/>
                <w:sz w:val="21"/>
                <w:szCs w:val="21"/>
                <w:highlight w:val="none"/>
                <w:lang w:val="en-US" w:eastAsia="zh-CN"/>
              </w:rPr>
              <w:t>宏观与市场分析；</w:t>
            </w:r>
            <w:r>
              <w:rPr>
                <w:rFonts w:hint="default" w:ascii="Calibri" w:hAnsi="Calibri" w:cs="Calibri"/>
                <w:color w:val="auto"/>
                <w:sz w:val="21"/>
                <w:szCs w:val="21"/>
                <w:highlight w:val="none"/>
                <w:lang w:val="en-US" w:eastAsia="zh-CN"/>
              </w:rPr>
              <w:t>③</w:t>
            </w:r>
            <w:r>
              <w:rPr>
                <w:rFonts w:hint="eastAsia" w:ascii="宋体" w:hAnsi="宋体" w:cs="宋体"/>
                <w:color w:val="auto"/>
                <w:sz w:val="21"/>
                <w:szCs w:val="21"/>
                <w:highlight w:val="none"/>
                <w:lang w:val="en-US" w:eastAsia="zh-CN"/>
              </w:rPr>
              <w:t>总体定位与愿景；</w:t>
            </w:r>
            <w:r>
              <w:rPr>
                <w:rFonts w:hint="eastAsia" w:ascii="宋体" w:hAnsi="宋体" w:eastAsia="宋体" w:cs="宋体"/>
                <w:color w:val="auto"/>
                <w:sz w:val="21"/>
                <w:szCs w:val="21"/>
                <w:highlight w:val="none"/>
                <w:lang w:val="en-US" w:eastAsia="zh-CN"/>
              </w:rPr>
              <w:t>④</w:t>
            </w:r>
            <w:r>
              <w:rPr>
                <w:rFonts w:hint="eastAsia" w:ascii="宋体" w:hAnsi="宋体" w:cs="宋体"/>
                <w:color w:val="auto"/>
                <w:sz w:val="21"/>
                <w:szCs w:val="21"/>
                <w:highlight w:val="none"/>
                <w:lang w:val="en-US" w:eastAsia="zh-CN"/>
              </w:rPr>
              <w:t>业态组合规划，提供规划平面图、初步高清彩色效果图及整体鸟瞰图；</w:t>
            </w:r>
            <w:r>
              <w:rPr>
                <w:rFonts w:hint="eastAsia" w:ascii="宋体" w:hAnsi="宋体" w:eastAsia="宋体" w:cs="宋体"/>
                <w:color w:val="auto"/>
                <w:sz w:val="21"/>
                <w:szCs w:val="21"/>
                <w:highlight w:val="none"/>
                <w:lang w:val="en-US" w:eastAsia="zh-CN"/>
              </w:rPr>
              <w:t>⑤</w:t>
            </w:r>
            <w:r>
              <w:rPr>
                <w:rFonts w:hint="eastAsia" w:ascii="宋体" w:hAnsi="宋体" w:cs="宋体"/>
                <w:color w:val="auto"/>
                <w:sz w:val="21"/>
                <w:szCs w:val="21"/>
                <w:highlight w:val="none"/>
                <w:lang w:val="en-US" w:eastAsia="zh-CN"/>
              </w:rPr>
              <w:t>招商策略与商业计划书；</w:t>
            </w:r>
            <w:r>
              <w:rPr>
                <w:rFonts w:hint="eastAsia" w:ascii="宋体" w:hAnsi="宋体" w:eastAsia="宋体" w:cs="宋体"/>
                <w:color w:val="auto"/>
                <w:sz w:val="21"/>
                <w:szCs w:val="21"/>
                <w:highlight w:val="none"/>
                <w:lang w:val="en-US" w:eastAsia="zh-CN"/>
              </w:rPr>
              <w:t>⑥</w:t>
            </w:r>
            <w:r>
              <w:rPr>
                <w:rFonts w:hint="eastAsia" w:ascii="宋体" w:hAnsi="宋体" w:cs="宋体"/>
                <w:color w:val="auto"/>
                <w:sz w:val="21"/>
                <w:szCs w:val="21"/>
                <w:highlight w:val="none"/>
                <w:lang w:val="en-US" w:eastAsia="zh-CN"/>
              </w:rPr>
              <w:t>空间规划与改造提升建议；</w:t>
            </w:r>
            <w:r>
              <w:rPr>
                <w:rFonts w:hint="eastAsia" w:ascii="宋体" w:hAnsi="宋体" w:eastAsia="宋体" w:cs="宋体"/>
                <w:color w:val="auto"/>
                <w:sz w:val="21"/>
                <w:szCs w:val="21"/>
                <w:highlight w:val="none"/>
                <w:lang w:val="en-US" w:eastAsia="zh-CN"/>
              </w:rPr>
              <w:t>⑦实施计划书；⑧项目章程</w:t>
            </w:r>
            <w:r>
              <w:rPr>
                <w:rFonts w:hint="eastAsia" w:ascii="宋体" w:hAnsi="宋体" w:cs="宋体"/>
                <w:color w:val="auto"/>
                <w:sz w:val="21"/>
                <w:szCs w:val="21"/>
                <w:highlight w:val="none"/>
                <w:lang w:val="en-US" w:eastAsia="zh-CN"/>
              </w:rPr>
              <w:t>等内容。所提供方案内容</w:t>
            </w:r>
            <w:r>
              <w:rPr>
                <w:rFonts w:hint="eastAsia" w:ascii="宋体" w:hAnsi="宋体" w:eastAsia="宋体" w:cs="宋体"/>
                <w:color w:val="auto"/>
                <w:sz w:val="21"/>
                <w:szCs w:val="21"/>
                <w:highlight w:val="none"/>
                <w:lang w:val="en-US" w:eastAsia="zh-CN"/>
              </w:rPr>
              <w:t>全面合理、表述简明、逻辑清晰、含标准化流程图</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反映空间结构和效果，总体美观协调</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措施科学可行，契合项目</w:t>
            </w:r>
            <w:r>
              <w:rPr>
                <w:rFonts w:hint="eastAsia" w:ascii="宋体" w:hAnsi="宋体" w:cs="宋体"/>
                <w:color w:val="auto"/>
                <w:sz w:val="21"/>
                <w:szCs w:val="21"/>
                <w:highlight w:val="none"/>
                <w:lang w:val="en-US" w:eastAsia="zh-CN"/>
              </w:rPr>
              <w:t>。评标委员会根据所提供内容进行综合评审，优秀得30分，良好得27分，一般得24分，合格得21分，不合格或未提供的不得分。</w:t>
            </w:r>
          </w:p>
        </w:tc>
      </w:tr>
      <w:tr w14:paraId="7B5C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4B98D63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2</w:t>
            </w:r>
          </w:p>
        </w:tc>
        <w:tc>
          <w:tcPr>
            <w:tcW w:w="1245" w:type="dxa"/>
            <w:noWrap w:val="0"/>
            <w:vAlign w:val="center"/>
          </w:tcPr>
          <w:p w14:paraId="6FF630CF">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附属205亩用地</w:t>
            </w:r>
            <w:r>
              <w:rPr>
                <w:rFonts w:hint="eastAsia" w:ascii="宋体" w:hAnsi="宋体" w:cs="宋体"/>
                <w:b w:val="0"/>
                <w:bCs w:val="0"/>
                <w:color w:val="auto"/>
                <w:sz w:val="21"/>
                <w:szCs w:val="21"/>
                <w:highlight w:val="none"/>
                <w:lang w:val="en-US" w:eastAsia="zh-CN"/>
              </w:rPr>
              <w:t>方案</w:t>
            </w:r>
          </w:p>
        </w:tc>
        <w:tc>
          <w:tcPr>
            <w:tcW w:w="900" w:type="dxa"/>
            <w:noWrap w:val="0"/>
            <w:vAlign w:val="center"/>
          </w:tcPr>
          <w:p w14:paraId="27DD234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w:t>
            </w:r>
          </w:p>
        </w:tc>
        <w:tc>
          <w:tcPr>
            <w:tcW w:w="7350" w:type="dxa"/>
            <w:noWrap w:val="0"/>
            <w:vAlign w:val="center"/>
          </w:tcPr>
          <w:p w14:paraId="0BAF063E">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lang w:val="en-US" w:eastAsia="zh-CN"/>
              </w:rPr>
              <w:t>根据本项目的服务内容及205亩配套用地的业态分布，提供205亩配套用地规划方案，包括不但限于①商业计划书②实施计划书③项目章程等内容</w:t>
            </w:r>
            <w:r>
              <w:rPr>
                <w:rFonts w:hint="eastAsia" w:ascii="宋体" w:hAnsi="宋体" w:cs="宋体"/>
                <w:color w:val="auto"/>
                <w:sz w:val="21"/>
                <w:szCs w:val="21"/>
                <w:highlight w:val="none"/>
                <w:lang w:val="en-US" w:eastAsia="zh-CN"/>
              </w:rPr>
              <w:t>。所提供方案内容</w:t>
            </w:r>
            <w:r>
              <w:rPr>
                <w:rFonts w:hint="eastAsia" w:ascii="宋体" w:hAnsi="宋体" w:eastAsia="宋体" w:cs="宋体"/>
                <w:color w:val="auto"/>
                <w:sz w:val="21"/>
                <w:szCs w:val="21"/>
                <w:highlight w:val="none"/>
                <w:lang w:val="en-US" w:eastAsia="zh-CN"/>
              </w:rPr>
              <w:t>全面合理、表述简明、逻辑清晰、含标准化流程图</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总体美观协调</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措施科学可行，契合项目</w:t>
            </w:r>
            <w:r>
              <w:rPr>
                <w:rFonts w:hint="eastAsia" w:ascii="宋体" w:hAnsi="宋体" w:cs="宋体"/>
                <w:color w:val="auto"/>
                <w:sz w:val="21"/>
                <w:szCs w:val="21"/>
                <w:highlight w:val="none"/>
                <w:lang w:val="en-US" w:eastAsia="zh-CN"/>
              </w:rPr>
              <w:t>。评标委员会根据所提供内容进行综合评审，优秀得10分，良好得9分，一般得8分，合格得7分，不合格或未提供的不得分。</w:t>
            </w:r>
          </w:p>
        </w:tc>
      </w:tr>
      <w:tr w14:paraId="27F1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058ACB70">
            <w:pPr>
              <w:pStyle w:val="17"/>
              <w:keepNext w:val="0"/>
              <w:keepLines w:val="0"/>
              <w:pageBreakBefore w:val="0"/>
              <w:widowControl w:val="0"/>
              <w:kinsoku/>
              <w:wordWrap/>
              <w:overflowPunct/>
              <w:topLinePunct w:val="0"/>
              <w:autoSpaceDE/>
              <w:autoSpaceDN/>
              <w:bidi w:val="0"/>
              <w:adjustRightInd/>
              <w:snapToGrid/>
              <w:spacing w:after="0" w:afterLines="0" w:line="50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245" w:type="dxa"/>
            <w:noWrap w:val="0"/>
            <w:vAlign w:val="center"/>
          </w:tcPr>
          <w:p w14:paraId="45B2199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命名方案</w:t>
            </w:r>
          </w:p>
        </w:tc>
        <w:tc>
          <w:tcPr>
            <w:tcW w:w="900" w:type="dxa"/>
            <w:noWrap w:val="0"/>
            <w:vAlign w:val="center"/>
          </w:tcPr>
          <w:p w14:paraId="73D16BF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5分</w:t>
            </w:r>
          </w:p>
        </w:tc>
        <w:tc>
          <w:tcPr>
            <w:tcW w:w="7350" w:type="dxa"/>
            <w:noWrap w:val="0"/>
            <w:vAlign w:val="center"/>
          </w:tcPr>
          <w:p w14:paraId="5AE8EE12">
            <w:pPr>
              <w:keepNext w:val="0"/>
              <w:keepLines w:val="0"/>
              <w:pageBreakBefore w:val="0"/>
              <w:kinsoku/>
              <w:wordWrap/>
              <w:overflowPunct/>
              <w:topLinePunct w:val="0"/>
              <w:autoSpaceDE/>
              <w:autoSpaceDN/>
              <w:bidi w:val="0"/>
              <w:adjustRightInd/>
              <w:snapToGrid/>
              <w:spacing w:line="50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本项目的服务内容，并结合投标人的规划、经营等内容，提交命名方案（不限于一组），方案内容包括但不限于主名称、辅助名称、名称精准匹配定位、与核心运营内容的关联性、名称的创意说明等内容。评标委员会根据所提供内容进行综合评审，优秀得5分，良好得4.5分，一般得4分，合格得3.5分，不合格或未提供的不得分。</w:t>
            </w:r>
          </w:p>
        </w:tc>
      </w:tr>
      <w:tr w14:paraId="4907F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3313DD7F">
            <w:pPr>
              <w:pStyle w:val="17"/>
              <w:keepNext w:val="0"/>
              <w:keepLines w:val="0"/>
              <w:pageBreakBefore w:val="0"/>
              <w:widowControl w:val="0"/>
              <w:kinsoku/>
              <w:wordWrap/>
              <w:overflowPunct/>
              <w:topLinePunct w:val="0"/>
              <w:autoSpaceDE/>
              <w:autoSpaceDN/>
              <w:bidi w:val="0"/>
              <w:adjustRightInd/>
              <w:snapToGrid/>
              <w:spacing w:after="0" w:afterLines="0"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245" w:type="dxa"/>
            <w:noWrap w:val="0"/>
            <w:vAlign w:val="center"/>
          </w:tcPr>
          <w:p w14:paraId="6D52684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运营保障方案</w:t>
            </w:r>
          </w:p>
        </w:tc>
        <w:tc>
          <w:tcPr>
            <w:tcW w:w="900" w:type="dxa"/>
            <w:noWrap w:val="0"/>
            <w:vAlign w:val="center"/>
          </w:tcPr>
          <w:p w14:paraId="68E0E21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15</w:t>
            </w:r>
            <w:r>
              <w:rPr>
                <w:rFonts w:hint="eastAsia" w:ascii="宋体" w:hAnsi="宋体" w:eastAsia="宋体" w:cs="宋体"/>
                <w:b w:val="0"/>
                <w:bCs w:val="0"/>
                <w:color w:val="auto"/>
                <w:sz w:val="21"/>
                <w:szCs w:val="21"/>
                <w:highlight w:val="none"/>
                <w:lang w:val="en-US" w:eastAsia="zh-CN"/>
              </w:rPr>
              <w:t>分</w:t>
            </w:r>
          </w:p>
        </w:tc>
        <w:tc>
          <w:tcPr>
            <w:tcW w:w="7350" w:type="dxa"/>
            <w:noWrap w:val="0"/>
            <w:vAlign w:val="center"/>
          </w:tcPr>
          <w:p w14:paraId="35102F1C">
            <w:pPr>
              <w:keepNext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本项目的服务内容，并结合投标人的规划、经营等内容，提交运营保障方案，包括但不限于标准化运营管理体系、安全生产管理体系、服务响应与投诉处理机制、沟通协调机制、运营资金保障、技术系统保障、设施设备维护保障、文化活动与品牌输出保障等内容，方案清晰，运营重点明确。评标委员会根据所提供内容进行综合评审，优秀得15分，良好得13.5分，一般得12分，合格得10.5分，不合格或未提供的不得分。</w:t>
            </w:r>
          </w:p>
        </w:tc>
      </w:tr>
      <w:tr w14:paraId="62DF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44A99721">
            <w:pPr>
              <w:pStyle w:val="17"/>
              <w:keepNext w:val="0"/>
              <w:keepLines w:val="0"/>
              <w:pageBreakBefore w:val="0"/>
              <w:widowControl w:val="0"/>
              <w:kinsoku/>
              <w:wordWrap/>
              <w:overflowPunct/>
              <w:topLinePunct w:val="0"/>
              <w:autoSpaceDE/>
              <w:autoSpaceDN/>
              <w:bidi w:val="0"/>
              <w:adjustRightInd/>
              <w:snapToGrid/>
              <w:spacing w:after="0" w:afterLines="0"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245" w:type="dxa"/>
            <w:noWrap w:val="0"/>
            <w:vAlign w:val="center"/>
          </w:tcPr>
          <w:p w14:paraId="6ECF2B8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应急管理方案</w:t>
            </w:r>
          </w:p>
        </w:tc>
        <w:tc>
          <w:tcPr>
            <w:tcW w:w="900" w:type="dxa"/>
            <w:noWrap w:val="0"/>
            <w:vAlign w:val="center"/>
          </w:tcPr>
          <w:p w14:paraId="4F9976D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p>
        </w:tc>
        <w:tc>
          <w:tcPr>
            <w:tcW w:w="7350" w:type="dxa"/>
            <w:noWrap w:val="0"/>
            <w:vAlign w:val="center"/>
          </w:tcPr>
          <w:p w14:paraId="5AC60FE2">
            <w:pPr>
              <w:keepNext w:val="0"/>
              <w:keepLines/>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根据本项目的服务内容，并结合投标人的规划、经营等内容，提交应急管理方案，包括但不限于应急管理组织体系、舆情处理与维稳、预警与预防机制、应急处置保障措施、应急响应时效、应急演练方案等内容。评标委员会根据所提供内容进行综合评审，优秀得10分，良好得9分，一般得8分，合格得7分，不合格或未提供的不得分。</w:t>
            </w:r>
          </w:p>
        </w:tc>
      </w:tr>
      <w:tr w14:paraId="776A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97" w:type="dxa"/>
            <w:noWrap w:val="0"/>
            <w:vAlign w:val="center"/>
          </w:tcPr>
          <w:p w14:paraId="20295EF7">
            <w:pPr>
              <w:pStyle w:val="17"/>
              <w:keepNext w:val="0"/>
              <w:keepLines w:val="0"/>
              <w:pageBreakBefore w:val="0"/>
              <w:widowControl w:val="0"/>
              <w:kinsoku/>
              <w:wordWrap/>
              <w:overflowPunct/>
              <w:topLinePunct w:val="0"/>
              <w:autoSpaceDE/>
              <w:autoSpaceDN/>
              <w:bidi w:val="0"/>
              <w:adjustRightInd/>
              <w:snapToGrid/>
              <w:spacing w:after="0" w:afterLines="0" w:line="50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1245" w:type="dxa"/>
            <w:noWrap w:val="0"/>
            <w:vAlign w:val="center"/>
          </w:tcPr>
          <w:p w14:paraId="02933AE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团队与资金管理方案</w:t>
            </w:r>
          </w:p>
        </w:tc>
        <w:tc>
          <w:tcPr>
            <w:tcW w:w="900" w:type="dxa"/>
            <w:noWrap w:val="0"/>
            <w:vAlign w:val="center"/>
          </w:tcPr>
          <w:p w14:paraId="317D415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p>
        </w:tc>
        <w:tc>
          <w:tcPr>
            <w:tcW w:w="7350" w:type="dxa"/>
            <w:noWrap w:val="0"/>
            <w:vAlign w:val="center"/>
          </w:tcPr>
          <w:p w14:paraId="21CB912F">
            <w:pPr>
              <w:keepNext w:val="0"/>
              <w:pageBreakBefore w:val="0"/>
              <w:numPr>
                <w:ilvl w:val="0"/>
                <w:numId w:val="0"/>
              </w:numPr>
              <w:kinsoku/>
              <w:wordWrap/>
              <w:overflowPunct/>
              <w:topLinePunct w:val="0"/>
              <w:autoSpaceDE/>
              <w:autoSpaceDN/>
              <w:bidi w:val="0"/>
              <w:adjustRightInd/>
              <w:snapToGrid/>
              <w:spacing w:line="500" w:lineRule="exact"/>
              <w:ind w:leftChars="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针对本项目提交团队与资金管理方案，包括但不限于项目团队的组织架构体系、人力资源管理体系、资金使用计划与管控措施、风险备用金与保险机制等内容。评标委员会根据所提供内容进行综合评审，优秀得10分，良好得9分，一般得8分，合格得7分，不合格或未提供的不得分。</w:t>
            </w:r>
          </w:p>
        </w:tc>
      </w:tr>
      <w:tr w14:paraId="0518B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0192" w:type="dxa"/>
            <w:gridSpan w:val="4"/>
            <w:noWrap w:val="0"/>
            <w:vAlign w:val="center"/>
          </w:tcPr>
          <w:p w14:paraId="6A3894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注：1.该项由专家评委评审打分，取所有评委评分中分别去掉一个最高和最低评分后的平均值为最终得分，保留两位小数点，第三位四舍五入。</w:t>
            </w:r>
          </w:p>
          <w:p w14:paraId="58BEBF9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该项目技术标为暗标横向评审，暗标横向评审技术标不设目录，评审前系统自动对所有投标人的技术标及各评分点分别进行编号；投标企业制作的技术标部分不得出现可能泄露投标人单位及个人信息的文字、图片、图表（技术标部分不得签章）等有关表述，否则该评分点作零分处理。</w:t>
            </w:r>
          </w:p>
          <w:p w14:paraId="30A72D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2.1 技术标暗标不设空白页。技术标投标文件封面不出现投标人、法定代表人签章内容，格式以系统设置为准。正文必须按招标文件要求的顺序进行排版；</w:t>
            </w:r>
          </w:p>
          <w:p w14:paraId="5AA4E43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2.2技术标暗标正文文字排版统一使用中文宋体字体，文字为白底黑色，图表采用黑白灰色（不得采用彩色）；文字部分不得插入任何图表（可以用“见附图x”或“见附表x”说明）。所有附图、附表必须依次附在各章对应评分点内容的文末，计算在页数要求内。</w:t>
            </w:r>
          </w:p>
          <w:p w14:paraId="1CE57DD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2.3 正文采用宋体四号常规字，字符间距设为标准值，行距为单倍行距，不勾选“如果定义了文档网格，则对齐到网格”；正文统一设为左对齐，章、节标题、及段落首行缩进2个汉字，段落前后不设空行；正文版面不加页眉、页脚、边框、下划线等标志，正文页码用小五号阿拉伯数字，居中。单位符号中有上下角标要求的，必须在相应位置做角标；</w:t>
            </w:r>
          </w:p>
          <w:p w14:paraId="7335A29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3.技术标暗标文件的格式、制作不符合上述要求的，每一分项扣0.2分。技术标实行暗标的，对技术标（暗标）部分不予澄清、说明或者补正。</w:t>
            </w:r>
          </w:p>
          <w:p w14:paraId="7BCD2D4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sz w:val="21"/>
                <w:szCs w:val="21"/>
                <w:highlight w:val="none"/>
              </w:rPr>
              <w:t>暗标评审仅限评标环节。评标结束后，如出现质疑、投诉、举报等，经认定评标错误的，由评标委员会纠正错误或重新评分，此时不再受暗标评审约束，但在纠正错误或重新评分中发现投标企业技术标出现可能泄露投标人单位及个人信息的文字、图</w:t>
            </w:r>
            <w:bookmarkStart w:id="106" w:name="_GoBack"/>
            <w:bookmarkEnd w:id="106"/>
            <w:r>
              <w:rPr>
                <w:rFonts w:hint="eastAsia" w:ascii="宋体" w:hAnsi="宋体" w:eastAsia="宋体" w:cs="宋体"/>
                <w:color w:val="auto"/>
                <w:sz w:val="21"/>
                <w:szCs w:val="21"/>
                <w:highlight w:val="none"/>
              </w:rPr>
              <w:t>片、图表（技术标不得签章）等有关表述的，对应技术标评分点仍按零分处理。</w:t>
            </w:r>
          </w:p>
          <w:p w14:paraId="2195AAED">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bCs/>
                <w:color w:val="auto"/>
                <w:sz w:val="21"/>
                <w:szCs w:val="21"/>
                <w:highlight w:val="none"/>
              </w:rPr>
            </w:pPr>
            <w:r>
              <w:rPr>
                <w:rFonts w:hint="eastAsia" w:ascii="宋体" w:hAnsi="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sz w:val="21"/>
                <w:szCs w:val="21"/>
                <w:highlight w:val="none"/>
              </w:rPr>
              <w:t>如所有投标企业技术标都出现能反映企业信息等相关内容的，该项目流标。</w:t>
            </w:r>
          </w:p>
        </w:tc>
      </w:tr>
    </w:tbl>
    <w:p w14:paraId="04A1FC28">
      <w:pPr>
        <w:keepNext w:val="0"/>
        <w:keepLines w:val="0"/>
        <w:pageBreakBefore w:val="0"/>
        <w:numPr>
          <w:ilvl w:val="0"/>
          <w:numId w:val="0"/>
        </w:numPr>
        <w:kinsoku/>
        <w:wordWrap/>
        <w:overflowPunct/>
        <w:topLinePunct w:val="0"/>
        <w:autoSpaceDE/>
        <w:autoSpaceDN/>
        <w:bidi w:val="0"/>
        <w:adjustRightInd w:val="0"/>
        <w:snapToGrid w:val="0"/>
        <w:spacing w:line="500" w:lineRule="exact"/>
        <w:jc w:val="left"/>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6.</w:t>
      </w:r>
      <w:r>
        <w:rPr>
          <w:rFonts w:hint="eastAsia" w:ascii="宋体" w:hAnsi="宋体" w:cs="宋体"/>
          <w:b/>
          <w:bCs/>
          <w:color w:val="auto"/>
          <w:szCs w:val="21"/>
          <w:highlight w:val="none"/>
          <w:lang w:val="en-US" w:eastAsia="zh-CN"/>
        </w:rPr>
        <w:t>2</w:t>
      </w:r>
      <w:r>
        <w:rPr>
          <w:rFonts w:hint="eastAsia" w:ascii="宋体" w:hAnsi="宋体" w:eastAsia="宋体" w:cs="宋体"/>
          <w:b/>
          <w:bCs/>
          <w:color w:val="auto"/>
          <w:szCs w:val="21"/>
          <w:highlight w:val="none"/>
        </w:rPr>
        <w:t>商务标评审细则（</w:t>
      </w:r>
      <w:r>
        <w:rPr>
          <w:rFonts w:hint="eastAsia" w:ascii="宋体" w:hAnsi="宋体" w:cs="宋体"/>
          <w:b/>
          <w:bCs/>
          <w:color w:val="auto"/>
          <w:szCs w:val="21"/>
          <w:highlight w:val="none"/>
          <w:lang w:val="en-US" w:eastAsia="zh-CN"/>
        </w:rPr>
        <w:t>20</w:t>
      </w:r>
      <w:r>
        <w:rPr>
          <w:rFonts w:hint="eastAsia" w:ascii="宋体" w:hAnsi="宋体" w:eastAsia="宋体" w:cs="宋体"/>
          <w:b/>
          <w:bCs/>
          <w:color w:val="auto"/>
          <w:szCs w:val="21"/>
          <w:highlight w:val="none"/>
        </w:rPr>
        <w:t>分）</w:t>
      </w:r>
    </w:p>
    <w:tbl>
      <w:tblPr>
        <w:tblStyle w:val="35"/>
        <w:tblW w:w="9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584"/>
      </w:tblGrid>
      <w:tr w14:paraId="38FC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5" w:type="dxa"/>
            <w:noWrap w:val="0"/>
            <w:vAlign w:val="center"/>
          </w:tcPr>
          <w:p w14:paraId="6C363217">
            <w:pPr>
              <w:keepNext w:val="0"/>
              <w:keepLines w:val="0"/>
              <w:pageBreakBefore w:val="0"/>
              <w:kinsoku/>
              <w:wordWrap/>
              <w:overflowPunct/>
              <w:topLinePunct w:val="0"/>
              <w:autoSpaceDE/>
              <w:autoSpaceDN/>
              <w:bidi w:val="0"/>
              <w:spacing w:line="500" w:lineRule="exact"/>
              <w:jc w:val="center"/>
              <w:textAlignment w:val="auto"/>
              <w:rPr>
                <w:rFonts w:hint="eastAsia" w:ascii="宋体" w:hAnsi="宋体" w:eastAsia="宋体" w:cs="宋体"/>
                <w:b/>
                <w:bCs/>
                <w:color w:val="auto"/>
                <w:highlight w:val="none"/>
              </w:rPr>
            </w:pPr>
            <w:bookmarkStart w:id="75" w:name="_Toc58430321"/>
            <w:bookmarkStart w:id="76" w:name="_Toc449028881"/>
            <w:bookmarkStart w:id="77" w:name="_Toc23311"/>
            <w:r>
              <w:rPr>
                <w:rFonts w:hint="eastAsia" w:ascii="宋体" w:hAnsi="宋体" w:eastAsia="宋体" w:cs="宋体"/>
                <w:b/>
                <w:bCs/>
                <w:color w:val="auto"/>
                <w:highlight w:val="none"/>
              </w:rPr>
              <w:t>评分因素</w:t>
            </w:r>
          </w:p>
        </w:tc>
        <w:tc>
          <w:tcPr>
            <w:tcW w:w="8584" w:type="dxa"/>
            <w:noWrap w:val="0"/>
            <w:vAlign w:val="center"/>
          </w:tcPr>
          <w:p w14:paraId="1906BF80">
            <w:pPr>
              <w:keepNext w:val="0"/>
              <w:keepLines w:val="0"/>
              <w:pageBreakBefore w:val="0"/>
              <w:kinsoku/>
              <w:wordWrap/>
              <w:overflowPunct/>
              <w:topLinePunct w:val="0"/>
              <w:autoSpaceDE/>
              <w:autoSpaceDN/>
              <w:bidi w:val="0"/>
              <w:spacing w:line="50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评审细则</w:t>
            </w:r>
          </w:p>
        </w:tc>
      </w:tr>
      <w:tr w14:paraId="7EBC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45" w:type="dxa"/>
            <w:noWrap w:val="0"/>
            <w:vAlign w:val="center"/>
          </w:tcPr>
          <w:p w14:paraId="00FEA937">
            <w:pPr>
              <w:keepNext w:val="0"/>
              <w:keepLines w:val="0"/>
              <w:pageBreakBefore w:val="0"/>
              <w:kinsoku/>
              <w:wordWrap/>
              <w:overflowPunct/>
              <w:topLinePunct w:val="0"/>
              <w:autoSpaceDE/>
              <w:autoSpaceDN/>
              <w:bidi w:val="0"/>
              <w:spacing w:line="50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商务标</w:t>
            </w:r>
          </w:p>
          <w:p w14:paraId="7963EB03">
            <w:pPr>
              <w:keepNext w:val="0"/>
              <w:keepLines w:val="0"/>
              <w:pageBreakBefore w:val="0"/>
              <w:kinsoku/>
              <w:wordWrap/>
              <w:overflowPunct/>
              <w:topLinePunct w:val="0"/>
              <w:autoSpaceDE/>
              <w:autoSpaceDN/>
              <w:bidi w:val="0"/>
              <w:spacing w:line="50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cs="宋体"/>
                <w:color w:val="auto"/>
                <w:szCs w:val="21"/>
                <w:highlight w:val="none"/>
                <w:lang w:val="en-US" w:eastAsia="zh-CN"/>
              </w:rPr>
              <w:t>20</w:t>
            </w:r>
            <w:r>
              <w:rPr>
                <w:rFonts w:hint="eastAsia" w:ascii="宋体" w:hAnsi="宋体" w:eastAsia="宋体" w:cs="宋体"/>
                <w:color w:val="auto"/>
                <w:szCs w:val="21"/>
                <w:highlight w:val="none"/>
                <w:lang w:val="en-US" w:eastAsia="zh-CN"/>
              </w:rPr>
              <w:t>分）</w:t>
            </w:r>
          </w:p>
        </w:tc>
        <w:tc>
          <w:tcPr>
            <w:tcW w:w="8584" w:type="dxa"/>
            <w:noWrap w:val="0"/>
            <w:vAlign w:val="top"/>
          </w:tcPr>
          <w:p w14:paraId="026A3FA4">
            <w:pPr>
              <w:keepNext w:val="0"/>
              <w:keepLines w:val="0"/>
              <w:pageBreakBefore w:val="0"/>
              <w:tabs>
                <w:tab w:val="left" w:pos="1080"/>
              </w:tabs>
              <w:kinsoku/>
              <w:wordWrap/>
              <w:overflowPunct/>
              <w:topLinePunct w:val="0"/>
              <w:autoSpaceDE/>
              <w:autoSpaceDN/>
              <w:bidi w:val="0"/>
              <w:spacing w:line="500" w:lineRule="exact"/>
              <w:jc w:val="left"/>
              <w:textAlignment w:val="auto"/>
              <w:rPr>
                <w:rFonts w:hint="eastAsia"/>
                <w:color w:val="auto"/>
                <w:highlight w:val="none"/>
                <w:lang w:val="en-US" w:eastAsia="zh-CN"/>
              </w:rPr>
            </w:pPr>
            <w:r>
              <w:rPr>
                <w:rFonts w:hint="eastAsia"/>
                <w:color w:val="auto"/>
                <w:highlight w:val="none"/>
                <w:lang w:val="en-US" w:eastAsia="zh-CN"/>
              </w:rPr>
              <w:t>1.</w:t>
            </w:r>
            <w:r>
              <w:rPr>
                <w:rFonts w:hint="default" w:eastAsia="宋体"/>
                <w:color w:val="auto"/>
                <w:highlight w:val="none"/>
                <w:lang w:val="en-US" w:eastAsia="zh-CN"/>
              </w:rPr>
              <w:t>投标报价等于本项目投标限价的得基本分</w:t>
            </w:r>
            <w:r>
              <w:rPr>
                <w:rFonts w:hint="eastAsia"/>
                <w:color w:val="auto"/>
                <w:highlight w:val="none"/>
                <w:lang w:val="en-US" w:eastAsia="zh-CN"/>
              </w:rPr>
              <w:t>15</w:t>
            </w:r>
            <w:r>
              <w:rPr>
                <w:rFonts w:hint="default" w:eastAsia="宋体"/>
                <w:color w:val="auto"/>
                <w:highlight w:val="none"/>
                <w:lang w:val="en-US" w:eastAsia="zh-CN"/>
              </w:rPr>
              <w:t>分，在此基础上，投标报价每增加</w:t>
            </w:r>
            <w:r>
              <w:rPr>
                <w:rFonts w:hint="eastAsia"/>
                <w:color w:val="auto"/>
                <w:highlight w:val="none"/>
                <w:u w:val="none"/>
                <w:lang w:val="en-US" w:eastAsia="zh-CN"/>
              </w:rPr>
              <w:t>2</w:t>
            </w:r>
            <w:r>
              <w:rPr>
                <w:rFonts w:hint="default" w:eastAsia="宋体"/>
                <w:color w:val="auto"/>
                <w:highlight w:val="none"/>
                <w:lang w:val="en-US" w:eastAsia="zh-CN"/>
              </w:rPr>
              <w:t>%加</w:t>
            </w:r>
            <w:r>
              <w:rPr>
                <w:rFonts w:hint="eastAsia"/>
                <w:color w:val="auto"/>
                <w:highlight w:val="none"/>
                <w:lang w:val="en-US" w:eastAsia="zh-CN"/>
              </w:rPr>
              <w:t>0.2</w:t>
            </w:r>
            <w:r>
              <w:rPr>
                <w:rFonts w:hint="default" w:eastAsia="宋体"/>
                <w:color w:val="auto"/>
                <w:highlight w:val="none"/>
                <w:lang w:val="en-US" w:eastAsia="zh-CN"/>
              </w:rPr>
              <w:t>分，满分</w:t>
            </w:r>
            <w:r>
              <w:rPr>
                <w:rFonts w:hint="eastAsia"/>
                <w:color w:val="auto"/>
                <w:highlight w:val="none"/>
                <w:lang w:val="en-US" w:eastAsia="zh-CN"/>
              </w:rPr>
              <w:t>20</w:t>
            </w:r>
            <w:r>
              <w:rPr>
                <w:rFonts w:hint="default" w:eastAsia="宋体"/>
                <w:color w:val="auto"/>
                <w:highlight w:val="none"/>
                <w:lang w:val="en-US" w:eastAsia="zh-CN"/>
              </w:rPr>
              <w:t>分，加满为止，不足</w:t>
            </w:r>
            <w:r>
              <w:rPr>
                <w:rFonts w:hint="eastAsia"/>
                <w:color w:val="auto"/>
                <w:highlight w:val="none"/>
                <w:lang w:val="en-US" w:eastAsia="zh-CN"/>
              </w:rPr>
              <w:t>2</w:t>
            </w:r>
            <w:r>
              <w:rPr>
                <w:rFonts w:hint="default" w:eastAsia="宋体"/>
                <w:color w:val="auto"/>
                <w:highlight w:val="none"/>
                <w:lang w:val="en-US" w:eastAsia="zh-CN"/>
              </w:rPr>
              <w:t>%时按插入法计算，商务标得分保留2位小数，得分小数点后第3位四舍五入。本项目承投标报价低于投标限价的，其投标按无效处理</w:t>
            </w:r>
            <w:r>
              <w:rPr>
                <w:rFonts w:hint="eastAsia"/>
                <w:color w:val="auto"/>
                <w:highlight w:val="none"/>
                <w:lang w:val="en-US" w:eastAsia="zh-CN"/>
              </w:rPr>
              <w:t>。</w:t>
            </w:r>
          </w:p>
          <w:p w14:paraId="4FB38A30">
            <w:pPr>
              <w:keepNext w:val="0"/>
              <w:keepLines w:val="0"/>
              <w:pageBreakBefore w:val="0"/>
              <w:tabs>
                <w:tab w:val="left" w:pos="1080"/>
              </w:tabs>
              <w:kinsoku/>
              <w:wordWrap/>
              <w:overflowPunct/>
              <w:topLinePunct w:val="0"/>
              <w:autoSpaceDE/>
              <w:autoSpaceDN/>
              <w:bidi w:val="0"/>
              <w:spacing w:line="500" w:lineRule="exact"/>
              <w:jc w:val="left"/>
              <w:textAlignment w:val="auto"/>
              <w:rPr>
                <w:rFonts w:hint="default" w:eastAsia="宋体"/>
                <w:color w:val="auto"/>
                <w:highlight w:val="none"/>
                <w:lang w:val="en-US" w:eastAsia="zh-CN"/>
              </w:rPr>
            </w:pPr>
            <w:r>
              <w:rPr>
                <w:rFonts w:hint="eastAsia"/>
                <w:color w:val="auto"/>
                <w:highlight w:val="none"/>
                <w:lang w:val="en-US" w:eastAsia="zh-CN"/>
              </w:rPr>
              <w:t>2.</w:t>
            </w:r>
            <w:r>
              <w:rPr>
                <w:rFonts w:hint="default" w:eastAsia="宋体"/>
                <w:color w:val="auto"/>
                <w:highlight w:val="none"/>
                <w:lang w:val="en-US" w:eastAsia="zh-CN"/>
              </w:rPr>
              <w:t>本项分值由评标委员会负责组织计算。</w:t>
            </w:r>
            <w:r>
              <w:rPr>
                <w:rFonts w:hint="default" w:eastAsia="宋体"/>
                <w:color w:val="auto"/>
                <w:highlight w:val="none"/>
                <w:lang w:val="en-US" w:eastAsia="zh-CN"/>
              </w:rPr>
              <w:br w:type="textWrapping"/>
            </w:r>
            <w:r>
              <w:rPr>
                <w:rFonts w:hint="eastAsia"/>
                <w:b/>
                <w:bCs/>
                <w:color w:val="auto"/>
                <w:highlight w:val="none"/>
                <w:lang w:val="en-US" w:eastAsia="zh-CN"/>
              </w:rPr>
              <w:t>注：本项目商务标评分过程中的投标报价是指</w:t>
            </w:r>
            <w:r>
              <w:rPr>
                <w:rFonts w:hint="eastAsia" w:ascii="宋体" w:hAnsi="宋体" w:cs="宋体"/>
                <w:b/>
                <w:bCs/>
                <w:color w:val="auto"/>
                <w:szCs w:val="21"/>
                <w:highlight w:val="none"/>
                <w:lang w:val="en-US" w:eastAsia="zh-CN"/>
              </w:rPr>
              <w:t>768号文创园承租费的单价。</w:t>
            </w:r>
          </w:p>
        </w:tc>
      </w:tr>
    </w:tbl>
    <w:p w14:paraId="10B918C0">
      <w:pPr>
        <w:keepNext w:val="0"/>
        <w:keepLines w:val="0"/>
        <w:pageBreakBefore w:val="0"/>
        <w:kinsoku/>
        <w:wordWrap/>
        <w:overflowPunct/>
        <w:topLinePunct w:val="0"/>
        <w:autoSpaceDE/>
        <w:autoSpaceDN/>
        <w:bidi w:val="0"/>
        <w:spacing w:before="156" w:beforeLines="50" w:after="156" w:afterLines="50" w:line="500" w:lineRule="exact"/>
        <w:jc w:val="center"/>
        <w:textAlignment w:val="auto"/>
        <w:outlineLvl w:val="1"/>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五、推荐中标候选人</w:t>
      </w:r>
      <w:bookmarkEnd w:id="74"/>
      <w:bookmarkEnd w:id="75"/>
      <w:bookmarkEnd w:id="76"/>
      <w:bookmarkEnd w:id="77"/>
    </w:p>
    <w:p w14:paraId="356336CB">
      <w:pPr>
        <w:keepNext w:val="0"/>
        <w:keepLines w:val="0"/>
        <w:pageBreakBefore w:val="0"/>
        <w:kinsoku/>
        <w:wordWrap/>
        <w:overflowPunct/>
        <w:topLinePunct w:val="0"/>
        <w:autoSpaceDE/>
        <w:autoSpaceDN/>
        <w:bidi w:val="0"/>
        <w:snapToGrid w:val="0"/>
        <w:spacing w:line="500" w:lineRule="exact"/>
        <w:ind w:right="-212" w:rightChars="-101"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7.评标委员会按</w:t>
      </w:r>
      <w:r>
        <w:rPr>
          <w:rFonts w:hint="eastAsia" w:ascii="宋体" w:hAnsi="宋体" w:cs="宋体"/>
          <w:color w:val="auto"/>
          <w:szCs w:val="21"/>
          <w:highlight w:val="none"/>
          <w:lang w:val="en-US" w:eastAsia="zh-CN"/>
        </w:rPr>
        <w:t>资信、</w:t>
      </w:r>
      <w:r>
        <w:rPr>
          <w:rFonts w:hint="eastAsia" w:ascii="宋体" w:hAnsi="宋体" w:eastAsia="宋体" w:cs="宋体"/>
          <w:color w:val="auto"/>
          <w:szCs w:val="21"/>
          <w:highlight w:val="none"/>
          <w:lang w:val="en-US" w:eastAsia="zh-CN"/>
        </w:rPr>
        <w:t>技术</w:t>
      </w:r>
      <w:r>
        <w:rPr>
          <w:rFonts w:hint="eastAsia" w:ascii="宋体" w:hAnsi="宋体" w:eastAsia="宋体" w:cs="宋体"/>
          <w:color w:val="auto"/>
          <w:szCs w:val="21"/>
          <w:highlight w:val="none"/>
        </w:rPr>
        <w:t>及商务得分之和从高到低按顺序，推荐</w:t>
      </w: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rPr>
        <w:t xml:space="preserve">名中标候选人。 </w:t>
      </w:r>
    </w:p>
    <w:p w14:paraId="36401D25">
      <w:pPr>
        <w:keepNext w:val="0"/>
        <w:keepLines w:val="0"/>
        <w:pageBreakBefore w:val="0"/>
        <w:kinsoku/>
        <w:wordWrap/>
        <w:overflowPunct/>
        <w:topLinePunct w:val="0"/>
        <w:autoSpaceDE/>
        <w:autoSpaceDN/>
        <w:bidi w:val="0"/>
        <w:snapToGrid w:val="0"/>
        <w:spacing w:line="500" w:lineRule="exact"/>
        <w:ind w:right="-212" w:rightChars="-101"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7.1总得分相同的，按报价由</w:t>
      </w:r>
      <w:r>
        <w:rPr>
          <w:rFonts w:hint="eastAsia" w:ascii="宋体" w:hAnsi="宋体" w:cs="宋体"/>
          <w:color w:val="auto"/>
          <w:szCs w:val="21"/>
          <w:highlight w:val="none"/>
          <w:lang w:val="en-US" w:eastAsia="zh-CN"/>
        </w:rPr>
        <w:t>高</w:t>
      </w:r>
      <w:r>
        <w:rPr>
          <w:rFonts w:hint="eastAsia" w:ascii="宋体" w:hAnsi="宋体" w:eastAsia="宋体" w:cs="宋体"/>
          <w:color w:val="auto"/>
          <w:szCs w:val="21"/>
          <w:highlight w:val="none"/>
        </w:rPr>
        <w:t>到</w:t>
      </w:r>
      <w:r>
        <w:rPr>
          <w:rFonts w:hint="eastAsia" w:ascii="宋体" w:hAnsi="宋体" w:cs="宋体"/>
          <w:color w:val="auto"/>
          <w:szCs w:val="21"/>
          <w:highlight w:val="none"/>
          <w:lang w:val="en-US" w:eastAsia="zh-CN"/>
        </w:rPr>
        <w:t>低</w:t>
      </w:r>
      <w:r>
        <w:rPr>
          <w:rFonts w:hint="eastAsia" w:ascii="宋体" w:hAnsi="宋体" w:eastAsia="宋体" w:cs="宋体"/>
          <w:color w:val="auto"/>
          <w:szCs w:val="21"/>
          <w:highlight w:val="none"/>
        </w:rPr>
        <w:t>顺序排列。总得分且报价相同的并列，由招标人现场采取随机摇号的方式确定中标候选人。</w:t>
      </w:r>
    </w:p>
    <w:p w14:paraId="77FCDD5F">
      <w:pPr>
        <w:keepNext w:val="0"/>
        <w:keepLines w:val="0"/>
        <w:pageBreakBefore w:val="0"/>
        <w:kinsoku/>
        <w:wordWrap/>
        <w:overflowPunct/>
        <w:topLinePunct w:val="0"/>
        <w:autoSpaceDE/>
        <w:autoSpaceDN/>
        <w:bidi w:val="0"/>
        <w:snapToGrid w:val="0"/>
        <w:spacing w:line="500" w:lineRule="exact"/>
        <w:ind w:right="-420" w:rightChars="-200"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在专家评审结束后，根据评标委员会评审初步结论，招标人（代理机构）将对推荐的中标候选人、法定代表人及其项目负责人是否存在联合惩戒失信行为进行网上核查（网上查询要求及渠道按附件1执行）。若核查结果与投标人承诺不一致，则提交评标委员会取消其预中标候选人资格，依次替补，并再次对替补单位进行核查。核查结果不改变原评标基准值。</w:t>
      </w:r>
    </w:p>
    <w:p w14:paraId="05E6016B">
      <w:pPr>
        <w:keepNext w:val="0"/>
        <w:keepLines w:val="0"/>
        <w:pageBreakBefore w:val="0"/>
        <w:kinsoku/>
        <w:wordWrap/>
        <w:overflowPunct/>
        <w:topLinePunct w:val="0"/>
        <w:autoSpaceDE/>
        <w:autoSpaceDN/>
        <w:bidi w:val="0"/>
        <w:snapToGrid w:val="0"/>
        <w:spacing w:line="500" w:lineRule="exact"/>
        <w:ind w:right="-212" w:rightChars="-101"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8.无效投标条款</w:t>
      </w:r>
    </w:p>
    <w:p w14:paraId="52539C10">
      <w:pPr>
        <w:keepNext w:val="0"/>
        <w:keepLines w:val="0"/>
        <w:pageBreakBefore w:val="0"/>
        <w:kinsoku/>
        <w:wordWrap/>
        <w:overflowPunct/>
        <w:topLinePunct w:val="0"/>
        <w:autoSpaceDE/>
        <w:autoSpaceDN/>
        <w:bidi w:val="0"/>
        <w:snapToGrid w:val="0"/>
        <w:spacing w:line="500" w:lineRule="exact"/>
        <w:ind w:right="-212" w:rightChars="-101"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8.1投标文件有下列情形之一的,其投标文件拒收:</w:t>
      </w:r>
    </w:p>
    <w:p w14:paraId="3DB89858">
      <w:pPr>
        <w:keepNext w:val="0"/>
        <w:keepLines w:val="0"/>
        <w:pageBreakBefore w:val="0"/>
        <w:kinsoku/>
        <w:overflowPunct/>
        <w:topLinePunct w:val="0"/>
        <w:autoSpaceDE/>
        <w:autoSpaceDN/>
        <w:bidi w:val="0"/>
        <w:spacing w:line="500" w:lineRule="exact"/>
        <w:ind w:right="-212" w:rightChars="-101"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(1) 未在开标截止时间前通过网上招标投标系统递交有效电子投标文件的，开标系统不予接收，投标将被拒绝。</w:t>
      </w:r>
    </w:p>
    <w:p w14:paraId="7CECF895">
      <w:pPr>
        <w:keepNext w:val="0"/>
        <w:keepLines w:val="0"/>
        <w:pageBreakBefore w:val="0"/>
        <w:kinsoku/>
        <w:overflowPunct/>
        <w:topLinePunct w:val="0"/>
        <w:autoSpaceDE/>
        <w:autoSpaceDN/>
        <w:bidi w:val="0"/>
        <w:spacing w:line="500" w:lineRule="exact"/>
        <w:ind w:right="-212" w:rightChars="-101"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2）投标企业接到远程解密指令后，须在规定时间内解密。因投标人自身原因导致投标文件在规定时间内未能解密、解密失败或解密超时，投标文件无效；解密时间：从本项目网上招投标系统解密倒计时开始，至完成投标文件解密时间，不得超过60分钟，否则投标文件将被拒绝。</w:t>
      </w:r>
    </w:p>
    <w:p w14:paraId="1B288997">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8.2投标人有下列情形之一的,资格审查后其投标作无效投标处理：</w:t>
      </w:r>
    </w:p>
    <w:p w14:paraId="51D08EB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(1)投标人为本项目提供招标代理服务的；</w:t>
      </w:r>
    </w:p>
    <w:p w14:paraId="629F8374">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(2)投标人与在本项目代理机构存在相互任职或工作的；</w:t>
      </w:r>
    </w:p>
    <w:p w14:paraId="149EF601">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(3)评标专家无法查看并检验电子投标文件中相关资料的；</w:t>
      </w:r>
    </w:p>
    <w:p w14:paraId="2D9119DB">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(4)联合体投标未提交联合体协议的；</w:t>
      </w:r>
    </w:p>
    <w:p w14:paraId="0EFD1C00">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(5)被暂停营业的；</w:t>
      </w:r>
    </w:p>
    <w:p w14:paraId="4D46EF21">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(6)被暂停或取消投标资格的；</w:t>
      </w:r>
    </w:p>
    <w:p w14:paraId="4BE821A4">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(7)财产被接管或冻结的；</w:t>
      </w:r>
    </w:p>
    <w:p w14:paraId="0973073A">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(8)投标人单位负责人为同一人或者存在控股、管理关系的不同单位的；</w:t>
      </w:r>
    </w:p>
    <w:p w14:paraId="14D32DA5">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(9)保证金不按第二章“投标人须知”及其前附表要求提交投标保证金的；</w:t>
      </w:r>
    </w:p>
    <w:p w14:paraId="4009FD6E">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(10)投标人未办理省主体库登记入库手续的；</w:t>
      </w:r>
    </w:p>
    <w:p w14:paraId="0D4CA10D">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(11)投标人申请开具电子保函 MAC 地址一致的；</w:t>
      </w:r>
    </w:p>
    <w:p w14:paraId="23283FAE">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(12)投标人基本资格条件和特定资格条件中有一项及以上不符合要求的；</w:t>
      </w:r>
    </w:p>
    <w:p w14:paraId="6670241A">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(13)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1FF0362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(14)其它情形，经评标委员会委提出按无效投标处理，并经公共资源交易监督部门核准的；</w:t>
      </w:r>
    </w:p>
    <w:p w14:paraId="1142FEC8">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(15)投标人投标MAC地址或投标人联系人或联系电话相同的，由评标委员会否决其投标，并报告监管部门作不良行为处理和进一步调查；</w:t>
      </w:r>
    </w:p>
    <w:p w14:paraId="3880FE8B">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(16)投标人单方面出现其他投标人材料的；</w:t>
      </w:r>
    </w:p>
    <w:p w14:paraId="2F9C755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(17)招标文件规定的其它无效投标情形。</w:t>
      </w:r>
    </w:p>
    <w:p w14:paraId="504E86B7">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8.3 投标人有下列情形之一的,符合性审查后其投标按无效投标处理：</w:t>
      </w:r>
    </w:p>
    <w:p w14:paraId="70996AB7">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(1)投标文件签字、盖章不全，经评标委员会一致认定对开评标内容有实质性影响并经公共资源交易监督部门核准的；</w:t>
      </w:r>
    </w:p>
    <w:p w14:paraId="1C2B0FF7">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(2)未按规定的格式填写</w:t>
      </w:r>
      <w:r>
        <w:rPr>
          <w:rFonts w:hint="eastAsia" w:ascii="宋体" w:hAnsi="宋体" w:cs="宋体"/>
          <w:color w:val="auto"/>
          <w:szCs w:val="21"/>
          <w:highlight w:val="none"/>
          <w:lang w:val="en-US" w:eastAsia="zh-CN"/>
        </w:rPr>
        <w:t>导致</w:t>
      </w:r>
      <w:r>
        <w:rPr>
          <w:rFonts w:hint="eastAsia" w:ascii="宋体" w:hAnsi="宋体" w:cs="宋体"/>
          <w:color w:val="auto"/>
          <w:szCs w:val="21"/>
          <w:highlight w:val="none"/>
        </w:rPr>
        <w:t>实质性内容不全</w:t>
      </w:r>
      <w:r>
        <w:rPr>
          <w:rFonts w:hint="eastAsia" w:ascii="宋体" w:hAnsi="宋体" w:cs="宋体"/>
          <w:color w:val="auto"/>
          <w:szCs w:val="21"/>
          <w:highlight w:val="none"/>
          <w:lang w:val="en-US" w:eastAsia="zh-CN"/>
        </w:rPr>
        <w:t>以及实质上不响应，</w:t>
      </w:r>
      <w:r>
        <w:rPr>
          <w:rFonts w:hint="eastAsia" w:ascii="宋体" w:hAnsi="宋体" w:cs="宋体"/>
          <w:color w:val="auto"/>
          <w:szCs w:val="21"/>
          <w:highlight w:val="none"/>
        </w:rPr>
        <w:t>或</w:t>
      </w:r>
      <w:r>
        <w:rPr>
          <w:rFonts w:hint="eastAsia" w:ascii="宋体" w:hAnsi="宋体" w:cs="宋体"/>
          <w:color w:val="auto"/>
          <w:szCs w:val="21"/>
          <w:highlight w:val="none"/>
          <w:lang w:val="en-US" w:eastAsia="zh-CN"/>
        </w:rPr>
        <w:t>者</w:t>
      </w:r>
      <w:r>
        <w:rPr>
          <w:rFonts w:hint="eastAsia" w:ascii="宋体" w:hAnsi="宋体" w:cs="宋体"/>
          <w:color w:val="auto"/>
          <w:szCs w:val="21"/>
          <w:highlight w:val="none"/>
        </w:rPr>
        <w:t>关键字迹模糊、无法辨认</w:t>
      </w:r>
      <w:r>
        <w:rPr>
          <w:rFonts w:hint="eastAsia" w:ascii="宋体" w:hAnsi="宋体" w:cs="宋体"/>
          <w:color w:val="auto"/>
          <w:szCs w:val="21"/>
          <w:highlight w:val="none"/>
          <w:lang w:eastAsia="zh-CN"/>
        </w:rPr>
        <w:t>；</w:t>
      </w:r>
      <w:r>
        <w:rPr>
          <w:rFonts w:hint="eastAsia" w:ascii="宋体" w:hAnsi="宋体" w:cs="宋体"/>
          <w:color w:val="auto"/>
          <w:szCs w:val="21"/>
          <w:highlight w:val="none"/>
        </w:rPr>
        <w:t xml:space="preserve"> 经公共资源交易监督部门核准的；</w:t>
      </w:r>
    </w:p>
    <w:p w14:paraId="522FED92">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(3)同一投标人提交两个以上不同的投标文件或者投标报价，但招标文件规定提交备选方案的除外；</w:t>
      </w:r>
    </w:p>
    <w:p w14:paraId="4B9B6FEE">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(4)投标文件没有对招标文件的实质性要求和条件作出响应</w:t>
      </w:r>
      <w:r>
        <w:rPr>
          <w:rFonts w:hint="eastAsia" w:ascii="宋体" w:hAnsi="宋体" w:cs="宋体"/>
          <w:color w:val="auto"/>
          <w:szCs w:val="21"/>
          <w:highlight w:val="none"/>
          <w:lang w:eastAsia="zh-CN"/>
        </w:rPr>
        <w:t>；</w:t>
      </w:r>
    </w:p>
    <w:p w14:paraId="4AFF2E55">
      <w:pPr>
        <w:keepNext w:val="0"/>
        <w:keepLines w:val="0"/>
        <w:pageBreakBefore w:val="0"/>
        <w:kinsoku/>
        <w:overflowPunct/>
        <w:topLinePunct w:val="0"/>
        <w:autoSpaceDE/>
        <w:autoSpaceDN/>
        <w:bidi w:val="0"/>
        <w:spacing w:line="500" w:lineRule="exact"/>
        <w:ind w:right="-212" w:rightChars="-101" w:firstLine="420" w:firstLineChars="200"/>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(5)投标报价低于招标人发布的限价；</w:t>
      </w:r>
    </w:p>
    <w:p w14:paraId="14D8709E">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(6)不按评标委员会要求澄清、说明或补正的，或者评标委员会根据招标文件的规定对招标文件的计算错误进行修正后，投标人不接受修正的投标报价的。</w:t>
      </w:r>
    </w:p>
    <w:p w14:paraId="7986B15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（7）其它情形，经评标委员会委提出按无效投标处理，并经公共资源交易监督部门核准的；</w:t>
      </w:r>
    </w:p>
    <w:p w14:paraId="1CB27C3C">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（8）投标文件含有招标人不能接受的附加条件的;</w:t>
      </w:r>
    </w:p>
    <w:p w14:paraId="5625C5CE">
      <w:pPr>
        <w:keepNext w:val="0"/>
        <w:keepLines w:val="0"/>
        <w:pageBreakBefore w:val="0"/>
        <w:tabs>
          <w:tab w:val="left" w:pos="1123"/>
        </w:tabs>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（9）招标文件规定的其它无效投标情形。</w:t>
      </w:r>
    </w:p>
    <w:p w14:paraId="48F26B77">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8.4 投标人有下列情形之一的, 详细评审后其投标按无效投标处理：</w:t>
      </w:r>
    </w:p>
    <w:p w14:paraId="6B3F3F1B">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(1)投标产品不符合必须强制执行的国家标准的；</w:t>
      </w:r>
    </w:p>
    <w:p w14:paraId="15CA1160">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(2)投标人有串通投标、弄虚作假、行贿等违法行为；</w:t>
      </w:r>
    </w:p>
    <w:p w14:paraId="0406ADF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rPr>
        <w:t>(</w:t>
      </w:r>
      <w:r>
        <w:rPr>
          <w:rFonts w:hint="eastAsia" w:ascii="宋体" w:hAnsi="宋体" w:eastAsia="宋体" w:cs="宋体"/>
          <w:color w:val="auto"/>
          <w:szCs w:val="21"/>
          <w:highlight w:val="none"/>
        </w:rPr>
        <w:t>3)投标文件含有违反国家法律、法规的内容，或附有招标人不能接受的条件的；</w:t>
      </w:r>
    </w:p>
    <w:p w14:paraId="55C3BB89">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）报价明显低于其他投标人，且不能证明报价合理性的投标无效；</w:t>
      </w:r>
    </w:p>
    <w:p w14:paraId="748D4AEF">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）拒不确认评标委员会评审修正的投标无效；</w:t>
      </w:r>
    </w:p>
    <w:p w14:paraId="38BC2E2B">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）其它情形，经评标委员会委提出按无效投标处理，并经公共资源交易监督部门核准的；</w:t>
      </w:r>
    </w:p>
    <w:p w14:paraId="35311766">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（8）招标文件规定的其它无效投标情形。</w:t>
      </w:r>
    </w:p>
    <w:bookmarkEnd w:id="62"/>
    <w:p w14:paraId="26B951B7">
      <w:pPr>
        <w:numPr>
          <w:ilvl w:val="0"/>
          <w:numId w:val="8"/>
        </w:numPr>
        <w:snapToGrid w:val="0"/>
        <w:spacing w:line="440" w:lineRule="exact"/>
        <w:ind w:left="-10" w:leftChars="-5" w:right="-334" w:rightChars="-159" w:firstLine="14"/>
        <w:jc w:val="center"/>
        <w:outlineLvl w:val="0"/>
        <w:rPr>
          <w:rFonts w:hint="eastAsia" w:hAnsi="宋体"/>
          <w:b/>
          <w:bCs/>
          <w:color w:val="auto"/>
          <w:sz w:val="32"/>
          <w:szCs w:val="32"/>
          <w:highlight w:val="none"/>
        </w:rPr>
      </w:pPr>
      <w:bookmarkStart w:id="78" w:name="_Toc30417"/>
      <w:bookmarkStart w:id="79" w:name="_Toc22340"/>
      <w:bookmarkStart w:id="80" w:name="_Toc449028945"/>
      <w:r>
        <w:rPr>
          <w:rFonts w:hint="eastAsia" w:ascii="宋体"/>
          <w:b/>
          <w:color w:val="auto"/>
          <w:sz w:val="32"/>
          <w:szCs w:val="32"/>
          <w:highlight w:val="none"/>
        </w:rPr>
        <w:br w:type="page"/>
      </w:r>
      <w:r>
        <w:rPr>
          <w:rFonts w:hint="eastAsia" w:ascii="宋体"/>
          <w:b/>
          <w:color w:val="auto"/>
          <w:sz w:val="32"/>
          <w:szCs w:val="32"/>
          <w:highlight w:val="none"/>
        </w:rPr>
        <w:t xml:space="preserve"> </w:t>
      </w:r>
      <w:r>
        <w:rPr>
          <w:rFonts w:hint="eastAsia" w:hAnsi="宋体"/>
          <w:b/>
          <w:bCs/>
          <w:color w:val="auto"/>
          <w:sz w:val="32"/>
          <w:szCs w:val="32"/>
          <w:highlight w:val="none"/>
        </w:rPr>
        <w:t>采购内容及</w:t>
      </w:r>
      <w:r>
        <w:rPr>
          <w:rFonts w:hint="eastAsia" w:hAnsi="宋体"/>
          <w:b/>
          <w:bCs/>
          <w:color w:val="auto"/>
          <w:sz w:val="32"/>
          <w:szCs w:val="32"/>
          <w:highlight w:val="none"/>
          <w:lang w:val="en-US" w:eastAsia="zh-CN"/>
        </w:rPr>
        <w:t>服务</w:t>
      </w:r>
      <w:r>
        <w:rPr>
          <w:rFonts w:hint="eastAsia" w:hAnsi="宋体"/>
          <w:b/>
          <w:bCs/>
          <w:color w:val="auto"/>
          <w:sz w:val="32"/>
          <w:szCs w:val="32"/>
          <w:highlight w:val="none"/>
        </w:rPr>
        <w:t>要求</w:t>
      </w:r>
      <w:bookmarkEnd w:id="78"/>
    </w:p>
    <w:p w14:paraId="0F0F5C37">
      <w:pPr>
        <w:keepNext w:val="0"/>
        <w:keepLines w:val="0"/>
        <w:pageBreakBefore w:val="0"/>
        <w:widowControl w:val="0"/>
        <w:kinsoku/>
        <w:wordWrap/>
        <w:overflowPunct/>
        <w:topLinePunct w:val="0"/>
        <w:autoSpaceDE/>
        <w:autoSpaceDN/>
        <w:bidi w:val="0"/>
        <w:adjustRightInd/>
        <w:snapToGrid/>
        <w:spacing w:before="95" w:beforeLines="30" w:after="95" w:afterLines="30" w:line="500" w:lineRule="exact"/>
        <w:jc w:val="both"/>
        <w:textAlignment w:val="auto"/>
        <w:outlineLvl w:val="1"/>
        <w:rPr>
          <w:rFonts w:hint="default" w:ascii="宋体" w:hAnsi="Times New Roman" w:eastAsia="宋体" w:cs="Times New Roman"/>
          <w:b/>
          <w:color w:val="auto"/>
          <w:sz w:val="24"/>
          <w:szCs w:val="24"/>
          <w:highlight w:val="none"/>
          <w:lang w:val="en-US" w:eastAsia="zh-CN"/>
        </w:rPr>
      </w:pPr>
      <w:r>
        <w:rPr>
          <w:rFonts w:hint="eastAsia" w:ascii="宋体" w:hAnsi="Times New Roman" w:eastAsia="宋体" w:cs="Times New Roman"/>
          <w:b/>
          <w:color w:val="auto"/>
          <w:sz w:val="24"/>
          <w:szCs w:val="24"/>
          <w:highlight w:val="none"/>
          <w:lang w:val="en-US" w:eastAsia="zh-CN"/>
        </w:rPr>
        <w:t>一、项目</w:t>
      </w:r>
      <w:r>
        <w:rPr>
          <w:rFonts w:hint="eastAsia" w:ascii="宋体" w:cs="Times New Roman"/>
          <w:b/>
          <w:color w:val="auto"/>
          <w:sz w:val="24"/>
          <w:szCs w:val="24"/>
          <w:highlight w:val="none"/>
          <w:lang w:val="en-US" w:eastAsia="zh-CN"/>
        </w:rPr>
        <w:t>规模</w:t>
      </w:r>
    </w:p>
    <w:p w14:paraId="527181B4">
      <w:pPr>
        <w:keepNext w:val="0"/>
        <w:keepLines w:val="0"/>
        <w:pageBreakBefore w:val="0"/>
        <w:kinsoku/>
        <w:overflowPunct/>
        <w:topLinePunct w:val="0"/>
        <w:autoSpaceDE/>
        <w:autoSpaceDN/>
        <w:bidi w:val="0"/>
        <w:snapToGrid w:val="0"/>
        <w:spacing w:line="500" w:lineRule="exact"/>
        <w:ind w:right="-212" w:rightChars="-101" w:firstLine="420" w:firstLineChars="200"/>
        <w:jc w:val="left"/>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项目</w:t>
      </w:r>
      <w:r>
        <w:rPr>
          <w:rFonts w:hint="eastAsia" w:ascii="宋体" w:hAnsi="宋体" w:eastAsia="宋体" w:cs="宋体"/>
          <w:color w:val="auto"/>
          <w:szCs w:val="21"/>
          <w:highlight w:val="none"/>
          <w:lang w:val="en-US" w:eastAsia="zh-CN"/>
        </w:rPr>
        <w:t>建筑面积约为</w:t>
      </w:r>
      <w:r>
        <w:rPr>
          <w:rFonts w:hint="eastAsia" w:ascii="宋体" w:hAnsi="宋体" w:cs="宋体"/>
          <w:color w:val="auto"/>
          <w:szCs w:val="21"/>
          <w:highlight w:val="none"/>
          <w:lang w:val="en-US" w:eastAsia="zh-CN"/>
        </w:rPr>
        <w:t>24000平方米，以实际交付为准；</w:t>
      </w:r>
      <w:r>
        <w:rPr>
          <w:rFonts w:hint="eastAsia" w:ascii="宋体" w:hAnsi="宋体" w:eastAsia="宋体" w:cs="宋体"/>
          <w:color w:val="auto"/>
          <w:szCs w:val="21"/>
          <w:highlight w:val="none"/>
          <w:lang w:val="en-US" w:eastAsia="zh-CN"/>
        </w:rPr>
        <w:t>其中包括</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栋单层框架结构厂房，建筑面积约</w:t>
      </w:r>
      <w:r>
        <w:rPr>
          <w:rFonts w:hint="eastAsia" w:ascii="宋体" w:hAnsi="宋体" w:cs="宋体"/>
          <w:color w:val="auto"/>
          <w:szCs w:val="21"/>
          <w:highlight w:val="none"/>
          <w:lang w:val="en-US" w:eastAsia="zh-CN"/>
        </w:rPr>
        <w:t>6500</w:t>
      </w:r>
      <w:r>
        <w:rPr>
          <w:rFonts w:hint="eastAsia" w:ascii="宋体" w:hAnsi="宋体" w:eastAsia="宋体" w:cs="宋体"/>
          <w:color w:val="auto"/>
          <w:szCs w:val="21"/>
          <w:highlight w:val="none"/>
          <w:lang w:val="en-US" w:eastAsia="zh-CN"/>
        </w:rPr>
        <w:t>平方米</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7跨单层钢结构厂房，层高8米，面积</w:t>
      </w:r>
      <w:r>
        <w:rPr>
          <w:rFonts w:hint="eastAsia" w:ascii="宋体" w:hAnsi="宋体" w:cs="宋体"/>
          <w:color w:val="auto"/>
          <w:szCs w:val="21"/>
          <w:highlight w:val="none"/>
          <w:lang w:val="en-US" w:eastAsia="zh-CN"/>
        </w:rPr>
        <w:t>约</w:t>
      </w:r>
      <w:r>
        <w:rPr>
          <w:rFonts w:hint="eastAsia" w:ascii="宋体" w:hAnsi="宋体" w:eastAsia="宋体" w:cs="宋体"/>
          <w:color w:val="auto"/>
          <w:szCs w:val="21"/>
          <w:highlight w:val="none"/>
          <w:lang w:val="en-US" w:eastAsia="zh-CN"/>
        </w:rPr>
        <w:t>12</w:t>
      </w:r>
      <w:r>
        <w:rPr>
          <w:rFonts w:hint="eastAsia" w:ascii="宋体" w:hAnsi="宋体" w:cs="宋体"/>
          <w:color w:val="auto"/>
          <w:szCs w:val="21"/>
          <w:highlight w:val="none"/>
          <w:lang w:val="en-US" w:eastAsia="zh-CN"/>
        </w:rPr>
        <w:t>200</w:t>
      </w:r>
      <w:r>
        <w:rPr>
          <w:rFonts w:hint="eastAsia" w:ascii="宋体" w:hAnsi="宋体" w:eastAsia="宋体" w:cs="宋体"/>
          <w:color w:val="auto"/>
          <w:szCs w:val="21"/>
          <w:highlight w:val="none"/>
          <w:lang w:val="en-US" w:eastAsia="zh-CN"/>
        </w:rPr>
        <w:t>平方米；1栋单层砖混结构厂房层高6米，面积</w:t>
      </w:r>
      <w:r>
        <w:rPr>
          <w:rFonts w:hint="eastAsia" w:ascii="宋体" w:hAnsi="宋体" w:cs="宋体"/>
          <w:color w:val="auto"/>
          <w:szCs w:val="21"/>
          <w:highlight w:val="none"/>
          <w:lang w:val="en-US" w:eastAsia="zh-CN"/>
        </w:rPr>
        <w:t>约</w:t>
      </w:r>
      <w:r>
        <w:rPr>
          <w:rFonts w:hint="eastAsia" w:ascii="宋体" w:hAnsi="宋体" w:eastAsia="宋体" w:cs="宋体"/>
          <w:color w:val="auto"/>
          <w:szCs w:val="21"/>
          <w:highlight w:val="none"/>
          <w:lang w:val="en-US" w:eastAsia="zh-CN"/>
        </w:rPr>
        <w:t>1850平米；办公楼2栋</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分别为四层</w:t>
      </w:r>
      <w:r>
        <w:rPr>
          <w:rFonts w:hint="eastAsia" w:ascii="宋体" w:hAnsi="宋体" w:cs="宋体"/>
          <w:color w:val="auto"/>
          <w:szCs w:val="21"/>
          <w:highlight w:val="none"/>
          <w:lang w:val="en-US" w:eastAsia="zh-CN"/>
        </w:rPr>
        <w:t>、面积约</w:t>
      </w:r>
      <w:r>
        <w:rPr>
          <w:rFonts w:hint="eastAsia" w:ascii="宋体" w:hAnsi="宋体" w:eastAsia="宋体" w:cs="宋体"/>
          <w:color w:val="auto"/>
          <w:szCs w:val="21"/>
          <w:highlight w:val="none"/>
          <w:lang w:val="en-US" w:eastAsia="zh-CN"/>
        </w:rPr>
        <w:t>2318平米和二层</w:t>
      </w:r>
      <w:r>
        <w:rPr>
          <w:rFonts w:hint="eastAsia" w:ascii="宋体" w:hAnsi="宋体" w:cs="宋体"/>
          <w:color w:val="auto"/>
          <w:szCs w:val="21"/>
          <w:highlight w:val="none"/>
          <w:lang w:val="en-US" w:eastAsia="zh-CN"/>
        </w:rPr>
        <w:t>、面积约</w:t>
      </w:r>
      <w:r>
        <w:rPr>
          <w:rFonts w:hint="eastAsia" w:ascii="宋体" w:hAnsi="宋体" w:eastAsia="宋体" w:cs="宋体"/>
          <w:color w:val="auto"/>
          <w:szCs w:val="21"/>
          <w:highlight w:val="none"/>
          <w:lang w:val="en-US" w:eastAsia="zh-CN"/>
        </w:rPr>
        <w:t>1260平米</w:t>
      </w:r>
      <w:r>
        <w:rPr>
          <w:rFonts w:hint="eastAsia" w:ascii="宋体" w:hAnsi="宋体" w:cs="宋体"/>
          <w:color w:val="auto"/>
          <w:szCs w:val="21"/>
          <w:highlight w:val="none"/>
          <w:lang w:val="en-US" w:eastAsia="zh-CN"/>
        </w:rPr>
        <w:t>，目前厂房和办公楼处于空置状态</w:t>
      </w:r>
      <w:r>
        <w:rPr>
          <w:rFonts w:hint="eastAsia"/>
          <w:color w:val="auto"/>
          <w:lang w:val="en-US" w:eastAsia="zh-CN"/>
        </w:rPr>
        <w:t>。</w:t>
      </w:r>
      <w:r>
        <w:rPr>
          <w:rFonts w:hint="eastAsia" w:ascii="宋体" w:hAnsi="宋体" w:cs="宋体"/>
          <w:color w:val="auto"/>
          <w:szCs w:val="21"/>
          <w:highlight w:val="none"/>
          <w:lang w:val="en-US" w:eastAsia="zh-CN"/>
        </w:rPr>
        <w:t>768号园区南面</w:t>
      </w:r>
      <w:r>
        <w:rPr>
          <w:rFonts w:hint="eastAsia" w:ascii="宋体" w:hAnsi="宋体" w:eastAsia="宋体" w:cs="宋体"/>
          <w:color w:val="auto"/>
          <w:szCs w:val="21"/>
          <w:highlight w:val="none"/>
          <w:lang w:val="en-US" w:eastAsia="zh-CN"/>
        </w:rPr>
        <w:t>205亩</w:t>
      </w:r>
      <w:r>
        <w:rPr>
          <w:rFonts w:hint="eastAsia" w:ascii="宋体" w:hAnsi="宋体" w:cs="宋体"/>
          <w:color w:val="auto"/>
          <w:szCs w:val="21"/>
          <w:highlight w:val="none"/>
          <w:lang w:val="en-US" w:eastAsia="zh-CN"/>
        </w:rPr>
        <w:t>空地作为临时</w:t>
      </w:r>
      <w:r>
        <w:rPr>
          <w:rFonts w:hint="eastAsia" w:ascii="宋体" w:hAnsi="宋体" w:eastAsia="宋体" w:cs="宋体"/>
          <w:color w:val="auto"/>
          <w:szCs w:val="21"/>
          <w:highlight w:val="none"/>
          <w:lang w:val="en-US" w:eastAsia="zh-CN"/>
        </w:rPr>
        <w:t>配套用地</w:t>
      </w:r>
      <w:r>
        <w:rPr>
          <w:rFonts w:hint="eastAsia" w:ascii="宋体" w:hAnsi="宋体" w:cs="宋体"/>
          <w:color w:val="auto"/>
          <w:szCs w:val="21"/>
          <w:highlight w:val="none"/>
          <w:lang w:val="en-US" w:eastAsia="zh-CN"/>
        </w:rPr>
        <w:t>。</w:t>
      </w:r>
    </w:p>
    <w:p w14:paraId="3BB7BF99">
      <w:pPr>
        <w:keepNext w:val="0"/>
        <w:keepLines w:val="0"/>
        <w:pageBreakBefore w:val="0"/>
        <w:widowControl w:val="0"/>
        <w:numPr>
          <w:ilvl w:val="0"/>
          <w:numId w:val="9"/>
        </w:numPr>
        <w:kinsoku/>
        <w:wordWrap/>
        <w:overflowPunct/>
        <w:topLinePunct w:val="0"/>
        <w:autoSpaceDE/>
        <w:autoSpaceDN/>
        <w:bidi w:val="0"/>
        <w:adjustRightInd/>
        <w:snapToGrid/>
        <w:spacing w:before="95" w:beforeLines="30" w:after="95" w:afterLines="30" w:line="500" w:lineRule="exact"/>
        <w:jc w:val="both"/>
        <w:textAlignment w:val="auto"/>
        <w:outlineLvl w:val="1"/>
        <w:rPr>
          <w:rFonts w:hint="eastAsia" w:ascii="宋体" w:cs="Times New Roman"/>
          <w:b/>
          <w:color w:val="auto"/>
          <w:sz w:val="24"/>
          <w:szCs w:val="24"/>
          <w:highlight w:val="none"/>
          <w:lang w:val="en-US" w:eastAsia="zh-CN"/>
        </w:rPr>
      </w:pPr>
      <w:r>
        <w:rPr>
          <w:rFonts w:hint="eastAsia" w:ascii="宋体" w:cs="Times New Roman"/>
          <w:b/>
          <w:color w:val="auto"/>
          <w:sz w:val="24"/>
          <w:szCs w:val="24"/>
          <w:highlight w:val="none"/>
          <w:lang w:val="en-US" w:eastAsia="zh-CN"/>
        </w:rPr>
        <w:t>运行管理模式</w:t>
      </w:r>
    </w:p>
    <w:p w14:paraId="7A8FB991">
      <w:pPr>
        <w:keepNext w:val="0"/>
        <w:keepLines w:val="0"/>
        <w:pageBreakBefore w:val="0"/>
        <w:widowControl w:val="0"/>
        <w:kinsoku/>
        <w:wordWrap/>
        <w:overflowPunct/>
        <w:topLinePunct w:val="0"/>
        <w:autoSpaceDE/>
        <w:autoSpaceDN/>
        <w:bidi w:val="0"/>
        <w:adjustRightInd/>
        <w:snapToGrid/>
        <w:spacing w:before="95" w:beforeLines="30" w:after="95" w:afterLines="30" w:line="500" w:lineRule="exact"/>
        <w:ind w:firstLine="420" w:firstLineChars="200"/>
        <w:jc w:val="both"/>
        <w:textAlignment w:val="auto"/>
        <w:outlineLvl w:val="1"/>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本项目通过招标确定全委托运营管理单位。运营期</w:t>
      </w:r>
      <w:r>
        <w:rPr>
          <w:rFonts w:hint="eastAsia" w:ascii="宋体" w:hAnsi="宋体" w:cs="宋体"/>
          <w:color w:val="auto"/>
          <w:szCs w:val="21"/>
          <w:highlight w:val="none"/>
          <w:lang w:val="en-US" w:eastAsia="zh-CN"/>
        </w:rPr>
        <w:t>10年</w:t>
      </w:r>
      <w:r>
        <w:rPr>
          <w:rFonts w:hint="eastAsia" w:ascii="宋体" w:hAnsi="宋体" w:eastAsia="宋体" w:cs="宋体"/>
          <w:color w:val="auto"/>
          <w:szCs w:val="21"/>
          <w:highlight w:val="none"/>
          <w:lang w:val="en-US" w:eastAsia="zh-CN"/>
        </w:rPr>
        <w:t>（自招标人以书面形式将整个园区及附属用地交付至中标人之日起开始计算运营期）</w:t>
      </w:r>
      <w:r>
        <w:rPr>
          <w:rFonts w:hint="eastAsia" w:ascii="宋体" w:hAnsi="宋体" w:cs="宋体"/>
          <w:color w:val="auto"/>
          <w:szCs w:val="21"/>
          <w:highlight w:val="none"/>
          <w:lang w:val="en-US" w:eastAsia="zh-CN"/>
        </w:rPr>
        <w:t>。自交付之日起，招标人提供三个月免装修期。</w:t>
      </w:r>
      <w:r>
        <w:rPr>
          <w:rFonts w:hint="eastAsia" w:ascii="宋体" w:hAnsi="宋体" w:eastAsia="宋体" w:cs="宋体"/>
          <w:color w:val="auto"/>
          <w:szCs w:val="21"/>
          <w:highlight w:val="none"/>
          <w:lang w:val="en-US" w:eastAsia="zh-CN"/>
        </w:rPr>
        <w:t>运营期内</w:t>
      </w:r>
      <w:r>
        <w:rPr>
          <w:rFonts w:hint="eastAsia" w:ascii="宋体" w:hAnsi="宋体" w:cs="宋体"/>
          <w:color w:val="auto"/>
          <w:szCs w:val="21"/>
          <w:highlight w:val="none"/>
          <w:lang w:val="en-US" w:eastAsia="zh-CN"/>
        </w:rPr>
        <w:t>中标人自主经营、</w:t>
      </w:r>
      <w:r>
        <w:rPr>
          <w:rFonts w:hint="eastAsia" w:ascii="宋体" w:hAnsi="宋体" w:eastAsia="宋体" w:cs="宋体"/>
          <w:color w:val="auto"/>
          <w:szCs w:val="21"/>
          <w:highlight w:val="none"/>
          <w:lang w:val="en-US" w:eastAsia="zh-CN"/>
        </w:rPr>
        <w:t>自负盈亏，</w:t>
      </w:r>
      <w:r>
        <w:rPr>
          <w:rFonts w:hint="eastAsia" w:ascii="宋体" w:hAnsi="宋体" w:cs="宋体"/>
          <w:color w:val="auto"/>
          <w:szCs w:val="21"/>
          <w:highlight w:val="none"/>
          <w:lang w:val="en-US" w:eastAsia="zh-CN"/>
        </w:rPr>
        <w:t>且运营期内所有投入均由中标人自行承担，费用自理，招标人不支付任何费用。</w:t>
      </w:r>
    </w:p>
    <w:p w14:paraId="07E5CCCD">
      <w:pPr>
        <w:keepNext w:val="0"/>
        <w:keepLines w:val="0"/>
        <w:pageBreakBefore w:val="0"/>
        <w:widowControl w:val="0"/>
        <w:kinsoku/>
        <w:wordWrap/>
        <w:overflowPunct/>
        <w:topLinePunct w:val="0"/>
        <w:autoSpaceDE/>
        <w:autoSpaceDN/>
        <w:bidi w:val="0"/>
        <w:adjustRightInd/>
        <w:snapToGrid/>
        <w:spacing w:before="95" w:beforeLines="30" w:after="95" w:afterLines="30" w:line="500" w:lineRule="exact"/>
        <w:ind w:firstLine="420" w:firstLineChars="200"/>
        <w:jc w:val="both"/>
        <w:textAlignment w:val="auto"/>
        <w:outlineLvl w:val="1"/>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招标人不参与</w:t>
      </w:r>
      <w:r>
        <w:rPr>
          <w:rFonts w:hint="eastAsia" w:ascii="宋体" w:hAnsi="宋体" w:cs="宋体"/>
          <w:color w:val="auto"/>
          <w:szCs w:val="21"/>
          <w:highlight w:val="none"/>
          <w:lang w:val="en-US" w:eastAsia="zh-CN"/>
        </w:rPr>
        <w:t>本项目的</w:t>
      </w:r>
      <w:r>
        <w:rPr>
          <w:rFonts w:hint="eastAsia" w:ascii="宋体" w:hAnsi="宋体" w:eastAsia="宋体" w:cs="宋体"/>
          <w:color w:val="auto"/>
          <w:szCs w:val="21"/>
          <w:highlight w:val="none"/>
          <w:lang w:val="en-US" w:eastAsia="zh-CN"/>
        </w:rPr>
        <w:t>利润分成，</w:t>
      </w:r>
      <w:r>
        <w:rPr>
          <w:rFonts w:hint="eastAsia" w:ascii="宋体" w:hAnsi="宋体" w:cs="宋体"/>
          <w:color w:val="auto"/>
          <w:szCs w:val="21"/>
          <w:highlight w:val="none"/>
          <w:lang w:val="en-US" w:eastAsia="zh-CN"/>
        </w:rPr>
        <w:t>中标人只须</w:t>
      </w:r>
      <w:r>
        <w:rPr>
          <w:rFonts w:hint="eastAsia" w:ascii="宋体" w:hAnsi="宋体" w:eastAsia="宋体" w:cs="宋体"/>
          <w:color w:val="auto"/>
          <w:szCs w:val="21"/>
          <w:highlight w:val="none"/>
          <w:lang w:val="en-US" w:eastAsia="zh-CN"/>
        </w:rPr>
        <w:t>向招标人缴纳场地承租费即可</w:t>
      </w:r>
      <w:r>
        <w:rPr>
          <w:rFonts w:hint="eastAsia" w:ascii="宋体" w:hAnsi="宋体" w:cs="宋体"/>
          <w:color w:val="auto"/>
          <w:szCs w:val="21"/>
          <w:highlight w:val="none"/>
          <w:lang w:val="en-US" w:eastAsia="zh-CN"/>
        </w:rPr>
        <w:t>运营，本项目的场地承租费限价为2692000元/年，其中项目范围南侧的附属205亩用地为另外的临时配套用地，承租费固定为10万元/年；768号文创园承租费限价为9元/平方米·月，投标过程中面积按照24000平方米计入，最终结算面积以招标人拆除危房后，与中标人实际测量的房产和土地面积为准。中标后，768号园区的承租费单价，每满三年在上一年度单价基础上递增3%。</w:t>
      </w:r>
    </w:p>
    <w:p w14:paraId="7D923C4A">
      <w:pPr>
        <w:keepNext w:val="0"/>
        <w:keepLines w:val="0"/>
        <w:pageBreakBefore w:val="0"/>
        <w:widowControl w:val="0"/>
        <w:kinsoku/>
        <w:wordWrap/>
        <w:overflowPunct/>
        <w:topLinePunct w:val="0"/>
        <w:autoSpaceDE/>
        <w:autoSpaceDN/>
        <w:bidi w:val="0"/>
        <w:adjustRightInd/>
        <w:snapToGrid/>
        <w:spacing w:before="95" w:beforeLines="30" w:after="95" w:afterLines="30" w:line="500" w:lineRule="exact"/>
        <w:jc w:val="both"/>
        <w:textAlignment w:val="auto"/>
        <w:outlineLvl w:val="1"/>
        <w:rPr>
          <w:rFonts w:hint="default" w:ascii="宋体" w:hAnsi="宋体" w:eastAsia="宋体" w:cs="宋体"/>
          <w:color w:val="auto"/>
          <w:szCs w:val="21"/>
          <w:highlight w:val="none"/>
          <w:lang w:val="en-US" w:eastAsia="zh-CN"/>
        </w:rPr>
      </w:pPr>
      <w:r>
        <w:rPr>
          <w:rFonts w:hint="eastAsia" w:ascii="宋体" w:cs="Times New Roman"/>
          <w:b/>
          <w:color w:val="auto"/>
          <w:sz w:val="24"/>
          <w:szCs w:val="24"/>
          <w:highlight w:val="none"/>
          <w:lang w:val="en-US" w:eastAsia="zh-CN"/>
        </w:rPr>
        <w:t>三</w:t>
      </w:r>
      <w:r>
        <w:rPr>
          <w:rFonts w:hint="eastAsia" w:ascii="宋体" w:hAnsi="Times New Roman" w:eastAsia="宋体" w:cs="Times New Roman"/>
          <w:b/>
          <w:color w:val="auto"/>
          <w:sz w:val="24"/>
          <w:szCs w:val="24"/>
          <w:highlight w:val="none"/>
          <w:lang w:val="en-US" w:eastAsia="zh-CN"/>
        </w:rPr>
        <w:t>、</w:t>
      </w:r>
      <w:r>
        <w:rPr>
          <w:rFonts w:hint="eastAsia" w:ascii="宋体" w:cs="Times New Roman"/>
          <w:b/>
          <w:color w:val="auto"/>
          <w:sz w:val="24"/>
          <w:szCs w:val="24"/>
          <w:highlight w:val="none"/>
          <w:lang w:val="en-US" w:eastAsia="zh-CN"/>
        </w:rPr>
        <w:t>服务范围</w:t>
      </w:r>
    </w:p>
    <w:p w14:paraId="5E5BE62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扬子大道768号园区</w:t>
      </w:r>
      <w:r>
        <w:rPr>
          <w:rFonts w:hint="eastAsia" w:ascii="宋体" w:hAnsi="宋体" w:cs="宋体"/>
          <w:color w:val="auto"/>
          <w:szCs w:val="21"/>
          <w:highlight w:val="none"/>
          <w:lang w:val="en-US" w:eastAsia="zh-CN"/>
        </w:rPr>
        <w:t>24000平方米</w:t>
      </w:r>
      <w:r>
        <w:rPr>
          <w:rFonts w:hint="eastAsia" w:ascii="宋体" w:hAnsi="宋体" w:eastAsia="宋体" w:cs="宋体"/>
          <w:color w:val="auto"/>
          <w:szCs w:val="21"/>
          <w:highlight w:val="none"/>
          <w:lang w:val="en-US" w:eastAsia="zh-CN"/>
        </w:rPr>
        <w:t>旧厂房商业化升级改造的商业定位规划、厂房内部改造实施、招商运营、市场营销、商户管理等全链条服务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以及</w:t>
      </w:r>
      <w:r>
        <w:rPr>
          <w:rFonts w:hint="eastAsia" w:ascii="宋体" w:hAnsi="宋体" w:cs="宋体"/>
          <w:color w:val="auto"/>
          <w:szCs w:val="21"/>
          <w:highlight w:val="none"/>
          <w:lang w:val="en-US" w:eastAsia="zh-CN"/>
        </w:rPr>
        <w:t>768号园区南面</w:t>
      </w:r>
      <w:r>
        <w:rPr>
          <w:rFonts w:hint="eastAsia" w:ascii="宋体" w:hAnsi="宋体" w:eastAsia="宋体" w:cs="宋体"/>
          <w:color w:val="auto"/>
          <w:szCs w:val="21"/>
          <w:highlight w:val="none"/>
          <w:lang w:val="en-US" w:eastAsia="zh-CN"/>
        </w:rPr>
        <w:t>205亩综合体附属项目用地的绿化规划、设计、施工、养护、运营及移交全流程。</w:t>
      </w:r>
    </w:p>
    <w:p w14:paraId="3C4BD16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扬子大道768号园区</w:t>
      </w:r>
      <w:r>
        <w:rPr>
          <w:rFonts w:hint="eastAsia" w:ascii="宋体" w:hAnsi="宋体" w:cs="宋体"/>
          <w:color w:val="auto"/>
          <w:szCs w:val="21"/>
          <w:highlight w:val="none"/>
          <w:lang w:val="en-US" w:eastAsia="zh-CN"/>
        </w:rPr>
        <w:t>24000平方米</w:t>
      </w:r>
      <w:r>
        <w:rPr>
          <w:rFonts w:hint="eastAsia" w:ascii="宋体" w:hAnsi="宋体" w:eastAsia="宋体" w:cs="宋体"/>
          <w:color w:val="auto"/>
          <w:szCs w:val="21"/>
          <w:highlight w:val="none"/>
          <w:lang w:val="en-US" w:eastAsia="zh-CN"/>
        </w:rPr>
        <w:t>建筑经营范围需涵盖商业零售、餐饮、娱乐、体育休闲等多种业态（体育休闲占比不小于40%，餐饮占比约30%，娱乐占比约10%，商业零售占比约10%）。</w:t>
      </w:r>
    </w:p>
    <w:p w14:paraId="6EE99623">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3.768号园区南面</w:t>
      </w:r>
      <w:r>
        <w:rPr>
          <w:rFonts w:hint="eastAsia" w:ascii="宋体" w:hAnsi="宋体" w:eastAsia="宋体" w:cs="宋体"/>
          <w:color w:val="auto"/>
          <w:szCs w:val="21"/>
          <w:highlight w:val="none"/>
          <w:lang w:val="en-US" w:eastAsia="zh-CN"/>
        </w:rPr>
        <w:t>205亩</w:t>
      </w:r>
      <w:r>
        <w:rPr>
          <w:rFonts w:hint="eastAsia" w:ascii="宋体" w:hAnsi="宋体" w:cs="宋体"/>
          <w:color w:val="auto"/>
          <w:szCs w:val="21"/>
          <w:highlight w:val="none"/>
          <w:lang w:val="en-US" w:eastAsia="zh-CN"/>
        </w:rPr>
        <w:t>净</w:t>
      </w:r>
      <w:r>
        <w:rPr>
          <w:rFonts w:hint="eastAsia" w:ascii="宋体" w:hAnsi="宋体" w:eastAsia="宋体" w:cs="宋体"/>
          <w:color w:val="auto"/>
          <w:szCs w:val="21"/>
          <w:highlight w:val="none"/>
          <w:lang w:val="en-US" w:eastAsia="zh-CN"/>
        </w:rPr>
        <w:t>地为</w:t>
      </w:r>
      <w:r>
        <w:rPr>
          <w:rFonts w:hint="eastAsia" w:ascii="宋体" w:hAnsi="宋体" w:cs="宋体"/>
          <w:color w:val="auto"/>
          <w:szCs w:val="21"/>
          <w:highlight w:val="none"/>
          <w:lang w:val="en-US" w:eastAsia="zh-CN"/>
        </w:rPr>
        <w:t>临时配套用地</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招标人不保证用地时间，中标人需</w:t>
      </w:r>
      <w:r>
        <w:rPr>
          <w:rFonts w:hint="eastAsia" w:ascii="宋体" w:hAnsi="宋体" w:eastAsia="宋体" w:cs="宋体"/>
          <w:color w:val="auto"/>
          <w:szCs w:val="21"/>
          <w:highlight w:val="none"/>
          <w:lang w:val="en-US" w:eastAsia="zh-CN"/>
        </w:rPr>
        <w:t>用于绿化、草坪建设、农作物种植、停车场建设；停车场面积不</w:t>
      </w:r>
      <w:r>
        <w:rPr>
          <w:rFonts w:hint="eastAsia" w:ascii="宋体" w:hAnsi="宋体" w:cs="宋体"/>
          <w:color w:val="auto"/>
          <w:szCs w:val="21"/>
          <w:highlight w:val="none"/>
          <w:lang w:val="en-US" w:eastAsia="zh-CN"/>
        </w:rPr>
        <w:t>高</w:t>
      </w:r>
      <w:r>
        <w:rPr>
          <w:rFonts w:hint="eastAsia" w:ascii="宋体" w:hAnsi="宋体" w:eastAsia="宋体" w:cs="宋体"/>
          <w:color w:val="auto"/>
          <w:szCs w:val="21"/>
          <w:highlight w:val="none"/>
          <w:lang w:val="en-US" w:eastAsia="zh-CN"/>
        </w:rPr>
        <w:t>于2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亩，所有绿化不得对外买卖经营。</w:t>
      </w:r>
    </w:p>
    <w:p w14:paraId="581AF5C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中标人在合同执行过程中对运营场所的装修改造、设备采购、软硬件采购以及综合体附属项目</w:t>
      </w:r>
      <w:r>
        <w:rPr>
          <w:rFonts w:hint="eastAsia" w:ascii="宋体" w:hAnsi="宋体" w:cs="宋体"/>
          <w:color w:val="auto"/>
          <w:szCs w:val="21"/>
          <w:highlight w:val="none"/>
          <w:lang w:val="en-US" w:eastAsia="zh-CN"/>
        </w:rPr>
        <w:t>均</w:t>
      </w:r>
      <w:r>
        <w:rPr>
          <w:rFonts w:hint="eastAsia" w:ascii="宋体" w:hAnsi="宋体" w:eastAsia="宋体" w:cs="宋体"/>
          <w:color w:val="auto"/>
          <w:szCs w:val="21"/>
          <w:highlight w:val="none"/>
          <w:lang w:val="en-US" w:eastAsia="zh-CN"/>
        </w:rPr>
        <w:t>由中标人自行承担</w:t>
      </w:r>
      <w:r>
        <w:rPr>
          <w:rFonts w:hint="eastAsia" w:ascii="宋体" w:hAnsi="宋体" w:cs="宋体"/>
          <w:color w:val="auto"/>
          <w:szCs w:val="21"/>
          <w:highlight w:val="none"/>
          <w:lang w:val="en-US" w:eastAsia="zh-CN"/>
        </w:rPr>
        <w:t>费用</w:t>
      </w:r>
      <w:r>
        <w:rPr>
          <w:rFonts w:hint="eastAsia" w:ascii="宋体" w:hAnsi="宋体" w:eastAsia="宋体" w:cs="宋体"/>
          <w:color w:val="auto"/>
          <w:szCs w:val="21"/>
          <w:highlight w:val="none"/>
          <w:lang w:val="en-US" w:eastAsia="zh-CN"/>
        </w:rPr>
        <w:t>。招标人只负责扬子大道768号园区</w:t>
      </w:r>
      <w:r>
        <w:rPr>
          <w:rFonts w:hint="eastAsia" w:ascii="宋体" w:hAnsi="宋体" w:cs="宋体"/>
          <w:color w:val="auto"/>
          <w:szCs w:val="21"/>
          <w:highlight w:val="none"/>
          <w:lang w:val="en-US" w:eastAsia="zh-CN"/>
        </w:rPr>
        <w:t>24000</w:t>
      </w:r>
      <w:r>
        <w:rPr>
          <w:rFonts w:hint="eastAsia" w:ascii="宋体" w:hAnsi="宋体" w:eastAsia="宋体" w:cs="宋体"/>
          <w:color w:val="auto"/>
          <w:szCs w:val="21"/>
          <w:highlight w:val="none"/>
          <w:lang w:val="en-US" w:eastAsia="zh-CN"/>
        </w:rPr>
        <w:t>平方米厂房和办公楼的屋面防水维修改造、消防改造、危房拆除。招标人完成改造后以书面形式将整个园区及附属用地</w:t>
      </w:r>
      <w:r>
        <w:rPr>
          <w:rFonts w:hint="eastAsia" w:ascii="宋体" w:hAnsi="宋体" w:cs="宋体"/>
          <w:color w:val="auto"/>
          <w:szCs w:val="21"/>
          <w:highlight w:val="none"/>
          <w:lang w:val="en-US" w:eastAsia="zh-CN"/>
        </w:rPr>
        <w:t>交付</w:t>
      </w:r>
      <w:r>
        <w:rPr>
          <w:rFonts w:hint="eastAsia" w:ascii="宋体" w:hAnsi="宋体" w:eastAsia="宋体" w:cs="宋体"/>
          <w:color w:val="auto"/>
          <w:szCs w:val="21"/>
          <w:highlight w:val="none"/>
          <w:lang w:val="en-US" w:eastAsia="zh-CN"/>
        </w:rPr>
        <w:t>至中标人，项目运营期自招标人以书面形式将整个园区及附属用地交付至中标人之日起开始计算</w:t>
      </w:r>
      <w:r>
        <w:rPr>
          <w:rFonts w:hint="eastAsia" w:ascii="宋体" w:hAnsi="宋体" w:cs="宋体"/>
          <w:color w:val="auto"/>
          <w:szCs w:val="21"/>
          <w:highlight w:val="none"/>
          <w:lang w:val="en-US" w:eastAsia="zh-CN"/>
        </w:rPr>
        <w:t>。</w:t>
      </w:r>
    </w:p>
    <w:p w14:paraId="345D90D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供水：招标</w:t>
      </w:r>
      <w:r>
        <w:rPr>
          <w:rFonts w:hint="eastAsia" w:ascii="宋体" w:hAnsi="宋体" w:cs="宋体"/>
          <w:color w:val="auto"/>
          <w:szCs w:val="21"/>
          <w:highlight w:val="none"/>
          <w:lang w:val="en-US" w:eastAsia="zh-CN"/>
        </w:rPr>
        <w:t>人</w:t>
      </w:r>
      <w:r>
        <w:rPr>
          <w:rFonts w:hint="eastAsia" w:ascii="宋体" w:hAnsi="宋体" w:eastAsia="宋体" w:cs="宋体"/>
          <w:color w:val="auto"/>
          <w:szCs w:val="21"/>
          <w:highlight w:val="none"/>
          <w:lang w:val="en-US" w:eastAsia="zh-CN"/>
        </w:rPr>
        <w:t>提供供水主干管接口至厂房外墙1米处，厂房内部全部用水点的管道、阀门及附属设施均由中标人负责接入与施工。</w:t>
      </w:r>
      <w:r>
        <w:rPr>
          <w:rFonts w:hint="default" w:ascii="宋体" w:hAnsi="宋体" w:eastAsia="宋体" w:cs="宋体"/>
          <w:color w:val="auto"/>
          <w:szCs w:val="21"/>
          <w:highlight w:val="none"/>
          <w:lang w:val="en-US" w:eastAsia="zh-CN"/>
        </w:rPr>
        <w:t>供电：招标</w:t>
      </w:r>
      <w:r>
        <w:rPr>
          <w:rFonts w:hint="eastAsia" w:ascii="宋体" w:hAnsi="宋体" w:cs="宋体"/>
          <w:color w:val="auto"/>
          <w:szCs w:val="21"/>
          <w:highlight w:val="none"/>
          <w:lang w:val="en-US" w:eastAsia="zh-CN"/>
        </w:rPr>
        <w:t>人</w:t>
      </w:r>
      <w:r>
        <w:rPr>
          <w:rFonts w:hint="default" w:ascii="宋体" w:hAnsi="宋体" w:eastAsia="宋体" w:cs="宋体"/>
          <w:color w:val="auto"/>
          <w:szCs w:val="21"/>
          <w:highlight w:val="none"/>
          <w:lang w:val="en-US" w:eastAsia="zh-CN"/>
        </w:rPr>
        <w:t>提供供电电缆接驳点至厂房配电总箱（或指定位置），厂房内部所有线路、配电箱、开关、插座等设施的敷设与安装均由中标人负责施工</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剩</w:t>
      </w:r>
      <w:r>
        <w:rPr>
          <w:rFonts w:hint="eastAsia" w:ascii="宋体" w:hAnsi="宋体" w:eastAsia="宋体" w:cs="宋体"/>
          <w:color w:val="auto"/>
          <w:szCs w:val="21"/>
          <w:highlight w:val="none"/>
          <w:lang w:val="en-US" w:eastAsia="zh-CN"/>
        </w:rPr>
        <w:t>余园区改造均由中标人自行承担。</w:t>
      </w:r>
    </w:p>
    <w:p w14:paraId="01E5B81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6.768号园区南</w:t>
      </w:r>
      <w:r>
        <w:rPr>
          <w:rFonts w:hint="eastAsia" w:ascii="宋体" w:hAnsi="宋体" w:eastAsia="宋体" w:cs="宋体"/>
          <w:color w:val="auto"/>
          <w:szCs w:val="21"/>
          <w:highlight w:val="none"/>
          <w:lang w:val="en-US" w:eastAsia="zh-CN"/>
        </w:rPr>
        <w:t>侧205亩配套用地为现状交付，中标人需自行进行规划设计、施工、运营；费用由中标人自行承担。</w:t>
      </w:r>
      <w:r>
        <w:rPr>
          <w:rFonts w:hint="default" w:ascii="宋体" w:hAnsi="宋体" w:eastAsia="宋体" w:cs="宋体"/>
          <w:color w:val="auto"/>
          <w:szCs w:val="21"/>
          <w:highlight w:val="none"/>
          <w:lang w:val="en-US" w:eastAsia="zh-CN"/>
        </w:rPr>
        <w:t>在该配套用地范围内，除必要的景观构筑物、休闲设施、临时性服务设施及活动装置外，不得新建任何永久性建筑。中标人应确保所有建设内容符合绿色生态、开放共享的原则，与园区主体功能形成有机互补。</w:t>
      </w:r>
      <w:r>
        <w:rPr>
          <w:rFonts w:hint="eastAsia" w:ascii="宋体" w:hAnsi="宋体" w:eastAsia="宋体" w:cs="宋体"/>
          <w:color w:val="auto"/>
          <w:szCs w:val="21"/>
          <w:highlight w:val="none"/>
          <w:lang w:val="en-US" w:eastAsia="zh-CN"/>
        </w:rPr>
        <w:t>该配套用地不</w:t>
      </w:r>
      <w:r>
        <w:rPr>
          <w:rFonts w:hint="eastAsia" w:ascii="宋体" w:hAnsi="宋体" w:cs="宋体"/>
          <w:color w:val="auto"/>
          <w:szCs w:val="21"/>
          <w:highlight w:val="none"/>
          <w:lang w:val="en-US" w:eastAsia="zh-CN"/>
        </w:rPr>
        <w:t>作具体</w:t>
      </w:r>
      <w:r>
        <w:rPr>
          <w:rFonts w:hint="eastAsia" w:ascii="宋体" w:hAnsi="宋体" w:eastAsia="宋体" w:cs="宋体"/>
          <w:color w:val="auto"/>
          <w:szCs w:val="21"/>
          <w:highlight w:val="none"/>
          <w:lang w:val="en-US" w:eastAsia="zh-CN"/>
        </w:rPr>
        <w:t>运营时间约定</w:t>
      </w:r>
      <w:r>
        <w:rPr>
          <w:rFonts w:hint="eastAsia" w:ascii="宋体" w:hAnsi="宋体" w:cs="宋体"/>
          <w:color w:val="auto"/>
          <w:szCs w:val="21"/>
          <w:highlight w:val="none"/>
          <w:lang w:val="en-US" w:eastAsia="zh-CN"/>
        </w:rPr>
        <w:t>。服务期内，若因政府相关政策调整及规定需收回该配套用地，在招标人书面告知中标人收回场地缘由后，于限期30日历天内中标人须无条件撤场，场地承租费按实际发生时间周期为准，造成损失的，招标人无需就此承担任何赔偿责任。</w:t>
      </w:r>
    </w:p>
    <w:p w14:paraId="596B8DCF">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7.</w:t>
      </w:r>
      <w:r>
        <w:rPr>
          <w:rFonts w:hint="eastAsia" w:ascii="宋体" w:hAnsi="宋体" w:cs="宋体"/>
          <w:color w:val="auto"/>
          <w:szCs w:val="21"/>
          <w:highlight w:val="none"/>
          <w:lang w:val="en-US" w:eastAsia="zh-CN"/>
        </w:rPr>
        <w:t>本项目服务合同签订之日起一个月内，中标人须</w:t>
      </w:r>
      <w:r>
        <w:rPr>
          <w:rFonts w:hint="eastAsia" w:ascii="宋体" w:hAnsi="宋体" w:eastAsia="宋体" w:cs="宋体"/>
          <w:color w:val="auto"/>
          <w:szCs w:val="21"/>
          <w:highlight w:val="none"/>
          <w:lang w:val="en-US" w:eastAsia="zh-CN"/>
        </w:rPr>
        <w:t>签订不低于2家单体</w:t>
      </w:r>
      <w:r>
        <w:rPr>
          <w:rFonts w:hint="eastAsia" w:ascii="宋体" w:hAnsi="宋体" w:cs="宋体"/>
          <w:color w:val="auto"/>
          <w:szCs w:val="21"/>
          <w:highlight w:val="none"/>
          <w:lang w:val="en-US" w:eastAsia="zh-CN"/>
        </w:rPr>
        <w:t>5000</w:t>
      </w:r>
      <w:r>
        <w:rPr>
          <w:rFonts w:hint="eastAsia" w:ascii="宋体" w:hAnsi="宋体" w:eastAsia="宋体" w:cs="宋体"/>
          <w:color w:val="auto"/>
          <w:szCs w:val="21"/>
          <w:highlight w:val="none"/>
          <w:lang w:val="en-US" w:eastAsia="zh-CN"/>
        </w:rPr>
        <w:t>平</w:t>
      </w:r>
      <w:r>
        <w:rPr>
          <w:rFonts w:hint="eastAsia" w:ascii="宋体" w:hAnsi="宋体" w:cs="宋体"/>
          <w:color w:val="auto"/>
          <w:szCs w:val="21"/>
          <w:highlight w:val="none"/>
          <w:lang w:val="en-US" w:eastAsia="zh-CN"/>
        </w:rPr>
        <w:t>及</w:t>
      </w:r>
      <w:r>
        <w:rPr>
          <w:rFonts w:hint="eastAsia" w:ascii="宋体" w:hAnsi="宋体" w:eastAsia="宋体" w:cs="宋体"/>
          <w:color w:val="auto"/>
          <w:szCs w:val="21"/>
          <w:highlight w:val="none"/>
          <w:lang w:val="en-US" w:eastAsia="zh-CN"/>
        </w:rPr>
        <w:t>以上的智慧型体育综合体项目，并承诺在一年内打造出不低于一家省级</w:t>
      </w:r>
      <w:r>
        <w:rPr>
          <w:rFonts w:hint="eastAsia" w:ascii="宋体" w:hAnsi="宋体" w:cs="宋体"/>
          <w:color w:val="auto"/>
          <w:szCs w:val="21"/>
          <w:highlight w:val="none"/>
          <w:lang w:val="en-US" w:eastAsia="zh-CN"/>
        </w:rPr>
        <w:t>及</w:t>
      </w:r>
      <w:r>
        <w:rPr>
          <w:rFonts w:hint="eastAsia" w:ascii="宋体" w:hAnsi="宋体" w:eastAsia="宋体" w:cs="宋体"/>
          <w:color w:val="auto"/>
          <w:szCs w:val="21"/>
          <w:highlight w:val="none"/>
          <w:lang w:val="en-US" w:eastAsia="zh-CN"/>
        </w:rPr>
        <w:t>以上的智慧型体育产业示范基地，所选体育项目需结合项目定位，场地设施条件及当地体育需求。且2</w:t>
      </w:r>
      <w:r>
        <w:rPr>
          <w:rFonts w:hint="eastAsia" w:ascii="宋体" w:hAnsi="宋体" w:cs="宋体"/>
          <w:color w:val="auto"/>
          <w:szCs w:val="21"/>
          <w:highlight w:val="none"/>
          <w:lang w:val="en-US" w:eastAsia="zh-CN"/>
        </w:rPr>
        <w:t>家</w:t>
      </w:r>
      <w:r>
        <w:rPr>
          <w:rFonts w:hint="eastAsia" w:ascii="宋体" w:hAnsi="宋体" w:eastAsia="宋体" w:cs="宋体"/>
          <w:color w:val="auto"/>
          <w:szCs w:val="21"/>
          <w:highlight w:val="none"/>
          <w:lang w:val="en-US" w:eastAsia="zh-CN"/>
        </w:rPr>
        <w:t>体育项目分属不同品类</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避免同质化问题，确保运营服务的多样性与覆盖广度符合相关要求</w:t>
      </w:r>
      <w:r>
        <w:rPr>
          <w:rFonts w:hint="eastAsia" w:ascii="宋体" w:hAnsi="宋体" w:cs="宋体"/>
          <w:color w:val="auto"/>
          <w:szCs w:val="21"/>
          <w:highlight w:val="none"/>
          <w:lang w:val="en-US" w:eastAsia="zh-CN"/>
        </w:rPr>
        <w:t>。本项目服务合同签订之日起两个月内完成所签订的单体5000平及以上的智慧型体育综合体的设计改造方案并开始施工</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场地移交后两个月内</w:t>
      </w:r>
      <w:r>
        <w:rPr>
          <w:rFonts w:hint="eastAsia" w:ascii="宋体" w:hAnsi="宋体" w:eastAsia="宋体" w:cs="宋体"/>
          <w:color w:val="auto"/>
          <w:szCs w:val="21"/>
          <w:highlight w:val="none"/>
          <w:lang w:val="en-US" w:eastAsia="zh-CN"/>
        </w:rPr>
        <w:t>正式试运营。</w:t>
      </w:r>
      <w:r>
        <w:rPr>
          <w:rFonts w:hint="eastAsia" w:ascii="宋体" w:hAnsi="宋体" w:cs="宋体"/>
          <w:color w:val="auto"/>
          <w:szCs w:val="21"/>
          <w:highlight w:val="none"/>
          <w:lang w:val="en-US" w:eastAsia="zh-CN"/>
        </w:rPr>
        <w:t>未</w:t>
      </w:r>
      <w:r>
        <w:rPr>
          <w:rFonts w:hint="eastAsia" w:ascii="宋体" w:hAnsi="宋体" w:eastAsia="宋体" w:cs="宋体"/>
          <w:color w:val="auto"/>
          <w:szCs w:val="21"/>
          <w:highlight w:val="none"/>
          <w:lang w:val="en-US" w:eastAsia="zh-CN"/>
        </w:rPr>
        <w:t>按预期完成体育项目的招商，影响到开业时间，招标人有权</w:t>
      </w:r>
      <w:r>
        <w:rPr>
          <w:rFonts w:hint="eastAsia" w:ascii="宋体" w:hAnsi="宋体" w:cs="宋体"/>
          <w:color w:val="auto"/>
          <w:szCs w:val="21"/>
          <w:highlight w:val="none"/>
          <w:lang w:val="en-US" w:eastAsia="zh-CN"/>
        </w:rPr>
        <w:t>单方终止合同</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履约保证金及承租费</w:t>
      </w:r>
      <w:r>
        <w:rPr>
          <w:rFonts w:hint="eastAsia" w:ascii="宋体" w:hAnsi="宋体" w:eastAsia="宋体" w:cs="宋体"/>
          <w:color w:val="auto"/>
          <w:szCs w:val="21"/>
          <w:highlight w:val="none"/>
          <w:lang w:val="en-US" w:eastAsia="zh-CN"/>
        </w:rPr>
        <w:t>不予退还。</w:t>
      </w:r>
    </w:p>
    <w:p w14:paraId="5A39036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8.本项目服务合同签订之日起第一个月，</w:t>
      </w:r>
      <w:r>
        <w:rPr>
          <w:rFonts w:hint="eastAsia" w:ascii="宋体" w:hAnsi="宋体" w:eastAsia="宋体" w:cs="宋体"/>
          <w:color w:val="auto"/>
          <w:szCs w:val="21"/>
          <w:highlight w:val="none"/>
          <w:lang w:val="en-US" w:eastAsia="zh-CN"/>
        </w:rPr>
        <w:t>中标人须完成场地的测绘、规划设计方案、鸟瞰图、效果图</w:t>
      </w:r>
      <w:r>
        <w:rPr>
          <w:rFonts w:hint="eastAsia" w:ascii="宋体" w:hAnsi="宋体" w:cs="宋体"/>
          <w:color w:val="auto"/>
          <w:szCs w:val="21"/>
          <w:highlight w:val="none"/>
          <w:lang w:val="en-US" w:eastAsia="zh-CN"/>
        </w:rPr>
        <w:t>，同时报至招标人处；招标人移交场地后</w:t>
      </w:r>
      <w:r>
        <w:rPr>
          <w:rFonts w:hint="eastAsia" w:ascii="宋体" w:hAnsi="宋体" w:eastAsia="宋体" w:cs="宋体"/>
          <w:color w:val="auto"/>
          <w:szCs w:val="21"/>
          <w:highlight w:val="none"/>
          <w:lang w:val="en-US" w:eastAsia="zh-CN"/>
        </w:rPr>
        <w:t>第</w:t>
      </w:r>
      <w:r>
        <w:rPr>
          <w:rFonts w:hint="eastAsia" w:ascii="宋体" w:hAnsi="宋体" w:cs="宋体"/>
          <w:color w:val="auto"/>
          <w:szCs w:val="21"/>
          <w:highlight w:val="none"/>
          <w:lang w:val="en-US" w:eastAsia="zh-CN"/>
        </w:rPr>
        <w:t>一</w:t>
      </w:r>
      <w:r>
        <w:rPr>
          <w:rFonts w:hint="eastAsia" w:ascii="宋体" w:hAnsi="宋体" w:eastAsia="宋体" w:cs="宋体"/>
          <w:color w:val="auto"/>
          <w:szCs w:val="21"/>
          <w:highlight w:val="none"/>
          <w:lang w:val="en-US" w:eastAsia="zh-CN"/>
        </w:rPr>
        <w:t>个月启动项目改造，确保</w:t>
      </w:r>
      <w:r>
        <w:rPr>
          <w:rFonts w:hint="eastAsia" w:ascii="宋体" w:hAnsi="宋体" w:cs="宋体"/>
          <w:color w:val="auto"/>
          <w:szCs w:val="21"/>
          <w:highlight w:val="none"/>
          <w:lang w:val="en-US" w:eastAsia="zh-CN"/>
        </w:rPr>
        <w:t>在两个月内</w:t>
      </w:r>
      <w:r>
        <w:rPr>
          <w:rFonts w:hint="eastAsia" w:ascii="宋体" w:hAnsi="宋体" w:eastAsia="宋体" w:cs="宋体"/>
          <w:color w:val="auto"/>
          <w:szCs w:val="21"/>
          <w:highlight w:val="none"/>
          <w:lang w:val="en-US" w:eastAsia="zh-CN"/>
        </w:rPr>
        <w:t>完成项目改造并验收</w:t>
      </w:r>
      <w:r>
        <w:rPr>
          <w:rFonts w:hint="eastAsia" w:ascii="宋体" w:hAnsi="宋体" w:cs="宋体"/>
          <w:color w:val="auto"/>
          <w:szCs w:val="21"/>
          <w:highlight w:val="none"/>
          <w:lang w:val="en-US" w:eastAsia="zh-CN"/>
        </w:rPr>
        <w:t>。改造完成并验收后一个月内</w:t>
      </w:r>
      <w:r>
        <w:rPr>
          <w:rFonts w:hint="eastAsia" w:ascii="宋体" w:hAnsi="宋体" w:eastAsia="宋体" w:cs="宋体"/>
          <w:color w:val="auto"/>
          <w:szCs w:val="21"/>
          <w:highlight w:val="none"/>
          <w:lang w:val="en-US" w:eastAsia="zh-CN"/>
        </w:rPr>
        <w:t>招商入驻率不低于</w:t>
      </w:r>
      <w:r>
        <w:rPr>
          <w:rFonts w:hint="eastAsia" w:ascii="宋体" w:hAnsi="宋体" w:cs="宋体"/>
          <w:color w:val="auto"/>
          <w:szCs w:val="21"/>
          <w:highlight w:val="none"/>
          <w:lang w:val="en-US" w:eastAsia="zh-CN"/>
        </w:rPr>
        <w:t>80</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，两个月内</w:t>
      </w:r>
      <w:r>
        <w:rPr>
          <w:rFonts w:hint="eastAsia" w:ascii="宋体" w:hAnsi="宋体" w:eastAsia="宋体" w:cs="宋体"/>
          <w:color w:val="auto"/>
          <w:szCs w:val="21"/>
          <w:highlight w:val="none"/>
          <w:lang w:val="en-US" w:eastAsia="zh-CN"/>
        </w:rPr>
        <w:t>不低于</w:t>
      </w:r>
      <w:r>
        <w:rPr>
          <w:rFonts w:hint="eastAsia" w:ascii="宋体" w:hAnsi="宋体" w:cs="宋体"/>
          <w:color w:val="auto"/>
          <w:szCs w:val="21"/>
          <w:highlight w:val="none"/>
          <w:lang w:val="en-US" w:eastAsia="zh-CN"/>
        </w:rPr>
        <w:t>85</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三个月内招商入驻率达90</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（入驻率为招商租赁的房产面积）</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招标人场地移交后三个月内园区</w:t>
      </w:r>
      <w:r>
        <w:rPr>
          <w:rFonts w:hint="eastAsia" w:ascii="宋体" w:hAnsi="宋体" w:eastAsia="宋体" w:cs="宋体"/>
          <w:color w:val="auto"/>
          <w:szCs w:val="21"/>
          <w:highlight w:val="none"/>
          <w:lang w:val="en-US" w:eastAsia="zh-CN"/>
        </w:rPr>
        <w:t>项目试运营，</w:t>
      </w:r>
      <w:r>
        <w:rPr>
          <w:rFonts w:hint="eastAsia" w:ascii="宋体" w:hAnsi="宋体" w:cs="宋体"/>
          <w:color w:val="auto"/>
          <w:szCs w:val="21"/>
          <w:highlight w:val="none"/>
          <w:lang w:val="en-US" w:eastAsia="zh-CN"/>
        </w:rPr>
        <w:t>场地移交后四个月内</w:t>
      </w:r>
      <w:r>
        <w:rPr>
          <w:rFonts w:hint="eastAsia" w:ascii="宋体" w:hAnsi="宋体" w:eastAsia="宋体" w:cs="宋体"/>
          <w:color w:val="auto"/>
          <w:szCs w:val="21"/>
          <w:highlight w:val="none"/>
          <w:lang w:val="en-US" w:eastAsia="zh-CN"/>
        </w:rPr>
        <w:t>园区及附属用地全面开业运营，</w:t>
      </w:r>
      <w:r>
        <w:rPr>
          <w:rFonts w:hint="eastAsia" w:ascii="宋体" w:hAnsi="宋体" w:cs="宋体"/>
          <w:color w:val="auto"/>
          <w:szCs w:val="21"/>
          <w:highlight w:val="none"/>
          <w:lang w:val="en-US" w:eastAsia="zh-CN"/>
        </w:rPr>
        <w:t>全面开业运营指体育、餐饮、娱乐、商业零售等规划业态均实现对外营业，整体运营系统进入稳定服务状态；未按</w:t>
      </w:r>
      <w:r>
        <w:rPr>
          <w:rFonts w:hint="eastAsia" w:ascii="宋体" w:hAnsi="宋体" w:eastAsia="宋体" w:cs="宋体"/>
          <w:color w:val="auto"/>
          <w:szCs w:val="21"/>
          <w:highlight w:val="none"/>
          <w:lang w:val="en-US" w:eastAsia="zh-CN"/>
        </w:rPr>
        <w:t>预期完成各阶段的实施方案，招标人有权</w:t>
      </w:r>
      <w:r>
        <w:rPr>
          <w:rFonts w:hint="eastAsia" w:ascii="宋体" w:hAnsi="宋体" w:cs="宋体"/>
          <w:color w:val="auto"/>
          <w:szCs w:val="21"/>
          <w:highlight w:val="none"/>
          <w:lang w:val="en-US" w:eastAsia="zh-CN"/>
        </w:rPr>
        <w:t>单方终止合同并清场</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履约保证金及承租费</w:t>
      </w:r>
      <w:r>
        <w:rPr>
          <w:rFonts w:hint="eastAsia" w:ascii="宋体" w:hAnsi="宋体" w:eastAsia="宋体" w:cs="宋体"/>
          <w:color w:val="auto"/>
          <w:szCs w:val="21"/>
          <w:highlight w:val="none"/>
          <w:lang w:val="en-US" w:eastAsia="zh-CN"/>
        </w:rPr>
        <w:t>不予退还。</w:t>
      </w:r>
    </w:p>
    <w:p w14:paraId="00D62D72">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00" w:lineRule="exact"/>
        <w:ind w:left="0" w:leftChars="0" w:firstLine="420" w:firstLineChars="200"/>
        <w:jc w:val="left"/>
        <w:textAlignment w:val="auto"/>
        <w:rPr>
          <w:rFonts w:hint="eastAsia" w:ascii="宋体" w:hAnsi="宋体" w:cs="宋体"/>
          <w:b/>
          <w:bCs/>
          <w:color w:val="auto"/>
          <w:szCs w:val="21"/>
          <w:highlight w:val="none"/>
          <w:lang w:val="en-US" w:eastAsia="zh-CN"/>
        </w:rPr>
      </w:pPr>
      <w:r>
        <w:rPr>
          <w:rFonts w:hint="eastAsia" w:ascii="宋体" w:hAnsi="宋体" w:cs="宋体"/>
          <w:color w:val="auto"/>
          <w:szCs w:val="21"/>
          <w:highlight w:val="none"/>
          <w:lang w:val="en-US" w:eastAsia="zh-CN"/>
        </w:rPr>
        <w:t>9.</w:t>
      </w:r>
      <w:r>
        <w:rPr>
          <w:rFonts w:hint="default" w:ascii="宋体" w:hAnsi="宋体" w:cs="宋体"/>
          <w:color w:val="auto"/>
          <w:szCs w:val="21"/>
          <w:highlight w:val="none"/>
          <w:lang w:val="en-US" w:eastAsia="zh-CN"/>
        </w:rPr>
        <w:t>中标人须对招标人指定的园区内特定场地（具体位置由招标人确认），进行专业化改造，打造一个主题鲜明、内容完整、体验丰富的“扬子发展历程工业</w:t>
      </w:r>
      <w:r>
        <w:rPr>
          <w:rFonts w:hint="eastAsia" w:ascii="宋体" w:hAnsi="宋体" w:cs="宋体"/>
          <w:color w:val="auto"/>
          <w:szCs w:val="21"/>
          <w:highlight w:val="none"/>
          <w:lang w:val="en-US" w:eastAsia="zh-CN"/>
        </w:rPr>
        <w:t>展示区</w:t>
      </w:r>
      <w:r>
        <w:rPr>
          <w:rFonts w:hint="default" w:ascii="宋体" w:hAnsi="宋体" w:cs="宋体"/>
          <w:color w:val="auto"/>
          <w:szCs w:val="21"/>
          <w:highlight w:val="none"/>
          <w:lang w:val="en-US" w:eastAsia="zh-CN"/>
        </w:rPr>
        <w:t>”。</w:t>
      </w:r>
      <w:r>
        <w:rPr>
          <w:rFonts w:hint="eastAsia" w:ascii="宋体" w:hAnsi="宋体" w:cs="宋体"/>
          <w:color w:val="auto"/>
          <w:szCs w:val="21"/>
          <w:highlight w:val="none"/>
          <w:lang w:val="en-US" w:eastAsia="zh-CN"/>
        </w:rPr>
        <w:t>工业展示区</w:t>
      </w:r>
      <w:r>
        <w:rPr>
          <w:rFonts w:hint="default" w:ascii="宋体" w:hAnsi="宋体" w:cs="宋体"/>
          <w:color w:val="auto"/>
          <w:szCs w:val="21"/>
          <w:highlight w:val="none"/>
          <w:lang w:val="en-US" w:eastAsia="zh-CN"/>
        </w:rPr>
        <w:t>须系统展示扬子集团从创立至今具有代表性的工业成就、产品演进、技术创新及企业文化，体现其在国家及地方工业发展历程中的重要地位与历史贡献。改造与展陈设计、建设、运营及维护所需全部费用由中标人承担。</w:t>
      </w:r>
      <w:r>
        <w:rPr>
          <w:rFonts w:hint="eastAsia" w:ascii="宋体" w:hAnsi="宋体" w:cs="宋体"/>
          <w:color w:val="auto"/>
          <w:szCs w:val="21"/>
          <w:highlight w:val="none"/>
          <w:lang w:val="en-US" w:eastAsia="zh-CN"/>
        </w:rPr>
        <w:t>建设与运营方案须报招标人审核，并最终由招标人验收认可。</w:t>
      </w:r>
    </w:p>
    <w:p w14:paraId="34951B1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500" w:lineRule="exact"/>
        <w:ind w:left="0" w:leftChars="0" w:firstLine="422" w:firstLineChars="200"/>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lang w:val="en-US" w:eastAsia="zh-CN"/>
        </w:rPr>
        <w:t>项目招标范围图：</w:t>
      </w:r>
    </w:p>
    <w:p w14:paraId="48713554">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1" w:after="0" w:afterAutospacing="1" w:line="240" w:lineRule="auto"/>
        <w:textAlignment w:val="auto"/>
        <w:rPr>
          <w:rFonts w:hint="eastAsia" w:ascii="宋体" w:eastAsia="宋体"/>
          <w:b/>
          <w:bCs/>
          <w:color w:val="auto"/>
          <w:sz w:val="36"/>
          <w:szCs w:val="52"/>
          <w:highlight w:val="none"/>
          <w:lang w:eastAsia="zh-CN"/>
        </w:rPr>
      </w:pPr>
      <w:r>
        <w:rPr>
          <w:rFonts w:hint="eastAsia" w:ascii="宋体" w:eastAsia="宋体"/>
          <w:b/>
          <w:bCs/>
          <w:color w:val="auto"/>
          <w:sz w:val="36"/>
          <w:szCs w:val="52"/>
          <w:highlight w:val="none"/>
          <w:lang w:eastAsia="zh-CN"/>
        </w:rPr>
        <w:drawing>
          <wp:inline distT="0" distB="0" distL="114300" distR="114300">
            <wp:extent cx="5287010" cy="3801745"/>
            <wp:effectExtent l="0" t="0" r="8890" b="8255"/>
            <wp:docPr id="3" name="图片 3" descr="C:/Users/Lenovo/Desktop/平面图.png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Desktop/平面图.png平面图"/>
                    <pic:cNvPicPr>
                      <a:picLocks noChangeAspect="1"/>
                    </pic:cNvPicPr>
                  </pic:nvPicPr>
                  <pic:blipFill>
                    <a:blip r:embed="rId8"/>
                    <a:srcRect t="3219" b="3219"/>
                    <a:stretch>
                      <a:fillRect/>
                    </a:stretch>
                  </pic:blipFill>
                  <pic:spPr>
                    <a:xfrm>
                      <a:off x="0" y="0"/>
                      <a:ext cx="5287010" cy="3801745"/>
                    </a:xfrm>
                    <a:prstGeom prst="rect">
                      <a:avLst/>
                    </a:prstGeom>
                  </pic:spPr>
                </pic:pic>
              </a:graphicData>
            </a:graphic>
          </wp:inline>
        </w:drawing>
      </w:r>
    </w:p>
    <w:p w14:paraId="4A0DA97F">
      <w:pPr>
        <w:spacing w:line="440" w:lineRule="exact"/>
        <w:ind w:firstLine="542" w:firstLineChars="150"/>
        <w:jc w:val="center"/>
        <w:rPr>
          <w:rFonts w:hint="eastAsia" w:ascii="宋体"/>
          <w:b/>
          <w:bCs/>
          <w:color w:val="auto"/>
          <w:sz w:val="36"/>
          <w:szCs w:val="52"/>
          <w:highlight w:val="none"/>
        </w:rPr>
      </w:pPr>
    </w:p>
    <w:p w14:paraId="5DA2A363">
      <w:pPr>
        <w:spacing w:line="440" w:lineRule="exact"/>
        <w:ind w:firstLine="542" w:firstLineChars="150"/>
        <w:jc w:val="center"/>
        <w:rPr>
          <w:rFonts w:hint="eastAsia" w:ascii="宋体"/>
          <w:b/>
          <w:bCs/>
          <w:color w:val="auto"/>
          <w:sz w:val="36"/>
          <w:szCs w:val="52"/>
          <w:highlight w:val="none"/>
        </w:rPr>
      </w:pPr>
    </w:p>
    <w:p w14:paraId="18C81DE4">
      <w:pPr>
        <w:spacing w:line="440" w:lineRule="exact"/>
        <w:ind w:firstLine="542" w:firstLineChars="150"/>
        <w:jc w:val="center"/>
        <w:rPr>
          <w:rFonts w:hint="eastAsia" w:ascii="宋体"/>
          <w:b/>
          <w:bCs/>
          <w:color w:val="auto"/>
          <w:sz w:val="36"/>
          <w:szCs w:val="52"/>
          <w:highlight w:val="none"/>
        </w:rPr>
      </w:pPr>
    </w:p>
    <w:p w14:paraId="5249D695">
      <w:pPr>
        <w:spacing w:line="440" w:lineRule="exact"/>
        <w:ind w:firstLine="542" w:firstLineChars="150"/>
        <w:jc w:val="center"/>
        <w:rPr>
          <w:rFonts w:hint="eastAsia" w:ascii="宋体"/>
          <w:b/>
          <w:bCs/>
          <w:color w:val="auto"/>
          <w:sz w:val="36"/>
          <w:szCs w:val="52"/>
          <w:highlight w:val="none"/>
        </w:rPr>
      </w:pPr>
    </w:p>
    <w:p w14:paraId="4BABF3BA">
      <w:pPr>
        <w:spacing w:line="440" w:lineRule="exact"/>
        <w:jc w:val="both"/>
        <w:rPr>
          <w:rFonts w:hint="default" w:ascii="宋体" w:eastAsia="宋体"/>
          <w:b/>
          <w:bCs/>
          <w:color w:val="auto"/>
          <w:sz w:val="36"/>
          <w:szCs w:val="52"/>
          <w:highlight w:val="none"/>
          <w:lang w:val="en-US" w:eastAsia="zh-CN"/>
        </w:rPr>
      </w:pPr>
    </w:p>
    <w:p w14:paraId="6CF255B2">
      <w:pPr>
        <w:rPr>
          <w:rFonts w:hint="eastAsia" w:ascii="宋体"/>
          <w:b/>
          <w:bCs/>
          <w:color w:val="auto"/>
          <w:sz w:val="36"/>
          <w:szCs w:val="52"/>
          <w:highlight w:val="none"/>
        </w:rPr>
      </w:pPr>
      <w:r>
        <w:rPr>
          <w:rFonts w:hint="eastAsia" w:ascii="宋体"/>
          <w:b/>
          <w:bCs/>
          <w:color w:val="auto"/>
          <w:sz w:val="36"/>
          <w:szCs w:val="52"/>
          <w:highlight w:val="none"/>
        </w:rPr>
        <w:br w:type="page"/>
      </w:r>
    </w:p>
    <w:p w14:paraId="7AA68F55">
      <w:pPr>
        <w:spacing w:line="440" w:lineRule="exact"/>
        <w:ind w:firstLine="542" w:firstLineChars="150"/>
        <w:jc w:val="center"/>
        <w:rPr>
          <w:rFonts w:ascii="宋体"/>
          <w:b w:val="0"/>
          <w:color w:val="auto"/>
          <w:szCs w:val="32"/>
          <w:highlight w:val="none"/>
        </w:rPr>
      </w:pPr>
      <w:r>
        <w:rPr>
          <w:rFonts w:hint="eastAsia" w:ascii="宋体"/>
          <w:b/>
          <w:bCs/>
          <w:color w:val="auto"/>
          <w:sz w:val="36"/>
          <w:szCs w:val="52"/>
          <w:highlight w:val="none"/>
        </w:rPr>
        <w:t>第五章  合同条款及格式</w:t>
      </w:r>
      <w:bookmarkEnd w:id="79"/>
      <w:bookmarkEnd w:id="80"/>
    </w:p>
    <w:p w14:paraId="004F410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Fonts w:hint="eastAsia" w:ascii="宋体" w:hAnsi="宋体" w:eastAsia="宋体" w:cs="宋体"/>
          <w:i w:val="0"/>
          <w:iCs w:val="0"/>
          <w:caps w:val="0"/>
          <w:color w:val="auto"/>
          <w:spacing w:val="0"/>
          <w:sz w:val="21"/>
          <w:szCs w:val="21"/>
        </w:rPr>
      </w:pPr>
      <w:bookmarkStart w:id="81" w:name="_Toc449028948"/>
      <w:r>
        <w:rPr>
          <w:rStyle w:val="38"/>
          <w:rFonts w:hint="eastAsia" w:ascii="宋体" w:hAnsi="宋体" w:eastAsia="宋体" w:cs="宋体"/>
          <w:b/>
          <w:bCs/>
          <w:i w:val="0"/>
          <w:iCs w:val="0"/>
          <w:caps w:val="0"/>
          <w:color w:val="auto"/>
          <w:spacing w:val="0"/>
          <w:sz w:val="21"/>
          <w:szCs w:val="21"/>
          <w:shd w:val="clear" w:fill="FFFFFF"/>
        </w:rPr>
        <w:t>甲方（招标人/委托方）：</w:t>
      </w:r>
      <w:r>
        <w:rPr>
          <w:rFonts w:hint="eastAsia" w:ascii="宋体" w:hAnsi="宋体" w:eastAsia="宋体" w:cs="宋体"/>
          <w:i w:val="0"/>
          <w:iCs w:val="0"/>
          <w:caps w:val="0"/>
          <w:color w:val="auto"/>
          <w:spacing w:val="0"/>
          <w:sz w:val="21"/>
          <w:szCs w:val="21"/>
          <w:shd w:val="clear" w:fill="FFFFFF"/>
        </w:rPr>
        <w:t>中国扬子集团有限公司</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统一社会信用代码：</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法定代表人：</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住所地：</w:t>
      </w:r>
      <w:r>
        <w:rPr>
          <w:rFonts w:hint="eastAsia" w:ascii="宋体" w:hAnsi="宋体" w:eastAsia="宋体" w:cs="宋体"/>
          <w:i w:val="0"/>
          <w:iCs w:val="0"/>
          <w:caps w:val="0"/>
          <w:color w:val="auto"/>
          <w:spacing w:val="0"/>
          <w:sz w:val="21"/>
          <w:szCs w:val="21"/>
          <w:shd w:val="clear" w:fill="FFFFFF"/>
        </w:rPr>
        <w:t>滁州市南谯区中都大道与醉翁路交叉口西南角城投大厦4楼</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联系人：</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联系电话：</w:t>
      </w:r>
      <w:r>
        <w:rPr>
          <w:rFonts w:hint="eastAsia" w:ascii="宋体" w:hAnsi="宋体" w:eastAsia="宋体" w:cs="宋体"/>
          <w:i w:val="0"/>
          <w:iCs w:val="0"/>
          <w:caps w:val="0"/>
          <w:color w:val="auto"/>
          <w:spacing w:val="0"/>
          <w:sz w:val="21"/>
          <w:szCs w:val="21"/>
          <w:shd w:val="clear" w:fill="FFFFFF"/>
        </w:rPr>
        <w:t>________________</w:t>
      </w:r>
    </w:p>
    <w:p w14:paraId="171087B0">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乙方（中标人/受托方）：</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统一社会信用代码：</w:t>
      </w:r>
      <w:r>
        <w:rPr>
          <w:rFonts w:hint="eastAsia" w:ascii="宋体" w:hAnsi="宋体" w:eastAsia="宋体" w:cs="宋体"/>
          <w:i w:val="0"/>
          <w:iCs w:val="0"/>
          <w:caps w:val="0"/>
          <w:color w:val="auto"/>
          <w:spacing w:val="0"/>
          <w:sz w:val="21"/>
          <w:szCs w:val="21"/>
          <w:shd w:val="clear" w:fill="FFFFFF"/>
        </w:rPr>
        <w:t>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法定代表人：</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住所地：</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联系人：</w:t>
      </w:r>
      <w:r>
        <w:rPr>
          <w:rFonts w:hint="eastAsia" w:ascii="宋体" w:hAnsi="宋体" w:eastAsia="宋体" w:cs="宋体"/>
          <w:i w:val="0"/>
          <w:iCs w:val="0"/>
          <w:caps w:val="0"/>
          <w:color w:val="auto"/>
          <w:spacing w:val="0"/>
          <w:sz w:val="21"/>
          <w:szCs w:val="21"/>
          <w:shd w:val="clear" w:fill="FFFFFF"/>
        </w:rPr>
        <w:t>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联系电话：</w:t>
      </w:r>
      <w:r>
        <w:rPr>
          <w:rFonts w:hint="eastAsia" w:ascii="宋体" w:hAnsi="宋体" w:eastAsia="宋体" w:cs="宋体"/>
          <w:i w:val="0"/>
          <w:iCs w:val="0"/>
          <w:caps w:val="0"/>
          <w:color w:val="auto"/>
          <w:spacing w:val="0"/>
          <w:sz w:val="21"/>
          <w:szCs w:val="21"/>
          <w:shd w:val="clear" w:fill="FFFFFF"/>
        </w:rPr>
        <w:t>________________</w:t>
      </w:r>
    </w:p>
    <w:p w14:paraId="1B28551E">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jc w:val="center"/>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前言</w:t>
      </w:r>
    </w:p>
    <w:p w14:paraId="31CCECB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根据《中华人民共和国民法典》《中华人民共和国招标投标法》等相关法律法规之规定，按照平等、自愿、公平和诚实信用的原则，甲方通过公开招标方式采购“滁州市扬子大道768号文创园经营服务项目”，经评标委员会评定，乙方为本项目中标人。现甲方与乙方在充分理解本招标文件及乙方投标文件的基础上，签订本合同，以兹共同遵守、全面履行。</w:t>
      </w:r>
    </w:p>
    <w:p w14:paraId="3BEF771E">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一、定义与解释</w:t>
      </w:r>
    </w:p>
    <w:p w14:paraId="6979078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1.1 服务</w:t>
      </w:r>
    </w:p>
    <w:p w14:paraId="0BADBE4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本合同所称“服务”，是指乙方依据本合同的约定，</w:t>
      </w:r>
      <w:r>
        <w:rPr>
          <w:rFonts w:hint="eastAsia" w:cs="宋体"/>
          <w:i w:val="0"/>
          <w:iCs w:val="0"/>
          <w:caps w:val="0"/>
          <w:color w:val="auto"/>
          <w:spacing w:val="0"/>
          <w:sz w:val="21"/>
          <w:szCs w:val="21"/>
          <w:shd w:val="clear" w:fill="FFFFFF"/>
          <w:lang w:val="en-US" w:eastAsia="zh-CN"/>
        </w:rPr>
        <w:t>进行全委托运营管理</w:t>
      </w:r>
      <w:r>
        <w:rPr>
          <w:rFonts w:hint="eastAsia" w:ascii="宋体" w:hAnsi="宋体" w:eastAsia="宋体" w:cs="宋体"/>
          <w:i w:val="0"/>
          <w:iCs w:val="0"/>
          <w:caps w:val="0"/>
          <w:color w:val="auto"/>
          <w:spacing w:val="0"/>
          <w:sz w:val="21"/>
          <w:szCs w:val="21"/>
          <w:shd w:val="clear" w:fill="FFFFFF"/>
        </w:rPr>
        <w:t>。具体服务内容详见</w:t>
      </w:r>
      <w:r>
        <w:rPr>
          <w:rFonts w:hint="eastAsia" w:cs="宋体"/>
          <w:i w:val="0"/>
          <w:iCs w:val="0"/>
          <w:caps w:val="0"/>
          <w:color w:val="auto"/>
          <w:spacing w:val="0"/>
          <w:sz w:val="21"/>
          <w:szCs w:val="21"/>
          <w:shd w:val="clear" w:fill="FFFFFF"/>
          <w:lang w:val="en-US" w:eastAsia="zh-CN"/>
        </w:rPr>
        <w:t>招标文件第四章《采购内容及服务要求》</w:t>
      </w:r>
      <w:r>
        <w:rPr>
          <w:rFonts w:hint="eastAsia" w:ascii="宋体" w:hAnsi="宋体" w:eastAsia="宋体" w:cs="宋体"/>
          <w:i w:val="0"/>
          <w:iCs w:val="0"/>
          <w:caps w:val="0"/>
          <w:color w:val="auto"/>
          <w:spacing w:val="0"/>
          <w:sz w:val="21"/>
          <w:szCs w:val="21"/>
          <w:shd w:val="clear" w:fill="FFFFFF"/>
        </w:rPr>
        <w:t>及乙方投标文件中。</w:t>
      </w:r>
    </w:p>
    <w:p w14:paraId="739F924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1.2 项目场地</w:t>
      </w:r>
    </w:p>
    <w:p w14:paraId="18667AB9">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cs="宋体"/>
          <w:i w:val="0"/>
          <w:iCs w:val="0"/>
          <w:caps w:val="0"/>
          <w:color w:val="auto"/>
          <w:spacing w:val="0"/>
          <w:sz w:val="21"/>
          <w:szCs w:val="21"/>
          <w:shd w:val="clear" w:fill="FFFFFF"/>
          <w:lang w:eastAsia="zh-CN"/>
        </w:rPr>
      </w:pPr>
      <w:r>
        <w:rPr>
          <w:rFonts w:hint="eastAsia" w:ascii="宋体" w:hAnsi="宋体" w:eastAsia="宋体" w:cs="宋体"/>
          <w:i w:val="0"/>
          <w:iCs w:val="0"/>
          <w:caps w:val="0"/>
          <w:color w:val="auto"/>
          <w:spacing w:val="0"/>
          <w:sz w:val="21"/>
          <w:szCs w:val="21"/>
          <w:shd w:val="clear" w:fill="FFFFFF"/>
        </w:rPr>
        <w:t>本合同所称“项目场地”包括：</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1）位于滁州市琅琊区扬子大道768号的原厂区，以下简称“768号园区”。项目建筑面积约为24000平方米，以实际交付为准；其中包括1栋单层框架结构厂房，建筑面积约6500平方米；7跨单层钢结构厂房，层高8米，面积约12200平方米；1栋单层砖混结构厂房层高6米，面积约1850平米；办公楼2栋，分别为四层、面积约2318平米和二层、面积约1260平米</w:t>
      </w:r>
      <w:r>
        <w:rPr>
          <w:rFonts w:hint="eastAsia" w:cs="宋体"/>
          <w:i w:val="0"/>
          <w:iCs w:val="0"/>
          <w:caps w:val="0"/>
          <w:color w:val="auto"/>
          <w:spacing w:val="0"/>
          <w:sz w:val="21"/>
          <w:szCs w:val="21"/>
          <w:shd w:val="clear" w:fill="FFFFFF"/>
          <w:lang w:eastAsia="zh-CN"/>
        </w:rPr>
        <w:t>。</w:t>
      </w:r>
    </w:p>
    <w:p w14:paraId="06F3A59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（2）位于</w:t>
      </w:r>
      <w:r>
        <w:rPr>
          <w:rFonts w:hint="eastAsia" w:cs="宋体"/>
          <w:i w:val="0"/>
          <w:iCs w:val="0"/>
          <w:caps w:val="0"/>
          <w:color w:val="auto"/>
          <w:spacing w:val="0"/>
          <w:sz w:val="21"/>
          <w:szCs w:val="21"/>
          <w:shd w:val="clear" w:fill="FFFFFF"/>
          <w:lang w:eastAsia="zh-CN"/>
        </w:rPr>
        <w:t>768号园区南面</w:t>
      </w:r>
      <w:r>
        <w:rPr>
          <w:rFonts w:hint="eastAsia" w:ascii="宋体" w:hAnsi="宋体" w:eastAsia="宋体" w:cs="宋体"/>
          <w:i w:val="0"/>
          <w:iCs w:val="0"/>
          <w:caps w:val="0"/>
          <w:color w:val="auto"/>
          <w:spacing w:val="0"/>
          <w:sz w:val="21"/>
          <w:szCs w:val="21"/>
          <w:shd w:val="clear" w:fill="FFFFFF"/>
        </w:rPr>
        <w:t>的约205亩空地，以下简称“205亩配套用地”。该用地性质为临时配套用地。</w:t>
      </w:r>
    </w:p>
    <w:p w14:paraId="40B36718">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w:t>
      </w:r>
      <w:r>
        <w:rPr>
          <w:rStyle w:val="38"/>
          <w:rFonts w:hint="eastAsia" w:cs="宋体"/>
          <w:b/>
          <w:bCs/>
          <w:i w:val="0"/>
          <w:iCs w:val="0"/>
          <w:caps w:val="0"/>
          <w:color w:val="auto"/>
          <w:spacing w:val="0"/>
          <w:sz w:val="21"/>
          <w:szCs w:val="21"/>
          <w:shd w:val="clear" w:fill="FFFFFF"/>
          <w:lang w:val="en-US" w:eastAsia="zh-CN"/>
        </w:rPr>
        <w:t>3</w:t>
      </w:r>
      <w:r>
        <w:rPr>
          <w:rStyle w:val="38"/>
          <w:rFonts w:hint="eastAsia" w:ascii="宋体" w:hAnsi="宋体" w:eastAsia="宋体" w:cs="宋体"/>
          <w:b/>
          <w:bCs/>
          <w:i w:val="0"/>
          <w:iCs w:val="0"/>
          <w:caps w:val="0"/>
          <w:color w:val="auto"/>
          <w:spacing w:val="0"/>
          <w:sz w:val="21"/>
          <w:szCs w:val="21"/>
          <w:shd w:val="clear" w:fill="FFFFFF"/>
        </w:rPr>
        <w:t>合同组成部分及优先顺序</w:t>
      </w:r>
    </w:p>
    <w:p w14:paraId="59C7F2F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下列文件共同构成本合同不可分割的组成部分，相互补充和解释。如内容有不一致之处，应按以下顺序优先适用：</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（1）本合同及其补充协议、变更文件；</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（2）中标通知书；</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（3）乙方的投标文件（含澄清、说明及承诺文件）；</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（4）招标文件（含答疑、澄清及修改文件）；</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（5）其他与本项目相关的文件。</w:t>
      </w:r>
    </w:p>
    <w:p w14:paraId="30CC453E">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二、服务内容与标准</w:t>
      </w:r>
    </w:p>
    <w:p w14:paraId="0454DBA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2.1 运营管理模式</w:t>
      </w:r>
    </w:p>
    <w:p w14:paraId="65EA941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甲方将项目场地以全委托运营管理模式交由乙方。乙方在运营期内自主经营、自负盈亏。</w:t>
      </w:r>
      <w:r>
        <w:rPr>
          <w:rFonts w:hint="eastAsia" w:ascii="宋体" w:hAnsi="宋体" w:eastAsia="宋体" w:cs="宋体"/>
          <w:i w:val="0"/>
          <w:iCs w:val="0"/>
          <w:caps w:val="0"/>
          <w:color w:val="auto"/>
          <w:spacing w:val="0"/>
          <w:sz w:val="21"/>
          <w:szCs w:val="21"/>
          <w:shd w:val="clear" w:fill="FFFFFF"/>
          <w:lang w:val="en-US" w:eastAsia="zh-CN"/>
        </w:rPr>
        <w:t>运营期内所有投入均由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自行承担，费用自理</w:t>
      </w:r>
      <w:r>
        <w:rPr>
          <w:rFonts w:hint="eastAsia" w:ascii="宋体" w:hAnsi="宋体" w:eastAsia="宋体" w:cs="宋体"/>
          <w:i w:val="0"/>
          <w:iCs w:val="0"/>
          <w:caps w:val="0"/>
          <w:color w:val="auto"/>
          <w:spacing w:val="0"/>
          <w:sz w:val="21"/>
          <w:szCs w:val="21"/>
          <w:shd w:val="clear" w:fill="FFFFFF"/>
        </w:rPr>
        <w:t>，甲方除按本合同收取场地</w:t>
      </w:r>
      <w:r>
        <w:rPr>
          <w:rFonts w:hint="eastAsia" w:ascii="宋体" w:hAnsi="宋体" w:eastAsia="宋体" w:cs="宋体"/>
          <w:i w:val="0"/>
          <w:iCs w:val="0"/>
          <w:caps w:val="0"/>
          <w:strike w:val="0"/>
          <w:dstrike w:val="0"/>
          <w:color w:val="auto"/>
          <w:spacing w:val="0"/>
          <w:sz w:val="21"/>
          <w:szCs w:val="21"/>
          <w:highlight w:val="none"/>
          <w:shd w:val="clear" w:fill="FFFFFF"/>
        </w:rPr>
        <w:t>承租费</w:t>
      </w:r>
      <w:r>
        <w:rPr>
          <w:rFonts w:hint="eastAsia" w:ascii="宋体" w:hAnsi="宋体" w:eastAsia="宋体" w:cs="宋体"/>
          <w:i w:val="0"/>
          <w:iCs w:val="0"/>
          <w:caps w:val="0"/>
          <w:color w:val="auto"/>
          <w:spacing w:val="0"/>
          <w:sz w:val="21"/>
          <w:szCs w:val="21"/>
          <w:shd w:val="clear" w:fill="FFFFFF"/>
        </w:rPr>
        <w:t>，不参与利润分成。</w:t>
      </w:r>
    </w:p>
    <w:p w14:paraId="69577956">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2.2 服务范围与要求</w:t>
      </w:r>
    </w:p>
    <w:p w14:paraId="5EFD4D9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Style w:val="38"/>
          <w:rFonts w:hint="eastAsia" w:cs="宋体"/>
          <w:b w:val="0"/>
          <w:bCs w:val="0"/>
          <w:i w:val="0"/>
          <w:iCs w:val="0"/>
          <w:caps w:val="0"/>
          <w:color w:val="auto"/>
          <w:spacing w:val="0"/>
          <w:sz w:val="21"/>
          <w:szCs w:val="21"/>
          <w:shd w:val="clear" w:fill="FFFFFF"/>
          <w:lang w:val="en-US" w:eastAsia="zh-CN"/>
        </w:rPr>
        <w:t>2.2.1</w:t>
      </w:r>
      <w:r>
        <w:rPr>
          <w:rFonts w:hint="eastAsia" w:ascii="宋体" w:hAnsi="宋体" w:eastAsia="宋体" w:cs="宋体"/>
          <w:i w:val="0"/>
          <w:iCs w:val="0"/>
          <w:caps w:val="0"/>
          <w:color w:val="auto"/>
          <w:spacing w:val="0"/>
          <w:sz w:val="21"/>
          <w:szCs w:val="21"/>
          <w:shd w:val="clear" w:fill="FFFFFF"/>
          <w:lang w:val="en-US" w:eastAsia="zh-CN"/>
        </w:rPr>
        <w:t>扬子大道768号园区24000平方米旧厂房商业化升级改造的商业定位规划、厂房内部改造实施、招商运营、市场营销、商户管理等全链条服务，以及768号园区南面205亩综合体附属项目用地的绿化规划、设计、施工、养护、运营及移交全流程。</w:t>
      </w:r>
    </w:p>
    <w:p w14:paraId="5EFA119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2.2.2</w:t>
      </w:r>
      <w:r>
        <w:rPr>
          <w:rFonts w:hint="eastAsia" w:ascii="宋体" w:hAnsi="宋体" w:eastAsia="宋体" w:cs="宋体"/>
          <w:i w:val="0"/>
          <w:iCs w:val="0"/>
          <w:caps w:val="0"/>
          <w:color w:val="auto"/>
          <w:spacing w:val="0"/>
          <w:sz w:val="21"/>
          <w:szCs w:val="21"/>
          <w:shd w:val="clear" w:fill="FFFFFF"/>
          <w:lang w:val="en-US" w:eastAsia="zh-CN"/>
        </w:rPr>
        <w:t>扬子大道768号园区24000平方米建筑经营范围需涵盖商业零售、餐饮、娱乐、体育休闲等多种业态（体育休闲占比不小于40%，餐饮占比约30%，娱乐占比约10%，商业零售占比约10%）。</w:t>
      </w:r>
    </w:p>
    <w:p w14:paraId="50D8986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 xml:space="preserve">2.2.3 </w:t>
      </w:r>
      <w:r>
        <w:rPr>
          <w:rFonts w:hint="eastAsia" w:ascii="宋体" w:hAnsi="宋体" w:eastAsia="宋体" w:cs="宋体"/>
          <w:i w:val="0"/>
          <w:iCs w:val="0"/>
          <w:caps w:val="0"/>
          <w:color w:val="auto"/>
          <w:spacing w:val="0"/>
          <w:sz w:val="21"/>
          <w:szCs w:val="21"/>
          <w:highlight w:val="none"/>
          <w:shd w:val="clear" w:fill="FFFFFF"/>
        </w:rPr>
        <w:t>位于</w:t>
      </w:r>
      <w:r>
        <w:rPr>
          <w:rFonts w:hint="eastAsia" w:cs="宋体"/>
          <w:i w:val="0"/>
          <w:iCs w:val="0"/>
          <w:caps w:val="0"/>
          <w:color w:val="auto"/>
          <w:spacing w:val="0"/>
          <w:sz w:val="21"/>
          <w:szCs w:val="21"/>
          <w:highlight w:val="none"/>
          <w:shd w:val="clear" w:fill="FFFFFF"/>
          <w:lang w:eastAsia="zh-CN"/>
        </w:rPr>
        <w:t>768号园区南面</w:t>
      </w:r>
      <w:r>
        <w:rPr>
          <w:rFonts w:hint="eastAsia" w:ascii="宋体" w:hAnsi="宋体" w:eastAsia="宋体" w:cs="宋体"/>
          <w:i w:val="0"/>
          <w:iCs w:val="0"/>
          <w:caps w:val="0"/>
          <w:color w:val="auto"/>
          <w:spacing w:val="0"/>
          <w:sz w:val="21"/>
          <w:szCs w:val="21"/>
          <w:highlight w:val="none"/>
          <w:shd w:val="clear" w:fill="FFFFFF"/>
        </w:rPr>
        <w:t>的约205亩空地</w:t>
      </w:r>
      <w:r>
        <w:rPr>
          <w:rFonts w:hint="eastAsia" w:ascii="宋体" w:hAnsi="宋体" w:eastAsia="宋体" w:cs="宋体"/>
          <w:i w:val="0"/>
          <w:iCs w:val="0"/>
          <w:caps w:val="0"/>
          <w:color w:val="auto"/>
          <w:spacing w:val="0"/>
          <w:sz w:val="21"/>
          <w:szCs w:val="21"/>
          <w:shd w:val="clear" w:fill="FFFFFF"/>
          <w:lang w:val="en-US" w:eastAsia="zh-CN"/>
        </w:rPr>
        <w:t>为临时配套用地，</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不保证用地时间，中标人需用于绿化、草坪建设、农作物种植、停车场建设；停车场面积不高于25亩，所有绿化不得对外买卖经营。</w:t>
      </w:r>
    </w:p>
    <w:p w14:paraId="44616FDF">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2.2.4乙方</w:t>
      </w:r>
      <w:r>
        <w:rPr>
          <w:rFonts w:hint="eastAsia" w:ascii="宋体" w:hAnsi="宋体" w:eastAsia="宋体" w:cs="宋体"/>
          <w:i w:val="0"/>
          <w:iCs w:val="0"/>
          <w:caps w:val="0"/>
          <w:color w:val="auto"/>
          <w:spacing w:val="0"/>
          <w:sz w:val="21"/>
          <w:szCs w:val="21"/>
          <w:shd w:val="clear" w:fill="FFFFFF"/>
          <w:lang w:val="en-US" w:eastAsia="zh-CN"/>
        </w:rPr>
        <w:t>在合同执行过程中对运营场所的装修改造、设备采购、软硬件采购以及综合体附属项目均由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自行承担费用。</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只负责扬子大道768号园区24000平方米厂房和办公楼的屋面防水维修改造、消防改造、危房拆除</w:t>
      </w:r>
      <w:r>
        <w:rPr>
          <w:rFonts w:hint="eastAsia" w:cs="宋体"/>
          <w:i w:val="0"/>
          <w:iCs w:val="0"/>
          <w:caps w:val="0"/>
          <w:color w:val="auto"/>
          <w:spacing w:val="0"/>
          <w:sz w:val="21"/>
          <w:szCs w:val="21"/>
          <w:highlight w:val="none"/>
          <w:shd w:val="clear" w:fill="FFFFFF"/>
          <w:lang w:val="en-US" w:eastAsia="zh-CN"/>
        </w:rPr>
        <w:t>的专项改造</w:t>
      </w:r>
      <w:r>
        <w:rPr>
          <w:rFonts w:hint="eastAsia" w:ascii="宋体" w:hAnsi="宋体" w:eastAsia="宋体" w:cs="宋体"/>
          <w:i w:val="0"/>
          <w:iCs w:val="0"/>
          <w:caps w:val="0"/>
          <w:color w:val="auto"/>
          <w:spacing w:val="0"/>
          <w:sz w:val="21"/>
          <w:szCs w:val="21"/>
          <w:highlight w:val="none"/>
          <w:shd w:val="clear" w:fill="FFFFFF"/>
          <w:lang w:val="en-US" w:eastAsia="zh-CN"/>
        </w:rPr>
        <w:t>。</w:t>
      </w:r>
      <w:r>
        <w:rPr>
          <w:rFonts w:hint="eastAsia" w:cs="宋体"/>
          <w:i w:val="0"/>
          <w:iCs w:val="0"/>
          <w:caps w:val="0"/>
          <w:color w:val="auto"/>
          <w:spacing w:val="0"/>
          <w:sz w:val="21"/>
          <w:szCs w:val="21"/>
          <w:highlight w:val="none"/>
          <w:shd w:val="clear" w:fill="FFFFFF"/>
          <w:lang w:val="en-US" w:eastAsia="zh-CN"/>
        </w:rPr>
        <w:t>甲方</w:t>
      </w:r>
      <w:r>
        <w:rPr>
          <w:rFonts w:hint="eastAsia" w:ascii="宋体" w:hAnsi="宋体" w:eastAsia="宋体" w:cs="宋体"/>
          <w:i w:val="0"/>
          <w:iCs w:val="0"/>
          <w:caps w:val="0"/>
          <w:color w:val="auto"/>
          <w:spacing w:val="0"/>
          <w:sz w:val="21"/>
          <w:szCs w:val="21"/>
          <w:highlight w:val="none"/>
          <w:shd w:val="clear" w:fill="FFFFFF"/>
          <w:lang w:val="en-US" w:eastAsia="zh-CN"/>
        </w:rPr>
        <w:t>完成改造后以书面形式将整个园区及附属用地交付至</w:t>
      </w:r>
      <w:r>
        <w:rPr>
          <w:rFonts w:hint="eastAsia" w:cs="宋体"/>
          <w:i w:val="0"/>
          <w:iCs w:val="0"/>
          <w:caps w:val="0"/>
          <w:color w:val="auto"/>
          <w:spacing w:val="0"/>
          <w:sz w:val="21"/>
          <w:szCs w:val="21"/>
          <w:highlight w:val="none"/>
          <w:shd w:val="clear" w:fill="FFFFFF"/>
          <w:lang w:val="en-US" w:eastAsia="zh-CN"/>
        </w:rPr>
        <w:t>乙方</w:t>
      </w:r>
      <w:r>
        <w:rPr>
          <w:rFonts w:hint="eastAsia" w:ascii="宋体" w:hAnsi="宋体" w:eastAsia="宋体" w:cs="宋体"/>
          <w:i w:val="0"/>
          <w:iCs w:val="0"/>
          <w:caps w:val="0"/>
          <w:color w:val="auto"/>
          <w:spacing w:val="0"/>
          <w:sz w:val="21"/>
          <w:szCs w:val="21"/>
          <w:highlight w:val="none"/>
          <w:shd w:val="clear" w:fill="FFFFFF"/>
          <w:lang w:val="en-US" w:eastAsia="zh-CN"/>
        </w:rPr>
        <w:t>，项目运营期自</w:t>
      </w:r>
      <w:r>
        <w:rPr>
          <w:rFonts w:hint="eastAsia" w:cs="宋体"/>
          <w:i w:val="0"/>
          <w:iCs w:val="0"/>
          <w:caps w:val="0"/>
          <w:color w:val="auto"/>
          <w:spacing w:val="0"/>
          <w:sz w:val="21"/>
          <w:szCs w:val="21"/>
          <w:highlight w:val="none"/>
          <w:shd w:val="clear" w:fill="FFFFFF"/>
          <w:lang w:val="en-US" w:eastAsia="zh-CN"/>
        </w:rPr>
        <w:t>甲方</w:t>
      </w:r>
      <w:r>
        <w:rPr>
          <w:rFonts w:hint="eastAsia" w:ascii="宋体" w:hAnsi="宋体" w:eastAsia="宋体" w:cs="宋体"/>
          <w:i w:val="0"/>
          <w:iCs w:val="0"/>
          <w:caps w:val="0"/>
          <w:color w:val="auto"/>
          <w:spacing w:val="0"/>
          <w:sz w:val="21"/>
          <w:szCs w:val="21"/>
          <w:highlight w:val="none"/>
          <w:shd w:val="clear" w:fill="FFFFFF"/>
          <w:lang w:val="en-US" w:eastAsia="zh-CN"/>
        </w:rPr>
        <w:t>交付至</w:t>
      </w:r>
      <w:r>
        <w:rPr>
          <w:rFonts w:hint="eastAsia" w:cs="宋体"/>
          <w:i w:val="0"/>
          <w:iCs w:val="0"/>
          <w:caps w:val="0"/>
          <w:color w:val="auto"/>
          <w:spacing w:val="0"/>
          <w:sz w:val="21"/>
          <w:szCs w:val="21"/>
          <w:highlight w:val="none"/>
          <w:shd w:val="clear" w:fill="FFFFFF"/>
          <w:lang w:val="en-US" w:eastAsia="zh-CN"/>
        </w:rPr>
        <w:t>乙方</w:t>
      </w:r>
      <w:r>
        <w:rPr>
          <w:rFonts w:hint="eastAsia" w:ascii="宋体" w:hAnsi="宋体" w:eastAsia="宋体" w:cs="宋体"/>
          <w:i w:val="0"/>
          <w:iCs w:val="0"/>
          <w:caps w:val="0"/>
          <w:color w:val="auto"/>
          <w:spacing w:val="0"/>
          <w:sz w:val="21"/>
          <w:szCs w:val="21"/>
          <w:highlight w:val="none"/>
          <w:shd w:val="clear" w:fill="FFFFFF"/>
          <w:lang w:val="en-US" w:eastAsia="zh-CN"/>
        </w:rPr>
        <w:t>之日起开始计算。</w:t>
      </w:r>
    </w:p>
    <w:p w14:paraId="78C0D9B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2.2.5</w:t>
      </w:r>
      <w:r>
        <w:rPr>
          <w:rFonts w:hint="eastAsia" w:ascii="宋体" w:hAnsi="宋体" w:eastAsia="宋体" w:cs="宋体"/>
          <w:i w:val="0"/>
          <w:iCs w:val="0"/>
          <w:caps w:val="0"/>
          <w:color w:val="auto"/>
          <w:spacing w:val="0"/>
          <w:sz w:val="21"/>
          <w:szCs w:val="21"/>
          <w:shd w:val="clear" w:fill="FFFFFF"/>
          <w:lang w:val="en-US" w:eastAsia="zh-CN"/>
        </w:rPr>
        <w:t>供水：</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提供供水主干管接口至厂房外墙1米处，厂房内部全部用水点的管道、阀门及附属设施均由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负责接入与施工。供电：</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提供供电电缆接驳点至厂房配电总箱（或指定位置），厂房内部所有线路、配电箱、开关、插座等设施的敷设与安装均由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负责施工；剩余园区改造均由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自行承担。</w:t>
      </w:r>
    </w:p>
    <w:p w14:paraId="3434388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 xml:space="preserve">2.2.6 </w:t>
      </w:r>
      <w:r>
        <w:rPr>
          <w:rFonts w:hint="eastAsia" w:ascii="宋体" w:hAnsi="宋体" w:eastAsia="宋体" w:cs="宋体"/>
          <w:i w:val="0"/>
          <w:iCs w:val="0"/>
          <w:caps w:val="0"/>
          <w:color w:val="auto"/>
          <w:spacing w:val="0"/>
          <w:sz w:val="21"/>
          <w:szCs w:val="21"/>
          <w:shd w:val="clear" w:fill="FFFFFF"/>
          <w:lang w:val="en-US" w:eastAsia="zh-CN"/>
        </w:rPr>
        <w:t>768号园区南侧205亩配套用地为现状交付，</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需自行进行规划设计、施工、运营；费用由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自行承担。在该配套用地范围内，除必要的景观构筑物、休闲设施、临时性服务设施及活动装置外，不得新建任何永久性建筑。</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应确保所有建设内容符合绿色生态、开放共享的原则，与园区主体功能形成有机互补。该配套用地不作具体运营时间约定。服务期内，若因政府相关政策调整及规定需收回该配套用地，在</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书面告知</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收回场地缘由后，于限期30日历天内</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须无条件撤场，场地承租费按实际发生时间周期为准，造成损失的，</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无需就此承担任何赔偿责任。</w:t>
      </w:r>
    </w:p>
    <w:p w14:paraId="5CB2DC68">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2.2.7</w:t>
      </w:r>
      <w:r>
        <w:rPr>
          <w:rFonts w:hint="eastAsia" w:ascii="宋体" w:hAnsi="宋体" w:eastAsia="宋体" w:cs="宋体"/>
          <w:i w:val="0"/>
          <w:iCs w:val="0"/>
          <w:caps w:val="0"/>
          <w:color w:val="auto"/>
          <w:spacing w:val="0"/>
          <w:sz w:val="21"/>
          <w:szCs w:val="21"/>
          <w:shd w:val="clear" w:fill="FFFFFF"/>
          <w:lang w:val="en-US" w:eastAsia="zh-CN"/>
        </w:rPr>
        <w:t>本项目服务合同签订之日起一个月内，</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须签订不低于2家单体5000平及以上的智慧型体育综合体项目，并承诺在一年内打造出不低于一家省级及以上的智慧型体育产业示范基地，所选体育项目需结合项目定位，场地设施条件及当地体育需求。且2家体育项目分属不同品类，避免同质化问题，确保运营服务的多样性与覆盖广度符合相关要求。本项目服务合同签订之日起两个月内完成所签订的单体5000平及以上的智慧型体育综合体的设计改造方案并开始施工，场地移交后两个月内正式试运营。未按预期完成体育项目的招商，影响到开业时间，</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有权单方终止合同，履约保证金及承租费不予退还。</w:t>
      </w:r>
    </w:p>
    <w:p w14:paraId="06B5AD8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lang w:val="en-US" w:eastAsia="zh-CN"/>
        </w:rPr>
      </w:pPr>
      <w:r>
        <w:rPr>
          <w:rFonts w:hint="eastAsia" w:cs="宋体"/>
          <w:i w:val="0"/>
          <w:iCs w:val="0"/>
          <w:caps w:val="0"/>
          <w:color w:val="auto"/>
          <w:spacing w:val="0"/>
          <w:sz w:val="21"/>
          <w:szCs w:val="21"/>
          <w:shd w:val="clear" w:fill="FFFFFF"/>
          <w:lang w:val="en-US" w:eastAsia="zh-CN"/>
        </w:rPr>
        <w:t>2.2.8</w:t>
      </w:r>
      <w:r>
        <w:rPr>
          <w:rFonts w:hint="eastAsia" w:ascii="宋体" w:hAnsi="宋体" w:eastAsia="宋体" w:cs="宋体"/>
          <w:i w:val="0"/>
          <w:iCs w:val="0"/>
          <w:caps w:val="0"/>
          <w:color w:val="auto"/>
          <w:spacing w:val="0"/>
          <w:sz w:val="21"/>
          <w:szCs w:val="21"/>
          <w:shd w:val="clear" w:fill="FFFFFF"/>
          <w:lang w:val="en-US" w:eastAsia="zh-CN"/>
        </w:rPr>
        <w:t>本项目服务合同签订之日起第一个月，</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须完成场地的测绘、规划设计方案、鸟瞰图、效果图，同时报至</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处；</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移交场地后第一个月启动项目改造，确保在两个月内完成项目改造并验收。改造完成并验收后一个月内招商入驻率不低于80%，两个月内不低于85%，三个月内招商入驻率达90%（入驻率为招商租赁的房产面积）。</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场地移交后三个月内园区项目试运营，场地移交后四个月内园区及附属用地全面开业运营，全面开业运营指体育、餐饮、娱乐、商业零售等规划业态均实现对外营业，整体运营系统进入稳定服务状态；未按预期完成各阶段的实施方案，</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有权单方终止合同并清场，履约保证金及承租费不予退还。</w:t>
      </w:r>
    </w:p>
    <w:p w14:paraId="02243CE8">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shd w:val="clear" w:fill="FFFFFF"/>
        </w:rPr>
      </w:pPr>
      <w:r>
        <w:rPr>
          <w:rFonts w:hint="eastAsia" w:cs="宋体"/>
          <w:i w:val="0"/>
          <w:iCs w:val="0"/>
          <w:caps w:val="0"/>
          <w:color w:val="auto"/>
          <w:spacing w:val="0"/>
          <w:sz w:val="21"/>
          <w:szCs w:val="21"/>
          <w:shd w:val="clear" w:fill="FFFFFF"/>
          <w:lang w:val="en-US" w:eastAsia="zh-CN"/>
        </w:rPr>
        <w:t>2.2.9乙方</w:t>
      </w:r>
      <w:r>
        <w:rPr>
          <w:rFonts w:hint="eastAsia" w:ascii="宋体" w:hAnsi="宋体" w:eastAsia="宋体" w:cs="宋体"/>
          <w:i w:val="0"/>
          <w:iCs w:val="0"/>
          <w:caps w:val="0"/>
          <w:color w:val="auto"/>
          <w:spacing w:val="0"/>
          <w:sz w:val="21"/>
          <w:szCs w:val="21"/>
          <w:shd w:val="clear" w:fill="FFFFFF"/>
          <w:lang w:val="en-US" w:eastAsia="zh-CN"/>
        </w:rPr>
        <w:t>须对</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指定的园区内特定场地（具体位置由</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确认），进行专业化改造，打造一个主题鲜明、内容完整、体验丰富的“扬子发展历程工业展示区”。工业展示区须系统展示扬子集团从创立至今具有代表性的工业成就、产品演进、技术创新及企业文化，体现其在国家及地方工业发展历程中的重要地位与历史贡献。改造与展陈设计、建设、运营及维护所需全部费用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lang w:val="en-US" w:eastAsia="zh-CN"/>
        </w:rPr>
        <w:t>承担。建设与运营方案须报</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审核，并最终由</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lang w:val="en-US" w:eastAsia="zh-CN"/>
        </w:rPr>
        <w:t>验收认可。</w:t>
      </w:r>
    </w:p>
    <w:p w14:paraId="3E25DE8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2.3 服务标准与考核</w:t>
      </w:r>
    </w:p>
    <w:p w14:paraId="2A3D780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乙方须达到招标文件第四章“</w:t>
      </w:r>
      <w:r>
        <w:rPr>
          <w:rFonts w:hint="eastAsia" w:cs="宋体"/>
          <w:i w:val="0"/>
          <w:iCs w:val="0"/>
          <w:caps w:val="0"/>
          <w:color w:val="auto"/>
          <w:spacing w:val="0"/>
          <w:sz w:val="21"/>
          <w:szCs w:val="21"/>
          <w:shd w:val="clear" w:fill="FFFFFF"/>
          <w:lang w:val="en-US" w:eastAsia="zh-CN"/>
        </w:rPr>
        <w:t>采购内容及服务要求</w:t>
      </w:r>
      <w:r>
        <w:rPr>
          <w:rFonts w:hint="eastAsia" w:ascii="宋体" w:hAnsi="宋体" w:eastAsia="宋体" w:cs="宋体"/>
          <w:i w:val="0"/>
          <w:iCs w:val="0"/>
          <w:caps w:val="0"/>
          <w:color w:val="auto"/>
          <w:spacing w:val="0"/>
          <w:sz w:val="21"/>
          <w:szCs w:val="21"/>
          <w:shd w:val="clear" w:fill="FFFFFF"/>
        </w:rPr>
        <w:t>”中明确的所有要求，特别是关于招商进度、开业时间、体育项目引进、省级示范基地创建、</w:t>
      </w:r>
      <w:r>
        <w:rPr>
          <w:rFonts w:hint="eastAsia" w:cs="宋体"/>
          <w:i w:val="0"/>
          <w:iCs w:val="0"/>
          <w:caps w:val="0"/>
          <w:color w:val="auto"/>
          <w:spacing w:val="0"/>
          <w:sz w:val="21"/>
          <w:szCs w:val="21"/>
          <w:shd w:val="clear" w:fill="FFFFFF"/>
          <w:lang w:eastAsia="zh-CN"/>
        </w:rPr>
        <w:t>工业展示区</w:t>
      </w:r>
      <w:r>
        <w:rPr>
          <w:rFonts w:hint="eastAsia" w:ascii="宋体" w:hAnsi="宋体" w:eastAsia="宋体" w:cs="宋体"/>
          <w:i w:val="0"/>
          <w:iCs w:val="0"/>
          <w:caps w:val="0"/>
          <w:color w:val="auto"/>
          <w:spacing w:val="0"/>
          <w:sz w:val="21"/>
          <w:szCs w:val="21"/>
          <w:shd w:val="clear" w:fill="FFFFFF"/>
        </w:rPr>
        <w:t>改造等关键节点的要求。乙方的服务标准应不低于其在投标文件中承诺的标准。</w:t>
      </w:r>
    </w:p>
    <w:p w14:paraId="37681EAD">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三、合同期限与场地交付</w:t>
      </w:r>
    </w:p>
    <w:p w14:paraId="5E721E9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3.1 合同期限</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合同运营期为____年，</w:t>
      </w:r>
      <w:r>
        <w:rPr>
          <w:rFonts w:hint="eastAsia" w:ascii="宋体" w:hAnsi="宋体" w:eastAsia="宋体" w:cs="宋体"/>
          <w:i w:val="0"/>
          <w:iCs w:val="0"/>
          <w:caps w:val="0"/>
          <w:color w:val="auto"/>
          <w:spacing w:val="0"/>
          <w:sz w:val="21"/>
          <w:szCs w:val="21"/>
          <w:shd w:val="clear" w:fill="FFFFFF"/>
          <w:lang w:val="en-US" w:eastAsia="zh-CN"/>
        </w:rPr>
        <w:t>自招标人</w:t>
      </w:r>
      <w:r>
        <w:rPr>
          <w:rFonts w:hint="eastAsia" w:ascii="宋体" w:hAnsi="宋体" w:eastAsia="宋体" w:cs="宋体"/>
          <w:i w:val="0"/>
          <w:iCs w:val="0"/>
          <w:caps w:val="0"/>
          <w:color w:val="auto"/>
          <w:spacing w:val="0"/>
          <w:sz w:val="21"/>
          <w:szCs w:val="21"/>
          <w:highlight w:val="none"/>
          <w:shd w:val="clear" w:fill="FFFFFF"/>
          <w:lang w:val="en-US" w:eastAsia="zh-CN"/>
        </w:rPr>
        <w:t>以书面形式将整个园区及附属用地交付至中标人之日起开始计算运营期</w:t>
      </w:r>
      <w:r>
        <w:rPr>
          <w:rFonts w:hint="eastAsia" w:cs="宋体"/>
          <w:i w:val="0"/>
          <w:iCs w:val="0"/>
          <w:caps w:val="0"/>
          <w:color w:val="auto"/>
          <w:spacing w:val="0"/>
          <w:sz w:val="21"/>
          <w:szCs w:val="21"/>
          <w:highlight w:val="none"/>
          <w:shd w:val="clear" w:fill="FFFFFF"/>
          <w:lang w:val="en-US" w:eastAsia="zh-CN"/>
        </w:rPr>
        <w:t>，前三个月为免费装修期</w:t>
      </w:r>
      <w:r>
        <w:rPr>
          <w:rFonts w:hint="eastAsia" w:ascii="宋体" w:hAnsi="宋体" w:eastAsia="宋体" w:cs="宋体"/>
          <w:i w:val="0"/>
          <w:iCs w:val="0"/>
          <w:caps w:val="0"/>
          <w:color w:val="auto"/>
          <w:spacing w:val="0"/>
          <w:sz w:val="21"/>
          <w:szCs w:val="21"/>
          <w:highlight w:val="none"/>
          <w:shd w:val="clear" w:fill="FFFFFF"/>
        </w:rPr>
        <w:t>。</w:t>
      </w:r>
    </w:p>
    <w:p w14:paraId="30F0E68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3.2 场地交付</w:t>
      </w:r>
    </w:p>
    <w:p w14:paraId="34D16199">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（1）甲方应在完成约定的专项改造后，向乙方发出书面交付通知。</w:t>
      </w:r>
    </w:p>
    <w:p w14:paraId="346713E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（2）乙方应在收到交付通知后____个工作日内，与甲方共同对交付场地的范围、面积、现状进行确认和测量，并签署《项目场地交付确认书》。</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（3）自《项目场地交付确认书》签署之日起，视为甲方已完成交付。</w:t>
      </w:r>
    </w:p>
    <w:p w14:paraId="1E579D36">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四、合同价款与支付方式</w:t>
      </w:r>
    </w:p>
    <w:p w14:paraId="1996C717">
      <w:pPr>
        <w:keepNext w:val="0"/>
        <w:keepLines w:val="0"/>
        <w:pageBreakBefore w:val="0"/>
        <w:kinsoku/>
        <w:wordWrap/>
        <w:overflowPunct/>
        <w:topLinePunct w:val="0"/>
        <w:autoSpaceDE/>
        <w:autoSpaceDN/>
        <w:bidi w:val="0"/>
        <w:adjustRightInd/>
        <w:snapToGrid/>
        <w:spacing w:line="480" w:lineRule="exact"/>
        <w:ind w:left="0" w:leftChars="0" w:firstLine="422" w:firstLineChars="200"/>
        <w:jc w:val="both"/>
        <w:textAlignment w:val="auto"/>
        <w:rPr>
          <w:rFonts w:hint="eastAsia" w:cs="宋体"/>
          <w:i w:val="0"/>
          <w:iCs w:val="0"/>
          <w:caps w:val="0"/>
          <w:color w:val="auto"/>
          <w:spacing w:val="0"/>
          <w:sz w:val="21"/>
          <w:szCs w:val="21"/>
          <w:shd w:val="clear" w:fill="FFFFFF"/>
          <w:lang w:val="en-US" w:eastAsia="zh-CN"/>
        </w:rPr>
      </w:pPr>
      <w:r>
        <w:rPr>
          <w:rStyle w:val="38"/>
          <w:rFonts w:hint="eastAsia" w:ascii="宋体" w:hAnsi="宋体" w:eastAsia="宋体" w:cs="宋体"/>
          <w:b/>
          <w:bCs/>
          <w:i w:val="0"/>
          <w:iCs w:val="0"/>
          <w:caps w:val="0"/>
          <w:color w:val="auto"/>
          <w:spacing w:val="0"/>
          <w:sz w:val="21"/>
          <w:szCs w:val="21"/>
          <w:shd w:val="clear" w:fill="FFFFFF"/>
        </w:rPr>
        <w:t>4.1 合同价款构成</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本</w:t>
      </w:r>
      <w:r>
        <w:rPr>
          <w:rFonts w:hint="eastAsia" w:cs="宋体"/>
          <w:i w:val="0"/>
          <w:iCs w:val="0"/>
          <w:caps w:val="0"/>
          <w:color w:val="auto"/>
          <w:spacing w:val="0"/>
          <w:sz w:val="21"/>
          <w:szCs w:val="21"/>
          <w:shd w:val="clear" w:fill="FFFFFF"/>
          <w:lang w:val="en-US" w:eastAsia="zh-CN"/>
        </w:rPr>
        <w:t>项目承租费由两</w:t>
      </w:r>
      <w:r>
        <w:rPr>
          <w:rFonts w:hint="eastAsia" w:ascii="宋体" w:hAnsi="宋体" w:eastAsia="宋体" w:cs="宋体"/>
          <w:i w:val="0"/>
          <w:iCs w:val="0"/>
          <w:caps w:val="0"/>
          <w:color w:val="auto"/>
          <w:spacing w:val="0"/>
          <w:sz w:val="21"/>
          <w:szCs w:val="21"/>
          <w:shd w:val="clear" w:fill="FFFFFF"/>
        </w:rPr>
        <w:t>部分组成：</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（1）</w:t>
      </w:r>
      <w:r>
        <w:rPr>
          <w:rStyle w:val="38"/>
          <w:rFonts w:hint="eastAsia" w:ascii="宋体" w:hAnsi="宋体" w:eastAsia="宋体" w:cs="宋体"/>
          <w:b/>
          <w:bCs/>
          <w:i w:val="0"/>
          <w:iCs w:val="0"/>
          <w:caps w:val="0"/>
          <w:color w:val="auto"/>
          <w:spacing w:val="0"/>
          <w:sz w:val="21"/>
          <w:szCs w:val="21"/>
          <w:shd w:val="clear" w:fill="FFFFFF"/>
        </w:rPr>
        <w:t>768号园区承租费</w:t>
      </w:r>
      <w:r>
        <w:rPr>
          <w:rFonts w:hint="eastAsia" w:ascii="宋体" w:hAnsi="宋体" w:eastAsia="宋体" w:cs="宋体"/>
          <w:i w:val="0"/>
          <w:iCs w:val="0"/>
          <w:caps w:val="0"/>
          <w:color w:val="auto"/>
          <w:spacing w:val="0"/>
          <w:sz w:val="21"/>
          <w:szCs w:val="21"/>
          <w:shd w:val="clear" w:fill="FFFFFF"/>
        </w:rPr>
        <w:t>：单价为人民币________元/平方米·月。最终结算面积以招标人拆除危房后，与中标人实际测量的房产和土地面积为准</w:t>
      </w:r>
      <w:r>
        <w:rPr>
          <w:rFonts w:hint="eastAsia" w:cs="宋体"/>
          <w:i w:val="0"/>
          <w:iCs w:val="0"/>
          <w:caps w:val="0"/>
          <w:color w:val="auto"/>
          <w:spacing w:val="0"/>
          <w:sz w:val="21"/>
          <w:szCs w:val="21"/>
          <w:shd w:val="clear" w:fill="FFFFFF"/>
          <w:lang w:eastAsia="zh-CN"/>
        </w:rPr>
        <w:t>。</w:t>
      </w:r>
      <w:r>
        <w:rPr>
          <w:rFonts w:hint="eastAsia" w:cs="宋体"/>
          <w:i w:val="0"/>
          <w:iCs w:val="0"/>
          <w:caps w:val="0"/>
          <w:color w:val="auto"/>
          <w:spacing w:val="0"/>
          <w:sz w:val="21"/>
          <w:szCs w:val="21"/>
          <w:shd w:val="clear" w:fill="FFFFFF"/>
          <w:lang w:val="en-US" w:eastAsia="zh-CN"/>
        </w:rPr>
        <w:t>中标单价不予调整。</w:t>
      </w:r>
    </w:p>
    <w:p w14:paraId="258E0BB9">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210" w:leftChars="100" w:right="0" w:firstLine="210" w:firstLineChars="100"/>
        <w:textAlignment w:val="auto"/>
        <w:rPr>
          <w:rFonts w:hint="eastAsia" w:ascii="宋体" w:hAnsi="宋体" w:eastAsia="宋体" w:cs="宋体"/>
          <w:i w:val="0"/>
          <w:iCs w:val="0"/>
          <w:caps w:val="0"/>
          <w:color w:val="auto"/>
          <w:spacing w:val="0"/>
          <w:sz w:val="21"/>
          <w:szCs w:val="21"/>
          <w:shd w:val="clear" w:fill="FFFFFF"/>
        </w:rPr>
      </w:pP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（2）</w:t>
      </w:r>
      <w:r>
        <w:rPr>
          <w:rStyle w:val="38"/>
          <w:rFonts w:hint="eastAsia" w:ascii="宋体" w:hAnsi="宋体" w:eastAsia="宋体" w:cs="宋体"/>
          <w:b/>
          <w:bCs/>
          <w:i w:val="0"/>
          <w:iCs w:val="0"/>
          <w:caps w:val="0"/>
          <w:color w:val="auto"/>
          <w:spacing w:val="0"/>
          <w:sz w:val="21"/>
          <w:szCs w:val="21"/>
          <w:shd w:val="clear" w:fill="FFFFFF"/>
        </w:rPr>
        <w:t>205亩配套用地承租费</w:t>
      </w:r>
      <w:r>
        <w:rPr>
          <w:rFonts w:hint="eastAsia" w:ascii="宋体" w:hAnsi="宋体" w:eastAsia="宋体" w:cs="宋体"/>
          <w:i w:val="0"/>
          <w:iCs w:val="0"/>
          <w:caps w:val="0"/>
          <w:color w:val="auto"/>
          <w:spacing w:val="0"/>
          <w:sz w:val="21"/>
          <w:szCs w:val="21"/>
          <w:shd w:val="clear" w:fill="FFFFFF"/>
        </w:rPr>
        <w:t>：固定为人民币</w:t>
      </w:r>
      <w:r>
        <w:rPr>
          <w:rFonts w:hint="eastAsia" w:cs="宋体"/>
          <w:i w:val="0"/>
          <w:iCs w:val="0"/>
          <w:caps w:val="0"/>
          <w:color w:val="auto"/>
          <w:spacing w:val="0"/>
          <w:sz w:val="21"/>
          <w:szCs w:val="21"/>
          <w:shd w:val="clear" w:fill="FFFFFF"/>
          <w:lang w:val="en-US" w:eastAsia="zh-CN"/>
        </w:rPr>
        <w:t>100000.00</w:t>
      </w:r>
      <w:r>
        <w:rPr>
          <w:rFonts w:hint="eastAsia" w:ascii="宋体" w:hAnsi="宋体" w:eastAsia="宋体" w:cs="宋体"/>
          <w:i w:val="0"/>
          <w:iCs w:val="0"/>
          <w:caps w:val="0"/>
          <w:color w:val="auto"/>
          <w:spacing w:val="0"/>
          <w:sz w:val="21"/>
          <w:szCs w:val="21"/>
          <w:shd w:val="clear" w:fill="FFFFFF"/>
        </w:rPr>
        <w:t>元/年。</w:t>
      </w:r>
    </w:p>
    <w:p w14:paraId="53A63224">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4.2 价格调整</w:t>
      </w:r>
    </w:p>
    <w:p w14:paraId="634E3B2A">
      <w:pPr>
        <w:keepNext w:val="0"/>
        <w:keepLines w:val="0"/>
        <w:pageBreakBefore w:val="0"/>
        <w:kinsoku/>
        <w:wordWrap/>
        <w:overflowPunct/>
        <w:topLinePunct w:val="0"/>
        <w:autoSpaceDE/>
        <w:autoSpaceDN/>
        <w:bidi w:val="0"/>
        <w:adjustRightInd/>
        <w:snapToGrid/>
        <w:spacing w:line="480" w:lineRule="exact"/>
        <w:ind w:left="0" w:leftChars="0" w:firstLine="420" w:firstLineChars="200"/>
        <w:jc w:val="both"/>
        <w:textAlignment w:val="auto"/>
        <w:rPr>
          <w:rFonts w:hint="eastAsia" w:asciiTheme="majorEastAsia" w:hAnsiTheme="majorEastAsia" w:eastAsiaTheme="majorEastAsia" w:cstheme="majorEastAsia"/>
          <w:color w:val="auto"/>
          <w:sz w:val="21"/>
          <w:szCs w:val="21"/>
          <w:highlight w:val="green"/>
        </w:rPr>
      </w:pPr>
      <w:r>
        <w:rPr>
          <w:rFonts w:hint="eastAsia" w:ascii="宋体" w:hAnsi="宋体" w:eastAsia="宋体" w:cs="宋体"/>
          <w:i w:val="0"/>
          <w:iCs w:val="0"/>
          <w:caps w:val="0"/>
          <w:color w:val="auto"/>
          <w:spacing w:val="0"/>
          <w:sz w:val="21"/>
          <w:szCs w:val="21"/>
          <w:shd w:val="clear" w:fill="FFFFFF"/>
        </w:rPr>
        <w:t>768号园区的承租费单价，每满三年在上一年度单价基础上递增3%。205亩配套用地承租费固定不变</w:t>
      </w:r>
      <w:r>
        <w:rPr>
          <w:rFonts w:hint="eastAsia" w:ascii="宋体" w:hAnsi="宋体" w:eastAsia="宋体" w:cs="宋体"/>
          <w:i w:val="0"/>
          <w:iCs w:val="0"/>
          <w:caps w:val="0"/>
          <w:color w:val="auto"/>
          <w:spacing w:val="0"/>
          <w:sz w:val="21"/>
          <w:szCs w:val="21"/>
          <w:highlight w:val="none"/>
          <w:shd w:val="clear" w:fill="FFFFFF"/>
        </w:rPr>
        <w:t>。</w:t>
      </w:r>
      <w:r>
        <w:rPr>
          <w:rFonts w:hint="eastAsia" w:asciiTheme="majorEastAsia" w:hAnsiTheme="majorEastAsia" w:eastAsiaTheme="majorEastAsia" w:cstheme="majorEastAsia"/>
          <w:color w:val="auto"/>
          <w:sz w:val="21"/>
          <w:szCs w:val="21"/>
          <w:highlight w:val="none"/>
        </w:rPr>
        <w:t>例：运营期第1-3年按中标单价计算，第4-6年按中标单价×1.03计算，第7-9年按中标单价×1.03×1.03计算，第10年按中标单价×1.03×1.03×1.03计算。</w:t>
      </w:r>
    </w:p>
    <w:p w14:paraId="41363AA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4.3 支付方式</w:t>
      </w:r>
    </w:p>
    <w:p w14:paraId="4C08DA4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（1）承租费按每半年为一个支付周期。</w:t>
      </w:r>
    </w:p>
    <w:p w14:paraId="271F689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（2）首期款项：本合同签订生效后____个工作日内，乙方向甲方一次性支付首个半年期的承租费。</w:t>
      </w:r>
    </w:p>
    <w:p w14:paraId="2E1EDCBF">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（3）后续款项：乙方应在每个半年周期届满前30日内，一次性向甲方支付下一个半年期的承租费。</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（4）甲方在收到每笔款项后，应向乙方开具合法有效的增值税发票。</w:t>
      </w:r>
    </w:p>
    <w:p w14:paraId="31D8BB6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631" w:leftChars="200" w:right="0" w:hanging="211" w:hangingChars="1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4.4 履约担保</w:t>
      </w:r>
    </w:p>
    <w:p w14:paraId="0E6BD5B2">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jc w:val="both"/>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（1）乙方应在本合同签订前，向甲方提交金额</w:t>
      </w:r>
      <w:r>
        <w:rPr>
          <w:rFonts w:hint="eastAsia" w:cs="宋体"/>
          <w:i w:val="0"/>
          <w:iCs w:val="0"/>
          <w:caps w:val="0"/>
          <w:color w:val="auto"/>
          <w:spacing w:val="0"/>
          <w:sz w:val="21"/>
          <w:szCs w:val="21"/>
          <w:highlight w:val="none"/>
          <w:shd w:val="clear" w:fill="FFFFFF"/>
          <w:lang w:val="en-US" w:eastAsia="zh-CN"/>
        </w:rPr>
        <w:t>为</w:t>
      </w:r>
      <w:r>
        <w:rPr>
          <w:rFonts w:hint="eastAsia" w:cs="宋体"/>
          <w:i w:val="0"/>
          <w:iCs w:val="0"/>
          <w:caps w:val="0"/>
          <w:strike w:val="0"/>
          <w:dstrike w:val="0"/>
          <w:color w:val="auto"/>
          <w:spacing w:val="0"/>
          <w:sz w:val="21"/>
          <w:szCs w:val="21"/>
          <w:highlight w:val="none"/>
          <w:shd w:val="clear" w:fill="FFFFFF"/>
          <w:lang w:val="en-US" w:eastAsia="zh-CN"/>
        </w:rPr>
        <w:t>年</w:t>
      </w:r>
      <w:r>
        <w:rPr>
          <w:rFonts w:hint="eastAsia" w:ascii="宋体" w:hAnsi="宋体" w:eastAsia="宋体" w:cs="宋体"/>
          <w:i w:val="0"/>
          <w:iCs w:val="0"/>
          <w:caps w:val="0"/>
          <w:strike w:val="0"/>
          <w:dstrike w:val="0"/>
          <w:color w:val="auto"/>
          <w:spacing w:val="0"/>
          <w:sz w:val="21"/>
          <w:szCs w:val="21"/>
          <w:highlight w:val="none"/>
          <w:shd w:val="clear" w:fill="FFFFFF"/>
        </w:rPr>
        <w:t>承租费</w:t>
      </w:r>
      <w:r>
        <w:rPr>
          <w:rFonts w:hint="eastAsia" w:cs="宋体"/>
          <w:i w:val="0"/>
          <w:iCs w:val="0"/>
          <w:caps w:val="0"/>
          <w:color w:val="auto"/>
          <w:spacing w:val="0"/>
          <w:sz w:val="21"/>
          <w:szCs w:val="21"/>
          <w:highlight w:val="none"/>
          <w:shd w:val="clear" w:fill="FFFFFF"/>
          <w:lang w:val="en-US" w:eastAsia="zh-CN"/>
        </w:rPr>
        <w:t>×10%的</w:t>
      </w:r>
      <w:r>
        <w:rPr>
          <w:rFonts w:hint="eastAsia" w:ascii="宋体" w:hAnsi="宋体" w:eastAsia="宋体" w:cs="宋体"/>
          <w:i w:val="0"/>
          <w:iCs w:val="0"/>
          <w:caps w:val="0"/>
          <w:color w:val="auto"/>
          <w:spacing w:val="0"/>
          <w:sz w:val="21"/>
          <w:szCs w:val="21"/>
          <w:highlight w:val="none"/>
          <w:shd w:val="clear" w:fill="FFFFFF"/>
        </w:rPr>
        <w:t>履约</w:t>
      </w:r>
      <w:r>
        <w:rPr>
          <w:rFonts w:hint="eastAsia" w:ascii="宋体" w:hAnsi="宋体" w:eastAsia="宋体" w:cs="宋体"/>
          <w:i w:val="0"/>
          <w:iCs w:val="0"/>
          <w:caps w:val="0"/>
          <w:color w:val="auto"/>
          <w:spacing w:val="0"/>
          <w:sz w:val="21"/>
          <w:szCs w:val="21"/>
          <w:shd w:val="clear" w:fill="FFFFFF"/>
        </w:rPr>
        <w:t>担保。</w:t>
      </w:r>
    </w:p>
    <w:p w14:paraId="3D8063E7">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（2）履约担保形式</w:t>
      </w:r>
      <w:r>
        <w:rPr>
          <w:rFonts w:hint="eastAsia" w:ascii="宋体" w:hAnsi="宋体" w:eastAsia="宋体" w:cs="宋体"/>
          <w:color w:val="auto"/>
          <w:sz w:val="21"/>
          <w:szCs w:val="21"/>
          <w:highlight w:val="none"/>
          <w:lang w:val="en-US" w:eastAsia="zh-CN"/>
        </w:rPr>
        <w:t>支持银行转账、银行电汇、银行保函、担保机构担保、保证保险使用</w:t>
      </w:r>
      <w:r>
        <w:rPr>
          <w:rFonts w:hint="eastAsia" w:ascii="宋体" w:hAnsi="宋体" w:eastAsia="宋体" w:cs="宋体"/>
          <w:i w:val="0"/>
          <w:iCs w:val="0"/>
          <w:caps w:val="0"/>
          <w:color w:val="auto"/>
          <w:spacing w:val="0"/>
          <w:sz w:val="21"/>
          <w:szCs w:val="21"/>
          <w:shd w:val="clear" w:fill="FFFFFF"/>
        </w:rPr>
        <w:t>，具体格式须经甲方书面认可。</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（3）履约担保期限应覆盖整个运营期。</w:t>
      </w:r>
      <w:r>
        <w:rPr>
          <w:rFonts w:hint="eastAsia" w:ascii="宋体" w:hAnsi="宋体" w:cs="宋体"/>
          <w:color w:val="auto"/>
          <w:sz w:val="21"/>
          <w:szCs w:val="21"/>
          <w:highlight w:val="none"/>
          <w:lang w:val="en-US" w:eastAsia="zh-CN"/>
        </w:rPr>
        <w:t>运营期满且完成场地移交后30日内一次性退还</w:t>
      </w:r>
      <w:r>
        <w:rPr>
          <w:rFonts w:hint="eastAsia" w:cs="宋体"/>
          <w:color w:val="auto"/>
          <w:sz w:val="21"/>
          <w:szCs w:val="21"/>
          <w:highlight w:val="none"/>
          <w:lang w:val="en-US" w:eastAsia="zh-CN"/>
        </w:rPr>
        <w:t>。</w:t>
      </w:r>
    </w:p>
    <w:p w14:paraId="1F9223C5">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五、双方权利与义务</w:t>
      </w:r>
    </w:p>
    <w:p w14:paraId="7B2B14D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5.1 甲方权利与义务</w:t>
      </w:r>
    </w:p>
    <w:p w14:paraId="7BF3B6F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630" w:leftChars="200" w:right="0" w:hanging="210" w:hangingChars="1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（1）按约定时间完成危房拆除及专项改造，并向乙方交付项目场地。</w:t>
      </w:r>
    </w:p>
    <w:p w14:paraId="29F9CC22">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630" w:leftChars="200" w:right="0" w:hanging="210" w:hangingChars="1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（2）提供符合约定的水电接驳点。</w:t>
      </w:r>
    </w:p>
    <w:p w14:paraId="7D03B1C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630" w:leftChars="200" w:right="0" w:hanging="210" w:hangingChars="1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（3）有权按本合同约定收取场地承租费。</w:t>
      </w:r>
    </w:p>
    <w:p w14:paraId="141CB2B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4）有权对乙方的运营管理活动进行监督、检查，要求乙方定期报告运营情况。甲方有权进入项目场地，对乙方的日常维护、修缮改造、安全生产、消防管理、环境卫生、设施设备状况等进行现场监督检查，乙方应予配合。</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（5）因政府规划、政策等原因需收回205亩配套用地时，有权提前书面通知乙方终止该部分用地使用。</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（6）协助乙方办理运营过程中需以甲方名义出具证明或盖章的相关手续。</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（7）承担项目场地主体结构（包括承重墙、地基、屋顶主梁等）因自然损耗产生的修缮责任。</w:t>
      </w:r>
    </w:p>
    <w:p w14:paraId="1AF590B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5.2 乙方权利与义务</w:t>
      </w:r>
    </w:p>
    <w:p w14:paraId="7B2A6EE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（1）有权在运营期内自主开展符合本合同约定的招商、运营、管理活动。</w:t>
      </w:r>
    </w:p>
    <w:p w14:paraId="5F0F544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（2）按本合同约定及投标文件承诺，按时、保质完成项目规划、设计、改造、建设、招商、运营等全部工作。</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（3）负责运营期内项目场地内所有建筑物、设施设备、绿化景观的维护、保养、修缮、更新，并承担全部费用，确保安全。</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（4）负责组建专业运营团队，建立完善的运营管理、安全生产、应急预案、客户服务等体系。</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（5）按时足额向甲方支付场地承租费。</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6）运营期内，独立承担因经营活动产生的一切债权债务、法律责任（包括但不限于安全、消防、环保、卫生、劳务、知识产权、消费者权益等），并负责处理相关投诉与纠纷。若因此给甲方造成损失，乙方负责全额赔偿。</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（7）未经甲方书面同意，不得将本项目整体转包、分包，不得将项目场地整体转租。</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（8）合同期满或提前终止时，应按约定将项目场地（含乙方投资形成的不动产部分及附属设施）完好无偿移交给甲方。</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（9）应合理使用并爱护项目场地及其附属设施，如因使用不当造成损坏，应立即负责修复或承担赔偿责任。</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（10）不得擅自占用或破坏项目场地周边公共区域，不得擅自变更、扩建、改建、抵押项目场地。</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（11）遵守甲方或其委托的物业方对园区公共秩序、车辆、人员、环境卫生的管理规定。</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12）如因任何原因（包括但不限于经营不善）导致本合同提前解除或终止，乙方应独立负责处理与所有入驻商户、租户、合作方等第三方的合同解除、清退、赔偿、纠纷解决等全部事宜，确保第三方在合同终止日前全部平稳撤离项目场地，不得遗留任何租赁关系、使用权纠纷或未清偿债务给甲方。因乙方未能妥善处理第三方关系导致甲方遭受任何损失、索赔或卷入纠纷的，乙方应承担全部赔偿责任。</w:t>
      </w:r>
    </w:p>
    <w:p w14:paraId="1CAF0DD7">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六、项目场地改造、维护与使用</w:t>
      </w:r>
    </w:p>
    <w:p w14:paraId="1B30221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6.1 改造与报批</w:t>
      </w:r>
    </w:p>
    <w:p w14:paraId="18F07647">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因运营需要对项目场地进行内部改造、装修或设置对结构有影响的设备时，其设计方案、施工图纸等必须事先经具备相应资质的第三方机构核定安全，并报甲方书面同意后方可实施。相关费用及责任由乙方承担。</w:t>
      </w:r>
    </w:p>
    <w:p w14:paraId="28E226C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6.2 日常维护责任</w:t>
      </w:r>
    </w:p>
    <w:p w14:paraId="143002C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除主体结构自然损耗由甲方负责外，运营期内项目场地及其附属设施（包括但不限于屋面、墙面、门窗、水电管线、消防设施、空调系统、电梯等）的所有日常维护、保养、维修、更换工作及全部费用均由乙方负责。乙方应委托具备相应资质的企业进行专业维保，并及时处理各类故障。</w:t>
      </w:r>
    </w:p>
    <w:p w14:paraId="58C82D70">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6.3 恢复义务</w:t>
      </w:r>
    </w:p>
    <w:p w14:paraId="284DD01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合同终止时，对于乙方增设的可分离、可移动的装修、设备等，由乙方自行拆除并恢复原状（自然损耗除外）；对于已附着于场地、不可分离或不宜分离的改造部分（如加固结构、重做地面、固定隔断等），应保持完好并无偿移交甲方。若乙方拆除行为对甲方财产造成损害，应予以赔偿。</w:t>
      </w:r>
    </w:p>
    <w:p w14:paraId="15251FF0">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6.4 合规使用</w:t>
      </w:r>
    </w:p>
    <w:p w14:paraId="342C9D76">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乙方须确保其经营活动及对场地的使用完全符合国家及地方的法律法规、政策要求，不得从事任何违法、违规或超出约定业态范围的活动。</w:t>
      </w:r>
    </w:p>
    <w:p w14:paraId="0EBFCFBC">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七、安全生产与公共责任</w:t>
      </w:r>
    </w:p>
    <w:p w14:paraId="10F59DE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7.1 安全主体责任</w:t>
      </w:r>
    </w:p>
    <w:p w14:paraId="6955297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乙方作为项目场地的实际运营管理人，对运营期内项目场地的安全生产、消防安全、环境保护、职业卫生承担全部主体责任。</w:t>
      </w:r>
    </w:p>
    <w:p w14:paraId="144C617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7.2 手续与体系</w:t>
      </w:r>
    </w:p>
    <w:p w14:paraId="2D0FC61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须依法自行办理运营所需的一切安全、消防、环保、卫生等行政审批或备案手续，并承担相关费用。乙方应建立健全安全生产责任制、消防安全管理制度、环境保护管理制度、突发事件应急预案等，配备足额、有效的安全设施设备，对员工进行定期培训与演练。</w:t>
      </w:r>
    </w:p>
    <w:p w14:paraId="092D833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210" w:leftChars="100" w:right="0" w:firstLine="211" w:firstLineChars="1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7.3 遵守法规</w:t>
      </w:r>
    </w:p>
    <w:p w14:paraId="4BAF104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乙方必须严格遵守《安全生产法》《消防法》《环境保护法》等相关法律法规，确保生产经营活动符合安全、消防、环保标准。严禁在场地内私拉乱接电线、违规使用明火、存放危险物品、进行违规施工操作等。</w:t>
      </w:r>
    </w:p>
    <w:p w14:paraId="2FC2581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cs="宋体"/>
          <w:b/>
          <w:bCs/>
          <w:i w:val="0"/>
          <w:iCs w:val="0"/>
          <w:caps w:val="0"/>
          <w:color w:val="auto"/>
          <w:spacing w:val="0"/>
          <w:sz w:val="21"/>
          <w:szCs w:val="21"/>
          <w:shd w:val="clear" w:fill="FFFFFF"/>
          <w:lang w:val="en-US" w:eastAsia="zh-CN"/>
        </w:rPr>
      </w:pPr>
      <w:r>
        <w:rPr>
          <w:rStyle w:val="38"/>
          <w:rFonts w:hint="eastAsia" w:ascii="宋体" w:hAnsi="宋体" w:eastAsia="宋体" w:cs="宋体"/>
          <w:b/>
          <w:bCs/>
          <w:i w:val="0"/>
          <w:iCs w:val="0"/>
          <w:caps w:val="0"/>
          <w:color w:val="auto"/>
          <w:spacing w:val="0"/>
          <w:sz w:val="21"/>
          <w:szCs w:val="21"/>
          <w:shd w:val="clear" w:fill="FFFFFF"/>
        </w:rPr>
        <w:t>7.4 事故与赔偿</w:t>
      </w:r>
      <w:r>
        <w:rPr>
          <w:rStyle w:val="38"/>
          <w:rFonts w:hint="eastAsia" w:cs="宋体"/>
          <w:b/>
          <w:bCs/>
          <w:i w:val="0"/>
          <w:iCs w:val="0"/>
          <w:caps w:val="0"/>
          <w:color w:val="auto"/>
          <w:spacing w:val="0"/>
          <w:sz w:val="21"/>
          <w:szCs w:val="21"/>
          <w:shd w:val="clear" w:fill="FFFFFF"/>
          <w:lang w:val="en-US" w:eastAsia="zh-CN"/>
        </w:rPr>
        <w:t xml:space="preserve"> </w:t>
      </w:r>
    </w:p>
    <w:p w14:paraId="3AFA7CEF">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运营期内发生的任何安全生产事故、消防事故、环境污染事件、人身伤害或财产损失（包括乙方员工、商户、顾客及第三方遭受的损害），均由乙方独立承担全部法律责任和经济赔偿责任。若因此导致甲方遭受行政处罚、财产损失或声誉损害，乙方须向甲方承担全部赔偿责任。</w:t>
      </w:r>
    </w:p>
    <w:p w14:paraId="44BCF2FA">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210" w:leftChars="100" w:right="0" w:firstLine="211" w:firstLineChars="1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7.5 配合检查</w:t>
      </w:r>
    </w:p>
    <w:p w14:paraId="78ADD242">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乙方应积极配合甲方及政府相关部门的安全、消防、环保等监督检查，对提出的整改要求须在规定期限内完成。</w:t>
      </w:r>
    </w:p>
    <w:p w14:paraId="143D00C8">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八、关键节点与违约责任</w:t>
      </w:r>
    </w:p>
    <w:p w14:paraId="3D1A1F59">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8.1 关键节点要求</w:t>
      </w:r>
    </w:p>
    <w:p w14:paraId="2FDBE5C7">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shd w:val="clear" w:fill="FFFFFF"/>
        </w:rPr>
      </w:pPr>
      <w:r>
        <w:rPr>
          <w:rFonts w:hint="eastAsia" w:ascii="宋体" w:hAnsi="宋体" w:eastAsia="宋体" w:cs="宋体"/>
          <w:i w:val="0"/>
          <w:iCs w:val="0"/>
          <w:caps w:val="0"/>
          <w:color w:val="auto"/>
          <w:spacing w:val="0"/>
          <w:sz w:val="21"/>
          <w:szCs w:val="21"/>
          <w:shd w:val="clear" w:fill="FFFFFF"/>
        </w:rPr>
        <w:t>（1）</w:t>
      </w:r>
      <w:r>
        <w:rPr>
          <w:rStyle w:val="38"/>
          <w:rFonts w:hint="eastAsia" w:ascii="宋体" w:hAnsi="宋体" w:eastAsia="宋体" w:cs="宋体"/>
          <w:b/>
          <w:bCs/>
          <w:i w:val="0"/>
          <w:iCs w:val="0"/>
          <w:caps w:val="0"/>
          <w:color w:val="auto"/>
          <w:spacing w:val="0"/>
          <w:sz w:val="21"/>
          <w:szCs w:val="21"/>
          <w:shd w:val="clear" w:fill="FFFFFF"/>
        </w:rPr>
        <w:t>体育项目引进</w:t>
      </w:r>
      <w:r>
        <w:rPr>
          <w:rFonts w:hint="eastAsia" w:ascii="宋体" w:hAnsi="宋体" w:eastAsia="宋体" w:cs="宋体"/>
          <w:i w:val="0"/>
          <w:iCs w:val="0"/>
          <w:caps w:val="0"/>
          <w:color w:val="auto"/>
          <w:spacing w:val="0"/>
          <w:sz w:val="21"/>
          <w:szCs w:val="21"/>
          <w:shd w:val="clear" w:fill="FFFFFF"/>
        </w:rPr>
        <w:t>：本项目服务合同签订之日起一个月内，中标人须签订不低于2家单体5000平及以上的智慧型体育综合体项目，并承诺在一年内打造出不低于一家省级及以上的智慧型体育产业示范基地，所选体育项目需结合项目定位，场地设施条件及当地体育需求。且2家体育项目分属不同品类，避免同质化问题，确保运营服务的多样性与覆盖广度符合相关要求。本项目服务合同签订之日起两个月内完成所签订的单体5000平及以上的智慧型体育综合体的设计改造方案并开始施工，场地移交后两个月内正式试运营。未按预期完成体育项目的招商，影响到开业时间，招标人有权单方终止合同，履约保证金及承租费不予退还。</w:t>
      </w:r>
    </w:p>
    <w:p w14:paraId="1084DE58">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（2）</w:t>
      </w:r>
      <w:r>
        <w:rPr>
          <w:rStyle w:val="38"/>
          <w:rFonts w:hint="eastAsia" w:ascii="宋体" w:hAnsi="宋体" w:eastAsia="宋体" w:cs="宋体"/>
          <w:b/>
          <w:bCs/>
          <w:i w:val="0"/>
          <w:iCs w:val="0"/>
          <w:caps w:val="0"/>
          <w:color w:val="auto"/>
          <w:spacing w:val="0"/>
          <w:sz w:val="21"/>
          <w:szCs w:val="21"/>
          <w:shd w:val="clear" w:fill="FFFFFF"/>
        </w:rPr>
        <w:t>规划与改造</w:t>
      </w:r>
      <w:r>
        <w:rPr>
          <w:rFonts w:hint="eastAsia" w:ascii="宋体" w:hAnsi="宋体" w:eastAsia="宋体" w:cs="宋体"/>
          <w:i w:val="0"/>
          <w:iCs w:val="0"/>
          <w:caps w:val="0"/>
          <w:color w:val="auto"/>
          <w:spacing w:val="0"/>
          <w:sz w:val="21"/>
          <w:szCs w:val="21"/>
          <w:shd w:val="clear" w:fill="FFFFFF"/>
        </w:rPr>
        <w:t>：甲方交付场地后，乙方须在一个月内完成全部规划设计并报甲方备案。两个月内完成项目改造并验收。</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（3）</w:t>
      </w:r>
      <w:r>
        <w:rPr>
          <w:rStyle w:val="38"/>
          <w:rFonts w:hint="eastAsia" w:ascii="宋体" w:hAnsi="宋体" w:eastAsia="宋体" w:cs="宋体"/>
          <w:b/>
          <w:bCs/>
          <w:i w:val="0"/>
          <w:iCs w:val="0"/>
          <w:caps w:val="0"/>
          <w:color w:val="auto"/>
          <w:spacing w:val="0"/>
          <w:sz w:val="21"/>
          <w:szCs w:val="21"/>
          <w:shd w:val="clear" w:fill="FFFFFF"/>
        </w:rPr>
        <w:t>招商与开业</w:t>
      </w:r>
      <w:r>
        <w:rPr>
          <w:rFonts w:hint="eastAsia" w:ascii="宋体" w:hAnsi="宋体" w:eastAsia="宋体" w:cs="宋体"/>
          <w:i w:val="0"/>
          <w:iCs w:val="0"/>
          <w:caps w:val="0"/>
          <w:color w:val="auto"/>
          <w:spacing w:val="0"/>
          <w:sz w:val="21"/>
          <w:szCs w:val="21"/>
          <w:shd w:val="clear" w:fill="FFFFFF"/>
        </w:rPr>
        <w:t>：改造完成并验收后一个月内招商入驻率不低于80%，两个月内不低于85%，三个月内招商入驻率达90%（入驻率为招商租赁的房产面积）。招标人场地移交后三个月内园区项目试运营，场地移交后四个月内园区及附属用地全面开业运营，全面开业运营指体育、餐饮、娱乐、商业零售等规划业态均实现对外营业，整体运营系统进入稳定服务状态；未按预期完成各阶段的实施方案，招标人有权单方终止合同并清场，履约保证金及承租费不予退还。</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（4）</w:t>
      </w:r>
      <w:r>
        <w:rPr>
          <w:rStyle w:val="38"/>
          <w:rFonts w:hint="eastAsia" w:cs="宋体"/>
          <w:b/>
          <w:bCs/>
          <w:i w:val="0"/>
          <w:iCs w:val="0"/>
          <w:caps w:val="0"/>
          <w:color w:val="auto"/>
          <w:spacing w:val="0"/>
          <w:sz w:val="21"/>
          <w:szCs w:val="21"/>
          <w:shd w:val="clear" w:fill="FFFFFF"/>
          <w:lang w:eastAsia="zh-CN"/>
        </w:rPr>
        <w:t>工业展示区</w:t>
      </w:r>
      <w:r>
        <w:rPr>
          <w:rFonts w:hint="eastAsia" w:ascii="宋体" w:hAnsi="宋体" w:eastAsia="宋体" w:cs="宋体"/>
          <w:i w:val="0"/>
          <w:iCs w:val="0"/>
          <w:caps w:val="0"/>
          <w:color w:val="auto"/>
          <w:spacing w:val="0"/>
          <w:sz w:val="21"/>
          <w:szCs w:val="21"/>
          <w:shd w:val="clear" w:fill="FFFFFF"/>
        </w:rPr>
        <w:t>：</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rPr>
        <w:t>须对</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rPr>
        <w:t>指定的园区内特定场地（具体位置由</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rPr>
        <w:t>确认），进行专业化改造，打造一个主题鲜明、内容完整、体验丰富的“扬子发展历程工业展示区”。工业展示区须系统展示扬子集团从创立至今具有代表性的工业成就、产品演进、技术创新及企业文化，体现其在国家及地方工业发展历程中的重要地位与历史贡献。改造与展陈设计、建设、运营及维护所需全部费用由</w:t>
      </w:r>
      <w:r>
        <w:rPr>
          <w:rFonts w:hint="eastAsia" w:cs="宋体"/>
          <w:i w:val="0"/>
          <w:iCs w:val="0"/>
          <w:caps w:val="0"/>
          <w:color w:val="auto"/>
          <w:spacing w:val="0"/>
          <w:sz w:val="21"/>
          <w:szCs w:val="21"/>
          <w:shd w:val="clear" w:fill="FFFFFF"/>
          <w:lang w:val="en-US" w:eastAsia="zh-CN"/>
        </w:rPr>
        <w:t>乙方</w:t>
      </w:r>
      <w:r>
        <w:rPr>
          <w:rFonts w:hint="eastAsia" w:ascii="宋体" w:hAnsi="宋体" w:eastAsia="宋体" w:cs="宋体"/>
          <w:i w:val="0"/>
          <w:iCs w:val="0"/>
          <w:caps w:val="0"/>
          <w:color w:val="auto"/>
          <w:spacing w:val="0"/>
          <w:sz w:val="21"/>
          <w:szCs w:val="21"/>
          <w:shd w:val="clear" w:fill="FFFFFF"/>
        </w:rPr>
        <w:t>承担。建设与运营方案须报</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rPr>
        <w:t>审核，并最终由</w:t>
      </w:r>
      <w:r>
        <w:rPr>
          <w:rFonts w:hint="eastAsia" w:cs="宋体"/>
          <w:i w:val="0"/>
          <w:iCs w:val="0"/>
          <w:caps w:val="0"/>
          <w:color w:val="auto"/>
          <w:spacing w:val="0"/>
          <w:sz w:val="21"/>
          <w:szCs w:val="21"/>
          <w:shd w:val="clear" w:fill="FFFFFF"/>
          <w:lang w:val="en-US" w:eastAsia="zh-CN"/>
        </w:rPr>
        <w:t>甲方</w:t>
      </w:r>
      <w:r>
        <w:rPr>
          <w:rFonts w:hint="eastAsia" w:ascii="宋体" w:hAnsi="宋体" w:eastAsia="宋体" w:cs="宋体"/>
          <w:i w:val="0"/>
          <w:iCs w:val="0"/>
          <w:caps w:val="0"/>
          <w:color w:val="auto"/>
          <w:spacing w:val="0"/>
          <w:sz w:val="21"/>
          <w:szCs w:val="21"/>
          <w:shd w:val="clear" w:fill="FFFFFF"/>
        </w:rPr>
        <w:t>验收认可。</w:t>
      </w:r>
    </w:p>
    <w:p w14:paraId="5414F1D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8.2 违约责任</w:t>
      </w:r>
    </w:p>
    <w:p w14:paraId="081CE8B6">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1）若乙方未能达到上述任一关键节点要求，甲方有权向乙方发出书面整改通知。乙方应在通知限期内完成整改。若乙方未能按期整改或整改后仍不符合要求，视为乙方严重违约，甲方有权单方解除本合同，收回项目场地，乙方已支付的履约担保及已付</w:t>
      </w:r>
      <w:r>
        <w:rPr>
          <w:rFonts w:hint="eastAsia" w:cs="宋体"/>
          <w:i w:val="0"/>
          <w:iCs w:val="0"/>
          <w:caps w:val="0"/>
          <w:color w:val="auto"/>
          <w:spacing w:val="0"/>
          <w:sz w:val="21"/>
          <w:szCs w:val="21"/>
          <w:shd w:val="clear" w:fill="FFFFFF"/>
          <w:lang w:val="en-US" w:eastAsia="zh-CN"/>
        </w:rPr>
        <w:t>承租费</w:t>
      </w:r>
      <w:r>
        <w:rPr>
          <w:rFonts w:hint="eastAsia" w:ascii="宋体" w:hAnsi="宋体" w:eastAsia="宋体" w:cs="宋体"/>
          <w:i w:val="0"/>
          <w:iCs w:val="0"/>
          <w:caps w:val="0"/>
          <w:color w:val="auto"/>
          <w:spacing w:val="0"/>
          <w:sz w:val="21"/>
          <w:szCs w:val="21"/>
          <w:shd w:val="clear" w:fill="FFFFFF"/>
        </w:rPr>
        <w:t>不予退还，并有权要求乙方赔偿因此给甲方造成的一切损失。</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（2）乙方未按本合同约定时间支付场地承租费，每逾期一日，应按当期应付未付款项的万分之五向甲方支付违约金。逾期超过30日的，甲方有权单方解除本合同，收回场地，履约担保不予退还，并</w:t>
      </w:r>
      <w:r>
        <w:rPr>
          <w:rFonts w:hint="eastAsia" w:cs="宋体"/>
          <w:i w:val="0"/>
          <w:iCs w:val="0"/>
          <w:caps w:val="0"/>
          <w:color w:val="auto"/>
          <w:spacing w:val="0"/>
          <w:sz w:val="21"/>
          <w:szCs w:val="21"/>
          <w:shd w:val="clear" w:fill="FFFFFF"/>
          <w:lang w:val="en-US" w:eastAsia="zh-CN"/>
        </w:rPr>
        <w:t>有权</w:t>
      </w:r>
      <w:r>
        <w:rPr>
          <w:rFonts w:hint="eastAsia" w:ascii="宋体" w:hAnsi="宋体" w:eastAsia="宋体" w:cs="宋体"/>
          <w:i w:val="0"/>
          <w:iCs w:val="0"/>
          <w:caps w:val="0"/>
          <w:color w:val="auto"/>
          <w:spacing w:val="0"/>
          <w:sz w:val="21"/>
          <w:szCs w:val="21"/>
          <w:shd w:val="clear" w:fill="FFFFFF"/>
        </w:rPr>
        <w:t>要求乙方赔偿损失。</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（3）乙方违反法律、法规或本合同约定进行经营，或发生重大安全责任事故、群体性事件，对甲方声誉造成严重损害的，甲方有权单方解除合同，收回场地，履约担保不予退还，并</w:t>
      </w:r>
      <w:r>
        <w:rPr>
          <w:rFonts w:hint="eastAsia" w:cs="宋体"/>
          <w:i w:val="0"/>
          <w:iCs w:val="0"/>
          <w:caps w:val="0"/>
          <w:color w:val="auto"/>
          <w:spacing w:val="0"/>
          <w:sz w:val="21"/>
          <w:szCs w:val="21"/>
          <w:shd w:val="clear" w:fill="FFFFFF"/>
          <w:lang w:val="en-US" w:eastAsia="zh-CN"/>
        </w:rPr>
        <w:t>有权</w:t>
      </w:r>
      <w:r>
        <w:rPr>
          <w:rFonts w:hint="eastAsia" w:ascii="宋体" w:hAnsi="宋体" w:eastAsia="宋体" w:cs="宋体"/>
          <w:i w:val="0"/>
          <w:iCs w:val="0"/>
          <w:caps w:val="0"/>
          <w:color w:val="auto"/>
          <w:spacing w:val="0"/>
          <w:sz w:val="21"/>
          <w:szCs w:val="21"/>
          <w:shd w:val="clear" w:fill="FFFFFF"/>
        </w:rPr>
        <w:t>追究乙方赔偿责任。</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4）若因乙方经营不善、资金链断裂等原因，导致园区无法正常运营、引发商户群体性纠纷或维权事件，且对甲方的声誉、财产安全或项目场地的正常状态构成重大现实威胁，经甲方书面催告后15日内仍未有效解决的，甲方有权单方解除本合同，并</w:t>
      </w:r>
      <w:r>
        <w:rPr>
          <w:rFonts w:hint="eastAsia" w:cs="宋体"/>
          <w:i w:val="0"/>
          <w:iCs w:val="0"/>
          <w:caps w:val="0"/>
          <w:color w:val="auto"/>
          <w:spacing w:val="0"/>
          <w:sz w:val="21"/>
          <w:szCs w:val="21"/>
          <w:shd w:val="clear" w:fill="FFFFFF"/>
          <w:lang w:val="en-US" w:eastAsia="zh-CN"/>
        </w:rPr>
        <w:t>有权</w:t>
      </w:r>
      <w:r>
        <w:rPr>
          <w:rFonts w:hint="eastAsia" w:ascii="宋体" w:hAnsi="宋体" w:eastAsia="宋体" w:cs="宋体"/>
          <w:i w:val="0"/>
          <w:iCs w:val="0"/>
          <w:caps w:val="0"/>
          <w:color w:val="auto"/>
          <w:spacing w:val="0"/>
          <w:sz w:val="21"/>
          <w:szCs w:val="21"/>
          <w:shd w:val="clear" w:fill="FFFFFF"/>
        </w:rPr>
        <w:t>要求乙方承担本条约定的全部违约责任。</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（5）除本合同另有约定外，任何一方违反本合同其他约定，给对方造成损失的，应承担相应的赔偿责任。</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（6）因乙方原因导致合同提前解除或终止的，乙方在项目场地内的所有投入（包括但不限于装修、设施设备等）均无偿归甲方所有，乙方不得主张任何补偿或赔偿，并应在合同终止后15日内完成撤场及移交。</w:t>
      </w:r>
      <w:r>
        <w:rPr>
          <w:rFonts w:hint="eastAsia" w:ascii="宋体" w:hAnsi="宋体" w:eastAsia="宋体" w:cs="宋体"/>
          <w:i w:val="0"/>
          <w:iCs w:val="0"/>
          <w:caps w:val="0"/>
          <w:color w:val="auto"/>
          <w:spacing w:val="0"/>
          <w:sz w:val="21"/>
          <w:szCs w:val="21"/>
          <w:shd w:val="clear" w:fill="FFFFFF"/>
        </w:rPr>
        <w:br w:type="textWrapping"/>
      </w:r>
      <w:r>
        <w:rPr>
          <w:rFonts w:hint="eastAsia" w:cs="宋体"/>
          <w:i w:val="0"/>
          <w:iCs w:val="0"/>
          <w:caps w:val="0"/>
          <w:color w:val="auto"/>
          <w:spacing w:val="0"/>
          <w:sz w:val="21"/>
          <w:szCs w:val="21"/>
          <w:shd w:val="clear" w:fill="FFFFFF"/>
          <w:lang w:val="en-US" w:eastAsia="zh-CN"/>
        </w:rPr>
        <w:t xml:space="preserve">   </w:t>
      </w:r>
      <w:r>
        <w:rPr>
          <w:rFonts w:hint="eastAsia" w:ascii="宋体" w:hAnsi="宋体" w:eastAsia="宋体" w:cs="宋体"/>
          <w:i w:val="0"/>
          <w:iCs w:val="0"/>
          <w:caps w:val="0"/>
          <w:color w:val="auto"/>
          <w:spacing w:val="0"/>
          <w:sz w:val="21"/>
          <w:szCs w:val="21"/>
          <w:shd w:val="clear" w:fill="FFFFFF"/>
        </w:rPr>
        <w:t>（7）乙方违反本合同第六条第6.4款、第七条相关约定，经甲方书面通知后仍未在合理期限内纠正的，甲方有权根据违约情节轻重，</w:t>
      </w:r>
      <w:r>
        <w:rPr>
          <w:rFonts w:hint="eastAsia" w:cs="宋体"/>
          <w:i w:val="0"/>
          <w:iCs w:val="0"/>
          <w:caps w:val="0"/>
          <w:color w:val="auto"/>
          <w:spacing w:val="0"/>
          <w:sz w:val="21"/>
          <w:szCs w:val="21"/>
          <w:shd w:val="clear" w:fill="FFFFFF"/>
          <w:lang w:val="en-US" w:eastAsia="zh-CN"/>
        </w:rPr>
        <w:t>有权</w:t>
      </w:r>
      <w:r>
        <w:rPr>
          <w:rFonts w:hint="eastAsia" w:ascii="宋体" w:hAnsi="宋体" w:eastAsia="宋体" w:cs="宋体"/>
          <w:i w:val="0"/>
          <w:iCs w:val="0"/>
          <w:caps w:val="0"/>
          <w:color w:val="auto"/>
          <w:spacing w:val="0"/>
          <w:sz w:val="21"/>
          <w:szCs w:val="21"/>
          <w:shd w:val="clear" w:fill="FFFFFF"/>
        </w:rPr>
        <w:t>要求乙方支付违约金、暂停部分场地使用权直至单方解除合同。</w:t>
      </w:r>
    </w:p>
    <w:p w14:paraId="4AA99E7B">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九、合同终止与移交</w:t>
      </w:r>
    </w:p>
    <w:p w14:paraId="6664EC77">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9.</w:t>
      </w:r>
      <w:r>
        <w:rPr>
          <w:rStyle w:val="38"/>
          <w:rFonts w:hint="eastAsia" w:cs="宋体"/>
          <w:b/>
          <w:bCs/>
          <w:i w:val="0"/>
          <w:iCs w:val="0"/>
          <w:caps w:val="0"/>
          <w:color w:val="auto"/>
          <w:spacing w:val="0"/>
          <w:sz w:val="21"/>
          <w:szCs w:val="21"/>
          <w:shd w:val="clear" w:fill="FFFFFF"/>
          <w:lang w:val="en-US" w:eastAsia="zh-CN"/>
        </w:rPr>
        <w:t>1</w:t>
      </w:r>
      <w:r>
        <w:rPr>
          <w:rStyle w:val="38"/>
          <w:rFonts w:hint="eastAsia" w:ascii="宋体" w:hAnsi="宋体" w:eastAsia="宋体" w:cs="宋体"/>
          <w:b/>
          <w:bCs/>
          <w:i w:val="0"/>
          <w:iCs w:val="0"/>
          <w:caps w:val="0"/>
          <w:color w:val="auto"/>
          <w:spacing w:val="0"/>
          <w:sz w:val="21"/>
          <w:szCs w:val="21"/>
          <w:shd w:val="clear" w:fill="FFFFFF"/>
        </w:rPr>
        <w:t>移交义务</w:t>
      </w:r>
    </w:p>
    <w:p w14:paraId="7B866C92">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无论因何种原因导致本合同终止，乙方均应在合同终止后【30】个日历天内，将项目场地（包括768号园区及205亩配套用地）恢复至可正常运营状态（自然损耗除外），</w:t>
      </w:r>
      <w:r>
        <w:rPr>
          <w:rStyle w:val="38"/>
          <w:rFonts w:hint="eastAsia" w:ascii="宋体" w:hAnsi="宋体" w:eastAsia="宋体" w:cs="宋体"/>
          <w:b/>
          <w:bCs/>
          <w:i w:val="0"/>
          <w:iCs w:val="0"/>
          <w:caps w:val="0"/>
          <w:color w:val="auto"/>
          <w:spacing w:val="0"/>
          <w:sz w:val="21"/>
          <w:szCs w:val="21"/>
          <w:shd w:val="clear" w:fill="FFFFFF"/>
        </w:rPr>
        <w:t>并确保项目场地处于无商户占用、无租赁及其他使用权纠纷的状态</w:t>
      </w:r>
      <w:r>
        <w:rPr>
          <w:rFonts w:hint="eastAsia" w:ascii="宋体" w:hAnsi="宋体" w:eastAsia="宋体" w:cs="宋体"/>
          <w:i w:val="0"/>
          <w:iCs w:val="0"/>
          <w:caps w:val="0"/>
          <w:color w:val="auto"/>
          <w:spacing w:val="0"/>
          <w:sz w:val="21"/>
          <w:szCs w:val="21"/>
          <w:shd w:val="clear" w:fill="FFFFFF"/>
        </w:rPr>
        <w:t>，与甲方指定的第三方（或甲方）办理无偿移交手续。移交范围包括但不限于场地本身、乙方投资形成的附着于场地的不动产部分、附属设施、完整的工程及运营档案资料等。对于乙方投资形成的可移动资产，由乙方自行处置并搬离；对于已附着于场地的不可移动资产，按本合同第六条第6.3款约定处理。</w:t>
      </w:r>
      <w:r>
        <w:rPr>
          <w:rStyle w:val="38"/>
          <w:rFonts w:hint="eastAsia" w:ascii="宋体" w:hAnsi="宋体" w:eastAsia="宋体" w:cs="宋体"/>
          <w:b/>
          <w:bCs/>
          <w:i w:val="0"/>
          <w:iCs w:val="0"/>
          <w:caps w:val="0"/>
          <w:color w:val="auto"/>
          <w:spacing w:val="0"/>
          <w:sz w:val="21"/>
          <w:szCs w:val="21"/>
          <w:shd w:val="clear" w:fill="FFFFFF"/>
        </w:rPr>
        <w:t>若因存在商户占用或纠纷导致未能按时完成移交，视为乙方违约，乙方应按本合同第</w:t>
      </w:r>
      <w:r>
        <w:rPr>
          <w:rStyle w:val="38"/>
          <w:rFonts w:hint="eastAsia" w:ascii="宋体" w:hAnsi="宋体" w:eastAsia="宋体" w:cs="宋体"/>
          <w:b/>
          <w:bCs/>
          <w:i w:val="0"/>
          <w:iCs w:val="0"/>
          <w:caps w:val="0"/>
          <w:color w:val="auto"/>
          <w:spacing w:val="0"/>
          <w:sz w:val="21"/>
          <w:szCs w:val="21"/>
          <w:highlight w:val="none"/>
          <w:shd w:val="clear" w:fill="FFFFFF"/>
        </w:rPr>
        <w:t>9.</w:t>
      </w:r>
      <w:r>
        <w:rPr>
          <w:rStyle w:val="38"/>
          <w:rFonts w:hint="eastAsia" w:cs="宋体"/>
          <w:b/>
          <w:bCs/>
          <w:i w:val="0"/>
          <w:iCs w:val="0"/>
          <w:caps w:val="0"/>
          <w:color w:val="auto"/>
          <w:spacing w:val="0"/>
          <w:sz w:val="21"/>
          <w:szCs w:val="21"/>
          <w:highlight w:val="none"/>
          <w:shd w:val="clear" w:fill="FFFFFF"/>
          <w:lang w:val="en-US" w:eastAsia="zh-CN"/>
        </w:rPr>
        <w:t>2</w:t>
      </w:r>
      <w:r>
        <w:rPr>
          <w:rStyle w:val="38"/>
          <w:rFonts w:hint="eastAsia" w:ascii="宋体" w:hAnsi="宋体" w:eastAsia="宋体" w:cs="宋体"/>
          <w:b/>
          <w:bCs/>
          <w:i w:val="0"/>
          <w:iCs w:val="0"/>
          <w:caps w:val="0"/>
          <w:color w:val="auto"/>
          <w:spacing w:val="0"/>
          <w:sz w:val="21"/>
          <w:szCs w:val="21"/>
          <w:shd w:val="clear" w:fill="FFFFFF"/>
        </w:rPr>
        <w:t>条承担逾期移交的违约责任。</w:t>
      </w:r>
    </w:p>
    <w:p w14:paraId="10E4A13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9.</w:t>
      </w:r>
      <w:r>
        <w:rPr>
          <w:rStyle w:val="38"/>
          <w:rFonts w:hint="eastAsia" w:cs="宋体"/>
          <w:b/>
          <w:bCs/>
          <w:i w:val="0"/>
          <w:iCs w:val="0"/>
          <w:caps w:val="0"/>
          <w:color w:val="auto"/>
          <w:spacing w:val="0"/>
          <w:sz w:val="21"/>
          <w:szCs w:val="21"/>
          <w:shd w:val="clear" w:fill="FFFFFF"/>
          <w:lang w:val="en-US" w:eastAsia="zh-CN"/>
        </w:rPr>
        <w:t>2</w:t>
      </w:r>
      <w:r>
        <w:rPr>
          <w:rStyle w:val="38"/>
          <w:rFonts w:hint="eastAsia" w:ascii="宋体" w:hAnsi="宋体" w:eastAsia="宋体" w:cs="宋体"/>
          <w:b/>
          <w:bCs/>
          <w:i w:val="0"/>
          <w:iCs w:val="0"/>
          <w:caps w:val="0"/>
          <w:color w:val="auto"/>
          <w:spacing w:val="0"/>
          <w:sz w:val="21"/>
          <w:szCs w:val="21"/>
          <w:shd w:val="clear" w:fill="FFFFFF"/>
        </w:rPr>
        <w:t>逾期移交责任</w:t>
      </w:r>
    </w:p>
    <w:p w14:paraId="02199DB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乙方逾期未完成撤场移交的，每逾期一日，应向甲方支付相当于届时年度承租费千分之一的违约金，且甲方有权自行或委托第三方进行清场，由此产生的费用及损失由乙方承担。</w:t>
      </w:r>
    </w:p>
    <w:p w14:paraId="5D411222">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十、争议解决</w:t>
      </w:r>
    </w:p>
    <w:p w14:paraId="675E35CD">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10.1 协商解决</w:t>
      </w:r>
    </w:p>
    <w:p w14:paraId="3E3A0887">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因履行本合同发生的或与本合同有关的一切争议，双方应首先通过友好协商解决。</w:t>
      </w:r>
    </w:p>
    <w:p w14:paraId="2EBFFAA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10.2 诉讼管辖</w:t>
      </w:r>
    </w:p>
    <w:p w14:paraId="7D17E413">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协商不成的，任何一方均有权依法向</w:t>
      </w:r>
      <w:r>
        <w:rPr>
          <w:rStyle w:val="38"/>
          <w:rFonts w:hint="eastAsia" w:ascii="宋体" w:hAnsi="宋体" w:eastAsia="宋体" w:cs="宋体"/>
          <w:b/>
          <w:bCs/>
          <w:i w:val="0"/>
          <w:iCs w:val="0"/>
          <w:caps w:val="0"/>
          <w:color w:val="auto"/>
          <w:spacing w:val="0"/>
          <w:sz w:val="21"/>
          <w:szCs w:val="21"/>
          <w:shd w:val="clear" w:fill="FFFFFF"/>
        </w:rPr>
        <w:t>项目场地所在地（即滁州市琅琊区）人民法院</w:t>
      </w:r>
      <w:r>
        <w:rPr>
          <w:rFonts w:hint="eastAsia" w:ascii="宋体" w:hAnsi="宋体" w:eastAsia="宋体" w:cs="宋体"/>
          <w:i w:val="0"/>
          <w:iCs w:val="0"/>
          <w:caps w:val="0"/>
          <w:color w:val="auto"/>
          <w:spacing w:val="0"/>
          <w:sz w:val="21"/>
          <w:szCs w:val="21"/>
          <w:shd w:val="clear" w:fill="FFFFFF"/>
        </w:rPr>
        <w:t>提起诉讼。</w:t>
      </w:r>
    </w:p>
    <w:p w14:paraId="1EAF5BD6">
      <w:pPr>
        <w:pStyle w:val="3"/>
        <w:keepNext w:val="0"/>
        <w:keepLines w:val="0"/>
        <w:pageBreakBefore w:val="0"/>
        <w:widowControl/>
        <w:numPr>
          <w:ilvl w:val="1"/>
          <w:numId w:val="0"/>
        </w:numPr>
        <w:suppressLineNumbers w:val="0"/>
        <w:shd w:val="clear" w:fill="FFFFFF"/>
        <w:kinsoku/>
        <w:wordWrap/>
        <w:overflowPunct/>
        <w:topLinePunct w:val="0"/>
        <w:autoSpaceDE/>
        <w:autoSpaceDN/>
        <w:bidi w:val="0"/>
        <w:adjustRightInd/>
        <w:snapToGrid/>
        <w:spacing w:beforeAutospacing="0" w:afterAutospacing="0" w:line="500" w:lineRule="exact"/>
        <w:ind w:leftChars="200" w:right="0" w:rightChars="0"/>
        <w:textAlignment w:val="auto"/>
        <w:rPr>
          <w:rFonts w:hint="eastAsia" w:ascii="宋体" w:hAnsi="宋体" w:eastAsia="宋体" w:cs="宋体"/>
          <w:b/>
          <w:bCs/>
          <w:caps w:val="0"/>
          <w:color w:val="auto"/>
          <w:spacing w:val="0"/>
          <w:sz w:val="21"/>
          <w:szCs w:val="21"/>
        </w:rPr>
      </w:pPr>
      <w:r>
        <w:rPr>
          <w:rFonts w:hint="eastAsia" w:ascii="宋体" w:hAnsi="宋体" w:eastAsia="宋体" w:cs="宋体"/>
          <w:b/>
          <w:bCs/>
          <w:caps w:val="0"/>
          <w:color w:val="auto"/>
          <w:spacing w:val="0"/>
          <w:sz w:val="21"/>
          <w:szCs w:val="21"/>
          <w:shd w:val="clear" w:fill="FFFFFF"/>
        </w:rPr>
        <w:t>十一、其他</w:t>
      </w:r>
    </w:p>
    <w:p w14:paraId="13C3A3C6">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11.1 不可抗力</w:t>
      </w:r>
    </w:p>
    <w:p w14:paraId="4DABDDA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因不可抗力（如地震、台风、水灾、战争、重大公共卫生事件等）导致合同无法履行的，受影响方应及时通知对方，并提供相关证明，可部分或全部免除违约责任。但主张不可抗力的一方仍应采取必要措施减少损失。</w:t>
      </w:r>
    </w:p>
    <w:p w14:paraId="37CC62C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420" w:leftChars="200" w:right="0" w:firstLine="0" w:firstLineChars="0"/>
        <w:textAlignment w:val="auto"/>
        <w:rPr>
          <w:rStyle w:val="38"/>
          <w:rFonts w:hint="eastAsia" w:ascii="宋体" w:hAnsi="宋体" w:eastAsia="宋体" w:cs="宋体"/>
          <w:b/>
          <w:bCs/>
          <w:i w:val="0"/>
          <w:iCs w:val="0"/>
          <w:caps w:val="0"/>
          <w:color w:val="auto"/>
          <w:spacing w:val="0"/>
          <w:sz w:val="21"/>
          <w:szCs w:val="21"/>
          <w:shd w:val="clear" w:fill="FFFFFF"/>
        </w:rPr>
      </w:pPr>
      <w:r>
        <w:rPr>
          <w:rStyle w:val="38"/>
          <w:rFonts w:hint="eastAsia" w:ascii="宋体" w:hAnsi="宋体" w:eastAsia="宋体" w:cs="宋体"/>
          <w:b/>
          <w:bCs/>
          <w:i w:val="0"/>
          <w:iCs w:val="0"/>
          <w:caps w:val="0"/>
          <w:color w:val="auto"/>
          <w:spacing w:val="0"/>
          <w:sz w:val="21"/>
          <w:szCs w:val="21"/>
          <w:shd w:val="clear" w:fill="FFFFFF"/>
        </w:rPr>
        <w:t>11.2 通知与送达</w:t>
      </w:r>
    </w:p>
    <w:p w14:paraId="5737251B">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right="0" w:firstLine="420" w:firstLineChars="200"/>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shd w:val="clear" w:fill="FFFFFF"/>
        </w:rPr>
        <w:t>本合同履行过程中的通知、文件均应以书面形式（包括电子邮件、短信等数据电文）送达。以下地址为有效送达地址，变更须提前三日书面通知对方：</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甲方送达地址：滁州市南谯区中都大道与醉翁路交叉口西南角城投大厦4楼</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联系人：________________</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电话：________________</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乙方送达地址：________________</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联系人：________________</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电话：________________</w:t>
      </w:r>
    </w:p>
    <w:p w14:paraId="6FCB575C">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11.3 合同份数</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本合同一式【捌】份，甲方执【肆】份，乙方执【肆】份，均具有同等法律效力。</w:t>
      </w:r>
    </w:p>
    <w:p w14:paraId="7B0AEEF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11.4 合同生效</w:t>
      </w:r>
      <w:r>
        <w:rPr>
          <w:rFonts w:hint="eastAsia" w:ascii="宋体" w:hAnsi="宋体" w:eastAsia="宋体" w:cs="宋体"/>
          <w:i w:val="0"/>
          <w:iCs w:val="0"/>
          <w:caps w:val="0"/>
          <w:color w:val="auto"/>
          <w:spacing w:val="0"/>
          <w:sz w:val="21"/>
          <w:szCs w:val="21"/>
          <w:shd w:val="clear" w:fill="FFFFFF"/>
        </w:rPr>
        <w:br w:type="textWrapping"/>
      </w:r>
      <w:r>
        <w:rPr>
          <w:rFonts w:hint="eastAsia" w:ascii="宋体" w:hAnsi="宋体" w:eastAsia="宋体" w:cs="宋体"/>
          <w:i w:val="0"/>
          <w:iCs w:val="0"/>
          <w:caps w:val="0"/>
          <w:color w:val="auto"/>
          <w:spacing w:val="0"/>
          <w:sz w:val="21"/>
          <w:szCs w:val="21"/>
          <w:shd w:val="clear" w:fill="FFFFFF"/>
        </w:rPr>
        <w:t>本合同自双方法定代表人或授权代表签字并加盖公司公章之日起生效。</w:t>
      </w:r>
    </w:p>
    <w:p w14:paraId="20009B2E">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Style w:val="38"/>
          <w:rFonts w:hint="eastAsia" w:ascii="宋体" w:hAnsi="宋体" w:eastAsia="宋体" w:cs="宋体"/>
          <w:b/>
          <w:bCs/>
          <w:i w:val="0"/>
          <w:iCs w:val="0"/>
          <w:caps w:val="0"/>
          <w:color w:val="auto"/>
          <w:spacing w:val="0"/>
          <w:sz w:val="21"/>
          <w:szCs w:val="21"/>
          <w:shd w:val="clear" w:fill="FFFFFF"/>
        </w:rPr>
      </w:pPr>
    </w:p>
    <w:p w14:paraId="70F88671">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Style w:val="38"/>
          <w:rFonts w:hint="eastAsia" w:ascii="宋体" w:hAnsi="宋体" w:eastAsia="宋体" w:cs="宋体"/>
          <w:b/>
          <w:bCs/>
          <w:i w:val="0"/>
          <w:iCs w:val="0"/>
          <w:caps w:val="0"/>
          <w:color w:val="auto"/>
          <w:spacing w:val="0"/>
          <w:sz w:val="21"/>
          <w:szCs w:val="21"/>
          <w:shd w:val="clear" w:fill="FFFFFF"/>
        </w:rPr>
      </w:pPr>
    </w:p>
    <w:p w14:paraId="483963B5">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甲方（盖章）：</w:t>
      </w:r>
      <w:r>
        <w:rPr>
          <w:rFonts w:hint="eastAsia" w:ascii="宋体" w:hAnsi="宋体" w:eastAsia="宋体" w:cs="宋体"/>
          <w:i w:val="0"/>
          <w:iCs w:val="0"/>
          <w:caps w:val="0"/>
          <w:color w:val="auto"/>
          <w:spacing w:val="0"/>
          <w:sz w:val="21"/>
          <w:szCs w:val="21"/>
          <w:shd w:val="clear" w:fill="FFFFFF"/>
        </w:rPr>
        <w:t> 中国扬子集团有限公司</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法定代表人（或授权代表）签字：</w:t>
      </w:r>
      <w:r>
        <w:rPr>
          <w:rFonts w:hint="eastAsia" w:ascii="宋体" w:hAnsi="宋体" w:eastAsia="宋体" w:cs="宋体"/>
          <w:i w:val="0"/>
          <w:iCs w:val="0"/>
          <w:caps w:val="0"/>
          <w:color w:val="auto"/>
          <w:spacing w:val="0"/>
          <w:sz w:val="21"/>
          <w:szCs w:val="21"/>
          <w:shd w:val="clear" w:fill="FFFFFF"/>
        </w:rPr>
        <w:t> 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日期：</w:t>
      </w:r>
      <w:r>
        <w:rPr>
          <w:rFonts w:hint="eastAsia" w:ascii="宋体" w:hAnsi="宋体" w:eastAsia="宋体" w:cs="宋体"/>
          <w:i w:val="0"/>
          <w:iCs w:val="0"/>
          <w:caps w:val="0"/>
          <w:color w:val="auto"/>
          <w:spacing w:val="0"/>
          <w:sz w:val="21"/>
          <w:szCs w:val="21"/>
          <w:shd w:val="clear" w:fill="FFFFFF"/>
        </w:rPr>
        <w:t> ________年________月________日</w:t>
      </w:r>
    </w:p>
    <w:p w14:paraId="7EA78882">
      <w:pPr>
        <w:pStyle w:val="31"/>
        <w:keepNext w:val="0"/>
        <w:keepLines w:val="0"/>
        <w:pageBreakBefore w:val="0"/>
        <w:widowControl/>
        <w:suppressLineNumbers w:val="0"/>
        <w:shd w:val="clear" w:fill="FFFFFF"/>
        <w:kinsoku/>
        <w:wordWrap/>
        <w:overflowPunct/>
        <w:topLinePunct w:val="0"/>
        <w:autoSpaceDE/>
        <w:autoSpaceDN/>
        <w:bidi w:val="0"/>
        <w:adjustRightInd/>
        <w:snapToGrid/>
        <w:spacing w:before="0" w:beforeLines="0" w:beforeAutospacing="0" w:after="0" w:afterLines="0" w:afterAutospacing="0" w:line="500" w:lineRule="exact"/>
        <w:ind w:left="0" w:right="0" w:firstLine="422" w:firstLineChars="200"/>
        <w:textAlignment w:val="auto"/>
        <w:rPr>
          <w:rFonts w:hint="eastAsia" w:ascii="宋体" w:hAnsi="宋体" w:eastAsia="宋体" w:cs="宋体"/>
          <w:i w:val="0"/>
          <w:iCs w:val="0"/>
          <w:caps w:val="0"/>
          <w:color w:val="auto"/>
          <w:spacing w:val="0"/>
          <w:sz w:val="21"/>
          <w:szCs w:val="21"/>
        </w:rPr>
      </w:pPr>
      <w:r>
        <w:rPr>
          <w:rStyle w:val="38"/>
          <w:rFonts w:hint="eastAsia" w:ascii="宋体" w:hAnsi="宋体" w:eastAsia="宋体" w:cs="宋体"/>
          <w:b/>
          <w:bCs/>
          <w:i w:val="0"/>
          <w:iCs w:val="0"/>
          <w:caps w:val="0"/>
          <w:color w:val="auto"/>
          <w:spacing w:val="0"/>
          <w:sz w:val="21"/>
          <w:szCs w:val="21"/>
          <w:shd w:val="clear" w:fill="FFFFFF"/>
        </w:rPr>
        <w:t>乙方（盖章）：</w:t>
      </w:r>
      <w:r>
        <w:rPr>
          <w:rFonts w:hint="eastAsia" w:ascii="宋体" w:hAnsi="宋体" w:eastAsia="宋体" w:cs="宋体"/>
          <w:i w:val="0"/>
          <w:iCs w:val="0"/>
          <w:caps w:val="0"/>
          <w:color w:val="auto"/>
          <w:spacing w:val="0"/>
          <w:sz w:val="21"/>
          <w:szCs w:val="21"/>
          <w:shd w:val="clear" w:fill="FFFFFF"/>
        </w:rPr>
        <w:t> 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法定代表人（或授权代表）签字：</w:t>
      </w:r>
      <w:r>
        <w:rPr>
          <w:rFonts w:hint="eastAsia" w:ascii="宋体" w:hAnsi="宋体" w:eastAsia="宋体" w:cs="宋体"/>
          <w:i w:val="0"/>
          <w:iCs w:val="0"/>
          <w:caps w:val="0"/>
          <w:color w:val="auto"/>
          <w:spacing w:val="0"/>
          <w:sz w:val="21"/>
          <w:szCs w:val="21"/>
          <w:shd w:val="clear" w:fill="FFFFFF"/>
        </w:rPr>
        <w:t> ________________</w:t>
      </w:r>
      <w:r>
        <w:rPr>
          <w:rFonts w:hint="eastAsia" w:ascii="宋体" w:hAnsi="宋体" w:eastAsia="宋体" w:cs="宋体"/>
          <w:i w:val="0"/>
          <w:iCs w:val="0"/>
          <w:caps w:val="0"/>
          <w:color w:val="auto"/>
          <w:spacing w:val="0"/>
          <w:sz w:val="21"/>
          <w:szCs w:val="21"/>
          <w:shd w:val="clear" w:fill="FFFFFF"/>
        </w:rPr>
        <w:br w:type="textWrapping"/>
      </w:r>
      <w:r>
        <w:rPr>
          <w:rStyle w:val="38"/>
          <w:rFonts w:hint="eastAsia" w:ascii="宋体" w:hAnsi="宋体" w:eastAsia="宋体" w:cs="宋体"/>
          <w:b/>
          <w:bCs/>
          <w:i w:val="0"/>
          <w:iCs w:val="0"/>
          <w:caps w:val="0"/>
          <w:color w:val="auto"/>
          <w:spacing w:val="0"/>
          <w:sz w:val="21"/>
          <w:szCs w:val="21"/>
          <w:shd w:val="clear" w:fill="FFFFFF"/>
        </w:rPr>
        <w:t>日期：</w:t>
      </w:r>
      <w:r>
        <w:rPr>
          <w:rFonts w:hint="eastAsia" w:ascii="宋体" w:hAnsi="宋体" w:eastAsia="宋体" w:cs="宋体"/>
          <w:i w:val="0"/>
          <w:iCs w:val="0"/>
          <w:caps w:val="0"/>
          <w:color w:val="auto"/>
          <w:spacing w:val="0"/>
          <w:sz w:val="21"/>
          <w:szCs w:val="21"/>
          <w:shd w:val="clear" w:fill="FFFFFF"/>
        </w:rPr>
        <w:t> ________年________月________日</w:t>
      </w:r>
    </w:p>
    <w:p w14:paraId="0AA7B11E">
      <w:pPr>
        <w:keepNext w:val="0"/>
        <w:keepLines w:val="0"/>
        <w:pageBreakBefore w:val="0"/>
        <w:kinsoku/>
        <w:wordWrap/>
        <w:overflowPunct/>
        <w:topLinePunct w:val="0"/>
        <w:autoSpaceDE/>
        <w:autoSpaceDN/>
        <w:bidi w:val="0"/>
        <w:adjustRightInd/>
        <w:snapToGrid/>
        <w:textAlignment w:val="auto"/>
        <w:rPr>
          <w:rFonts w:hint="eastAsia" w:ascii="仿宋" w:hAnsi="仿宋" w:eastAsia="仿宋" w:cs="仿宋"/>
          <w:color w:val="auto"/>
          <w:sz w:val="30"/>
          <w:szCs w:val="30"/>
        </w:rPr>
      </w:pPr>
    </w:p>
    <w:p w14:paraId="0DCA925D">
      <w:pPr>
        <w:rPr>
          <w:rFonts w:hint="eastAsia"/>
          <w:color w:val="auto"/>
          <w:highlight w:val="none"/>
        </w:rPr>
      </w:pPr>
    </w:p>
    <w:p w14:paraId="6DAE44CF">
      <w:pPr>
        <w:rPr>
          <w:rFonts w:hint="eastAsia"/>
          <w:color w:val="auto"/>
          <w:highlight w:val="none"/>
        </w:rPr>
      </w:pPr>
    </w:p>
    <w:p w14:paraId="0E7EFEA9">
      <w:pPr>
        <w:rPr>
          <w:rFonts w:hint="eastAsia"/>
          <w:color w:val="auto"/>
          <w:highlight w:val="none"/>
        </w:rPr>
      </w:pPr>
    </w:p>
    <w:p w14:paraId="5CB16908">
      <w:pPr>
        <w:rPr>
          <w:rFonts w:hint="eastAsia"/>
          <w:color w:val="auto"/>
          <w:highlight w:val="none"/>
        </w:rPr>
      </w:pPr>
    </w:p>
    <w:p w14:paraId="1319BD7D">
      <w:pPr>
        <w:rPr>
          <w:rFonts w:hint="eastAsia"/>
          <w:color w:val="auto"/>
          <w:highlight w:val="none"/>
        </w:rPr>
      </w:pPr>
    </w:p>
    <w:p w14:paraId="4D1A87F6">
      <w:pPr>
        <w:rPr>
          <w:rFonts w:hint="eastAsia"/>
          <w:color w:val="auto"/>
          <w:highlight w:val="none"/>
        </w:rPr>
      </w:pPr>
    </w:p>
    <w:p w14:paraId="59DF38CE">
      <w:pPr>
        <w:rPr>
          <w:rFonts w:hint="eastAsia"/>
          <w:color w:val="auto"/>
          <w:highlight w:val="none"/>
        </w:rPr>
      </w:pPr>
    </w:p>
    <w:p w14:paraId="2FC94174">
      <w:pPr>
        <w:rPr>
          <w:rFonts w:hint="eastAsia"/>
          <w:color w:val="auto"/>
          <w:highlight w:val="none"/>
        </w:rPr>
      </w:pPr>
    </w:p>
    <w:p w14:paraId="0415F8AD">
      <w:pPr>
        <w:rPr>
          <w:rFonts w:hint="eastAsia"/>
          <w:color w:val="auto"/>
          <w:highlight w:val="none"/>
        </w:rPr>
      </w:pPr>
    </w:p>
    <w:p w14:paraId="3EC27AA5">
      <w:pPr>
        <w:rPr>
          <w:rFonts w:hint="eastAsia"/>
          <w:color w:val="auto"/>
          <w:highlight w:val="none"/>
        </w:rPr>
      </w:pPr>
    </w:p>
    <w:p w14:paraId="69D15746">
      <w:pPr>
        <w:rPr>
          <w:rFonts w:hint="eastAsia"/>
          <w:color w:val="auto"/>
          <w:highlight w:val="none"/>
        </w:rPr>
      </w:pPr>
      <w:bookmarkStart w:id="82" w:name="_Toc8628"/>
      <w:r>
        <w:rPr>
          <w:rFonts w:hint="eastAsia"/>
          <w:color w:val="auto"/>
          <w:highlight w:val="none"/>
        </w:rPr>
        <w:br w:type="page"/>
      </w:r>
    </w:p>
    <w:p w14:paraId="00C4DCE7">
      <w:pPr>
        <w:pStyle w:val="2"/>
        <w:rPr>
          <w:rFonts w:hint="eastAsia"/>
          <w:color w:val="auto"/>
          <w:highlight w:val="none"/>
        </w:rPr>
      </w:pPr>
      <w:r>
        <w:rPr>
          <w:rFonts w:hint="eastAsia"/>
          <w:color w:val="auto"/>
          <w:highlight w:val="none"/>
        </w:rPr>
        <w:t>第六章  投标文件格式</w:t>
      </w:r>
      <w:bookmarkEnd w:id="81"/>
      <w:bookmarkEnd w:id="82"/>
    </w:p>
    <w:p w14:paraId="737428BF">
      <w:pPr>
        <w:jc w:val="center"/>
        <w:rPr>
          <w:rFonts w:hint="eastAsia" w:ascii="宋体" w:hAnsi="宋体"/>
          <w:b/>
          <w:color w:val="auto"/>
          <w:sz w:val="28"/>
          <w:szCs w:val="28"/>
          <w:highlight w:val="none"/>
          <w:bdr w:val="single" w:color="auto" w:sz="4" w:space="0"/>
        </w:rPr>
      </w:pPr>
      <w:r>
        <w:rPr>
          <w:rFonts w:hint="eastAsia" w:ascii="宋体" w:hAnsi="宋体"/>
          <w:b/>
          <w:color w:val="auto"/>
          <w:sz w:val="28"/>
          <w:szCs w:val="28"/>
          <w:highlight w:val="none"/>
        </w:rPr>
        <w:t>一、资信证明格式文件</w:t>
      </w:r>
    </w:p>
    <w:p w14:paraId="05710260">
      <w:pPr>
        <w:jc w:val="center"/>
        <w:rPr>
          <w:rFonts w:hint="eastAsia" w:eastAsia="黑体"/>
          <w:color w:val="auto"/>
          <w:sz w:val="20"/>
          <w:highlight w:val="none"/>
        </w:rPr>
      </w:pPr>
    </w:p>
    <w:p w14:paraId="0837A5E2">
      <w:pPr>
        <w:rPr>
          <w:rFonts w:hint="eastAsia" w:eastAsia="黑体"/>
          <w:color w:val="auto"/>
          <w:sz w:val="20"/>
          <w:highlight w:val="none"/>
        </w:rPr>
      </w:pPr>
    </w:p>
    <w:p w14:paraId="2EA05921">
      <w:pPr>
        <w:jc w:val="center"/>
        <w:rPr>
          <w:rFonts w:hint="eastAsia" w:ascii="宋体"/>
          <w:b/>
          <w:color w:val="auto"/>
          <w:sz w:val="44"/>
          <w:szCs w:val="44"/>
          <w:highlight w:val="none"/>
        </w:rPr>
      </w:pPr>
      <w:bookmarkStart w:id="83" w:name="_Toc350698753"/>
      <w:bookmarkStart w:id="84" w:name="_Toc449028949"/>
      <w:r>
        <w:rPr>
          <w:rFonts w:hint="eastAsia" w:ascii="宋体"/>
          <w:b/>
          <w:color w:val="auto"/>
          <w:sz w:val="44"/>
          <w:szCs w:val="44"/>
          <w:highlight w:val="none"/>
        </w:rPr>
        <w:t>资信证明文件</w:t>
      </w:r>
      <w:bookmarkEnd w:id="83"/>
      <w:bookmarkEnd w:id="84"/>
    </w:p>
    <w:p w14:paraId="32AB1BB5">
      <w:pPr>
        <w:jc w:val="center"/>
        <w:rPr>
          <w:rFonts w:hint="eastAsia" w:ascii="宋体"/>
          <w:color w:val="auto"/>
          <w:sz w:val="32"/>
          <w:szCs w:val="32"/>
          <w:highlight w:val="none"/>
        </w:rPr>
      </w:pPr>
      <w:r>
        <w:rPr>
          <w:rFonts w:hint="eastAsia" w:ascii="宋体"/>
          <w:color w:val="auto"/>
          <w:sz w:val="32"/>
          <w:szCs w:val="32"/>
          <w:highlight w:val="none"/>
        </w:rPr>
        <w:t>（投标文件一）</w:t>
      </w:r>
    </w:p>
    <w:p w14:paraId="4B05EE0E">
      <w:pPr>
        <w:jc w:val="center"/>
        <w:rPr>
          <w:rFonts w:hint="eastAsia" w:eastAsia="黑体"/>
          <w:color w:val="auto"/>
          <w:sz w:val="44"/>
          <w:szCs w:val="44"/>
          <w:highlight w:val="none"/>
        </w:rPr>
      </w:pPr>
    </w:p>
    <w:p w14:paraId="5FDA747B">
      <w:pPr>
        <w:jc w:val="center"/>
        <w:rPr>
          <w:rFonts w:hint="eastAsia"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5E4C65B1">
      <w:pPr>
        <w:jc w:val="center"/>
        <w:rPr>
          <w:rFonts w:hint="eastAsia"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68180CF4">
      <w:pPr>
        <w:rPr>
          <w:rFonts w:hint="eastAsia" w:ascii="宋体"/>
          <w:color w:val="auto"/>
          <w:sz w:val="28"/>
          <w:szCs w:val="28"/>
          <w:highlight w:val="none"/>
        </w:rPr>
      </w:pPr>
    </w:p>
    <w:p w14:paraId="5A171237">
      <w:pPr>
        <w:rPr>
          <w:rFonts w:hint="eastAsia" w:ascii="宋体"/>
          <w:color w:val="auto"/>
          <w:sz w:val="28"/>
          <w:szCs w:val="28"/>
          <w:highlight w:val="none"/>
        </w:rPr>
      </w:pPr>
    </w:p>
    <w:p w14:paraId="7AD1794D">
      <w:pPr>
        <w:rPr>
          <w:rFonts w:hint="eastAsia" w:ascii="宋体"/>
          <w:color w:val="auto"/>
          <w:sz w:val="28"/>
          <w:szCs w:val="28"/>
          <w:highlight w:val="none"/>
        </w:rPr>
      </w:pPr>
    </w:p>
    <w:p w14:paraId="759AAFF4">
      <w:pPr>
        <w:rPr>
          <w:rFonts w:hint="eastAsia" w:ascii="宋体"/>
          <w:color w:val="auto"/>
          <w:sz w:val="28"/>
          <w:szCs w:val="28"/>
          <w:highlight w:val="none"/>
        </w:rPr>
      </w:pPr>
    </w:p>
    <w:p w14:paraId="69A4100A">
      <w:pPr>
        <w:rPr>
          <w:rFonts w:hint="eastAsia" w:ascii="宋体"/>
          <w:color w:val="auto"/>
          <w:sz w:val="28"/>
          <w:szCs w:val="28"/>
          <w:highlight w:val="none"/>
        </w:rPr>
      </w:pPr>
    </w:p>
    <w:p w14:paraId="33EA1513">
      <w:pPr>
        <w:rPr>
          <w:rFonts w:hint="eastAsia" w:ascii="宋体"/>
          <w:color w:val="auto"/>
          <w:sz w:val="28"/>
          <w:szCs w:val="28"/>
          <w:highlight w:val="none"/>
        </w:rPr>
      </w:pPr>
    </w:p>
    <w:p w14:paraId="73A2C21F">
      <w:pPr>
        <w:rPr>
          <w:rFonts w:hint="eastAsia" w:ascii="宋体"/>
          <w:color w:val="auto"/>
          <w:sz w:val="28"/>
          <w:szCs w:val="28"/>
          <w:highlight w:val="none"/>
        </w:rPr>
      </w:pPr>
    </w:p>
    <w:p w14:paraId="0BFE5FD4">
      <w:pPr>
        <w:rPr>
          <w:rFonts w:hint="eastAsia" w:ascii="宋体"/>
          <w:color w:val="auto"/>
          <w:sz w:val="28"/>
          <w:szCs w:val="28"/>
          <w:highlight w:val="none"/>
        </w:rPr>
      </w:pPr>
    </w:p>
    <w:p w14:paraId="64BA7197">
      <w:pPr>
        <w:rPr>
          <w:rFonts w:hint="eastAsia" w:ascii="宋体"/>
          <w:color w:val="auto"/>
          <w:sz w:val="28"/>
          <w:szCs w:val="28"/>
          <w:highlight w:val="none"/>
        </w:rPr>
      </w:pPr>
    </w:p>
    <w:p w14:paraId="6CB129A4">
      <w:pPr>
        <w:jc w:val="center"/>
        <w:rPr>
          <w:rFonts w:hint="eastAsia" w:ascii="宋体"/>
          <w:color w:val="auto"/>
          <w:sz w:val="28"/>
          <w:szCs w:val="28"/>
          <w:highlight w:val="none"/>
          <w:u w:val="singl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（盖单位章）</w:t>
      </w:r>
    </w:p>
    <w:p w14:paraId="02E835F8">
      <w:pPr>
        <w:ind w:firstLine="560" w:firstLineChars="200"/>
        <w:rPr>
          <w:rFonts w:hint="eastAsia"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66A5727A">
      <w:pPr>
        <w:jc w:val="center"/>
        <w:rPr>
          <w:rFonts w:hint="eastAsia"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60F0BF72">
      <w:pPr>
        <w:spacing w:line="720" w:lineRule="auto"/>
        <w:jc w:val="center"/>
        <w:rPr>
          <w:rFonts w:hint="eastAsia" w:ascii="宋体"/>
          <w:b/>
          <w:color w:val="auto"/>
          <w:sz w:val="36"/>
          <w:szCs w:val="36"/>
          <w:highlight w:val="none"/>
        </w:rPr>
      </w:pPr>
    </w:p>
    <w:p w14:paraId="23762950">
      <w:pPr>
        <w:spacing w:line="400" w:lineRule="exact"/>
        <w:ind w:firstLine="4130" w:firstLineChars="935"/>
        <w:rPr>
          <w:rFonts w:hint="eastAsia"/>
          <w:b/>
          <w:color w:val="auto"/>
          <w:sz w:val="44"/>
          <w:szCs w:val="44"/>
          <w:highlight w:val="none"/>
        </w:rPr>
      </w:pPr>
    </w:p>
    <w:p w14:paraId="5D62ACF9">
      <w:pPr>
        <w:pStyle w:val="34"/>
        <w:rPr>
          <w:rFonts w:hint="eastAsia"/>
          <w:color w:val="auto"/>
          <w:highlight w:val="none"/>
        </w:rPr>
      </w:pPr>
    </w:p>
    <w:p w14:paraId="7F87588D">
      <w:pPr>
        <w:jc w:val="center"/>
        <w:rPr>
          <w:rFonts w:hint="eastAsia"/>
          <w:b/>
          <w:color w:val="auto"/>
          <w:sz w:val="44"/>
          <w:szCs w:val="44"/>
          <w:highlight w:val="none"/>
        </w:rPr>
      </w:pPr>
      <w:r>
        <w:rPr>
          <w:rFonts w:hint="eastAsia"/>
          <w:b/>
          <w:color w:val="auto"/>
          <w:sz w:val="36"/>
          <w:szCs w:val="36"/>
          <w:highlight w:val="none"/>
        </w:rPr>
        <w:t>目   录</w:t>
      </w:r>
    </w:p>
    <w:p w14:paraId="0CD7F72A">
      <w:pPr>
        <w:spacing w:line="400" w:lineRule="exact"/>
        <w:ind w:firstLine="562" w:firstLineChars="200"/>
        <w:rPr>
          <w:rFonts w:hint="eastAsia"/>
          <w:b/>
          <w:color w:val="auto"/>
          <w:sz w:val="28"/>
          <w:szCs w:val="28"/>
          <w:highlight w:val="none"/>
        </w:rPr>
      </w:pPr>
    </w:p>
    <w:p w14:paraId="61C0F967">
      <w:pPr>
        <w:spacing w:line="440" w:lineRule="exact"/>
        <w:jc w:val="left"/>
        <w:rPr>
          <w:rFonts w:hint="eastAsia" w:ascii="宋体" w:hAnsi="宋体" w:eastAsia="宋体" w:cs="宋体"/>
          <w:bCs/>
          <w:color w:val="auto"/>
          <w:szCs w:val="21"/>
          <w:highlight w:val="none"/>
        </w:rPr>
      </w:pPr>
      <w:r>
        <w:rPr>
          <w:rFonts w:hint="eastAsia" w:ascii="宋体" w:hAnsi="宋体" w:cs="宋体"/>
          <w:bCs/>
          <w:color w:val="auto"/>
          <w:szCs w:val="21"/>
          <w:highlight w:val="none"/>
        </w:rPr>
        <w:t>（1）法定代表人身份证明及其有效身份证（或法定代表人授权委托书及其有效身份证）（格式见附</w:t>
      </w:r>
      <w:r>
        <w:rPr>
          <w:rFonts w:hint="eastAsia" w:ascii="宋体" w:hAnsi="宋体" w:eastAsia="宋体" w:cs="宋体"/>
          <w:bCs/>
          <w:color w:val="auto"/>
          <w:szCs w:val="21"/>
          <w:highlight w:val="none"/>
        </w:rPr>
        <w:t>件）；</w:t>
      </w:r>
    </w:p>
    <w:p w14:paraId="53CBA427">
      <w:pPr>
        <w:spacing w:line="44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（2）投标人有效的营业执照（或三合一证书）；</w:t>
      </w:r>
    </w:p>
    <w:p w14:paraId="10C79148">
      <w:pPr>
        <w:spacing w:line="440" w:lineRule="exact"/>
        <w:jc w:val="left"/>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w:t>
      </w:r>
      <w:r>
        <w:rPr>
          <w:rFonts w:hint="eastAsia" w:ascii="宋体" w:hAnsi="宋体" w:cs="宋体"/>
          <w:bCs/>
          <w:color w:val="auto"/>
          <w:szCs w:val="21"/>
          <w:highlight w:val="none"/>
          <w:lang w:val="en-US" w:eastAsia="zh-CN"/>
        </w:rPr>
        <w:t>3</w:t>
      </w:r>
      <w:r>
        <w:rPr>
          <w:rFonts w:hint="eastAsia" w:ascii="宋体" w:hAnsi="宋体" w:eastAsia="宋体" w:cs="宋体"/>
          <w:bCs/>
          <w:color w:val="auto"/>
          <w:szCs w:val="21"/>
          <w:highlight w:val="none"/>
        </w:rPr>
        <w:t>）</w:t>
      </w:r>
      <w:r>
        <w:rPr>
          <w:rFonts w:hint="eastAsia" w:ascii="宋体" w:hAnsi="宋体" w:cs="宋体"/>
          <w:color w:val="auto"/>
          <w:szCs w:val="21"/>
          <w:highlight w:val="none"/>
        </w:rPr>
        <w:t>诚信投标承诺书</w:t>
      </w:r>
      <w:r>
        <w:rPr>
          <w:rFonts w:hint="eastAsia" w:ascii="宋体" w:hAnsi="宋体" w:cs="宋体"/>
          <w:color w:val="auto"/>
          <w:szCs w:val="21"/>
          <w:highlight w:val="none"/>
          <w:lang w:eastAsia="zh-CN"/>
        </w:rPr>
        <w:t>（</w:t>
      </w:r>
      <w:r>
        <w:rPr>
          <w:rFonts w:hint="eastAsia" w:ascii="宋体" w:hAnsi="宋体" w:cs="宋体"/>
          <w:color w:val="auto"/>
          <w:szCs w:val="21"/>
          <w:highlight w:val="none"/>
        </w:rPr>
        <w:t>格式见附件）</w:t>
      </w:r>
      <w:r>
        <w:rPr>
          <w:rFonts w:hint="eastAsia" w:ascii="宋体" w:hAnsi="宋体" w:cs="宋体"/>
          <w:color w:val="auto"/>
          <w:szCs w:val="21"/>
          <w:highlight w:val="none"/>
          <w:lang w:val="en-US" w:eastAsia="zh-CN"/>
        </w:rPr>
        <w:t>或</w:t>
      </w:r>
      <w:r>
        <w:rPr>
          <w:rFonts w:hint="eastAsia" w:ascii="宋体" w:hAnsi="宋体" w:cs="宋体"/>
          <w:color w:val="auto"/>
          <w:szCs w:val="21"/>
          <w:highlight w:val="none"/>
        </w:rPr>
        <w:t>公共信用信息报告（无违法违规证明版或核查版）</w:t>
      </w:r>
      <w:r>
        <w:rPr>
          <w:rFonts w:hint="eastAsia" w:ascii="宋体" w:hAnsi="宋体" w:eastAsia="宋体" w:cs="宋体"/>
          <w:bCs/>
          <w:color w:val="auto"/>
          <w:szCs w:val="21"/>
          <w:highlight w:val="none"/>
        </w:rPr>
        <w:t>；</w:t>
      </w:r>
    </w:p>
    <w:p w14:paraId="24C63EA1">
      <w:pPr>
        <w:spacing w:line="440" w:lineRule="exact"/>
        <w:jc w:val="left"/>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w:t>
      </w:r>
      <w:r>
        <w:rPr>
          <w:rFonts w:hint="eastAsia" w:ascii="宋体" w:hAnsi="宋体" w:cs="宋体"/>
          <w:bCs/>
          <w:color w:val="auto"/>
          <w:szCs w:val="21"/>
          <w:highlight w:val="none"/>
          <w:lang w:val="en-US" w:eastAsia="zh-CN"/>
        </w:rPr>
        <w:t>4</w:t>
      </w:r>
      <w:r>
        <w:rPr>
          <w:rFonts w:hint="eastAsia" w:ascii="宋体" w:hAnsi="宋体" w:eastAsia="宋体" w:cs="宋体"/>
          <w:bCs/>
          <w:color w:val="auto"/>
          <w:szCs w:val="21"/>
          <w:highlight w:val="none"/>
          <w:lang w:val="en-US" w:eastAsia="zh-CN"/>
        </w:rPr>
        <w:t>）服务承诺：是否响应招标文件要求的书面说明和服务承诺书（格式见附件）</w:t>
      </w:r>
    </w:p>
    <w:p w14:paraId="4048F369">
      <w:pPr>
        <w:spacing w:line="440" w:lineRule="exact"/>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eastAsia="zh-CN"/>
        </w:rPr>
        <w:t>（</w:t>
      </w:r>
      <w:r>
        <w:rPr>
          <w:rFonts w:hint="eastAsia" w:ascii="宋体" w:hAnsi="宋体" w:cs="宋体"/>
          <w:bCs/>
          <w:color w:val="auto"/>
          <w:szCs w:val="21"/>
          <w:highlight w:val="none"/>
          <w:lang w:val="en-US" w:eastAsia="zh-CN"/>
        </w:rPr>
        <w:t>5）</w:t>
      </w:r>
      <w:r>
        <w:rPr>
          <w:rFonts w:hint="eastAsia" w:ascii="宋体" w:hAnsi="宋体" w:eastAsia="宋体" w:cs="宋体"/>
          <w:bCs/>
          <w:color w:val="auto"/>
          <w:szCs w:val="21"/>
          <w:highlight w:val="none"/>
          <w:lang w:val="en-US" w:eastAsia="zh-CN"/>
        </w:rPr>
        <w:t>招标文件中要求其他支持资料</w:t>
      </w:r>
      <w:r>
        <w:rPr>
          <w:rFonts w:hint="eastAsia" w:ascii="宋体" w:hAnsi="宋体" w:cs="宋体"/>
          <w:bCs/>
          <w:color w:val="auto"/>
          <w:szCs w:val="21"/>
          <w:highlight w:val="none"/>
          <w:lang w:val="en-US" w:eastAsia="zh-CN"/>
        </w:rPr>
        <w:t>；</w:t>
      </w:r>
    </w:p>
    <w:p w14:paraId="11AAD61A">
      <w:pPr>
        <w:spacing w:line="400" w:lineRule="exact"/>
        <w:ind w:firstLine="562" w:firstLineChars="200"/>
        <w:rPr>
          <w:rFonts w:hint="eastAsia"/>
          <w:b/>
          <w:color w:val="auto"/>
          <w:sz w:val="28"/>
          <w:szCs w:val="28"/>
          <w:highlight w:val="none"/>
        </w:rPr>
      </w:pPr>
    </w:p>
    <w:p w14:paraId="79B2AD45">
      <w:pPr>
        <w:spacing w:line="400" w:lineRule="exact"/>
        <w:ind w:firstLine="562" w:firstLineChars="200"/>
        <w:rPr>
          <w:rFonts w:hint="eastAsia"/>
          <w:b/>
          <w:color w:val="auto"/>
          <w:sz w:val="28"/>
          <w:szCs w:val="28"/>
          <w:highlight w:val="none"/>
        </w:rPr>
      </w:pPr>
    </w:p>
    <w:p w14:paraId="5CB44B5D">
      <w:pPr>
        <w:spacing w:line="400" w:lineRule="exact"/>
        <w:ind w:firstLine="562" w:firstLineChars="200"/>
        <w:rPr>
          <w:rFonts w:hint="eastAsia"/>
          <w:b/>
          <w:color w:val="auto"/>
          <w:sz w:val="28"/>
          <w:szCs w:val="28"/>
          <w:highlight w:val="none"/>
        </w:rPr>
      </w:pPr>
    </w:p>
    <w:p w14:paraId="439249E4">
      <w:pPr>
        <w:spacing w:line="400" w:lineRule="exact"/>
        <w:ind w:firstLine="562" w:firstLineChars="200"/>
        <w:rPr>
          <w:rFonts w:hint="eastAsia"/>
          <w:b/>
          <w:color w:val="auto"/>
          <w:sz w:val="28"/>
          <w:szCs w:val="28"/>
          <w:highlight w:val="none"/>
        </w:rPr>
      </w:pPr>
    </w:p>
    <w:p w14:paraId="2A6994DD">
      <w:pPr>
        <w:spacing w:line="400" w:lineRule="exact"/>
        <w:rPr>
          <w:b/>
          <w:color w:val="auto"/>
          <w:sz w:val="28"/>
          <w:szCs w:val="28"/>
          <w:highlight w:val="none"/>
        </w:rPr>
        <w:sectPr>
          <w:headerReference r:id="rId5" w:type="default"/>
          <w:footerReference r:id="rId6" w:type="default"/>
          <w:pgSz w:w="11906" w:h="16838"/>
          <w:pgMar w:top="1440" w:right="1417" w:bottom="1417"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8F73E8B">
      <w:pPr>
        <w:spacing w:line="360" w:lineRule="auto"/>
        <w:rPr>
          <w:rFonts w:hint="eastAsia"/>
          <w:b/>
          <w:color w:val="auto"/>
          <w:sz w:val="28"/>
          <w:szCs w:val="28"/>
          <w:highlight w:val="none"/>
        </w:rPr>
      </w:pPr>
      <w:r>
        <w:rPr>
          <w:rFonts w:hint="eastAsia"/>
          <w:b/>
          <w:color w:val="auto"/>
          <w:sz w:val="28"/>
          <w:szCs w:val="28"/>
          <w:highlight w:val="none"/>
        </w:rPr>
        <w:t>附件1</w:t>
      </w:r>
    </w:p>
    <w:p w14:paraId="353DB28C">
      <w:pPr>
        <w:spacing w:line="360" w:lineRule="auto"/>
        <w:ind w:left="720"/>
        <w:jc w:val="center"/>
        <w:rPr>
          <w:rFonts w:hint="eastAsia" w:ascii="宋体"/>
          <w:b/>
          <w:color w:val="auto"/>
          <w:sz w:val="28"/>
          <w:szCs w:val="28"/>
          <w:highlight w:val="none"/>
        </w:rPr>
      </w:pPr>
      <w:r>
        <w:rPr>
          <w:rFonts w:hint="eastAsia"/>
          <w:b/>
          <w:color w:val="auto"/>
          <w:sz w:val="28"/>
          <w:szCs w:val="28"/>
          <w:highlight w:val="none"/>
        </w:rPr>
        <w:t>法定代表人身份证明或授权委托书</w:t>
      </w:r>
    </w:p>
    <w:p w14:paraId="56EBAE5B">
      <w:pPr>
        <w:pStyle w:val="103"/>
        <w:spacing w:before="312" w:beforeLines="100" w:after="312" w:afterLines="100" w:line="480" w:lineRule="exact"/>
        <w:ind w:firstLine="180" w:firstLineChars="75"/>
        <w:rPr>
          <w:rFonts w:hint="eastAsia" w:ascii="宋体"/>
          <w:b/>
          <w:color w:val="auto"/>
          <w:sz w:val="24"/>
          <w:szCs w:val="24"/>
          <w:highlight w:val="none"/>
        </w:rPr>
      </w:pPr>
      <w:r>
        <w:rPr>
          <w:rFonts w:hint="eastAsia" w:ascii="宋体"/>
          <w:color w:val="auto"/>
          <w:sz w:val="24"/>
          <w:szCs w:val="24"/>
          <w:highlight w:val="none"/>
        </w:rPr>
        <w:t>1.法定代表人身份证明</w:t>
      </w:r>
    </w:p>
    <w:p w14:paraId="5FF9BA4F">
      <w:pPr>
        <w:spacing w:line="480" w:lineRule="exact"/>
        <w:ind w:firstLine="480" w:firstLineChars="200"/>
        <w:rPr>
          <w:rFonts w:hint="eastAsia" w:ascii="宋体"/>
          <w:color w:val="auto"/>
          <w:sz w:val="24"/>
          <w:highlight w:val="none"/>
        </w:rPr>
      </w:pPr>
      <w:r>
        <w:rPr>
          <w:rFonts w:hint="eastAsia" w:ascii="宋体"/>
          <w:color w:val="auto"/>
          <w:sz w:val="24"/>
          <w:highlight w:val="none"/>
        </w:rPr>
        <w:t>投标人名称：</w:t>
      </w:r>
      <w:r>
        <w:rPr>
          <w:rFonts w:hint="eastAsia" w:ascii="宋体"/>
          <w:color w:val="auto"/>
          <w:sz w:val="24"/>
          <w:highlight w:val="none"/>
          <w:u w:val="single"/>
        </w:rPr>
        <w:t xml:space="preserve">                                </w:t>
      </w:r>
      <w:r>
        <w:rPr>
          <w:rFonts w:hint="eastAsia" w:ascii="宋体"/>
          <w:color w:val="auto"/>
          <w:sz w:val="24"/>
          <w:highlight w:val="none"/>
        </w:rPr>
        <w:t xml:space="preserve"> </w:t>
      </w:r>
    </w:p>
    <w:p w14:paraId="3E93C781">
      <w:pPr>
        <w:spacing w:line="480" w:lineRule="exact"/>
        <w:ind w:firstLine="480" w:firstLineChars="200"/>
        <w:rPr>
          <w:rFonts w:hint="eastAsia" w:ascii="宋体"/>
          <w:color w:val="auto"/>
          <w:sz w:val="24"/>
          <w:highlight w:val="none"/>
        </w:rPr>
      </w:pPr>
      <w:r>
        <w:rPr>
          <w:rFonts w:hint="eastAsia" w:ascii="宋体"/>
          <w:color w:val="auto"/>
          <w:sz w:val="24"/>
          <w:highlight w:val="none"/>
        </w:rPr>
        <w:t xml:space="preserve">单位性质： </w:t>
      </w:r>
      <w:r>
        <w:rPr>
          <w:rFonts w:hint="eastAsia" w:ascii="宋体"/>
          <w:color w:val="auto"/>
          <w:sz w:val="24"/>
          <w:highlight w:val="none"/>
          <w:u w:val="single"/>
        </w:rPr>
        <w:t xml:space="preserve">                                  </w:t>
      </w:r>
      <w:r>
        <w:rPr>
          <w:rFonts w:hint="eastAsia" w:ascii="宋体"/>
          <w:color w:val="auto"/>
          <w:sz w:val="24"/>
          <w:highlight w:val="none"/>
        </w:rPr>
        <w:t xml:space="preserve"> </w:t>
      </w:r>
    </w:p>
    <w:p w14:paraId="74D05D2C">
      <w:pPr>
        <w:spacing w:line="480" w:lineRule="exact"/>
        <w:ind w:firstLine="480" w:firstLineChars="200"/>
        <w:rPr>
          <w:rFonts w:hint="eastAsia" w:ascii="宋体"/>
          <w:color w:val="auto"/>
          <w:sz w:val="24"/>
          <w:highlight w:val="none"/>
        </w:rPr>
      </w:pPr>
      <w:r>
        <w:rPr>
          <w:rFonts w:hint="eastAsia" w:ascii="宋体"/>
          <w:color w:val="auto"/>
          <w:sz w:val="24"/>
          <w:highlight w:val="none"/>
        </w:rPr>
        <w:t>地    址：</w:t>
      </w:r>
      <w:r>
        <w:rPr>
          <w:rFonts w:hint="eastAsia" w:ascii="宋体"/>
          <w:color w:val="auto"/>
          <w:sz w:val="24"/>
          <w:highlight w:val="none"/>
          <w:u w:val="single"/>
        </w:rPr>
        <w:t xml:space="preserve">                                   </w:t>
      </w:r>
      <w:r>
        <w:rPr>
          <w:rFonts w:hint="eastAsia" w:ascii="宋体"/>
          <w:color w:val="auto"/>
          <w:sz w:val="24"/>
          <w:highlight w:val="none"/>
        </w:rPr>
        <w:t xml:space="preserve"> </w:t>
      </w:r>
    </w:p>
    <w:p w14:paraId="173ADC2D">
      <w:pPr>
        <w:spacing w:line="480" w:lineRule="exact"/>
        <w:ind w:firstLine="480" w:firstLineChars="200"/>
        <w:rPr>
          <w:rFonts w:hint="eastAsia" w:ascii="宋体"/>
          <w:color w:val="auto"/>
          <w:sz w:val="24"/>
          <w:highlight w:val="none"/>
        </w:rPr>
      </w:pPr>
      <w:r>
        <w:rPr>
          <w:rFonts w:hint="eastAsia" w:ascii="宋体"/>
          <w:color w:val="auto"/>
          <w:sz w:val="24"/>
          <w:highlight w:val="none"/>
        </w:rPr>
        <w:t>成立时间：</w:t>
      </w:r>
      <w:r>
        <w:rPr>
          <w:rFonts w:hint="eastAsia" w:ascii="宋体"/>
          <w:color w:val="auto"/>
          <w:sz w:val="24"/>
          <w:highlight w:val="none"/>
          <w:u w:val="single"/>
        </w:rPr>
        <w:t xml:space="preserve">        </w:t>
      </w:r>
      <w:r>
        <w:rPr>
          <w:rFonts w:hint="eastAsia" w:ascii="宋体"/>
          <w:color w:val="auto"/>
          <w:sz w:val="24"/>
          <w:highlight w:val="none"/>
        </w:rPr>
        <w:t>年</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日</w:t>
      </w:r>
    </w:p>
    <w:p w14:paraId="299DB715">
      <w:pPr>
        <w:spacing w:line="480" w:lineRule="exact"/>
        <w:ind w:firstLine="480" w:firstLineChars="200"/>
        <w:rPr>
          <w:rFonts w:hint="eastAsia" w:ascii="宋体"/>
          <w:color w:val="auto"/>
          <w:sz w:val="24"/>
          <w:highlight w:val="none"/>
        </w:rPr>
      </w:pPr>
      <w:r>
        <w:rPr>
          <w:rFonts w:hint="eastAsia" w:ascii="宋体"/>
          <w:color w:val="auto"/>
          <w:sz w:val="24"/>
          <w:highlight w:val="none"/>
        </w:rPr>
        <w:t>经营期限：</w:t>
      </w:r>
      <w:r>
        <w:rPr>
          <w:rFonts w:hint="eastAsia" w:ascii="宋体"/>
          <w:color w:val="auto"/>
          <w:sz w:val="24"/>
          <w:highlight w:val="none"/>
          <w:u w:val="single"/>
        </w:rPr>
        <w:t xml:space="preserve">                                </w:t>
      </w:r>
      <w:r>
        <w:rPr>
          <w:rFonts w:hint="eastAsia" w:ascii="宋体"/>
          <w:color w:val="auto"/>
          <w:sz w:val="24"/>
          <w:highlight w:val="none"/>
        </w:rPr>
        <w:t xml:space="preserve"> </w:t>
      </w:r>
    </w:p>
    <w:p w14:paraId="40010CDB">
      <w:pPr>
        <w:spacing w:line="480" w:lineRule="exact"/>
        <w:ind w:firstLine="1440" w:firstLineChars="200"/>
        <w:rPr>
          <w:rFonts w:hint="eastAsia" w:ascii="宋体"/>
          <w:color w:val="auto"/>
          <w:sz w:val="24"/>
          <w:highlight w:val="none"/>
        </w:rPr>
      </w:pPr>
      <w:r>
        <w:rPr>
          <w:rFonts w:hint="eastAsia" w:ascii="宋体"/>
          <w:color w:val="auto"/>
          <w:spacing w:val="240"/>
          <w:sz w:val="24"/>
          <w:highlight w:val="none"/>
        </w:rPr>
        <w:t>姓</w:t>
      </w:r>
      <w:r>
        <w:rPr>
          <w:rFonts w:hint="eastAsia" w:ascii="宋体"/>
          <w:color w:val="auto"/>
          <w:sz w:val="24"/>
          <w:highlight w:val="none"/>
        </w:rPr>
        <w:t>名：</w:t>
      </w:r>
      <w:r>
        <w:rPr>
          <w:rFonts w:hint="eastAsia" w:ascii="宋体"/>
          <w:color w:val="auto"/>
          <w:sz w:val="24"/>
          <w:highlight w:val="none"/>
          <w:u w:val="single"/>
        </w:rPr>
        <w:t xml:space="preserve">          </w:t>
      </w:r>
      <w:r>
        <w:rPr>
          <w:rFonts w:hint="eastAsia" w:ascii="宋体"/>
          <w:color w:val="auto"/>
          <w:sz w:val="24"/>
          <w:highlight w:val="none"/>
        </w:rPr>
        <w:t>性别：</w:t>
      </w:r>
      <w:r>
        <w:rPr>
          <w:rFonts w:hint="eastAsia" w:ascii="宋体"/>
          <w:color w:val="auto"/>
          <w:sz w:val="24"/>
          <w:highlight w:val="none"/>
          <w:u w:val="single"/>
        </w:rPr>
        <w:t xml:space="preserve">        </w:t>
      </w:r>
      <w:r>
        <w:rPr>
          <w:rFonts w:hint="eastAsia" w:ascii="宋体"/>
          <w:color w:val="auto"/>
          <w:sz w:val="24"/>
          <w:highlight w:val="none"/>
        </w:rPr>
        <w:t>年龄：</w:t>
      </w:r>
      <w:r>
        <w:rPr>
          <w:rFonts w:hint="eastAsia" w:ascii="宋体"/>
          <w:color w:val="auto"/>
          <w:sz w:val="24"/>
          <w:highlight w:val="none"/>
          <w:u w:val="single"/>
        </w:rPr>
        <w:t xml:space="preserve">       </w:t>
      </w:r>
      <w:r>
        <w:rPr>
          <w:rFonts w:hint="eastAsia" w:ascii="宋体"/>
          <w:color w:val="auto"/>
          <w:sz w:val="24"/>
          <w:highlight w:val="none"/>
        </w:rPr>
        <w:t>职务：</w:t>
      </w:r>
      <w:r>
        <w:rPr>
          <w:rFonts w:hint="eastAsia" w:ascii="宋体"/>
          <w:color w:val="auto"/>
          <w:sz w:val="24"/>
          <w:highlight w:val="none"/>
          <w:u w:val="single"/>
        </w:rPr>
        <w:t xml:space="preserve">       </w:t>
      </w:r>
      <w:r>
        <w:rPr>
          <w:rFonts w:hint="eastAsia" w:ascii="宋体"/>
          <w:color w:val="auto"/>
          <w:sz w:val="24"/>
          <w:highlight w:val="none"/>
        </w:rPr>
        <w:t>_</w:t>
      </w:r>
    </w:p>
    <w:p w14:paraId="05758981">
      <w:pPr>
        <w:spacing w:line="480" w:lineRule="exact"/>
        <w:ind w:firstLine="480" w:firstLineChars="200"/>
        <w:rPr>
          <w:rFonts w:hint="eastAsia" w:ascii="宋体"/>
          <w:color w:val="auto"/>
          <w:sz w:val="24"/>
          <w:highlight w:val="none"/>
        </w:rPr>
      </w:pPr>
      <w:r>
        <w:rPr>
          <w:rFonts w:hint="eastAsia" w:ascii="宋体"/>
          <w:color w:val="auto"/>
          <w:sz w:val="24"/>
          <w:highlight w:val="none"/>
        </w:rPr>
        <w:t>系</w:t>
      </w:r>
      <w:r>
        <w:rPr>
          <w:rFonts w:hint="eastAsia" w:ascii="宋体"/>
          <w:color w:val="auto"/>
          <w:sz w:val="24"/>
          <w:highlight w:val="none"/>
          <w:u w:val="single"/>
        </w:rPr>
        <w:t xml:space="preserve">                                </w:t>
      </w:r>
      <w:r>
        <w:rPr>
          <w:rFonts w:hint="eastAsia" w:ascii="宋体"/>
          <w:color w:val="auto"/>
          <w:sz w:val="24"/>
          <w:highlight w:val="none"/>
        </w:rPr>
        <w:t>（投标人名称）的法定代表人。</w:t>
      </w:r>
    </w:p>
    <w:p w14:paraId="0A7108C4">
      <w:pPr>
        <w:spacing w:line="480" w:lineRule="exact"/>
        <w:ind w:firstLine="960" w:firstLineChars="400"/>
        <w:rPr>
          <w:rFonts w:hint="eastAsia" w:ascii="宋体"/>
          <w:color w:val="auto"/>
          <w:sz w:val="24"/>
          <w:highlight w:val="none"/>
        </w:rPr>
      </w:pPr>
      <w:r>
        <w:rPr>
          <w:rFonts w:hint="eastAsia" w:ascii="宋体"/>
          <w:color w:val="auto"/>
          <w:sz w:val="24"/>
          <w:highlight w:val="none"/>
        </w:rPr>
        <w:t>特此证明。</w:t>
      </w:r>
    </w:p>
    <w:p w14:paraId="1F36E539">
      <w:pPr>
        <w:spacing w:line="360" w:lineRule="auto"/>
        <w:ind w:firstLine="3480" w:firstLineChars="1450"/>
        <w:rPr>
          <w:rFonts w:hint="eastAsia" w:ascii="宋体"/>
          <w:color w:val="auto"/>
          <w:sz w:val="24"/>
          <w:highlight w:val="none"/>
        </w:rPr>
      </w:pPr>
      <w:r>
        <w:rPr>
          <w:rFonts w:hint="eastAsia" w:ascii="宋体"/>
          <w:color w:val="auto"/>
          <w:sz w:val="24"/>
          <w:highlight w:val="none"/>
        </w:rPr>
        <w:t>投标人：</w:t>
      </w:r>
      <w:r>
        <w:rPr>
          <w:rFonts w:hint="eastAsia" w:ascii="宋体"/>
          <w:color w:val="auto"/>
          <w:sz w:val="24"/>
          <w:highlight w:val="none"/>
          <w:u w:val="single"/>
        </w:rPr>
        <w:t xml:space="preserve">                 </w:t>
      </w:r>
      <w:r>
        <w:rPr>
          <w:rFonts w:hint="eastAsia" w:ascii="宋体"/>
          <w:color w:val="auto"/>
          <w:sz w:val="24"/>
          <w:highlight w:val="none"/>
        </w:rPr>
        <w:t>（盖单位章）</w:t>
      </w:r>
    </w:p>
    <w:p w14:paraId="171EA1FA">
      <w:pPr>
        <w:wordWrap w:val="0"/>
        <w:spacing w:line="360" w:lineRule="auto"/>
        <w:jc w:val="right"/>
        <w:rPr>
          <w:rFonts w:hint="eastAsia"/>
          <w:color w:val="auto"/>
          <w:highlight w:val="none"/>
        </w:rPr>
      </w:pPr>
      <w:r>
        <w:rPr>
          <w:rFonts w:hint="eastAsia" w:ascii="宋体"/>
          <w:color w:val="auto"/>
          <w:sz w:val="24"/>
          <w:highlight w:val="none"/>
        </w:rPr>
        <w:t xml:space="preserve">                                        </w:t>
      </w:r>
      <w:r>
        <w:rPr>
          <w:rFonts w:hint="eastAsia" w:ascii="宋体"/>
          <w:color w:val="auto"/>
          <w:sz w:val="24"/>
          <w:highlight w:val="none"/>
          <w:u w:val="single"/>
        </w:rPr>
        <w:t xml:space="preserve">       </w:t>
      </w:r>
      <w:r>
        <w:rPr>
          <w:rFonts w:hint="eastAsia" w:ascii="宋体"/>
          <w:color w:val="auto"/>
          <w:sz w:val="24"/>
          <w:highlight w:val="none"/>
        </w:rPr>
        <w:t xml:space="preserve">年 </w:t>
      </w:r>
      <w:r>
        <w:rPr>
          <w:rFonts w:hint="eastAsia" w:ascii="宋体"/>
          <w:color w:val="auto"/>
          <w:sz w:val="24"/>
          <w:highlight w:val="none"/>
          <w:u w:val="single"/>
        </w:rPr>
        <w:t xml:space="preserve">    </w:t>
      </w:r>
      <w:r>
        <w:rPr>
          <w:rFonts w:hint="eastAsia" w:ascii="宋体"/>
          <w:color w:val="auto"/>
          <w:sz w:val="24"/>
          <w:highlight w:val="none"/>
        </w:rPr>
        <w:t>月</w:t>
      </w:r>
      <w:r>
        <w:rPr>
          <w:rFonts w:hint="eastAsia" w:ascii="宋体"/>
          <w:color w:val="auto"/>
          <w:sz w:val="24"/>
          <w:highlight w:val="none"/>
          <w:u w:val="single"/>
        </w:rPr>
        <w:t xml:space="preserve">     </w:t>
      </w:r>
      <w:r>
        <w:rPr>
          <w:rFonts w:hint="eastAsia" w:ascii="宋体"/>
          <w:color w:val="auto"/>
          <w:sz w:val="24"/>
          <w:highlight w:val="none"/>
        </w:rPr>
        <w:t xml:space="preserve">日  </w:t>
      </w:r>
    </w:p>
    <w:p w14:paraId="2206536D">
      <w:pPr>
        <w:spacing w:before="312" w:beforeLines="100" w:after="312" w:afterLines="100" w:line="480" w:lineRule="exact"/>
        <w:ind w:firstLine="3654" w:firstLineChars="1305"/>
        <w:rPr>
          <w:rFonts w:hint="eastAsia" w:ascii="宋体"/>
          <w:color w:val="auto"/>
          <w:sz w:val="28"/>
          <w:szCs w:val="28"/>
          <w:highlight w:val="none"/>
        </w:rPr>
      </w:pPr>
      <w:r>
        <w:rPr>
          <w:rFonts w:hint="eastAsia" w:ascii="宋体"/>
          <w:color w:val="auto"/>
          <w:sz w:val="28"/>
          <w:szCs w:val="28"/>
          <w:highlight w:val="none"/>
        </w:rPr>
        <w:t>2.授权委托书</w:t>
      </w:r>
    </w:p>
    <w:p w14:paraId="337272C4">
      <w:pPr>
        <w:spacing w:line="480" w:lineRule="exact"/>
        <w:ind w:firstLine="480" w:firstLineChars="200"/>
        <w:rPr>
          <w:rFonts w:hint="eastAsia"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”(项目名称、编号）投标文件，全权处理与该项目投标、评审答疑、签订合同以及与合同执行有关的一切事务，其法律后果由我方承担。</w:t>
      </w:r>
    </w:p>
    <w:p w14:paraId="555F9910">
      <w:pPr>
        <w:spacing w:line="480" w:lineRule="exact"/>
        <w:ind w:firstLine="480" w:firstLineChars="200"/>
        <w:rPr>
          <w:rFonts w:hint="eastAsia" w:ascii="宋体"/>
          <w:color w:val="auto"/>
          <w:sz w:val="24"/>
          <w:highlight w:val="none"/>
        </w:rPr>
      </w:pPr>
      <w:r>
        <w:rPr>
          <w:rFonts w:hint="eastAsia" w:ascii="宋体"/>
          <w:color w:val="auto"/>
          <w:sz w:val="24"/>
          <w:highlight w:val="none"/>
        </w:rPr>
        <w:t xml:space="preserve">委托期限：                                </w:t>
      </w:r>
    </w:p>
    <w:p w14:paraId="5B5B0421">
      <w:pPr>
        <w:spacing w:line="480" w:lineRule="exact"/>
        <w:ind w:firstLine="480" w:firstLineChars="200"/>
        <w:rPr>
          <w:rFonts w:hint="eastAsia" w:ascii="宋体"/>
          <w:color w:val="auto"/>
          <w:sz w:val="24"/>
          <w:highlight w:val="none"/>
        </w:rPr>
      </w:pPr>
      <w:r>
        <w:rPr>
          <w:rFonts w:hint="eastAsia" w:ascii="宋体"/>
          <w:color w:val="auto"/>
          <w:sz w:val="24"/>
          <w:highlight w:val="none"/>
        </w:rPr>
        <w:t>代理人无转委托权。</w:t>
      </w:r>
    </w:p>
    <w:p w14:paraId="5DE5D80C">
      <w:pPr>
        <w:spacing w:line="480" w:lineRule="exact"/>
        <w:ind w:firstLine="480" w:firstLineChars="200"/>
        <w:rPr>
          <w:rFonts w:hint="eastAsia" w:ascii="宋体"/>
          <w:color w:val="auto"/>
          <w:sz w:val="24"/>
          <w:highlight w:val="none"/>
        </w:rPr>
      </w:pPr>
      <w:r>
        <w:rPr>
          <w:rFonts w:hint="eastAsia" w:ascii="宋体"/>
          <w:color w:val="auto"/>
          <w:sz w:val="24"/>
          <w:highlight w:val="none"/>
        </w:rPr>
        <w:t>附：授权委托人有效身份证及法定代表人有效身份证</w:t>
      </w:r>
    </w:p>
    <w:p w14:paraId="3D82AF49">
      <w:pPr>
        <w:spacing w:line="480" w:lineRule="exact"/>
        <w:rPr>
          <w:rFonts w:hint="eastAsia" w:ascii="宋体"/>
          <w:color w:val="auto"/>
          <w:sz w:val="24"/>
          <w:highlight w:val="none"/>
        </w:rPr>
      </w:pPr>
      <w:r>
        <w:rPr>
          <w:rFonts w:hint="eastAsia" w:ascii="宋体"/>
          <w:color w:val="auto"/>
          <w:sz w:val="24"/>
          <w:highlight w:val="none"/>
        </w:rPr>
        <w:t xml:space="preserve">                                     投标人：             （盖单位章）</w:t>
      </w:r>
    </w:p>
    <w:p w14:paraId="741FBC3B">
      <w:pPr>
        <w:spacing w:line="480" w:lineRule="exact"/>
        <w:jc w:val="right"/>
        <w:rPr>
          <w:rFonts w:hint="eastAsia" w:ascii="宋体"/>
          <w:color w:val="auto"/>
          <w:sz w:val="24"/>
          <w:highlight w:val="none"/>
        </w:rPr>
      </w:pPr>
      <w:r>
        <w:rPr>
          <w:rFonts w:hint="eastAsia" w:ascii="宋体"/>
          <w:color w:val="auto"/>
          <w:sz w:val="24"/>
          <w:highlight w:val="none"/>
        </w:rPr>
        <w:t>法定代表人（身份证号码）：             （签章）</w:t>
      </w:r>
    </w:p>
    <w:p w14:paraId="6DB7FF69">
      <w:pPr>
        <w:spacing w:line="480" w:lineRule="exact"/>
        <w:ind w:firstLine="2820" w:firstLineChars="1175"/>
        <w:rPr>
          <w:rFonts w:hint="eastAsia" w:ascii="宋体"/>
          <w:color w:val="auto"/>
          <w:sz w:val="24"/>
          <w:highlight w:val="none"/>
        </w:rPr>
      </w:pPr>
      <w:r>
        <w:rPr>
          <w:rFonts w:hint="eastAsia" w:ascii="宋体"/>
          <w:color w:val="auto"/>
          <w:sz w:val="24"/>
          <w:highlight w:val="none"/>
        </w:rPr>
        <w:t xml:space="preserve">              年    月    日</w:t>
      </w:r>
    </w:p>
    <w:p w14:paraId="2F308561">
      <w:pPr>
        <w:spacing w:line="360" w:lineRule="exact"/>
        <w:ind w:firstLine="413" w:firstLineChars="147"/>
        <w:rPr>
          <w:rFonts w:hint="eastAsia"/>
          <w:b/>
          <w:color w:val="auto"/>
          <w:sz w:val="28"/>
          <w:szCs w:val="28"/>
          <w:highlight w:val="none"/>
          <w:u w:val="single"/>
        </w:rPr>
      </w:pPr>
    </w:p>
    <w:p w14:paraId="4EC32941">
      <w:pPr>
        <w:spacing w:line="360" w:lineRule="exact"/>
        <w:ind w:firstLine="413" w:firstLineChars="147"/>
        <w:rPr>
          <w:rFonts w:hint="eastAsia"/>
          <w:b/>
          <w:color w:val="auto"/>
          <w:sz w:val="28"/>
          <w:szCs w:val="28"/>
          <w:highlight w:val="none"/>
          <w:u w:val="single"/>
        </w:rPr>
      </w:pPr>
    </w:p>
    <w:p w14:paraId="1A54C203">
      <w:pPr>
        <w:spacing w:line="360" w:lineRule="exact"/>
        <w:ind w:firstLine="443" w:firstLineChars="147"/>
        <w:rPr>
          <w:rFonts w:hint="eastAsia" w:ascii="宋体"/>
          <w:b/>
          <w:color w:val="auto"/>
          <w:sz w:val="30"/>
          <w:szCs w:val="30"/>
          <w:highlight w:val="none"/>
        </w:rPr>
      </w:pPr>
      <w:r>
        <w:rPr>
          <w:rFonts w:hint="eastAsia" w:ascii="宋体"/>
          <w:b/>
          <w:color w:val="auto"/>
          <w:sz w:val="30"/>
          <w:szCs w:val="30"/>
          <w:highlight w:val="none"/>
        </w:rPr>
        <w:t>附件2</w:t>
      </w:r>
    </w:p>
    <w:p w14:paraId="1640B01C">
      <w:pPr>
        <w:spacing w:line="360" w:lineRule="exact"/>
        <w:ind w:firstLine="413" w:firstLineChars="147"/>
        <w:jc w:val="center"/>
        <w:rPr>
          <w:rFonts w:hint="eastAsia"/>
          <w:b/>
          <w:color w:val="auto"/>
          <w:sz w:val="28"/>
          <w:szCs w:val="28"/>
          <w:highlight w:val="none"/>
        </w:rPr>
      </w:pPr>
      <w:bookmarkStart w:id="85" w:name="_Toc440443268"/>
      <w:bookmarkStart w:id="86" w:name="_Toc449028950"/>
      <w:r>
        <w:rPr>
          <w:rFonts w:hint="eastAsia"/>
          <w:b/>
          <w:color w:val="auto"/>
          <w:sz w:val="28"/>
          <w:szCs w:val="28"/>
          <w:highlight w:val="none"/>
        </w:rPr>
        <w:t>（2）诚信投标承诺书</w:t>
      </w:r>
    </w:p>
    <w:p w14:paraId="3E59E9F0">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本人以企业法定代表人的身份郑重承诺：</w:t>
      </w:r>
    </w:p>
    <w:p w14:paraId="71FCAA8C">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一、将遵循公开、公正和诚实信用的原则自愿参加</w:t>
      </w:r>
      <w:r>
        <w:rPr>
          <w:rFonts w:hint="eastAsia" w:ascii="宋体" w:hAnsi="宋体"/>
          <w:color w:val="auto"/>
          <w:szCs w:val="21"/>
          <w:highlight w:val="none"/>
          <w:u w:val="single"/>
        </w:rPr>
        <w:t xml:space="preserve">                   </w:t>
      </w:r>
      <w:r>
        <w:rPr>
          <w:rFonts w:hint="eastAsia" w:ascii="宋体" w:hAnsi="宋体"/>
          <w:color w:val="auto"/>
          <w:szCs w:val="21"/>
          <w:highlight w:val="none"/>
        </w:rPr>
        <w:t>项目的投标，所提供的一切材料都是真实、有效、合法的；</w:t>
      </w:r>
    </w:p>
    <w:p w14:paraId="7DF11B30">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ascii="宋体" w:hAnsi="宋体"/>
          <w:color w:val="auto"/>
          <w:szCs w:val="21"/>
          <w:highlight w:val="none"/>
        </w:rPr>
      </w:pPr>
      <w:r>
        <w:rPr>
          <w:rFonts w:hint="eastAsia" w:ascii="宋体" w:hAnsi="宋体"/>
          <w:color w:val="auto"/>
          <w:szCs w:val="21"/>
          <w:highlight w:val="none"/>
        </w:rPr>
        <w:t>二、本单位郑重声明，根据《中华人民共和国招标投标法》及《中华人民共和国招标投标法实施条例》的规定，我公司具有良好的商业信誉和健全的财务会计制度，具有履行合同所必需的设备和专业技术能力，有依法缴纳税收和社会保障资金的良好记录；没有因违法经营受到刑事处罚或者责令停产停业、吊销许可证或者执照、较大数额罚款等行政处罚。</w:t>
      </w:r>
    </w:p>
    <w:p w14:paraId="04501932">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三、不出借、转让资质证书，不让他人挂靠投标，不以他人名义投标或者以其他方式弄虚作假，骗取中标；</w:t>
      </w:r>
    </w:p>
    <w:p w14:paraId="4F59D25C">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四、不与其他投标人相互串通投标报价，不排挤其他投标人的公平竞争、损害招标人的合法权益；</w:t>
      </w:r>
    </w:p>
    <w:p w14:paraId="52287C1A">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五、不与招标人、招标代理机构或其他投标人串通投标，损害国家利益、社会公共利益或者他人的合法权益；</w:t>
      </w:r>
    </w:p>
    <w:p w14:paraId="250E28A3">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eastAsia="宋体" w:cs="Times New Roman"/>
          <w:color w:val="auto"/>
          <w:szCs w:val="21"/>
          <w:highlight w:val="none"/>
        </w:rPr>
      </w:pPr>
      <w:r>
        <w:rPr>
          <w:rFonts w:hint="eastAsia" w:ascii="宋体" w:hAnsi="宋体"/>
          <w:color w:val="auto"/>
          <w:szCs w:val="21"/>
          <w:highlight w:val="none"/>
        </w:rPr>
        <w:t>六、</w:t>
      </w:r>
      <w:r>
        <w:rPr>
          <w:rFonts w:hint="eastAsia" w:ascii="宋体" w:hAnsi="宋体"/>
          <w:color w:val="auto"/>
          <w:szCs w:val="21"/>
          <w:highlight w:val="none"/>
          <w:u w:val="single"/>
        </w:rPr>
        <w:t xml:space="preserve">      （企业名称）或       （企业名称）法定代表人       </w:t>
      </w:r>
      <w:r>
        <w:rPr>
          <w:rFonts w:hint="eastAsia" w:ascii="宋体" w:hAnsi="宋体"/>
          <w:color w:val="auto"/>
          <w:szCs w:val="21"/>
          <w:highlight w:val="none"/>
        </w:rPr>
        <w:t>没有下列情形：</w:t>
      </w:r>
      <w:bookmarkStart w:id="87" w:name="OLE_LINK134"/>
      <w:bookmarkStart w:id="88" w:name="OLE_LINK133"/>
      <w:r>
        <w:rPr>
          <w:rFonts w:hint="eastAsia" w:ascii="宋体" w:hAnsi="宋体"/>
          <w:color w:val="auto"/>
          <w:szCs w:val="21"/>
          <w:highlight w:val="none"/>
        </w:rPr>
        <w:t>①被列入“信用中国”网站“失信被执行人”的;②被列入“信用中国”网站“重大税收违法失信主体”的；③被列入“信用中国”网站“拖欠农民工工资失信联合惩戒对象名单”的；④被列入“信用中国”网站“严重失信主体名单”的；⑤在“信用中国”网站上披露的仍在公示期的严重失信行为(具体行为类别及判定依据见附件2)的。⑥被列入国家企业信用信息公示系统网站“经营异常名录”或者“严重违法失信名单”的。⑦前三年有行贿犯罪行为的单位和个人；⑧被滁州市县两级公管部门及各行业主管部门取消在一定期限内的投标资格且在取消期限内的；⑨因拖欠农民工工资被县级及以上有关行政主管部门限制投标资格且在限制期限内的；⑩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bookmarkEnd w:id="87"/>
      <w:bookmarkEnd w:id="88"/>
      <w:r>
        <w:rPr>
          <w:rFonts w:hint="eastAsia" w:ascii="宋体" w:hAnsi="宋体"/>
          <w:color w:val="auto"/>
          <w:szCs w:val="21"/>
          <w:highlight w:val="none"/>
        </w:rPr>
        <w:t>若招标文件对投标人所属分公司、办事处等分支机构有上述1-10项信誉要求，在此一并承诺我公司所属分公司、办事处等分支机构没有上述1-10项情形）</w:t>
      </w:r>
    </w:p>
    <w:p w14:paraId="39871D88">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七、严格遵守开标现场纪律，服从监管人员管理；</w:t>
      </w:r>
    </w:p>
    <w:p w14:paraId="032543C6">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八、保证中标后不转包，若有分包征得招标人同意；</w:t>
      </w:r>
    </w:p>
    <w:p w14:paraId="4224B062">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九、保证中标之后，按照投标文件要求提供相关后续服务；</w:t>
      </w:r>
    </w:p>
    <w:p w14:paraId="24B7C753">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十、保证企业及所属相关人员在本次投标中无行贿等犯罪行为；</w:t>
      </w:r>
    </w:p>
    <w:p w14:paraId="41194EB9">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4937AB45">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以上内容我已仔细阅读，本公司若有违反承诺内容的行为，自愿接受取消投标或者中标资格、记入不良行为记录、投标保证金不予退还等有关处理，愿意承担法律责任，给招标人造成损失的，依法承担赔偿责任。 </w:t>
      </w:r>
    </w:p>
    <w:p w14:paraId="05F9FAB8">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开户银行：                          基本账户：</w:t>
      </w:r>
    </w:p>
    <w:p w14:paraId="299B30E9">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投标单位（签章或盖章）：          法定代表人（签章）：</w:t>
      </w:r>
    </w:p>
    <w:p w14:paraId="12B6B46F">
      <w:pPr>
        <w:rPr>
          <w:rFonts w:hint="eastAsia"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u w:val="single"/>
        </w:rPr>
        <w:t xml:space="preserve">           </w:t>
      </w:r>
      <w:r>
        <w:rPr>
          <w:rFonts w:hint="eastAsia" w:ascii="宋体" w:hAnsi="宋体"/>
          <w:color w:val="auto"/>
          <w:szCs w:val="21"/>
          <w:highlight w:val="none"/>
        </w:rPr>
        <w:t>年</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月</w:t>
      </w:r>
      <w:r>
        <w:rPr>
          <w:rFonts w:ascii="宋体" w:hAnsi="宋体"/>
          <w:color w:val="auto"/>
          <w:szCs w:val="21"/>
          <w:highlight w:val="none"/>
        </w:rPr>
        <w:t xml:space="preserve"> </w:t>
      </w:r>
      <w:r>
        <w:rPr>
          <w:rFonts w:ascii="宋体" w:hAnsi="宋体"/>
          <w:color w:val="auto"/>
          <w:szCs w:val="21"/>
          <w:highlight w:val="none"/>
          <w:u w:val="single"/>
        </w:rPr>
        <w:t xml:space="preserve">            </w:t>
      </w:r>
      <w:r>
        <w:rPr>
          <w:rFonts w:hint="eastAsia" w:ascii="宋体" w:hAnsi="宋体"/>
          <w:color w:val="auto"/>
          <w:szCs w:val="21"/>
          <w:highlight w:val="none"/>
        </w:rPr>
        <w:t>日</w:t>
      </w:r>
    </w:p>
    <w:p w14:paraId="2B105874">
      <w:pPr>
        <w:rPr>
          <w:rFonts w:hint="eastAsia" w:ascii="宋体" w:hAnsi="宋体"/>
          <w:color w:val="auto"/>
          <w:szCs w:val="21"/>
          <w:highlight w:val="none"/>
        </w:rPr>
      </w:pPr>
    </w:p>
    <w:p w14:paraId="5DBD016F">
      <w:pPr>
        <w:rPr>
          <w:rFonts w:hint="eastAsia" w:ascii="宋体" w:hAnsi="宋体"/>
          <w:color w:val="auto"/>
          <w:szCs w:val="21"/>
          <w:highlight w:val="none"/>
        </w:rPr>
      </w:pPr>
    </w:p>
    <w:p w14:paraId="07B3E359">
      <w:pPr>
        <w:keepNext w:val="0"/>
        <w:keepLines w:val="0"/>
        <w:pageBreakBefore w:val="0"/>
        <w:widowControl w:val="0"/>
        <w:kinsoku/>
        <w:wordWrap/>
        <w:overflowPunct/>
        <w:topLinePunct w:val="0"/>
        <w:autoSpaceDE/>
        <w:autoSpaceDN/>
        <w:bidi w:val="0"/>
        <w:adjustRightInd/>
        <w:snapToGrid/>
        <w:spacing w:line="280" w:lineRule="exact"/>
        <w:ind w:left="-420" w:leftChars="-200" w:right="-512" w:rightChars="-244" w:firstLine="562" w:firstLineChars="200"/>
        <w:jc w:val="right"/>
        <w:textAlignment w:val="auto"/>
        <w:rPr>
          <w:rFonts w:hint="eastAsia"/>
          <w:b/>
          <w:color w:val="auto"/>
          <w:sz w:val="28"/>
          <w:szCs w:val="28"/>
          <w:highlight w:val="none"/>
        </w:rPr>
      </w:pPr>
      <w:r>
        <w:rPr>
          <w:rFonts w:hint="eastAsia"/>
          <w:b/>
          <w:color w:val="auto"/>
          <w:sz w:val="28"/>
          <w:szCs w:val="28"/>
          <w:highlight w:val="none"/>
          <w:lang w:val="en-US" w:eastAsia="zh-CN"/>
        </w:rPr>
        <w:t>或（2）</w:t>
      </w:r>
      <w:r>
        <w:rPr>
          <w:rFonts w:hint="eastAsia"/>
          <w:b/>
          <w:color w:val="auto"/>
          <w:sz w:val="28"/>
          <w:szCs w:val="28"/>
          <w:highlight w:val="none"/>
        </w:rPr>
        <w:t>公共信用信息报告（无违法违规证明版或核查版））</w:t>
      </w:r>
    </w:p>
    <w:p w14:paraId="4B955D8F">
      <w:pPr>
        <w:rPr>
          <w:rFonts w:hint="eastAsia" w:ascii="宋体" w:hAnsi="宋体"/>
          <w:b/>
          <w:color w:val="auto"/>
          <w:sz w:val="24"/>
          <w:highlight w:val="none"/>
        </w:rPr>
      </w:pPr>
      <w:r>
        <w:rPr>
          <w:rFonts w:hint="eastAsia" w:ascii="宋体" w:hAnsi="宋体" w:eastAsia="宋体"/>
          <w:color w:val="auto"/>
          <w:szCs w:val="21"/>
          <w:highlight w:val="none"/>
        </w:rPr>
        <w:t>符合条件的投标人可在信用中国（安徽）网站（网址</w:t>
      </w:r>
      <w:r>
        <w:rPr>
          <w:rFonts w:hint="eastAsia" w:ascii="宋体" w:hAnsi="宋体" w:eastAsia="宋体"/>
          <w:color w:val="auto"/>
          <w:szCs w:val="21"/>
          <w:highlight w:val="none"/>
        </w:rPr>
        <w:fldChar w:fldCharType="begin"/>
      </w:r>
      <w:r>
        <w:rPr>
          <w:rFonts w:hint="eastAsia" w:ascii="宋体" w:hAnsi="宋体" w:eastAsia="宋体"/>
          <w:color w:val="auto"/>
          <w:szCs w:val="21"/>
          <w:highlight w:val="none"/>
        </w:rPr>
        <w:instrText xml:space="preserve"> HYPERLINK "https://credit.ah.gov.cn/xinyongfuwu/index.html" </w:instrText>
      </w:r>
      <w:r>
        <w:rPr>
          <w:rFonts w:hint="eastAsia" w:ascii="宋体" w:hAnsi="宋体" w:eastAsia="宋体"/>
          <w:color w:val="auto"/>
          <w:szCs w:val="21"/>
          <w:highlight w:val="none"/>
        </w:rPr>
        <w:fldChar w:fldCharType="separate"/>
      </w:r>
      <w:r>
        <w:rPr>
          <w:rFonts w:hint="eastAsia" w:ascii="宋体" w:hAnsi="宋体" w:eastAsia="宋体"/>
          <w:color w:val="auto"/>
          <w:szCs w:val="21"/>
          <w:highlight w:val="none"/>
        </w:rPr>
        <w:t>https://credit.ah.gov.cn/xinyongfuwu/index.html</w:t>
      </w:r>
      <w:r>
        <w:rPr>
          <w:rFonts w:hint="eastAsia" w:ascii="宋体" w:hAnsi="宋体" w:eastAsia="宋体"/>
          <w:color w:val="auto"/>
          <w:szCs w:val="21"/>
          <w:highlight w:val="none"/>
        </w:rPr>
        <w:fldChar w:fldCharType="end"/>
      </w:r>
      <w:r>
        <w:rPr>
          <w:rFonts w:hint="eastAsia" w:ascii="宋体" w:hAnsi="宋体" w:eastAsia="宋体"/>
          <w:color w:val="auto"/>
          <w:szCs w:val="21"/>
          <w:highlight w:val="none"/>
        </w:rPr>
        <w:t>），获取信用报告（无违法违规证明版或核查版）并上传至投标文件中。</w:t>
      </w:r>
      <w:r>
        <w:rPr>
          <w:rFonts w:hint="eastAsia" w:ascii="宋体" w:hAnsi="宋体"/>
          <w:b/>
          <w:color w:val="auto"/>
          <w:sz w:val="24"/>
          <w:highlight w:val="none"/>
        </w:rPr>
        <w:br w:type="page"/>
      </w:r>
    </w:p>
    <w:p w14:paraId="0B60F348">
      <w:pPr>
        <w:spacing w:line="360" w:lineRule="auto"/>
        <w:rPr>
          <w:rFonts w:hint="eastAsia" w:eastAsia="宋体"/>
          <w:b/>
          <w:color w:val="auto"/>
          <w:sz w:val="28"/>
          <w:szCs w:val="28"/>
          <w:highlight w:val="none"/>
          <w:lang w:eastAsia="zh-CN"/>
        </w:rPr>
      </w:pPr>
      <w:bookmarkStart w:id="89" w:name="_Toc18438"/>
      <w:bookmarkStart w:id="90" w:name="_Toc15134"/>
      <w:r>
        <w:rPr>
          <w:rFonts w:hint="eastAsia"/>
          <w:b/>
          <w:color w:val="auto"/>
          <w:sz w:val="28"/>
          <w:szCs w:val="28"/>
          <w:highlight w:val="none"/>
        </w:rPr>
        <w:t>附件</w:t>
      </w:r>
      <w:bookmarkEnd w:id="89"/>
      <w:bookmarkEnd w:id="90"/>
      <w:r>
        <w:rPr>
          <w:rFonts w:hint="eastAsia"/>
          <w:b/>
          <w:color w:val="auto"/>
          <w:sz w:val="28"/>
          <w:szCs w:val="28"/>
          <w:highlight w:val="none"/>
          <w:lang w:val="en-US" w:eastAsia="zh-CN"/>
        </w:rPr>
        <w:t>3</w:t>
      </w:r>
    </w:p>
    <w:p w14:paraId="0836E6D1">
      <w:pPr>
        <w:spacing w:line="400" w:lineRule="exact"/>
        <w:ind w:firstLine="562" w:firstLineChars="200"/>
        <w:rPr>
          <w:rFonts w:hint="eastAsia"/>
          <w:b/>
          <w:color w:val="auto"/>
          <w:sz w:val="28"/>
          <w:szCs w:val="28"/>
          <w:highlight w:val="none"/>
        </w:rPr>
      </w:pPr>
    </w:p>
    <w:p w14:paraId="69059446">
      <w:pPr>
        <w:jc w:val="center"/>
        <w:rPr>
          <w:rFonts w:hint="eastAsia" w:ascii="宋体"/>
          <w:b/>
          <w:color w:val="auto"/>
          <w:sz w:val="30"/>
          <w:szCs w:val="30"/>
          <w:highlight w:val="none"/>
        </w:rPr>
      </w:pPr>
      <w:r>
        <w:rPr>
          <w:rFonts w:hint="eastAsia" w:ascii="宋体"/>
          <w:b/>
          <w:color w:val="auto"/>
          <w:sz w:val="30"/>
          <w:szCs w:val="30"/>
          <w:highlight w:val="none"/>
        </w:rPr>
        <w:t>服务承诺书</w:t>
      </w:r>
    </w:p>
    <w:p w14:paraId="32D68E42">
      <w:pPr>
        <w:ind w:firstLine="480" w:firstLineChars="200"/>
        <w:rPr>
          <w:rFonts w:hint="eastAsia" w:ascii="宋体"/>
          <w:color w:val="auto"/>
          <w:sz w:val="24"/>
          <w:highlight w:val="none"/>
        </w:rPr>
      </w:pPr>
    </w:p>
    <w:p w14:paraId="43614B98">
      <w:pPr>
        <w:rPr>
          <w:rFonts w:hint="eastAsia" w:ascii="宋体"/>
          <w:b/>
          <w:color w:val="auto"/>
          <w:sz w:val="24"/>
          <w:highlight w:val="none"/>
        </w:rPr>
      </w:pPr>
      <w:r>
        <w:rPr>
          <w:rFonts w:hint="eastAsia" w:ascii="宋体"/>
          <w:color w:val="auto"/>
          <w:sz w:val="24"/>
          <w:highlight w:val="none"/>
        </w:rPr>
        <w:t>致：</w:t>
      </w:r>
      <w:r>
        <w:rPr>
          <w:rFonts w:hint="eastAsia" w:ascii="宋体"/>
          <w:color w:val="auto"/>
          <w:sz w:val="24"/>
          <w:highlight w:val="none"/>
          <w:u w:val="single"/>
        </w:rPr>
        <w:t xml:space="preserve">           （采购人）</w:t>
      </w:r>
      <w:r>
        <w:rPr>
          <w:rFonts w:hint="eastAsia" w:ascii="宋体"/>
          <w:color w:val="auto"/>
          <w:sz w:val="24"/>
          <w:highlight w:val="none"/>
        </w:rPr>
        <w:t>：</w:t>
      </w:r>
    </w:p>
    <w:p w14:paraId="48171107">
      <w:pPr>
        <w:spacing w:line="800" w:lineRule="exact"/>
        <w:ind w:firstLine="480" w:firstLineChars="200"/>
        <w:rPr>
          <w:rFonts w:hint="eastAsia" w:ascii="宋体"/>
          <w:color w:val="auto"/>
          <w:sz w:val="24"/>
          <w:highlight w:val="none"/>
        </w:rPr>
      </w:pPr>
      <w:r>
        <w:rPr>
          <w:rFonts w:hint="eastAsia" w:ascii="宋体"/>
          <w:color w:val="auto"/>
          <w:sz w:val="24"/>
          <w:highlight w:val="none"/>
        </w:rPr>
        <w:t>本承诺声明：</w:t>
      </w:r>
      <w:r>
        <w:rPr>
          <w:rFonts w:hint="eastAsia" w:ascii="宋体"/>
          <w:color w:val="auto"/>
          <w:sz w:val="24"/>
          <w:highlight w:val="none"/>
          <w:u w:val="single"/>
        </w:rPr>
        <w:t xml:space="preserve">                   </w:t>
      </w:r>
      <w:r>
        <w:rPr>
          <w:rFonts w:hint="eastAsia" w:ascii="宋体"/>
          <w:color w:val="auto"/>
          <w:sz w:val="24"/>
          <w:highlight w:val="none"/>
        </w:rPr>
        <w:t>（投标人名称）对本招标文件的相关要求完全响应。若有幸中标将严格按照以上承诺进行服务。</w:t>
      </w:r>
    </w:p>
    <w:p w14:paraId="65D8D85B">
      <w:pPr>
        <w:spacing w:line="800" w:lineRule="exact"/>
        <w:ind w:firstLine="480" w:firstLineChars="200"/>
        <w:rPr>
          <w:rFonts w:hint="eastAsia" w:ascii="宋体"/>
          <w:color w:val="auto"/>
          <w:sz w:val="24"/>
          <w:highlight w:val="none"/>
        </w:rPr>
      </w:pPr>
      <w:r>
        <w:rPr>
          <w:rFonts w:hint="eastAsia" w:ascii="宋体"/>
          <w:color w:val="auto"/>
          <w:sz w:val="24"/>
          <w:highlight w:val="none"/>
        </w:rPr>
        <w:t>特此声明。</w:t>
      </w:r>
    </w:p>
    <w:p w14:paraId="382D0F65">
      <w:pPr>
        <w:spacing w:line="600" w:lineRule="exact"/>
        <w:rPr>
          <w:rFonts w:hint="eastAsia" w:ascii="宋体"/>
          <w:color w:val="auto"/>
          <w:sz w:val="24"/>
          <w:highlight w:val="none"/>
        </w:rPr>
      </w:pPr>
      <w:r>
        <w:rPr>
          <w:rFonts w:hint="eastAsia" w:ascii="宋体"/>
          <w:color w:val="auto"/>
          <w:sz w:val="24"/>
          <w:highlight w:val="none"/>
        </w:rPr>
        <w:t> </w:t>
      </w:r>
    </w:p>
    <w:p w14:paraId="70604686">
      <w:pPr>
        <w:spacing w:line="480" w:lineRule="auto"/>
        <w:ind w:firstLine="480" w:firstLineChars="200"/>
        <w:rPr>
          <w:rFonts w:ascii="宋体" w:hAnsi="宋体"/>
          <w:color w:val="auto"/>
          <w:sz w:val="24"/>
          <w:szCs w:val="21"/>
          <w:highlight w:val="none"/>
        </w:rPr>
      </w:pPr>
      <w:r>
        <w:rPr>
          <w:rFonts w:hint="eastAsia" w:ascii="宋体"/>
          <w:color w:val="auto"/>
          <w:sz w:val="24"/>
          <w:highlight w:val="none"/>
        </w:rPr>
        <w:t xml:space="preserve">                </w:t>
      </w:r>
      <w:r>
        <w:rPr>
          <w:rFonts w:hint="eastAsia" w:ascii="宋体" w:hAnsi="宋体"/>
          <w:color w:val="auto"/>
          <w:sz w:val="24"/>
          <w:szCs w:val="21"/>
          <w:highlight w:val="none"/>
        </w:rPr>
        <w:t>投标人名称：</w:t>
      </w:r>
      <w:r>
        <w:rPr>
          <w:rFonts w:ascii="宋体" w:hAnsi="宋体"/>
          <w:color w:val="auto"/>
          <w:sz w:val="24"/>
          <w:szCs w:val="21"/>
          <w:highlight w:val="none"/>
          <w:u w:val="single"/>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（盖单位章）</w:t>
      </w:r>
    </w:p>
    <w:p w14:paraId="26DB0F14">
      <w:pPr>
        <w:spacing w:line="480" w:lineRule="auto"/>
        <w:ind w:firstLine="480" w:firstLineChars="200"/>
        <w:jc w:val="right"/>
        <w:rPr>
          <w:rFonts w:ascii="宋体" w:hAnsi="宋体"/>
          <w:color w:val="auto"/>
          <w:sz w:val="24"/>
          <w:szCs w:val="21"/>
          <w:highlight w:val="none"/>
        </w:rPr>
      </w:pPr>
      <w:r>
        <w:rPr>
          <w:rFonts w:hint="eastAsia" w:ascii="宋体" w:hAnsi="宋体"/>
          <w:color w:val="auto"/>
          <w:sz w:val="24"/>
          <w:szCs w:val="21"/>
          <w:highlight w:val="none"/>
        </w:rPr>
        <w:t>法定代表人：</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(签章)</w:t>
      </w:r>
    </w:p>
    <w:p w14:paraId="4C3BFEB4">
      <w:pPr>
        <w:spacing w:line="480" w:lineRule="auto"/>
        <w:jc w:val="right"/>
        <w:rPr>
          <w:rFonts w:hint="eastAsia"/>
          <w:b/>
          <w:color w:val="auto"/>
          <w:sz w:val="36"/>
          <w:szCs w:val="28"/>
          <w:highlight w:val="none"/>
        </w:rPr>
      </w:pPr>
      <w:r>
        <w:rPr>
          <w:rFonts w:hint="eastAsia" w:ascii="宋体" w:hAnsi="宋体"/>
          <w:color w:val="auto"/>
          <w:sz w:val="24"/>
          <w:szCs w:val="21"/>
          <w:highlight w:val="none"/>
        </w:rPr>
        <w:t xml:space="preserve">                                  日    期：</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年</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月</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rPr>
        <w:t>日</w:t>
      </w:r>
    </w:p>
    <w:p w14:paraId="462ED065">
      <w:pPr>
        <w:pStyle w:val="12"/>
        <w:ind w:firstLine="400"/>
        <w:rPr>
          <w:rFonts w:hint="eastAsia"/>
          <w:color w:val="auto"/>
          <w:highlight w:val="none"/>
        </w:rPr>
      </w:pPr>
    </w:p>
    <w:bookmarkEnd w:id="85"/>
    <w:bookmarkEnd w:id="86"/>
    <w:p w14:paraId="54E7A125">
      <w:pPr>
        <w:wordWrap w:val="0"/>
        <w:spacing w:before="100" w:beforeAutospacing="1" w:after="100" w:afterAutospacing="1"/>
        <w:jc w:val="center"/>
        <w:rPr>
          <w:rFonts w:hint="eastAsia" w:ascii="宋体" w:hAnsi="宋体"/>
          <w:b/>
          <w:color w:val="auto"/>
          <w:sz w:val="28"/>
          <w:szCs w:val="28"/>
          <w:highlight w:val="none"/>
          <w:bdr w:val="single" w:color="auto" w:sz="4" w:space="0"/>
        </w:rPr>
      </w:pPr>
      <w:r>
        <w:rPr>
          <w:rFonts w:hint="eastAsia" w:ascii="宋体" w:hAnsi="宋体"/>
          <w:b/>
          <w:color w:val="auto"/>
          <w:sz w:val="28"/>
          <w:szCs w:val="28"/>
          <w:highlight w:val="none"/>
        </w:rPr>
        <w:br w:type="page"/>
      </w:r>
      <w:r>
        <w:rPr>
          <w:rFonts w:hint="eastAsia" w:ascii="宋体" w:hAnsi="宋体"/>
          <w:b/>
          <w:color w:val="auto"/>
          <w:sz w:val="28"/>
          <w:szCs w:val="28"/>
          <w:highlight w:val="none"/>
        </w:rPr>
        <w:t>二、技术标格式文件</w:t>
      </w:r>
    </w:p>
    <w:p w14:paraId="2962134C">
      <w:pPr>
        <w:jc w:val="center"/>
        <w:rPr>
          <w:rFonts w:hint="eastAsia" w:ascii="宋体"/>
          <w:b/>
          <w:color w:val="auto"/>
          <w:sz w:val="44"/>
          <w:szCs w:val="44"/>
          <w:highlight w:val="none"/>
        </w:rPr>
      </w:pPr>
      <w:bookmarkStart w:id="91" w:name="_Toc387149626"/>
      <w:bookmarkStart w:id="92" w:name="_Toc449028953"/>
    </w:p>
    <w:p w14:paraId="1AE285DA">
      <w:pPr>
        <w:jc w:val="center"/>
        <w:rPr>
          <w:rFonts w:hint="eastAsia" w:ascii="宋体"/>
          <w:b/>
          <w:color w:val="auto"/>
          <w:sz w:val="44"/>
          <w:szCs w:val="44"/>
          <w:highlight w:val="none"/>
        </w:rPr>
      </w:pPr>
      <w:r>
        <w:rPr>
          <w:rFonts w:hint="eastAsia" w:ascii="宋体"/>
          <w:b/>
          <w:color w:val="auto"/>
          <w:sz w:val="44"/>
          <w:szCs w:val="44"/>
          <w:highlight w:val="none"/>
        </w:rPr>
        <w:t>技术标</w:t>
      </w:r>
      <w:bookmarkEnd w:id="91"/>
      <w:bookmarkEnd w:id="92"/>
    </w:p>
    <w:p w14:paraId="1767E8F5">
      <w:pPr>
        <w:jc w:val="center"/>
        <w:rPr>
          <w:rFonts w:hint="eastAsia" w:ascii="宋体"/>
          <w:color w:val="auto"/>
          <w:sz w:val="32"/>
          <w:szCs w:val="32"/>
          <w:highlight w:val="none"/>
        </w:rPr>
      </w:pPr>
      <w:r>
        <w:rPr>
          <w:rFonts w:hint="eastAsia" w:ascii="宋体"/>
          <w:color w:val="auto"/>
          <w:sz w:val="32"/>
          <w:szCs w:val="32"/>
          <w:highlight w:val="none"/>
        </w:rPr>
        <w:t>（投标文件二）</w:t>
      </w:r>
    </w:p>
    <w:p w14:paraId="182267D9">
      <w:pPr>
        <w:jc w:val="center"/>
        <w:rPr>
          <w:rFonts w:hint="eastAsia" w:eastAsia="黑体"/>
          <w:color w:val="auto"/>
          <w:sz w:val="44"/>
          <w:szCs w:val="44"/>
          <w:highlight w:val="none"/>
        </w:rPr>
      </w:pPr>
    </w:p>
    <w:p w14:paraId="55F1FB11">
      <w:pPr>
        <w:jc w:val="center"/>
        <w:rPr>
          <w:rFonts w:hint="eastAsia"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3825B50E">
      <w:pPr>
        <w:jc w:val="center"/>
        <w:rPr>
          <w:rFonts w:hint="eastAsia"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53E8195D">
      <w:pPr>
        <w:rPr>
          <w:rFonts w:hint="eastAsia" w:ascii="宋体"/>
          <w:color w:val="auto"/>
          <w:sz w:val="28"/>
          <w:szCs w:val="28"/>
          <w:highlight w:val="none"/>
        </w:rPr>
      </w:pPr>
    </w:p>
    <w:p w14:paraId="03353C46">
      <w:pPr>
        <w:rPr>
          <w:rFonts w:hint="eastAsia" w:ascii="宋体"/>
          <w:color w:val="auto"/>
          <w:sz w:val="28"/>
          <w:szCs w:val="28"/>
          <w:highlight w:val="none"/>
        </w:rPr>
      </w:pPr>
    </w:p>
    <w:p w14:paraId="2AC158F8">
      <w:pPr>
        <w:spacing w:line="700" w:lineRule="exact"/>
        <w:jc w:val="left"/>
        <w:rPr>
          <w:color w:val="auto"/>
          <w:sz w:val="24"/>
          <w:szCs w:val="32"/>
          <w:highlight w:val="none"/>
        </w:rPr>
      </w:pPr>
      <w:r>
        <w:rPr>
          <w:rFonts w:ascii="宋体"/>
          <w:color w:val="auto"/>
          <w:sz w:val="28"/>
          <w:szCs w:val="28"/>
          <w:highlight w:val="none"/>
        </w:rPr>
        <w:tab/>
      </w:r>
      <w:r>
        <w:rPr>
          <w:rFonts w:hint="eastAsia" w:ascii="宋体" w:hAnsi="宋体" w:cs="宋体"/>
          <w:b/>
          <w:bCs/>
          <w:color w:val="auto"/>
          <w:sz w:val="24"/>
          <w:highlight w:val="none"/>
        </w:rPr>
        <w:t>【本项目技术标为暗标评审，评审前系统自动对所有投标人的技术标进行编号；投标企业制作的技术标部分不得出现可能泄露投标人单位及个人信息的文字、图片、图表（技术标部分不得签章）等有关表述，否则技术标</w:t>
      </w:r>
      <w:r>
        <w:rPr>
          <w:rFonts w:hint="eastAsia" w:ascii="宋体" w:hAnsi="宋体" w:cs="宋体"/>
          <w:b/>
          <w:bCs/>
          <w:color w:val="auto"/>
          <w:sz w:val="24"/>
          <w:highlight w:val="none"/>
          <w:lang w:val="en-US" w:eastAsia="zh-CN"/>
        </w:rPr>
        <w:t>对应评分点</w:t>
      </w:r>
      <w:r>
        <w:rPr>
          <w:rFonts w:hint="eastAsia" w:ascii="宋体" w:hAnsi="宋体" w:cs="宋体"/>
          <w:b/>
          <w:bCs/>
          <w:color w:val="auto"/>
          <w:sz w:val="24"/>
          <w:highlight w:val="none"/>
        </w:rPr>
        <w:t>按零分处理。】</w:t>
      </w:r>
    </w:p>
    <w:p w14:paraId="53F2F904">
      <w:pPr>
        <w:pStyle w:val="12"/>
        <w:ind w:firstLine="560"/>
        <w:rPr>
          <w:rFonts w:hint="eastAsia" w:eastAsia="宋体"/>
          <w:color w:val="auto"/>
          <w:highlight w:val="none"/>
          <w:lang w:eastAsia="zh-CN"/>
        </w:rPr>
      </w:pPr>
      <w:r>
        <w:rPr>
          <w:rFonts w:hint="eastAsia" w:ascii="宋体"/>
          <w:color w:val="auto"/>
          <w:sz w:val="28"/>
          <w:szCs w:val="28"/>
          <w:highlight w:val="none"/>
        </w:rPr>
        <w:br w:type="page"/>
      </w:r>
    </w:p>
    <w:p w14:paraId="6696F8B0">
      <w:pPr>
        <w:spacing w:line="400" w:lineRule="exact"/>
        <w:jc w:val="both"/>
        <w:rPr>
          <w:rFonts w:hint="eastAsia"/>
          <w:b/>
          <w:color w:val="auto"/>
          <w:sz w:val="36"/>
          <w:szCs w:val="36"/>
          <w:highlight w:val="none"/>
        </w:rPr>
      </w:pPr>
    </w:p>
    <w:p w14:paraId="1B417182">
      <w:pPr>
        <w:spacing w:line="400" w:lineRule="exact"/>
        <w:jc w:val="center"/>
        <w:rPr>
          <w:rFonts w:hint="eastAsia"/>
          <w:b/>
          <w:color w:val="auto"/>
          <w:sz w:val="36"/>
          <w:szCs w:val="36"/>
          <w:highlight w:val="none"/>
        </w:rPr>
      </w:pPr>
      <w:r>
        <w:rPr>
          <w:rFonts w:hint="eastAsia"/>
          <w:b/>
          <w:color w:val="auto"/>
          <w:sz w:val="36"/>
          <w:szCs w:val="36"/>
          <w:highlight w:val="none"/>
        </w:rPr>
        <w:t>目   录</w:t>
      </w:r>
    </w:p>
    <w:p w14:paraId="6C57AD9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（1）768园区规划方案；</w:t>
      </w:r>
    </w:p>
    <w:p w14:paraId="6CD3D10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（2）附属205亩用地方案；</w:t>
      </w:r>
      <w:r>
        <w:rPr>
          <w:rFonts w:hint="eastAsia" w:ascii="宋体" w:hAnsi="宋体" w:eastAsia="宋体" w:cs="宋体"/>
          <w:b w:val="0"/>
          <w:bCs/>
          <w:color w:val="auto"/>
          <w:sz w:val="21"/>
          <w:szCs w:val="21"/>
          <w:highlight w:val="none"/>
          <w:lang w:val="en-US" w:eastAsia="zh-CN"/>
        </w:rPr>
        <w:br w:type="textWrapping"/>
      </w:r>
      <w:r>
        <w:rPr>
          <w:rFonts w:hint="eastAsia" w:ascii="宋体" w:hAnsi="宋体" w:eastAsia="宋体" w:cs="宋体"/>
          <w:b w:val="0"/>
          <w:bCs/>
          <w:color w:val="auto"/>
          <w:sz w:val="21"/>
          <w:szCs w:val="21"/>
          <w:highlight w:val="none"/>
          <w:lang w:val="en-US" w:eastAsia="zh-CN"/>
        </w:rPr>
        <w:t>（3）命名方案；</w:t>
      </w:r>
    </w:p>
    <w:p w14:paraId="16289287">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（4）运营保障方案；</w:t>
      </w:r>
    </w:p>
    <w:p w14:paraId="31C7CD4A">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（5）应急管理方案；</w:t>
      </w:r>
    </w:p>
    <w:p w14:paraId="49CC2D12">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（6）团队与资金管理方案</w:t>
      </w:r>
      <w:r>
        <w:rPr>
          <w:rFonts w:hint="eastAsia" w:ascii="宋体" w:hAnsi="宋体" w:cs="宋体"/>
          <w:b w:val="0"/>
          <w:bCs/>
          <w:color w:val="auto"/>
          <w:sz w:val="21"/>
          <w:szCs w:val="21"/>
          <w:highlight w:val="none"/>
          <w:lang w:val="en-US" w:eastAsia="zh-CN"/>
        </w:rPr>
        <w:t>。</w:t>
      </w:r>
    </w:p>
    <w:p w14:paraId="0390A89E">
      <w:pPr>
        <w:adjustRightInd w:val="0"/>
        <w:snapToGrid w:val="0"/>
        <w:spacing w:line="560" w:lineRule="exact"/>
        <w:rPr>
          <w:rFonts w:hint="eastAsia" w:ascii="宋体" w:hAnsi="宋体"/>
          <w:b/>
          <w:bCs/>
          <w:color w:val="auto"/>
          <w:sz w:val="24"/>
          <w:szCs w:val="24"/>
          <w:highlight w:val="none"/>
          <w:lang w:val="en-US" w:eastAsia="zh-CN"/>
        </w:rPr>
      </w:pPr>
    </w:p>
    <w:p w14:paraId="481D89B4">
      <w:pPr>
        <w:adjustRightInd w:val="0"/>
        <w:snapToGrid w:val="0"/>
        <w:spacing w:line="560" w:lineRule="exact"/>
        <w:rPr>
          <w:rFonts w:hint="default" w:ascii="宋体" w:hAnsi="宋体" w:eastAsia="宋体"/>
          <w:b/>
          <w:bCs/>
          <w:color w:val="auto"/>
          <w:sz w:val="24"/>
          <w:szCs w:val="24"/>
          <w:highlight w:val="none"/>
          <w:lang w:val="en-US" w:eastAsia="zh-CN"/>
        </w:rPr>
      </w:pPr>
      <w:r>
        <w:rPr>
          <w:rFonts w:hint="eastAsia" w:ascii="宋体" w:hAnsi="宋体"/>
          <w:b/>
          <w:bCs/>
          <w:color w:val="auto"/>
          <w:sz w:val="24"/>
          <w:szCs w:val="24"/>
          <w:highlight w:val="none"/>
          <w:lang w:val="en-US" w:eastAsia="zh-CN"/>
        </w:rPr>
        <w:t>注：本项目采用横向暗标评审，请投标人结合技术标评审细则和系统内容在对应模块上传技术标评审内容。</w:t>
      </w:r>
    </w:p>
    <w:p w14:paraId="07001541">
      <w:pPr>
        <w:pStyle w:val="17"/>
        <w:rPr>
          <w:rFonts w:hint="default"/>
          <w:color w:val="auto"/>
          <w:highlight w:val="none"/>
          <w:lang w:val="en-US" w:eastAsia="zh-CN"/>
        </w:rPr>
      </w:pPr>
    </w:p>
    <w:p w14:paraId="387CD4B4">
      <w:pPr>
        <w:spacing w:line="400" w:lineRule="exact"/>
        <w:ind w:firstLine="562" w:firstLineChars="200"/>
        <w:rPr>
          <w:rFonts w:hint="eastAsia"/>
          <w:b/>
          <w:color w:val="auto"/>
          <w:sz w:val="28"/>
          <w:szCs w:val="28"/>
          <w:highlight w:val="none"/>
        </w:rPr>
      </w:pPr>
    </w:p>
    <w:p w14:paraId="12FDEF03">
      <w:pPr>
        <w:spacing w:line="400" w:lineRule="exact"/>
        <w:ind w:firstLine="562" w:firstLineChars="200"/>
        <w:rPr>
          <w:rFonts w:hint="eastAsia"/>
          <w:b/>
          <w:color w:val="auto"/>
          <w:sz w:val="28"/>
          <w:szCs w:val="28"/>
          <w:highlight w:val="none"/>
        </w:rPr>
      </w:pPr>
    </w:p>
    <w:p w14:paraId="75C413CC">
      <w:pPr>
        <w:spacing w:line="400" w:lineRule="exact"/>
        <w:ind w:firstLine="562" w:firstLineChars="200"/>
        <w:rPr>
          <w:rFonts w:hint="eastAsia"/>
          <w:b/>
          <w:color w:val="auto"/>
          <w:sz w:val="28"/>
          <w:szCs w:val="28"/>
          <w:highlight w:val="none"/>
        </w:rPr>
      </w:pPr>
    </w:p>
    <w:p w14:paraId="42654E7E">
      <w:pPr>
        <w:spacing w:line="480" w:lineRule="auto"/>
        <w:jc w:val="both"/>
        <w:rPr>
          <w:rFonts w:hint="eastAsia"/>
          <w:b/>
          <w:color w:val="auto"/>
          <w:sz w:val="28"/>
          <w:szCs w:val="28"/>
          <w:highlight w:val="none"/>
        </w:rPr>
      </w:pPr>
      <w:r>
        <w:rPr>
          <w:rFonts w:hint="eastAsia"/>
          <w:b/>
          <w:color w:val="auto"/>
          <w:sz w:val="28"/>
          <w:szCs w:val="28"/>
          <w:highlight w:val="none"/>
        </w:rPr>
        <w:br w:type="page"/>
      </w:r>
    </w:p>
    <w:p w14:paraId="6C8AA300">
      <w:pPr>
        <w:spacing w:line="300" w:lineRule="exact"/>
        <w:rPr>
          <w:rFonts w:hint="eastAsia" w:ascii="宋体"/>
          <w:color w:val="auto"/>
          <w:sz w:val="24"/>
          <w:highlight w:val="none"/>
          <w:u w:val="single"/>
        </w:rPr>
      </w:pPr>
    </w:p>
    <w:p w14:paraId="7688B24B">
      <w:pPr>
        <w:spacing w:line="300" w:lineRule="exact"/>
        <w:rPr>
          <w:rFonts w:hint="eastAsia" w:ascii="宋体"/>
          <w:color w:val="auto"/>
          <w:sz w:val="24"/>
          <w:highlight w:val="none"/>
          <w:u w:val="single"/>
        </w:rPr>
      </w:pPr>
      <w:r>
        <w:rPr>
          <w:rFonts w:hint="eastAsia" w:ascii="宋体"/>
          <w:color w:val="auto"/>
          <w:sz w:val="24"/>
          <w:highlight w:val="none"/>
          <w:u w:val="single"/>
        </w:rPr>
        <w:t xml:space="preserve">      </w:t>
      </w:r>
    </w:p>
    <w:p w14:paraId="5CF06C6E">
      <w:pPr>
        <w:jc w:val="center"/>
        <w:rPr>
          <w:rFonts w:hint="eastAsia" w:ascii="宋体"/>
          <w:color w:val="auto"/>
          <w:sz w:val="24"/>
          <w:highlight w:val="none"/>
        </w:rPr>
      </w:pPr>
      <w:r>
        <w:rPr>
          <w:rFonts w:hint="eastAsia" w:ascii="宋体" w:hAnsi="宋体"/>
          <w:b/>
          <w:color w:val="auto"/>
          <w:sz w:val="28"/>
          <w:szCs w:val="28"/>
          <w:highlight w:val="none"/>
        </w:rPr>
        <w:t>三、商务标格式文件</w:t>
      </w:r>
    </w:p>
    <w:p w14:paraId="46554D43">
      <w:pPr>
        <w:jc w:val="center"/>
        <w:rPr>
          <w:rFonts w:hint="eastAsia" w:eastAsia="黑体"/>
          <w:color w:val="auto"/>
          <w:sz w:val="20"/>
          <w:highlight w:val="none"/>
        </w:rPr>
      </w:pPr>
    </w:p>
    <w:p w14:paraId="2B948548">
      <w:pPr>
        <w:rPr>
          <w:rFonts w:hint="eastAsia" w:ascii="宋体"/>
          <w:color w:val="auto"/>
          <w:sz w:val="20"/>
          <w:highlight w:val="none"/>
        </w:rPr>
      </w:pPr>
    </w:p>
    <w:p w14:paraId="0B0FE411">
      <w:pPr>
        <w:pStyle w:val="12"/>
        <w:ind w:firstLine="400"/>
        <w:rPr>
          <w:rFonts w:hint="eastAsia"/>
          <w:color w:val="auto"/>
          <w:highlight w:val="none"/>
        </w:rPr>
      </w:pPr>
    </w:p>
    <w:p w14:paraId="3765BA3F">
      <w:pPr>
        <w:jc w:val="center"/>
        <w:rPr>
          <w:rFonts w:hint="eastAsia" w:ascii="宋体"/>
          <w:b/>
          <w:color w:val="auto"/>
          <w:sz w:val="44"/>
          <w:szCs w:val="44"/>
          <w:highlight w:val="none"/>
        </w:rPr>
      </w:pPr>
      <w:bookmarkStart w:id="93" w:name="_Toc449028954"/>
      <w:r>
        <w:rPr>
          <w:rFonts w:hint="eastAsia" w:ascii="宋体"/>
          <w:b/>
          <w:color w:val="auto"/>
          <w:sz w:val="44"/>
          <w:szCs w:val="44"/>
          <w:highlight w:val="none"/>
        </w:rPr>
        <w:t>商务标</w:t>
      </w:r>
      <w:bookmarkEnd w:id="93"/>
    </w:p>
    <w:p w14:paraId="276251DC">
      <w:pPr>
        <w:jc w:val="center"/>
        <w:rPr>
          <w:rFonts w:hint="eastAsia" w:ascii="宋体"/>
          <w:color w:val="auto"/>
          <w:sz w:val="36"/>
          <w:szCs w:val="36"/>
          <w:highlight w:val="none"/>
        </w:rPr>
      </w:pPr>
      <w:r>
        <w:rPr>
          <w:rFonts w:hint="eastAsia" w:ascii="宋体"/>
          <w:color w:val="auto"/>
          <w:sz w:val="44"/>
          <w:szCs w:val="44"/>
          <w:highlight w:val="none"/>
        </w:rPr>
        <w:t>（</w:t>
      </w:r>
      <w:r>
        <w:rPr>
          <w:rFonts w:hint="eastAsia" w:ascii="宋体"/>
          <w:color w:val="auto"/>
          <w:sz w:val="36"/>
          <w:szCs w:val="36"/>
          <w:highlight w:val="none"/>
        </w:rPr>
        <w:t>投标文件三）</w:t>
      </w:r>
    </w:p>
    <w:p w14:paraId="2D8616FB">
      <w:pPr>
        <w:jc w:val="center"/>
        <w:rPr>
          <w:rFonts w:hint="eastAsia" w:ascii="宋体"/>
          <w:color w:val="auto"/>
          <w:sz w:val="36"/>
          <w:szCs w:val="36"/>
          <w:highlight w:val="none"/>
        </w:rPr>
      </w:pPr>
    </w:p>
    <w:p w14:paraId="7E0B4A80">
      <w:pPr>
        <w:jc w:val="center"/>
        <w:rPr>
          <w:rFonts w:hint="eastAsia" w:ascii="宋体"/>
          <w:color w:val="auto"/>
          <w:sz w:val="32"/>
          <w:szCs w:val="32"/>
          <w:highlight w:val="none"/>
        </w:rPr>
      </w:pPr>
      <w:r>
        <w:rPr>
          <w:rFonts w:hint="eastAsia" w:ascii="宋体"/>
          <w:color w:val="auto"/>
          <w:sz w:val="32"/>
          <w:szCs w:val="32"/>
          <w:highlight w:val="none"/>
          <w:u w:val="single"/>
        </w:rPr>
        <w:t xml:space="preserve">        </w:t>
      </w:r>
      <w:r>
        <w:rPr>
          <w:rFonts w:hint="eastAsia" w:ascii="宋体"/>
          <w:color w:val="auto"/>
          <w:sz w:val="32"/>
          <w:szCs w:val="32"/>
          <w:highlight w:val="none"/>
        </w:rPr>
        <w:t>项目</w:t>
      </w:r>
    </w:p>
    <w:p w14:paraId="7004A503">
      <w:pPr>
        <w:jc w:val="center"/>
        <w:rPr>
          <w:rFonts w:hint="eastAsia" w:ascii="宋体"/>
          <w:color w:val="auto"/>
          <w:sz w:val="44"/>
          <w:szCs w:val="44"/>
          <w:highlight w:val="none"/>
        </w:rPr>
      </w:pPr>
      <w:r>
        <w:rPr>
          <w:rFonts w:hint="eastAsia" w:ascii="宋体"/>
          <w:color w:val="auto"/>
          <w:sz w:val="28"/>
          <w:szCs w:val="28"/>
          <w:highlight w:val="none"/>
        </w:rPr>
        <w:t>项目编号</w:t>
      </w:r>
      <w:r>
        <w:rPr>
          <w:rFonts w:hint="eastAsia" w:ascii="宋体"/>
          <w:color w:val="auto"/>
          <w:sz w:val="28"/>
          <w:szCs w:val="28"/>
          <w:highlight w:val="none"/>
          <w:u w:val="single"/>
        </w:rPr>
        <w:t xml:space="preserve">  </w:t>
      </w:r>
    </w:p>
    <w:p w14:paraId="25FA9C61">
      <w:pPr>
        <w:rPr>
          <w:rFonts w:hint="eastAsia" w:ascii="宋体"/>
          <w:color w:val="auto"/>
          <w:sz w:val="28"/>
          <w:szCs w:val="28"/>
          <w:highlight w:val="none"/>
        </w:rPr>
      </w:pPr>
    </w:p>
    <w:p w14:paraId="6AF33DD0">
      <w:pPr>
        <w:rPr>
          <w:rFonts w:hint="eastAsia" w:ascii="宋体"/>
          <w:color w:val="auto"/>
          <w:sz w:val="28"/>
          <w:szCs w:val="28"/>
          <w:highlight w:val="none"/>
        </w:rPr>
      </w:pPr>
    </w:p>
    <w:p w14:paraId="5ECF8122">
      <w:pPr>
        <w:rPr>
          <w:rFonts w:hint="eastAsia" w:ascii="宋体"/>
          <w:color w:val="auto"/>
          <w:sz w:val="28"/>
          <w:szCs w:val="28"/>
          <w:highlight w:val="none"/>
        </w:rPr>
      </w:pPr>
    </w:p>
    <w:p w14:paraId="64C6149C">
      <w:pPr>
        <w:rPr>
          <w:rFonts w:hint="eastAsia" w:ascii="宋体"/>
          <w:color w:val="auto"/>
          <w:sz w:val="28"/>
          <w:szCs w:val="28"/>
          <w:highlight w:val="none"/>
        </w:rPr>
      </w:pPr>
    </w:p>
    <w:p w14:paraId="7ADC2E8E">
      <w:pPr>
        <w:rPr>
          <w:rFonts w:hint="eastAsia" w:ascii="宋体"/>
          <w:color w:val="auto"/>
          <w:sz w:val="28"/>
          <w:szCs w:val="28"/>
          <w:highlight w:val="none"/>
        </w:rPr>
      </w:pPr>
    </w:p>
    <w:p w14:paraId="3777F1F4">
      <w:pPr>
        <w:rPr>
          <w:rFonts w:hint="eastAsia" w:ascii="宋体"/>
          <w:color w:val="auto"/>
          <w:sz w:val="28"/>
          <w:szCs w:val="28"/>
          <w:highlight w:val="none"/>
        </w:rPr>
      </w:pPr>
    </w:p>
    <w:p w14:paraId="4D5D9FFC">
      <w:pPr>
        <w:rPr>
          <w:rFonts w:hint="eastAsia" w:ascii="宋体"/>
          <w:color w:val="auto"/>
          <w:sz w:val="28"/>
          <w:szCs w:val="28"/>
          <w:highlight w:val="none"/>
        </w:rPr>
      </w:pPr>
    </w:p>
    <w:p w14:paraId="4995BE86">
      <w:pPr>
        <w:jc w:val="center"/>
        <w:rPr>
          <w:rFonts w:hint="eastAsia" w:ascii="宋体"/>
          <w:color w:val="auto"/>
          <w:sz w:val="28"/>
          <w:szCs w:val="28"/>
          <w:highlight w:val="none"/>
          <w:u w:val="single"/>
        </w:rPr>
      </w:pPr>
      <w:r>
        <w:rPr>
          <w:rFonts w:hint="eastAsia" w:ascii="宋体"/>
          <w:color w:val="auto"/>
          <w:sz w:val="28"/>
          <w:szCs w:val="28"/>
          <w:highlight w:val="none"/>
        </w:rPr>
        <w:t>投标人：</w:t>
      </w:r>
      <w:r>
        <w:rPr>
          <w:rFonts w:hint="eastAsia" w:ascii="宋体"/>
          <w:color w:val="auto"/>
          <w:sz w:val="28"/>
          <w:szCs w:val="28"/>
          <w:highlight w:val="none"/>
          <w:u w:val="single"/>
        </w:rPr>
        <w:t xml:space="preserve">                              </w:t>
      </w:r>
      <w:r>
        <w:rPr>
          <w:rFonts w:hint="eastAsia" w:ascii="宋体"/>
          <w:color w:val="auto"/>
          <w:sz w:val="28"/>
          <w:szCs w:val="28"/>
          <w:highlight w:val="none"/>
        </w:rPr>
        <w:t>（盖单位章）</w:t>
      </w:r>
    </w:p>
    <w:p w14:paraId="04CFC46E">
      <w:pPr>
        <w:ind w:firstLine="700" w:firstLineChars="250"/>
        <w:rPr>
          <w:rFonts w:hint="eastAsia" w:ascii="宋体"/>
          <w:color w:val="auto"/>
          <w:sz w:val="28"/>
          <w:szCs w:val="28"/>
          <w:highlight w:val="none"/>
        </w:rPr>
      </w:pPr>
      <w:r>
        <w:rPr>
          <w:rFonts w:hint="eastAsia" w:ascii="宋体"/>
          <w:color w:val="auto"/>
          <w:sz w:val="28"/>
          <w:szCs w:val="28"/>
          <w:highlight w:val="none"/>
        </w:rPr>
        <w:t>法定代表人：</w:t>
      </w:r>
      <w:r>
        <w:rPr>
          <w:rFonts w:hint="eastAsia" w:ascii="宋体"/>
          <w:color w:val="auto"/>
          <w:sz w:val="28"/>
          <w:szCs w:val="28"/>
          <w:highlight w:val="none"/>
          <w:u w:val="single"/>
        </w:rPr>
        <w:t xml:space="preserve">                             </w:t>
      </w:r>
      <w:r>
        <w:rPr>
          <w:rFonts w:hint="eastAsia" w:ascii="宋体"/>
          <w:color w:val="auto"/>
          <w:sz w:val="28"/>
          <w:szCs w:val="28"/>
          <w:highlight w:val="none"/>
        </w:rPr>
        <w:t>（签章）</w:t>
      </w:r>
    </w:p>
    <w:p w14:paraId="16EA7060">
      <w:pPr>
        <w:jc w:val="center"/>
        <w:rPr>
          <w:rFonts w:hint="eastAsia" w:ascii="宋体"/>
          <w:color w:val="auto"/>
          <w:sz w:val="28"/>
          <w:szCs w:val="28"/>
          <w:highlight w:val="none"/>
        </w:rPr>
      </w:pPr>
      <w:r>
        <w:rPr>
          <w:rFonts w:hint="eastAsia" w:ascii="宋体"/>
          <w:color w:val="auto"/>
          <w:sz w:val="28"/>
          <w:szCs w:val="28"/>
          <w:highlight w:val="none"/>
          <w:u w:val="single"/>
        </w:rPr>
        <w:t xml:space="preserve">        </w:t>
      </w:r>
      <w:r>
        <w:rPr>
          <w:rFonts w:hint="eastAsia" w:ascii="宋体"/>
          <w:color w:val="auto"/>
          <w:sz w:val="28"/>
          <w:szCs w:val="28"/>
          <w:highlight w:val="none"/>
        </w:rPr>
        <w:t>年</w:t>
      </w:r>
      <w:r>
        <w:rPr>
          <w:rFonts w:hint="eastAsia" w:ascii="宋体"/>
          <w:color w:val="auto"/>
          <w:sz w:val="28"/>
          <w:szCs w:val="28"/>
          <w:highlight w:val="none"/>
          <w:u w:val="single"/>
        </w:rPr>
        <w:t xml:space="preserve">     </w:t>
      </w:r>
      <w:r>
        <w:rPr>
          <w:rFonts w:hint="eastAsia" w:ascii="宋体"/>
          <w:color w:val="auto"/>
          <w:sz w:val="28"/>
          <w:szCs w:val="28"/>
          <w:highlight w:val="none"/>
        </w:rPr>
        <w:t>月</w:t>
      </w:r>
      <w:r>
        <w:rPr>
          <w:rFonts w:hint="eastAsia" w:ascii="宋体"/>
          <w:color w:val="auto"/>
          <w:sz w:val="28"/>
          <w:szCs w:val="28"/>
          <w:highlight w:val="none"/>
          <w:u w:val="single"/>
        </w:rPr>
        <w:t xml:space="preserve">     </w:t>
      </w:r>
      <w:r>
        <w:rPr>
          <w:rFonts w:hint="eastAsia" w:ascii="宋体"/>
          <w:color w:val="auto"/>
          <w:sz w:val="28"/>
          <w:szCs w:val="28"/>
          <w:highlight w:val="none"/>
        </w:rPr>
        <w:t>日</w:t>
      </w:r>
    </w:p>
    <w:p w14:paraId="79606162">
      <w:pPr>
        <w:spacing w:line="720" w:lineRule="auto"/>
        <w:jc w:val="center"/>
        <w:rPr>
          <w:rFonts w:hint="eastAsia" w:ascii="宋体"/>
          <w:b/>
          <w:color w:val="auto"/>
          <w:sz w:val="36"/>
          <w:szCs w:val="36"/>
          <w:highlight w:val="none"/>
        </w:rPr>
      </w:pPr>
    </w:p>
    <w:p w14:paraId="2660AD8F">
      <w:pPr>
        <w:spacing w:line="400" w:lineRule="exact"/>
        <w:ind w:firstLine="562" w:firstLineChars="200"/>
        <w:rPr>
          <w:rFonts w:hint="eastAsia"/>
          <w:b/>
          <w:color w:val="auto"/>
          <w:sz w:val="28"/>
          <w:szCs w:val="28"/>
          <w:highlight w:val="none"/>
        </w:rPr>
      </w:pPr>
    </w:p>
    <w:p w14:paraId="6845C440">
      <w:pPr>
        <w:spacing w:line="400" w:lineRule="exact"/>
        <w:jc w:val="center"/>
        <w:rPr>
          <w:rFonts w:hint="eastAsia"/>
          <w:b/>
          <w:color w:val="auto"/>
          <w:sz w:val="36"/>
          <w:szCs w:val="36"/>
          <w:highlight w:val="none"/>
        </w:rPr>
      </w:pPr>
      <w:r>
        <w:rPr>
          <w:b/>
          <w:color w:val="auto"/>
          <w:sz w:val="36"/>
          <w:szCs w:val="36"/>
          <w:highlight w:val="none"/>
        </w:rPr>
        <w:br w:type="page"/>
      </w:r>
      <w:r>
        <w:rPr>
          <w:rFonts w:hint="eastAsia"/>
          <w:b/>
          <w:color w:val="auto"/>
          <w:sz w:val="36"/>
          <w:szCs w:val="36"/>
          <w:highlight w:val="none"/>
        </w:rPr>
        <w:t>目   录</w:t>
      </w:r>
    </w:p>
    <w:p w14:paraId="25E6E013">
      <w:pPr>
        <w:spacing w:line="400" w:lineRule="exact"/>
        <w:ind w:firstLine="4130" w:firstLineChars="935"/>
        <w:rPr>
          <w:rFonts w:hint="eastAsia"/>
          <w:b/>
          <w:color w:val="auto"/>
          <w:sz w:val="44"/>
          <w:szCs w:val="44"/>
          <w:highlight w:val="none"/>
        </w:rPr>
      </w:pPr>
    </w:p>
    <w:p w14:paraId="12345508">
      <w:pPr>
        <w:spacing w:line="440" w:lineRule="exact"/>
        <w:ind w:left="420"/>
        <w:jc w:val="left"/>
        <w:rPr>
          <w:rFonts w:hint="eastAsia" w:ascii="宋体"/>
          <w:color w:val="auto"/>
          <w:szCs w:val="21"/>
          <w:highlight w:val="none"/>
        </w:rPr>
      </w:pPr>
      <w:r>
        <w:rPr>
          <w:rFonts w:hint="eastAsia" w:ascii="宋体"/>
          <w:color w:val="auto"/>
          <w:szCs w:val="21"/>
          <w:highlight w:val="none"/>
        </w:rPr>
        <w:t>（1）开标一览表（格式见附件）；</w:t>
      </w:r>
    </w:p>
    <w:p w14:paraId="71A6EB65">
      <w:pPr>
        <w:spacing w:line="440" w:lineRule="exact"/>
        <w:ind w:left="420"/>
        <w:jc w:val="left"/>
        <w:rPr>
          <w:rFonts w:hint="eastAsia" w:ascii="宋体"/>
          <w:color w:val="auto"/>
          <w:szCs w:val="21"/>
          <w:highlight w:val="none"/>
        </w:rPr>
      </w:pPr>
      <w:r>
        <w:rPr>
          <w:rFonts w:hint="eastAsia" w:ascii="宋体"/>
          <w:color w:val="auto"/>
          <w:szCs w:val="21"/>
          <w:highlight w:val="none"/>
        </w:rPr>
        <w:t>（2）投标函（格式见附件）；</w:t>
      </w:r>
    </w:p>
    <w:p w14:paraId="580C62F6">
      <w:pPr>
        <w:spacing w:line="440" w:lineRule="exact"/>
        <w:ind w:firstLine="424" w:firstLineChars="202"/>
        <w:jc w:val="left"/>
        <w:rPr>
          <w:rFonts w:hint="default" w:ascii="宋体" w:eastAsia="宋体"/>
          <w:color w:val="auto"/>
          <w:szCs w:val="21"/>
          <w:highlight w:val="none"/>
          <w:lang w:val="en-US" w:eastAsia="zh-CN"/>
        </w:rPr>
      </w:pPr>
      <w:r>
        <w:rPr>
          <w:rFonts w:hint="eastAsia" w:ascii="宋体"/>
          <w:color w:val="auto"/>
          <w:szCs w:val="21"/>
          <w:highlight w:val="none"/>
          <w:lang w:eastAsia="zh-CN"/>
        </w:rPr>
        <w:t>（</w:t>
      </w:r>
      <w:r>
        <w:rPr>
          <w:rFonts w:hint="eastAsia" w:ascii="宋体"/>
          <w:color w:val="auto"/>
          <w:szCs w:val="21"/>
          <w:highlight w:val="none"/>
          <w:lang w:val="en-US" w:eastAsia="zh-CN"/>
        </w:rPr>
        <w:t>3）分项报价清单（格式见附件）；</w:t>
      </w:r>
    </w:p>
    <w:p w14:paraId="1CF05044">
      <w:pPr>
        <w:spacing w:line="440" w:lineRule="exact"/>
        <w:ind w:firstLine="424" w:firstLineChars="202"/>
        <w:jc w:val="left"/>
        <w:rPr>
          <w:rFonts w:hint="eastAsia" w:ascii="宋体"/>
          <w:color w:val="auto"/>
          <w:szCs w:val="21"/>
          <w:highlight w:val="none"/>
        </w:rPr>
      </w:pPr>
      <w:r>
        <w:rPr>
          <w:rFonts w:hint="eastAsia" w:ascii="宋体"/>
          <w:color w:val="auto"/>
          <w:szCs w:val="21"/>
          <w:highlight w:val="none"/>
        </w:rPr>
        <w:t>（</w:t>
      </w:r>
      <w:r>
        <w:rPr>
          <w:rFonts w:hint="eastAsia" w:ascii="宋体"/>
          <w:color w:val="auto"/>
          <w:szCs w:val="21"/>
          <w:highlight w:val="none"/>
          <w:lang w:val="en-US" w:eastAsia="zh-CN"/>
        </w:rPr>
        <w:t>4</w:t>
      </w:r>
      <w:r>
        <w:rPr>
          <w:rFonts w:hint="eastAsia" w:ascii="宋体"/>
          <w:color w:val="auto"/>
          <w:szCs w:val="21"/>
          <w:highlight w:val="none"/>
        </w:rPr>
        <w:t>）招标文件商务评审中要求提供的其他相关资料；</w:t>
      </w:r>
    </w:p>
    <w:p w14:paraId="0B624974">
      <w:pPr>
        <w:jc w:val="center"/>
        <w:rPr>
          <w:rFonts w:hint="eastAsia" w:ascii="宋体"/>
          <w:b/>
          <w:color w:val="auto"/>
          <w:sz w:val="28"/>
          <w:szCs w:val="28"/>
          <w:highlight w:val="none"/>
        </w:rPr>
      </w:pPr>
    </w:p>
    <w:p w14:paraId="39D2421B">
      <w:pPr>
        <w:snapToGrid w:val="0"/>
        <w:spacing w:line="460" w:lineRule="exact"/>
        <w:ind w:left="2940" w:leftChars="1400" w:firstLine="964" w:firstLineChars="300"/>
        <w:rPr>
          <w:rFonts w:hint="eastAsia" w:ascii="宋体"/>
          <w:b/>
          <w:color w:val="auto"/>
          <w:sz w:val="32"/>
          <w:szCs w:val="32"/>
          <w:highlight w:val="none"/>
        </w:rPr>
      </w:pPr>
    </w:p>
    <w:p w14:paraId="5D8EC74F">
      <w:pPr>
        <w:snapToGrid w:val="0"/>
        <w:spacing w:line="460" w:lineRule="exact"/>
        <w:ind w:left="2940" w:leftChars="1400" w:firstLine="964" w:firstLineChars="300"/>
        <w:rPr>
          <w:rFonts w:hint="eastAsia" w:ascii="宋体"/>
          <w:b/>
          <w:color w:val="auto"/>
          <w:sz w:val="32"/>
          <w:szCs w:val="32"/>
          <w:highlight w:val="none"/>
        </w:rPr>
      </w:pPr>
    </w:p>
    <w:p w14:paraId="7E5F58F5">
      <w:pPr>
        <w:snapToGrid w:val="0"/>
        <w:spacing w:line="460" w:lineRule="exact"/>
        <w:ind w:left="2940" w:leftChars="1400" w:firstLine="964" w:firstLineChars="300"/>
        <w:rPr>
          <w:rFonts w:hint="eastAsia" w:ascii="宋体"/>
          <w:b/>
          <w:color w:val="auto"/>
          <w:sz w:val="32"/>
          <w:szCs w:val="32"/>
          <w:highlight w:val="none"/>
        </w:rPr>
      </w:pPr>
    </w:p>
    <w:p w14:paraId="2092CD12">
      <w:pPr>
        <w:snapToGrid w:val="0"/>
        <w:spacing w:line="460" w:lineRule="exact"/>
        <w:ind w:left="2940" w:leftChars="1400" w:firstLine="964" w:firstLineChars="300"/>
        <w:rPr>
          <w:rFonts w:hint="eastAsia" w:ascii="宋体"/>
          <w:b/>
          <w:color w:val="auto"/>
          <w:sz w:val="32"/>
          <w:szCs w:val="32"/>
          <w:highlight w:val="none"/>
        </w:rPr>
      </w:pPr>
    </w:p>
    <w:p w14:paraId="577E14FE">
      <w:pPr>
        <w:snapToGrid w:val="0"/>
        <w:spacing w:line="460" w:lineRule="exact"/>
        <w:ind w:left="2940" w:leftChars="1400" w:firstLine="964" w:firstLineChars="300"/>
        <w:rPr>
          <w:rFonts w:hint="eastAsia" w:ascii="宋体"/>
          <w:b/>
          <w:color w:val="auto"/>
          <w:sz w:val="32"/>
          <w:szCs w:val="32"/>
          <w:highlight w:val="none"/>
        </w:rPr>
      </w:pPr>
    </w:p>
    <w:p w14:paraId="2DE6D732">
      <w:pPr>
        <w:snapToGrid w:val="0"/>
        <w:spacing w:line="460" w:lineRule="exact"/>
        <w:ind w:left="2940" w:leftChars="1400" w:firstLine="964" w:firstLineChars="300"/>
        <w:rPr>
          <w:rFonts w:hint="eastAsia" w:ascii="宋体"/>
          <w:b/>
          <w:color w:val="auto"/>
          <w:sz w:val="32"/>
          <w:szCs w:val="32"/>
          <w:highlight w:val="none"/>
        </w:rPr>
      </w:pPr>
    </w:p>
    <w:p w14:paraId="3BBBD0EB">
      <w:pPr>
        <w:spacing w:line="360" w:lineRule="exact"/>
        <w:rPr>
          <w:rFonts w:hint="eastAsia" w:ascii="宋体" w:hAnsi="宋体"/>
          <w:b/>
          <w:color w:val="auto"/>
          <w:sz w:val="30"/>
          <w:szCs w:val="30"/>
          <w:highlight w:val="none"/>
        </w:rPr>
      </w:pPr>
      <w:r>
        <w:rPr>
          <w:rFonts w:ascii="宋体" w:hAnsi="宋体"/>
          <w:b/>
          <w:color w:val="auto"/>
          <w:sz w:val="30"/>
          <w:szCs w:val="30"/>
          <w:highlight w:val="none"/>
        </w:rPr>
        <w:br w:type="page"/>
      </w:r>
      <w:r>
        <w:rPr>
          <w:rFonts w:hint="eastAsia" w:ascii="宋体" w:hAnsi="宋体"/>
          <w:b/>
          <w:color w:val="auto"/>
          <w:sz w:val="30"/>
          <w:szCs w:val="30"/>
          <w:highlight w:val="none"/>
        </w:rPr>
        <w:t>附件1</w:t>
      </w:r>
    </w:p>
    <w:p w14:paraId="733C222E">
      <w:pPr>
        <w:spacing w:line="360" w:lineRule="exact"/>
        <w:ind w:firstLine="472" w:firstLineChars="147"/>
        <w:jc w:val="center"/>
        <w:rPr>
          <w:rFonts w:hint="eastAsia" w:ascii="宋体"/>
          <w:b/>
          <w:color w:val="auto"/>
          <w:sz w:val="32"/>
          <w:szCs w:val="32"/>
          <w:highlight w:val="none"/>
        </w:rPr>
      </w:pPr>
    </w:p>
    <w:p w14:paraId="532F983A">
      <w:pPr>
        <w:spacing w:line="360" w:lineRule="exact"/>
        <w:ind w:firstLine="531" w:firstLineChars="147"/>
        <w:jc w:val="center"/>
        <w:rPr>
          <w:rFonts w:hint="eastAsia" w:ascii="宋体"/>
          <w:b/>
          <w:color w:val="auto"/>
          <w:sz w:val="36"/>
          <w:szCs w:val="36"/>
          <w:highlight w:val="none"/>
        </w:rPr>
      </w:pPr>
      <w:r>
        <w:rPr>
          <w:rFonts w:hint="eastAsia" w:ascii="宋体"/>
          <w:b/>
          <w:color w:val="auto"/>
          <w:sz w:val="36"/>
          <w:szCs w:val="36"/>
          <w:highlight w:val="none"/>
        </w:rPr>
        <w:t>开标一览表</w:t>
      </w:r>
    </w:p>
    <w:p w14:paraId="54B776AF">
      <w:pPr>
        <w:spacing w:line="360" w:lineRule="exact"/>
        <w:ind w:firstLine="354" w:firstLineChars="147"/>
        <w:rPr>
          <w:rFonts w:hint="eastAsia" w:ascii="宋体"/>
          <w:b/>
          <w:color w:val="auto"/>
          <w:sz w:val="24"/>
          <w:highlight w:val="none"/>
        </w:rPr>
      </w:pPr>
    </w:p>
    <w:p w14:paraId="153A4F81">
      <w:pPr>
        <w:spacing w:line="360" w:lineRule="exact"/>
        <w:ind w:firstLine="240" w:firstLineChars="100"/>
        <w:rPr>
          <w:rFonts w:hint="eastAsia" w:ascii="宋体"/>
          <w:color w:val="auto"/>
          <w:sz w:val="24"/>
          <w:highlight w:val="none"/>
        </w:rPr>
      </w:pPr>
      <w:r>
        <w:rPr>
          <w:rFonts w:hint="eastAsia" w:ascii="宋体"/>
          <w:color w:val="auto"/>
          <w:sz w:val="24"/>
          <w:highlight w:val="none"/>
        </w:rPr>
        <w:t>（注：开标一览表必须编入投标文件，唱标时，以投标文件中的开标一览表进行唱标）</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6952"/>
      </w:tblGrid>
      <w:tr w14:paraId="7925A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50" w:hRule="exact"/>
        </w:trPr>
        <w:tc>
          <w:tcPr>
            <w:tcW w:w="1803" w:type="dxa"/>
            <w:tcBorders>
              <w:top w:val="single" w:color="auto" w:sz="12" w:space="0"/>
              <w:bottom w:val="single" w:color="auto" w:sz="12" w:space="0"/>
              <w:right w:val="single" w:color="auto" w:sz="12" w:space="0"/>
            </w:tcBorders>
            <w:noWrap w:val="0"/>
            <w:vAlign w:val="center"/>
          </w:tcPr>
          <w:p w14:paraId="6AF50380">
            <w:pPr>
              <w:spacing w:line="700" w:lineRule="exact"/>
              <w:jc w:val="center"/>
              <w:rPr>
                <w:rFonts w:hint="eastAsia" w:ascii="宋体"/>
                <w:color w:val="auto"/>
                <w:sz w:val="24"/>
                <w:highlight w:val="none"/>
              </w:rPr>
            </w:pPr>
            <w:r>
              <w:rPr>
                <w:rFonts w:hint="eastAsia" w:ascii="宋体"/>
                <w:color w:val="auto"/>
                <w:sz w:val="24"/>
                <w:highlight w:val="none"/>
              </w:rPr>
              <w:t>项目名称</w:t>
            </w:r>
          </w:p>
        </w:tc>
        <w:tc>
          <w:tcPr>
            <w:tcW w:w="6952" w:type="dxa"/>
            <w:tcBorders>
              <w:top w:val="single" w:color="auto" w:sz="12" w:space="0"/>
              <w:left w:val="single" w:color="auto" w:sz="12" w:space="0"/>
              <w:bottom w:val="single" w:color="auto" w:sz="12" w:space="0"/>
            </w:tcBorders>
            <w:noWrap w:val="0"/>
            <w:vAlign w:val="center"/>
          </w:tcPr>
          <w:p w14:paraId="1418D945">
            <w:pPr>
              <w:spacing w:line="700" w:lineRule="exact"/>
              <w:jc w:val="left"/>
              <w:rPr>
                <w:rFonts w:hint="eastAsia"/>
                <w:color w:val="auto"/>
                <w:sz w:val="24"/>
                <w:highlight w:val="none"/>
              </w:rPr>
            </w:pPr>
            <w:r>
              <w:rPr>
                <w:rFonts w:hint="eastAsia"/>
                <w:color w:val="auto"/>
                <w:sz w:val="24"/>
                <w:highlight w:val="none"/>
              </w:rPr>
              <w:t xml:space="preserve">         </w:t>
            </w:r>
          </w:p>
        </w:tc>
      </w:tr>
      <w:tr w14:paraId="0DFDE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22" w:hRule="exact"/>
        </w:trPr>
        <w:tc>
          <w:tcPr>
            <w:tcW w:w="1803" w:type="dxa"/>
            <w:tcBorders>
              <w:top w:val="single" w:color="auto" w:sz="12" w:space="0"/>
              <w:right w:val="single" w:color="auto" w:sz="12" w:space="0"/>
            </w:tcBorders>
            <w:noWrap w:val="0"/>
            <w:vAlign w:val="center"/>
          </w:tcPr>
          <w:p w14:paraId="110D1CEB">
            <w:pPr>
              <w:spacing w:line="700" w:lineRule="exact"/>
              <w:jc w:val="center"/>
              <w:rPr>
                <w:rFonts w:hint="eastAsia" w:ascii="宋体"/>
                <w:color w:val="auto"/>
                <w:sz w:val="24"/>
                <w:highlight w:val="none"/>
              </w:rPr>
            </w:pPr>
            <w:r>
              <w:rPr>
                <w:rFonts w:hint="eastAsia" w:ascii="宋体"/>
                <w:color w:val="auto"/>
                <w:sz w:val="24"/>
                <w:highlight w:val="none"/>
              </w:rPr>
              <w:t>项目编号</w:t>
            </w:r>
          </w:p>
        </w:tc>
        <w:tc>
          <w:tcPr>
            <w:tcW w:w="6952" w:type="dxa"/>
            <w:tcBorders>
              <w:top w:val="single" w:color="auto" w:sz="12" w:space="0"/>
              <w:left w:val="single" w:color="auto" w:sz="12" w:space="0"/>
            </w:tcBorders>
            <w:noWrap w:val="0"/>
            <w:vAlign w:val="center"/>
          </w:tcPr>
          <w:p w14:paraId="6FB9626A">
            <w:pPr>
              <w:spacing w:line="700" w:lineRule="exact"/>
              <w:rPr>
                <w:rFonts w:hint="eastAsia" w:ascii="宋体"/>
                <w:color w:val="auto"/>
                <w:sz w:val="24"/>
                <w:highlight w:val="none"/>
              </w:rPr>
            </w:pPr>
          </w:p>
        </w:tc>
      </w:tr>
      <w:tr w14:paraId="081A5B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18" w:hRule="exact"/>
        </w:trPr>
        <w:tc>
          <w:tcPr>
            <w:tcW w:w="1803" w:type="dxa"/>
            <w:tcBorders>
              <w:right w:val="single" w:color="auto" w:sz="12" w:space="0"/>
            </w:tcBorders>
            <w:noWrap w:val="0"/>
            <w:vAlign w:val="center"/>
          </w:tcPr>
          <w:p w14:paraId="1E9A6939">
            <w:pPr>
              <w:spacing w:line="700" w:lineRule="exact"/>
              <w:ind w:firstLine="120" w:firstLineChars="50"/>
              <w:rPr>
                <w:rFonts w:hint="eastAsia" w:ascii="宋体"/>
                <w:color w:val="auto"/>
                <w:sz w:val="24"/>
                <w:highlight w:val="none"/>
              </w:rPr>
            </w:pPr>
            <w:r>
              <w:rPr>
                <w:rFonts w:hint="eastAsia" w:ascii="宋体"/>
                <w:color w:val="auto"/>
                <w:sz w:val="24"/>
                <w:highlight w:val="none"/>
              </w:rPr>
              <w:t>投标人名称</w:t>
            </w:r>
          </w:p>
        </w:tc>
        <w:tc>
          <w:tcPr>
            <w:tcW w:w="6952" w:type="dxa"/>
            <w:tcBorders>
              <w:left w:val="single" w:color="auto" w:sz="12" w:space="0"/>
            </w:tcBorders>
            <w:noWrap w:val="0"/>
            <w:vAlign w:val="top"/>
          </w:tcPr>
          <w:p w14:paraId="0CC5B636">
            <w:pPr>
              <w:pStyle w:val="20"/>
              <w:spacing w:line="700" w:lineRule="exact"/>
              <w:ind w:left="86" w:leftChars="41"/>
              <w:rPr>
                <w:rFonts w:hint="eastAsia" w:ascii="宋体" w:eastAsia="宋体"/>
                <w:color w:val="auto"/>
                <w:sz w:val="24"/>
                <w:szCs w:val="24"/>
                <w:highlight w:val="none"/>
              </w:rPr>
            </w:pPr>
          </w:p>
        </w:tc>
      </w:tr>
      <w:tr w14:paraId="4CE3C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86" w:hRule="exact"/>
        </w:trPr>
        <w:tc>
          <w:tcPr>
            <w:tcW w:w="1803" w:type="dxa"/>
            <w:tcBorders>
              <w:right w:val="single" w:color="auto" w:sz="12" w:space="0"/>
            </w:tcBorders>
            <w:noWrap w:val="0"/>
            <w:vAlign w:val="center"/>
          </w:tcPr>
          <w:p w14:paraId="3E004506">
            <w:pPr>
              <w:spacing w:line="360" w:lineRule="auto"/>
              <w:jc w:val="center"/>
              <w:rPr>
                <w:rFonts w:ascii="宋体"/>
                <w:color w:val="auto"/>
                <w:sz w:val="24"/>
                <w:highlight w:val="none"/>
              </w:rPr>
            </w:pPr>
            <w:r>
              <w:rPr>
                <w:rFonts w:hint="eastAsia" w:ascii="宋体" w:hAnsi="宋体"/>
                <w:color w:val="auto"/>
                <w:sz w:val="24"/>
                <w:highlight w:val="none"/>
              </w:rPr>
              <w:t>投标报价\合同履行期限</w:t>
            </w:r>
          </w:p>
        </w:tc>
        <w:tc>
          <w:tcPr>
            <w:tcW w:w="6952" w:type="dxa"/>
            <w:tcBorders>
              <w:left w:val="single" w:color="auto" w:sz="12" w:space="0"/>
            </w:tcBorders>
            <w:noWrap w:val="0"/>
            <w:vAlign w:val="center"/>
          </w:tcPr>
          <w:p w14:paraId="7FAA16FB">
            <w:pPr>
              <w:pStyle w:val="131"/>
              <w:keepNext w:val="0"/>
              <w:keepLines w:val="0"/>
              <w:pageBreakBefore w:val="0"/>
              <w:widowControl w:val="0"/>
              <w:kinsoku/>
              <w:wordWrap/>
              <w:overflowPunct/>
              <w:topLinePunct w:val="0"/>
              <w:autoSpaceDE/>
              <w:autoSpaceDN/>
              <w:bidi w:val="0"/>
              <w:adjustRightInd/>
              <w:snapToGrid/>
              <w:spacing w:before="95" w:beforeLines="30" w:after="95" w:afterLines="30" w:line="720" w:lineRule="exact"/>
              <w:ind w:left="101"/>
              <w:jc w:val="left"/>
              <w:textAlignment w:val="auto"/>
              <w:rPr>
                <w:color w:val="auto"/>
                <w:sz w:val="24"/>
                <w:szCs w:val="24"/>
                <w:highlight w:val="none"/>
              </w:rPr>
            </w:pPr>
            <w:r>
              <w:rPr>
                <w:rFonts w:hint="eastAsia"/>
                <w:color w:val="auto"/>
                <w:spacing w:val="-2"/>
                <w:sz w:val="24"/>
                <w:szCs w:val="24"/>
                <w:highlight w:val="none"/>
                <w:lang w:val="en-US" w:eastAsia="zh-CN"/>
              </w:rPr>
              <w:t>年承租费</w:t>
            </w:r>
            <w:r>
              <w:rPr>
                <w:color w:val="auto"/>
                <w:spacing w:val="-2"/>
                <w:sz w:val="24"/>
                <w:szCs w:val="24"/>
                <w:highlight w:val="none"/>
              </w:rPr>
              <w:t>报价（大写</w:t>
            </w:r>
            <w:r>
              <w:rPr>
                <w:color w:val="auto"/>
                <w:sz w:val="24"/>
                <w:szCs w:val="24"/>
                <w:highlight w:val="none"/>
              </w:rPr>
              <w:t>）：</w:t>
            </w:r>
            <w:r>
              <w:rPr>
                <w:color w:val="auto"/>
                <w:sz w:val="24"/>
                <w:szCs w:val="24"/>
                <w:highlight w:val="none"/>
                <w:u w:val="single" w:color="auto"/>
              </w:rPr>
              <w:t xml:space="preserve">                   </w:t>
            </w:r>
            <w:r>
              <w:rPr>
                <w:color w:val="auto"/>
                <w:spacing w:val="-109"/>
                <w:sz w:val="24"/>
                <w:szCs w:val="24"/>
                <w:highlight w:val="none"/>
              </w:rPr>
              <w:t xml:space="preserve"> </w:t>
            </w:r>
          </w:p>
          <w:p w14:paraId="265D23AE">
            <w:pPr>
              <w:pStyle w:val="131"/>
              <w:keepNext w:val="0"/>
              <w:keepLines w:val="0"/>
              <w:pageBreakBefore w:val="0"/>
              <w:widowControl w:val="0"/>
              <w:kinsoku/>
              <w:wordWrap/>
              <w:overflowPunct/>
              <w:topLinePunct w:val="0"/>
              <w:autoSpaceDE/>
              <w:autoSpaceDN/>
              <w:bidi w:val="0"/>
              <w:adjustRightInd/>
              <w:snapToGrid/>
              <w:spacing w:before="95" w:beforeLines="30" w:after="95" w:afterLines="30" w:line="720" w:lineRule="exact"/>
              <w:ind w:firstLine="1416" w:firstLineChars="600"/>
              <w:jc w:val="left"/>
              <w:textAlignment w:val="auto"/>
              <w:rPr>
                <w:color w:val="auto"/>
                <w:sz w:val="24"/>
                <w:szCs w:val="24"/>
                <w:highlight w:val="none"/>
              </w:rPr>
            </w:pPr>
            <w:r>
              <w:rPr>
                <w:color w:val="auto"/>
                <w:spacing w:val="-2"/>
                <w:sz w:val="24"/>
                <w:szCs w:val="24"/>
                <w:highlight w:val="none"/>
              </w:rPr>
              <w:t>（</w:t>
            </w:r>
            <w:r>
              <w:rPr>
                <w:rFonts w:ascii="宋体" w:hAnsi="宋体" w:eastAsia="宋体" w:cs="宋体"/>
                <w:color w:val="auto"/>
                <w:spacing w:val="-2"/>
                <w:sz w:val="24"/>
                <w:szCs w:val="24"/>
                <w:highlight w:val="none"/>
              </w:rPr>
              <w:t xml:space="preserve">小写)：     </w:t>
            </w:r>
            <w:r>
              <w:rPr>
                <w:color w:val="auto"/>
                <w:spacing w:val="-8"/>
                <w:sz w:val="24"/>
                <w:szCs w:val="24"/>
                <w:highlight w:val="none"/>
                <w:u w:val="single" w:color="auto"/>
              </w:rPr>
              <w:t xml:space="preserve">                </w:t>
            </w:r>
            <w:r>
              <w:rPr>
                <w:color w:val="auto"/>
                <w:spacing w:val="-108"/>
                <w:sz w:val="24"/>
                <w:szCs w:val="24"/>
                <w:highlight w:val="none"/>
              </w:rPr>
              <w:t xml:space="preserve"> </w:t>
            </w:r>
          </w:p>
          <w:p w14:paraId="2D6B69BE">
            <w:pPr>
              <w:keepNext w:val="0"/>
              <w:keepLines w:val="0"/>
              <w:pageBreakBefore w:val="0"/>
              <w:widowControl w:val="0"/>
              <w:kinsoku/>
              <w:wordWrap/>
              <w:overflowPunct/>
              <w:topLinePunct w:val="0"/>
              <w:autoSpaceDE/>
              <w:autoSpaceDN/>
              <w:bidi w:val="0"/>
              <w:adjustRightInd/>
              <w:snapToGrid/>
              <w:spacing w:before="95" w:beforeLines="30" w:after="95" w:afterLines="30" w:line="720" w:lineRule="exact"/>
              <w:jc w:val="left"/>
              <w:textAlignment w:val="auto"/>
              <w:rPr>
                <w:rFonts w:hint="eastAsia" w:eastAsia="宋体"/>
                <w:b/>
                <w:bCs/>
                <w:color w:val="auto"/>
                <w:spacing w:val="-2"/>
                <w:sz w:val="24"/>
                <w:szCs w:val="24"/>
                <w:highlight w:val="none"/>
                <w:lang w:val="en-US" w:eastAsia="zh-CN"/>
              </w:rPr>
            </w:pPr>
            <w:r>
              <w:rPr>
                <w:rFonts w:hint="eastAsia"/>
                <w:b/>
                <w:bCs/>
                <w:color w:val="auto"/>
                <w:spacing w:val="-2"/>
                <w:sz w:val="24"/>
                <w:szCs w:val="24"/>
                <w:highlight w:val="none"/>
                <w:lang w:val="en-US" w:eastAsia="zh-CN"/>
              </w:rPr>
              <w:t>注：</w:t>
            </w:r>
            <w:r>
              <w:rPr>
                <w:rFonts w:hint="eastAsia"/>
                <w:b/>
                <w:bCs/>
                <w:color w:val="auto"/>
                <w:highlight w:val="none"/>
                <w:lang w:val="en-US" w:eastAsia="zh-CN"/>
              </w:rPr>
              <w:t>上述报价均</w:t>
            </w:r>
            <w:r>
              <w:rPr>
                <w:rFonts w:hint="eastAsia" w:eastAsia="宋体"/>
                <w:b/>
                <w:bCs/>
                <w:color w:val="auto"/>
                <w:highlight w:val="none"/>
              </w:rPr>
              <w:t>保留两位小数，第三位四舍五入</w:t>
            </w:r>
            <w:r>
              <w:rPr>
                <w:rFonts w:hint="eastAsia"/>
                <w:b/>
                <w:bCs/>
                <w:color w:val="auto"/>
                <w:highlight w:val="none"/>
                <w:lang w:eastAsia="zh-CN"/>
              </w:rPr>
              <w:t>。</w:t>
            </w:r>
          </w:p>
          <w:p w14:paraId="30808745">
            <w:pPr>
              <w:keepNext w:val="0"/>
              <w:keepLines w:val="0"/>
              <w:pageBreakBefore w:val="0"/>
              <w:widowControl w:val="0"/>
              <w:kinsoku/>
              <w:wordWrap/>
              <w:overflowPunct/>
              <w:topLinePunct w:val="0"/>
              <w:autoSpaceDE/>
              <w:autoSpaceDN/>
              <w:bidi w:val="0"/>
              <w:adjustRightInd/>
              <w:snapToGrid/>
              <w:spacing w:before="95" w:beforeLines="30" w:after="95" w:afterLines="30" w:line="720" w:lineRule="exact"/>
              <w:jc w:val="left"/>
              <w:textAlignment w:val="auto"/>
              <w:rPr>
                <w:rFonts w:hint="default" w:eastAsia="宋体"/>
                <w:color w:val="auto"/>
                <w:sz w:val="24"/>
                <w:highlight w:val="none"/>
                <w:lang w:val="en-US" w:eastAsia="zh-CN"/>
              </w:rPr>
            </w:pPr>
            <w:r>
              <w:rPr>
                <w:color w:val="auto"/>
                <w:spacing w:val="-2"/>
                <w:sz w:val="24"/>
                <w:szCs w:val="24"/>
                <w:highlight w:val="none"/>
              </w:rPr>
              <w:t>服务期：</w:t>
            </w:r>
            <w:r>
              <w:rPr>
                <w:color w:val="auto"/>
                <w:spacing w:val="-58"/>
                <w:sz w:val="24"/>
                <w:szCs w:val="24"/>
                <w:highlight w:val="none"/>
              </w:rPr>
              <w:t xml:space="preserve"> </w:t>
            </w:r>
            <w:r>
              <w:rPr>
                <w:rFonts w:hint="eastAsia"/>
                <w:color w:val="auto"/>
                <w:spacing w:val="-2"/>
                <w:sz w:val="24"/>
                <w:szCs w:val="24"/>
                <w:highlight w:val="none"/>
                <w:lang w:val="en-US" w:eastAsia="zh-CN"/>
              </w:rPr>
              <w:t>响应招标文件要求。</w:t>
            </w:r>
          </w:p>
        </w:tc>
      </w:tr>
    </w:tbl>
    <w:p w14:paraId="41C2C6DE">
      <w:pPr>
        <w:snapToGrid w:val="0"/>
        <w:spacing w:line="460" w:lineRule="exact"/>
        <w:ind w:left="2940" w:leftChars="1400" w:firstLine="723" w:firstLineChars="300"/>
        <w:rPr>
          <w:rFonts w:hint="eastAsia" w:ascii="宋体"/>
          <w:b/>
          <w:color w:val="auto"/>
          <w:sz w:val="24"/>
          <w:highlight w:val="none"/>
        </w:rPr>
      </w:pPr>
    </w:p>
    <w:p w14:paraId="78F25BDE">
      <w:pPr>
        <w:rPr>
          <w:rFonts w:hint="eastAsia" w:ascii="宋体"/>
          <w:color w:val="auto"/>
          <w:sz w:val="24"/>
          <w:highlight w:val="none"/>
        </w:rPr>
      </w:pPr>
      <w:r>
        <w:rPr>
          <w:rFonts w:hint="eastAsia" w:ascii="宋体"/>
          <w:color w:val="auto"/>
          <w:sz w:val="24"/>
          <w:highlight w:val="none"/>
        </w:rPr>
        <w:t>法定代表人（签章）：         投标人（盖单位章）：</w:t>
      </w:r>
    </w:p>
    <w:p w14:paraId="2AE18DAB">
      <w:pPr>
        <w:snapToGrid w:val="0"/>
        <w:spacing w:before="312" w:beforeLines="100" w:after="312" w:afterLines="100" w:line="360" w:lineRule="auto"/>
        <w:jc w:val="center"/>
        <w:rPr>
          <w:rFonts w:cs="Arial"/>
          <w:b/>
          <w:bCs/>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宋体"/>
          <w:color w:val="auto"/>
          <w:sz w:val="24"/>
          <w:highlight w:val="none"/>
        </w:rPr>
        <w:t xml:space="preserve">                                      日  期：</w:t>
      </w:r>
      <w:r>
        <w:rPr>
          <w:rFonts w:hint="eastAsia" w:ascii="宋体" w:hAnsi="宋体"/>
          <w:color w:val="auto"/>
          <w:sz w:val="24"/>
          <w:highlight w:val="none"/>
          <w:u w:val="single"/>
        </w:rPr>
        <w:t xml:space="preserve">      </w:t>
      </w:r>
      <w:r>
        <w:rPr>
          <w:rFonts w:hint="eastAsia" w:ascii="宋体"/>
          <w:color w:val="auto"/>
          <w:sz w:val="24"/>
          <w:highlight w:val="none"/>
        </w:rPr>
        <w:t>年</w:t>
      </w:r>
      <w:r>
        <w:rPr>
          <w:rFonts w:hint="eastAsia" w:ascii="宋体" w:hAnsi="宋体"/>
          <w:color w:val="auto"/>
          <w:sz w:val="24"/>
          <w:highlight w:val="none"/>
          <w:u w:val="single"/>
        </w:rPr>
        <w:t xml:space="preserve">   </w:t>
      </w:r>
      <w:r>
        <w:rPr>
          <w:rFonts w:hint="eastAsia" w:ascii="宋体"/>
          <w:color w:val="auto"/>
          <w:sz w:val="24"/>
          <w:highlight w:val="none"/>
        </w:rPr>
        <w:t>月</w:t>
      </w:r>
      <w:r>
        <w:rPr>
          <w:rFonts w:hint="eastAsia" w:ascii="宋体" w:hAnsi="宋体"/>
          <w:color w:val="auto"/>
          <w:sz w:val="24"/>
          <w:highlight w:val="none"/>
          <w:u w:val="single"/>
        </w:rPr>
        <w:t xml:space="preserve">   </w:t>
      </w:r>
      <w:r>
        <w:rPr>
          <w:rFonts w:hint="eastAsia" w:ascii="宋体"/>
          <w:color w:val="auto"/>
          <w:sz w:val="24"/>
          <w:highlight w:val="none"/>
        </w:rPr>
        <w:t xml:space="preserve">日 </w:t>
      </w:r>
    </w:p>
    <w:p w14:paraId="5B3844C2">
      <w:pPr>
        <w:spacing w:line="360" w:lineRule="exact"/>
        <w:ind w:firstLine="443" w:firstLineChars="147"/>
        <w:rPr>
          <w:rFonts w:hint="eastAsia" w:ascii="宋体" w:hAnsi="宋体"/>
          <w:b/>
          <w:color w:val="auto"/>
          <w:sz w:val="30"/>
          <w:szCs w:val="30"/>
          <w:highlight w:val="none"/>
        </w:rPr>
      </w:pPr>
      <w:r>
        <w:rPr>
          <w:rFonts w:hint="eastAsia" w:ascii="宋体" w:hAnsi="宋体"/>
          <w:b/>
          <w:color w:val="auto"/>
          <w:sz w:val="30"/>
          <w:szCs w:val="30"/>
          <w:highlight w:val="none"/>
        </w:rPr>
        <w:t>附件2</w:t>
      </w:r>
    </w:p>
    <w:p w14:paraId="2F3BBEB5">
      <w:pPr>
        <w:spacing w:line="360" w:lineRule="exact"/>
        <w:ind w:firstLine="531" w:firstLineChars="147"/>
        <w:jc w:val="center"/>
        <w:rPr>
          <w:rFonts w:hint="eastAsia" w:ascii="宋体"/>
          <w:b/>
          <w:color w:val="auto"/>
          <w:sz w:val="36"/>
          <w:szCs w:val="36"/>
          <w:highlight w:val="none"/>
        </w:rPr>
      </w:pPr>
      <w:r>
        <w:rPr>
          <w:rFonts w:hint="eastAsia" w:ascii="宋体"/>
          <w:b/>
          <w:color w:val="auto"/>
          <w:sz w:val="36"/>
          <w:szCs w:val="36"/>
          <w:highlight w:val="none"/>
        </w:rPr>
        <w:t>投  标  函</w:t>
      </w:r>
    </w:p>
    <w:p w14:paraId="6A1F4A69">
      <w:pPr>
        <w:spacing w:line="440" w:lineRule="exact"/>
        <w:rPr>
          <w:rFonts w:hint="eastAsia" w:ascii="宋体"/>
          <w:color w:val="auto"/>
          <w:sz w:val="24"/>
          <w:highlight w:val="none"/>
        </w:rPr>
      </w:pPr>
    </w:p>
    <w:p w14:paraId="633D8441">
      <w:pPr>
        <w:spacing w:line="500" w:lineRule="exact"/>
        <w:jc w:val="left"/>
        <w:rPr>
          <w:rFonts w:hint="eastAsia"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 xml:space="preserve">       (招标人)       </w:t>
      </w:r>
      <w:r>
        <w:rPr>
          <w:rFonts w:hint="eastAsia" w:ascii="宋体" w:hAnsi="宋体" w:cs="宋体"/>
          <w:color w:val="auto"/>
          <w:sz w:val="24"/>
          <w:highlight w:val="none"/>
        </w:rPr>
        <w:t xml:space="preserve"> </w:t>
      </w:r>
    </w:p>
    <w:p w14:paraId="19C9845A">
      <w:pPr>
        <w:spacing w:line="5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1、我们决定参加贵单位组织的“</w:t>
      </w:r>
      <w:r>
        <w:rPr>
          <w:rFonts w:hint="eastAsia" w:ascii="宋体" w:hAnsi="宋体" w:cs="宋体"/>
          <w:color w:val="auto"/>
          <w:sz w:val="24"/>
          <w:highlight w:val="none"/>
          <w:u w:val="single"/>
        </w:rPr>
        <w:t xml:space="preserve"> （项目名称）    </w:t>
      </w:r>
      <w:r>
        <w:rPr>
          <w:rFonts w:hint="eastAsia" w:ascii="宋体" w:hAnsi="宋体" w:cs="宋体"/>
          <w:color w:val="auto"/>
          <w:sz w:val="24"/>
          <w:highlight w:val="none"/>
        </w:rPr>
        <w:t>（编号：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）”的采购。我方授权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(姓名和职务)代表我方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（投标人的名称）全权处理本项目投标的有关事宜。</w:t>
      </w:r>
    </w:p>
    <w:p w14:paraId="7E7EC9A5">
      <w:pPr>
        <w:keepNext w:val="0"/>
        <w:keepLines w:val="0"/>
        <w:pageBreakBefore w:val="0"/>
        <w:widowControl w:val="0"/>
        <w:kinsoku/>
        <w:wordWrap/>
        <w:overflowPunct/>
        <w:topLinePunct w:val="0"/>
        <w:autoSpaceDE/>
        <w:autoSpaceDN/>
        <w:bidi w:val="0"/>
        <w:adjustRightInd/>
        <w:snapToGrid/>
        <w:spacing w:line="560" w:lineRule="exact"/>
        <w:textAlignment w:val="auto"/>
        <w:rPr>
          <w:rFonts w:ascii="宋体" w:hAnsi="宋体" w:eastAsia="宋体" w:cs="宋体"/>
          <w:color w:val="auto"/>
          <w:spacing w:val="-2"/>
          <w:sz w:val="24"/>
          <w:szCs w:val="24"/>
          <w:highlight w:val="none"/>
        </w:rPr>
      </w:pPr>
      <w:r>
        <w:rPr>
          <w:rFonts w:hint="eastAsia" w:ascii="宋体" w:hAnsi="宋体" w:cs="宋体"/>
          <w:color w:val="auto"/>
          <w:sz w:val="24"/>
          <w:highlight w:val="none"/>
        </w:rPr>
        <w:t>2、我方愿意按照招标文件规定的各项要求，向招标人提供“</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（项目编号）”项目的服务，</w:t>
      </w:r>
      <w:r>
        <w:rPr>
          <w:rFonts w:hint="eastAsia" w:ascii="宋体" w:hAnsi="宋体" w:cs="宋体"/>
          <w:color w:val="auto"/>
          <w:spacing w:val="-4"/>
          <w:sz w:val="24"/>
          <w:szCs w:val="24"/>
          <w:highlight w:val="none"/>
          <w:lang w:val="en-US" w:eastAsia="zh-CN"/>
        </w:rPr>
        <w:t>年租承租费</w:t>
      </w:r>
      <w:r>
        <w:rPr>
          <w:rFonts w:ascii="宋体" w:hAnsi="宋体" w:eastAsia="宋体" w:cs="宋体"/>
          <w:color w:val="auto"/>
          <w:spacing w:val="-4"/>
          <w:sz w:val="24"/>
          <w:szCs w:val="24"/>
          <w:highlight w:val="none"/>
        </w:rPr>
        <w:t>为</w:t>
      </w:r>
      <w:r>
        <w:rPr>
          <w:rFonts w:ascii="宋体" w:hAnsi="宋体" w:eastAsia="宋体" w:cs="宋体"/>
          <w:color w:val="auto"/>
          <w:spacing w:val="-4"/>
          <w:sz w:val="24"/>
          <w:szCs w:val="24"/>
          <w:highlight w:val="none"/>
          <w:u w:val="single" w:color="auto"/>
        </w:rPr>
        <w:t>（大写</w:t>
      </w:r>
      <w:r>
        <w:rPr>
          <w:rFonts w:ascii="宋体" w:hAnsi="宋体" w:eastAsia="宋体" w:cs="宋体"/>
          <w:color w:val="auto"/>
          <w:spacing w:val="-55"/>
          <w:sz w:val="24"/>
          <w:szCs w:val="24"/>
          <w:highlight w:val="none"/>
          <w:u w:val="single" w:color="auto"/>
        </w:rPr>
        <w:t>）</w:t>
      </w:r>
      <w:r>
        <w:rPr>
          <w:rFonts w:ascii="宋体" w:hAnsi="宋体" w:eastAsia="宋体" w:cs="宋体"/>
          <w:color w:val="auto"/>
          <w:spacing w:val="7"/>
          <w:sz w:val="24"/>
          <w:szCs w:val="24"/>
          <w:highlight w:val="none"/>
          <w:u w:val="single" w:color="auto"/>
        </w:rPr>
        <w:t xml:space="preserve">          </w:t>
      </w:r>
      <w:r>
        <w:rPr>
          <w:rFonts w:hint="eastAsia" w:ascii="宋体" w:hAnsi="宋体" w:cs="宋体"/>
          <w:color w:val="auto"/>
          <w:spacing w:val="7"/>
          <w:sz w:val="24"/>
          <w:szCs w:val="24"/>
          <w:highlight w:val="none"/>
          <w:u w:val="single" w:color="auto"/>
          <w:lang w:val="en-US" w:eastAsia="zh-CN"/>
        </w:rPr>
        <w:t xml:space="preserve">      </w:t>
      </w:r>
      <w:r>
        <w:rPr>
          <w:rFonts w:ascii="宋体" w:hAnsi="宋体" w:eastAsia="宋体" w:cs="宋体"/>
          <w:color w:val="auto"/>
          <w:spacing w:val="7"/>
          <w:sz w:val="24"/>
          <w:szCs w:val="24"/>
          <w:highlight w:val="none"/>
          <w:u w:val="single" w:color="auto"/>
        </w:rPr>
        <w:t xml:space="preserve">  </w:t>
      </w:r>
      <w:r>
        <w:rPr>
          <w:rFonts w:hint="eastAsia" w:ascii="宋体" w:hAnsi="宋体" w:cs="宋体"/>
          <w:color w:val="auto"/>
          <w:spacing w:val="7"/>
          <w:sz w:val="24"/>
          <w:szCs w:val="24"/>
          <w:highlight w:val="none"/>
          <w:u w:val="single" w:color="auto"/>
          <w:lang w:eastAsia="zh-CN"/>
        </w:rPr>
        <w:t>（</w:t>
      </w:r>
      <w:r>
        <w:rPr>
          <w:rFonts w:hint="eastAsia" w:ascii="宋体" w:hAnsi="宋体" w:eastAsia="宋体" w:cs="宋体"/>
          <w:color w:val="auto"/>
          <w:spacing w:val="-4"/>
          <w:sz w:val="24"/>
          <w:szCs w:val="24"/>
          <w:highlight w:val="none"/>
          <w:u w:val="single" w:color="auto"/>
          <w:lang w:val="en-US" w:eastAsia="zh-CN"/>
        </w:rPr>
        <w:t>小</w:t>
      </w:r>
      <w:r>
        <w:rPr>
          <w:rFonts w:ascii="宋体" w:hAnsi="宋体" w:eastAsia="宋体" w:cs="宋体"/>
          <w:color w:val="auto"/>
          <w:spacing w:val="-2"/>
          <w:sz w:val="24"/>
          <w:szCs w:val="24"/>
          <w:highlight w:val="none"/>
          <w:u w:val="single" w:color="auto"/>
        </w:rPr>
        <w:t xml:space="preserve">写：   </w:t>
      </w:r>
      <w:r>
        <w:rPr>
          <w:rFonts w:hint="eastAsia" w:ascii="宋体" w:hAnsi="宋体" w:cs="宋体"/>
          <w:color w:val="auto"/>
          <w:spacing w:val="-2"/>
          <w:sz w:val="24"/>
          <w:szCs w:val="24"/>
          <w:highlight w:val="none"/>
          <w:u w:val="single" w:color="auto"/>
          <w:lang w:val="en-US" w:eastAsia="zh-CN"/>
        </w:rPr>
        <w:t xml:space="preserve">        </w:t>
      </w:r>
      <w:r>
        <w:rPr>
          <w:rFonts w:ascii="宋体" w:hAnsi="宋体" w:eastAsia="宋体" w:cs="宋体"/>
          <w:color w:val="auto"/>
          <w:spacing w:val="-2"/>
          <w:sz w:val="24"/>
          <w:szCs w:val="24"/>
          <w:highlight w:val="none"/>
          <w:u w:val="single" w:color="auto"/>
        </w:rPr>
        <w:t>元</w:t>
      </w:r>
      <w:r>
        <w:rPr>
          <w:rFonts w:ascii="宋体" w:hAnsi="宋体" w:eastAsia="宋体" w:cs="宋体"/>
          <w:color w:val="auto"/>
          <w:spacing w:val="9"/>
          <w:sz w:val="24"/>
          <w:szCs w:val="24"/>
          <w:highlight w:val="none"/>
          <w:u w:val="single" w:color="auto"/>
        </w:rPr>
        <w:t>）</w:t>
      </w:r>
      <w:r>
        <w:rPr>
          <w:rFonts w:hint="eastAsia" w:ascii="宋体" w:hAnsi="宋体" w:cs="宋体"/>
          <w:color w:val="auto"/>
          <w:spacing w:val="9"/>
          <w:sz w:val="24"/>
          <w:szCs w:val="24"/>
          <w:highlight w:val="none"/>
          <w:u w:val="none" w:color="auto"/>
          <w:lang w:eastAsia="zh-CN"/>
        </w:rPr>
        <w:t>，</w:t>
      </w:r>
      <w:r>
        <w:rPr>
          <w:rFonts w:ascii="宋体" w:hAnsi="宋体" w:eastAsia="宋体" w:cs="宋体"/>
          <w:color w:val="auto"/>
          <w:spacing w:val="-2"/>
          <w:sz w:val="24"/>
          <w:szCs w:val="24"/>
          <w:highlight w:val="none"/>
        </w:rPr>
        <w:t>服务期：</w:t>
      </w:r>
      <w:r>
        <w:rPr>
          <w:rFonts w:hint="eastAsia" w:ascii="宋体" w:hAnsi="宋体" w:cs="宋体"/>
          <w:color w:val="auto"/>
          <w:spacing w:val="-2"/>
          <w:sz w:val="24"/>
          <w:szCs w:val="24"/>
          <w:highlight w:val="none"/>
          <w:u w:val="single" w:color="auto"/>
          <w:lang w:val="en-US" w:eastAsia="zh-CN"/>
        </w:rPr>
        <w:t>响应招标文件要求</w:t>
      </w:r>
      <w:r>
        <w:rPr>
          <w:rFonts w:ascii="宋体" w:hAnsi="宋体" w:eastAsia="宋体" w:cs="宋体"/>
          <w:color w:val="auto"/>
          <w:spacing w:val="-2"/>
          <w:sz w:val="24"/>
          <w:szCs w:val="24"/>
          <w:highlight w:val="none"/>
        </w:rPr>
        <w:t>。</w:t>
      </w:r>
    </w:p>
    <w:p w14:paraId="50E4D188">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3、一旦我方成为合同签字人，我方将严格履行合同规定的责任和义务。</w:t>
      </w:r>
    </w:p>
    <w:p w14:paraId="3BBDA8AC">
      <w:pPr>
        <w:spacing w:line="5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4、若我方中标，愿意为本项目提交的纸质投标文件</w:t>
      </w:r>
      <w:r>
        <w:rPr>
          <w:rFonts w:hint="eastAsia" w:ascii="宋体" w:hAnsi="宋体" w:cs="宋体"/>
          <w:color w:val="auto"/>
          <w:sz w:val="24"/>
          <w:highlight w:val="none"/>
          <w:lang w:val="en-US" w:eastAsia="zh-CN"/>
        </w:rPr>
        <w:t>一</w:t>
      </w:r>
      <w:r>
        <w:rPr>
          <w:rFonts w:hint="eastAsia" w:ascii="宋体" w:hAnsi="宋体" w:cs="宋体"/>
          <w:color w:val="auto"/>
          <w:sz w:val="24"/>
          <w:highlight w:val="none"/>
        </w:rPr>
        <w:t>份。</w:t>
      </w:r>
    </w:p>
    <w:p w14:paraId="78A1FF82">
      <w:pPr>
        <w:spacing w:line="5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5、我方愿意提供可能另外要求的、与采购投标有关的文件资料，并保证我方已提供和将要提供的文件是真实的、准确的。</w:t>
      </w:r>
    </w:p>
    <w:p w14:paraId="403CEBF0">
      <w:pPr>
        <w:pStyle w:val="12"/>
        <w:spacing w:after="0" w:line="500" w:lineRule="exact"/>
        <w:ind w:left="0" w:leftChars="0" w:firstLine="480"/>
        <w:jc w:val="left"/>
        <w:rPr>
          <w:rFonts w:hint="eastAsia" w:ascii="宋体" w:hAnsi="宋体" w:cs="宋体"/>
          <w:color w:val="auto"/>
          <w:sz w:val="24"/>
          <w:highlight w:val="none"/>
        </w:rPr>
      </w:pPr>
      <w:r>
        <w:rPr>
          <w:rFonts w:hint="eastAsia" w:ascii="宋体" w:hAnsi="宋体" w:cs="宋体"/>
          <w:color w:val="auto"/>
          <w:sz w:val="24"/>
          <w:highlight w:val="none"/>
        </w:rPr>
        <w:t>6、投标有效期为</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日历天（从投标截止之日算起）。</w:t>
      </w:r>
    </w:p>
    <w:p w14:paraId="70425351">
      <w:pPr>
        <w:spacing w:line="50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 xml:space="preserve">7、我单位提供如下通讯地址：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电子邮箱（地址），确认本项目相关法律文书均通过提供的以上地址送达，相关文书只要发送至以上电子邮箱（地址）即视为送达，投标人愿意承担一切法律后果。</w:t>
      </w:r>
    </w:p>
    <w:p w14:paraId="48753539">
      <w:pPr>
        <w:spacing w:line="500" w:lineRule="exact"/>
        <w:jc w:val="left"/>
        <w:rPr>
          <w:rFonts w:hint="eastAsia" w:ascii="宋体" w:hAnsi="宋体" w:cs="宋体"/>
          <w:color w:val="auto"/>
          <w:sz w:val="24"/>
          <w:highlight w:val="none"/>
        </w:rPr>
      </w:pPr>
      <w:r>
        <w:rPr>
          <w:rFonts w:hint="eastAsia" w:ascii="宋体" w:hAnsi="宋体" w:cs="宋体"/>
          <w:color w:val="auto"/>
          <w:sz w:val="24"/>
          <w:highlight w:val="none"/>
        </w:rPr>
        <w:t> </w:t>
      </w:r>
    </w:p>
    <w:p w14:paraId="26C6579F">
      <w:pPr>
        <w:spacing w:line="500" w:lineRule="exact"/>
        <w:jc w:val="left"/>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68CE5885">
      <w:pPr>
        <w:spacing w:line="500" w:lineRule="exact"/>
        <w:jc w:val="left"/>
        <w:rPr>
          <w:rFonts w:hint="eastAsia" w:ascii="宋体" w:hAnsi="宋体" w:cs="宋体"/>
          <w:color w:val="auto"/>
          <w:sz w:val="24"/>
          <w:highlight w:val="none"/>
        </w:rPr>
      </w:pPr>
      <w:r>
        <w:rPr>
          <w:rFonts w:hint="eastAsia" w:ascii="宋体" w:hAnsi="宋体" w:cs="宋体"/>
          <w:color w:val="auto"/>
          <w:sz w:val="24"/>
          <w:highlight w:val="none"/>
        </w:rPr>
        <w:t>投标人法定代表人：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（签章）</w:t>
      </w:r>
    </w:p>
    <w:p w14:paraId="7192EFD0">
      <w:pPr>
        <w:spacing w:line="500" w:lineRule="exact"/>
        <w:ind w:firstLine="3360" w:firstLineChars="1400"/>
        <w:jc w:val="left"/>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p>
    <w:p w14:paraId="46B2F8F4">
      <w:pPr>
        <w:spacing w:line="500" w:lineRule="exact"/>
        <w:ind w:firstLine="3360" w:firstLineChars="1400"/>
        <w:jc w:val="left"/>
        <w:rPr>
          <w:rFonts w:hint="eastAsia" w:ascii="宋体" w:hAnsi="宋体" w:cs="宋体"/>
          <w:color w:val="auto"/>
          <w:sz w:val="24"/>
          <w:highlight w:val="none"/>
        </w:rPr>
      </w:pPr>
      <w:r>
        <w:rPr>
          <w:rFonts w:hint="eastAsia" w:ascii="宋体" w:hAnsi="宋体" w:cs="宋体"/>
          <w:color w:val="auto"/>
          <w:sz w:val="24"/>
          <w:highlight w:val="none"/>
        </w:rPr>
        <w:t>通讯地址：</w:t>
      </w:r>
      <w:r>
        <w:rPr>
          <w:rFonts w:hint="eastAsia" w:ascii="宋体" w:hAnsi="宋体" w:cs="宋体"/>
          <w:color w:val="auto"/>
          <w:sz w:val="24"/>
          <w:highlight w:val="none"/>
          <w:u w:val="single"/>
        </w:rPr>
        <w:t xml:space="preserve">                 </w:t>
      </w:r>
    </w:p>
    <w:p w14:paraId="2CD18C48">
      <w:pPr>
        <w:spacing w:line="500" w:lineRule="exact"/>
        <w:ind w:firstLine="3240" w:firstLineChars="1350"/>
        <w:jc w:val="left"/>
        <w:rPr>
          <w:rFonts w:hint="eastAsia" w:ascii="宋体" w:hAnsi="宋体" w:cs="宋体"/>
          <w:color w:val="auto"/>
          <w:sz w:val="24"/>
          <w:highlight w:val="none"/>
        </w:rPr>
      </w:pPr>
      <w:r>
        <w:rPr>
          <w:rFonts w:hint="eastAsia" w:ascii="宋体" w:hAnsi="宋体" w:cs="宋体"/>
          <w:color w:val="auto"/>
          <w:sz w:val="24"/>
          <w:highlight w:val="none"/>
        </w:rPr>
        <w:t>电    话：</w:t>
      </w:r>
      <w:r>
        <w:rPr>
          <w:rFonts w:hint="eastAsia" w:ascii="宋体" w:hAnsi="宋体" w:cs="宋体"/>
          <w:color w:val="auto"/>
          <w:sz w:val="24"/>
          <w:highlight w:val="none"/>
          <w:u w:val="single"/>
        </w:rPr>
        <w:t xml:space="preserve">                 </w:t>
      </w:r>
    </w:p>
    <w:p w14:paraId="6F4B145D">
      <w:pPr>
        <w:spacing w:line="500" w:lineRule="exact"/>
        <w:ind w:right="-178" w:rightChars="-85" w:firstLine="3240" w:firstLineChars="1350"/>
        <w:jc w:val="left"/>
        <w:rPr>
          <w:rFonts w:hint="eastAsia" w:ascii="宋体"/>
          <w:b/>
          <w:color w:val="auto"/>
          <w:sz w:val="28"/>
          <w:szCs w:val="28"/>
          <w:highlight w:val="none"/>
        </w:rPr>
      </w:pPr>
      <w:r>
        <w:rPr>
          <w:rFonts w:hint="eastAsia" w:ascii="宋体" w:hAnsi="宋体" w:cs="宋体"/>
          <w:color w:val="auto"/>
          <w:sz w:val="24"/>
          <w:highlight w:val="none"/>
        </w:rPr>
        <w:t>传    真：</w:t>
      </w:r>
      <w:r>
        <w:rPr>
          <w:rFonts w:hint="eastAsia" w:ascii="宋体" w:hAnsi="宋体" w:cs="宋体"/>
          <w:color w:val="auto"/>
          <w:sz w:val="24"/>
          <w:highlight w:val="none"/>
          <w:u w:val="single"/>
        </w:rPr>
        <w:t xml:space="preserve">  </w:t>
      </w:r>
      <w:r>
        <w:rPr>
          <w:rFonts w:hint="eastAsia" w:ascii="宋体"/>
          <w:color w:val="auto"/>
          <w:sz w:val="24"/>
          <w:highlight w:val="none"/>
          <w:u w:val="single"/>
        </w:rPr>
        <w:t xml:space="preserve">               </w:t>
      </w:r>
    </w:p>
    <w:p w14:paraId="1E765FD3">
      <w:pPr>
        <w:rPr>
          <w:rFonts w:hint="eastAsia" w:ascii="宋体" w:hAnsi="宋体"/>
          <w:b/>
          <w:color w:val="auto"/>
          <w:sz w:val="30"/>
          <w:szCs w:val="30"/>
          <w:highlight w:val="none"/>
        </w:rPr>
      </w:pPr>
    </w:p>
    <w:p w14:paraId="5E21E2B9">
      <w:pPr>
        <w:rPr>
          <w:rFonts w:hint="eastAsia"/>
          <w:color w:val="auto"/>
          <w:highlight w:val="none"/>
        </w:rPr>
      </w:pPr>
      <w:r>
        <w:rPr>
          <w:rFonts w:hint="eastAsia"/>
          <w:color w:val="auto"/>
          <w:highlight w:val="none"/>
        </w:rPr>
        <w:br w:type="page"/>
      </w:r>
    </w:p>
    <w:p w14:paraId="0ECF0A36">
      <w:pPr>
        <w:spacing w:line="360" w:lineRule="exact"/>
        <w:ind w:firstLine="443" w:firstLineChars="147"/>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附件</w:t>
      </w:r>
      <w:r>
        <w:rPr>
          <w:rFonts w:hint="eastAsia" w:ascii="宋体" w:hAnsi="宋体"/>
          <w:b/>
          <w:color w:val="auto"/>
          <w:sz w:val="30"/>
          <w:szCs w:val="30"/>
          <w:highlight w:val="none"/>
          <w:lang w:val="en-US" w:eastAsia="zh-CN"/>
        </w:rPr>
        <w:t>3</w:t>
      </w:r>
    </w:p>
    <w:p w14:paraId="3B561A09">
      <w:pPr>
        <w:jc w:val="center"/>
        <w:outlineLvl w:val="0"/>
        <w:rPr>
          <w:rFonts w:hint="eastAsia" w:ascii="宋体" w:hAnsi="宋体"/>
          <w:b/>
          <w:color w:val="auto"/>
          <w:sz w:val="30"/>
          <w:szCs w:val="30"/>
          <w:highlight w:val="none"/>
        </w:rPr>
      </w:pPr>
      <w:r>
        <w:rPr>
          <w:rFonts w:hint="eastAsia" w:ascii="宋体" w:hAnsi="宋体"/>
          <w:b/>
          <w:color w:val="auto"/>
          <w:sz w:val="30"/>
          <w:szCs w:val="30"/>
          <w:highlight w:val="none"/>
        </w:rPr>
        <w:t>分项报价清单</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455"/>
        <w:gridCol w:w="1725"/>
        <w:gridCol w:w="3105"/>
        <w:gridCol w:w="2137"/>
      </w:tblGrid>
      <w:tr w14:paraId="1992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14:paraId="5BC392E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序号</w:t>
            </w:r>
          </w:p>
        </w:tc>
        <w:tc>
          <w:tcPr>
            <w:tcW w:w="1455" w:type="dxa"/>
          </w:tcPr>
          <w:p w14:paraId="08F14FD9">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场地</w:t>
            </w:r>
          </w:p>
        </w:tc>
        <w:tc>
          <w:tcPr>
            <w:tcW w:w="1725" w:type="dxa"/>
          </w:tcPr>
          <w:p w14:paraId="4CCA04D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面积</w:t>
            </w:r>
          </w:p>
        </w:tc>
        <w:tc>
          <w:tcPr>
            <w:tcW w:w="3105" w:type="dxa"/>
          </w:tcPr>
          <w:p w14:paraId="74A66C6B">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单价</w:t>
            </w:r>
          </w:p>
        </w:tc>
        <w:tc>
          <w:tcPr>
            <w:tcW w:w="2137" w:type="dxa"/>
          </w:tcPr>
          <w:p w14:paraId="7FE24EE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 xml:space="preserve">小计 </w:t>
            </w:r>
          </w:p>
        </w:tc>
      </w:tr>
      <w:tr w14:paraId="1A0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14:paraId="296D55D4">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w:t>
            </w:r>
          </w:p>
        </w:tc>
        <w:tc>
          <w:tcPr>
            <w:tcW w:w="1455" w:type="dxa"/>
          </w:tcPr>
          <w:p w14:paraId="59FAD2A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lang w:val="en-US" w:eastAsia="zh-CN"/>
              </w:rPr>
              <w:t>768园区</w:t>
            </w:r>
          </w:p>
        </w:tc>
        <w:tc>
          <w:tcPr>
            <w:tcW w:w="1725" w:type="dxa"/>
          </w:tcPr>
          <w:p w14:paraId="2C8A99E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24000平方米</w:t>
            </w:r>
          </w:p>
        </w:tc>
        <w:tc>
          <w:tcPr>
            <w:tcW w:w="3105" w:type="dxa"/>
          </w:tcPr>
          <w:p w14:paraId="08308F1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u w:val="single"/>
                <w:vertAlign w:val="baseline"/>
                <w:lang w:val="en-US" w:eastAsia="zh-CN"/>
              </w:rPr>
              <w:t xml:space="preserve">        </w:t>
            </w:r>
            <w:r>
              <w:rPr>
                <w:rFonts w:hint="eastAsia" w:ascii="宋体" w:hAnsi="宋体" w:eastAsia="宋体" w:cs="宋体"/>
                <w:color w:val="auto"/>
                <w:sz w:val="24"/>
                <w:szCs w:val="24"/>
                <w:highlight w:val="none"/>
                <w:vertAlign w:val="baseline"/>
                <w:lang w:val="en-US" w:eastAsia="zh-CN"/>
              </w:rPr>
              <w:t>元/平方米·月</w:t>
            </w:r>
          </w:p>
        </w:tc>
        <w:tc>
          <w:tcPr>
            <w:tcW w:w="2137" w:type="dxa"/>
          </w:tcPr>
          <w:p w14:paraId="7E13B26D">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rPr>
            </w:pPr>
            <w:r>
              <w:rPr>
                <w:rFonts w:hint="eastAsia" w:ascii="宋体" w:hAnsi="宋体" w:cs="宋体"/>
                <w:color w:val="auto"/>
                <w:sz w:val="24"/>
                <w:szCs w:val="24"/>
                <w:highlight w:val="none"/>
                <w:u w:val="single"/>
                <w:vertAlign w:val="baseline"/>
                <w:lang w:val="en-US" w:eastAsia="zh-CN"/>
              </w:rPr>
              <w:t xml:space="preserve">        </w:t>
            </w:r>
            <w:r>
              <w:rPr>
                <w:rFonts w:hint="eastAsia" w:ascii="宋体" w:hAnsi="宋体" w:eastAsia="宋体" w:cs="宋体"/>
                <w:color w:val="auto"/>
                <w:sz w:val="24"/>
                <w:szCs w:val="24"/>
                <w:highlight w:val="none"/>
                <w:vertAlign w:val="baseline"/>
                <w:lang w:val="en-US" w:eastAsia="zh-CN"/>
              </w:rPr>
              <w:t>元/年</w:t>
            </w:r>
          </w:p>
        </w:tc>
      </w:tr>
      <w:tr w14:paraId="73AFD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 w:type="dxa"/>
          </w:tcPr>
          <w:p w14:paraId="56370FF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w:t>
            </w:r>
          </w:p>
        </w:tc>
        <w:tc>
          <w:tcPr>
            <w:tcW w:w="1455" w:type="dxa"/>
          </w:tcPr>
          <w:p w14:paraId="42CE8805">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205亩用地</w:t>
            </w:r>
          </w:p>
        </w:tc>
        <w:tc>
          <w:tcPr>
            <w:tcW w:w="1725" w:type="dxa"/>
          </w:tcPr>
          <w:p w14:paraId="42E25483">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3105" w:type="dxa"/>
          </w:tcPr>
          <w:p w14:paraId="45EA231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w:t>
            </w:r>
          </w:p>
        </w:tc>
        <w:tc>
          <w:tcPr>
            <w:tcW w:w="2137" w:type="dxa"/>
          </w:tcPr>
          <w:p w14:paraId="4E01128F">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100000.00元/年</w:t>
            </w:r>
          </w:p>
        </w:tc>
      </w:tr>
      <w:tr w14:paraId="1197C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5"/>
          </w:tcPr>
          <w:p w14:paraId="3EC86F80">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0"/>
              <w:rPr>
                <w:rFonts w:hint="default"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年承租费报价：</w:t>
            </w:r>
          </w:p>
        </w:tc>
      </w:tr>
    </w:tbl>
    <w:p w14:paraId="3E19B18F">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0"/>
        <w:rPr>
          <w:rFonts w:hint="eastAsia" w:ascii="宋体" w:hAnsi="宋体" w:eastAsia="宋体" w:cs="宋体"/>
          <w:b/>
          <w:bCs/>
          <w:color w:val="auto"/>
          <w:sz w:val="24"/>
          <w:szCs w:val="24"/>
          <w:highlight w:val="none"/>
          <w:vertAlign w:val="baseline"/>
          <w:lang w:val="en-US" w:eastAsia="zh-CN"/>
        </w:rPr>
      </w:pPr>
      <w:r>
        <w:rPr>
          <w:rFonts w:hint="eastAsia" w:ascii="宋体" w:hAnsi="宋体" w:eastAsia="宋体" w:cs="宋体"/>
          <w:b/>
          <w:bCs/>
          <w:color w:val="auto"/>
          <w:sz w:val="24"/>
          <w:szCs w:val="24"/>
          <w:highlight w:val="none"/>
          <w:vertAlign w:val="baseline"/>
          <w:lang w:val="en-US" w:eastAsia="zh-CN"/>
        </w:rPr>
        <w:t>注：投标过程中面积按照24000平方米计入，最终结算面积以招标人拆除危房后，与中标人实际测量的房产和土地面积为准。中标后，所报单价不予调整。</w:t>
      </w:r>
      <w:bookmarkStart w:id="94" w:name="_Toc11016"/>
    </w:p>
    <w:p w14:paraId="16E28930">
      <w:pPr>
        <w:spacing w:line="500" w:lineRule="exact"/>
        <w:jc w:val="left"/>
        <w:rPr>
          <w:rFonts w:hint="eastAsia" w:ascii="宋体" w:hAnsi="宋体" w:cs="宋体"/>
          <w:color w:val="auto"/>
          <w:sz w:val="24"/>
          <w:highlight w:val="none"/>
        </w:rPr>
      </w:pPr>
    </w:p>
    <w:p w14:paraId="6EEE96C8">
      <w:pPr>
        <w:spacing w:line="500" w:lineRule="exact"/>
        <w:jc w:val="left"/>
        <w:rPr>
          <w:rFonts w:hint="eastAsia" w:ascii="宋体" w:hAnsi="宋体" w:cs="宋体"/>
          <w:color w:val="auto"/>
          <w:sz w:val="24"/>
          <w:highlight w:val="none"/>
        </w:rPr>
      </w:pPr>
    </w:p>
    <w:p w14:paraId="17FCDD6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（盖单位章）</w:t>
      </w:r>
    </w:p>
    <w:p w14:paraId="6453FA0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宋体" w:hAnsi="宋体" w:cs="宋体"/>
          <w:color w:val="auto"/>
          <w:sz w:val="24"/>
          <w:highlight w:val="none"/>
        </w:rPr>
      </w:pPr>
      <w:r>
        <w:rPr>
          <w:rFonts w:hint="eastAsia" w:ascii="宋体" w:hAnsi="宋体" w:cs="宋体"/>
          <w:color w:val="auto"/>
          <w:sz w:val="24"/>
          <w:highlight w:val="none"/>
        </w:rPr>
        <w:t>投标人法定代表人：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（签章）</w:t>
      </w:r>
    </w:p>
    <w:p w14:paraId="739390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color w:val="auto"/>
          <w:sz w:val="24"/>
          <w:szCs w:val="24"/>
          <w:highlight w:val="none"/>
          <w:vertAlign w:val="baseline"/>
          <w:lang w:val="en-US" w:eastAsia="zh-CN"/>
        </w:rPr>
      </w:pPr>
      <w:r>
        <w:rPr>
          <w:rFonts w:hint="eastAsia" w:ascii="宋体" w:hAnsi="宋体" w:cs="宋体"/>
          <w:color w:val="auto"/>
          <w:sz w:val="24"/>
          <w:highlight w:val="none"/>
        </w:rPr>
        <w:t>日    期：</w:t>
      </w:r>
      <w:r>
        <w:rPr>
          <w:rFonts w:hint="eastAsia" w:ascii="宋体" w:hAnsi="宋体" w:cs="宋体"/>
          <w:color w:val="auto"/>
          <w:sz w:val="24"/>
          <w:highlight w:val="none"/>
          <w:u w:val="none"/>
          <w:lang w:val="en-US" w:eastAsia="zh-CN"/>
        </w:rPr>
        <w:t xml:space="preserve">       年       月     日  </w:t>
      </w:r>
      <w:r>
        <w:rPr>
          <w:rFonts w:hint="eastAsia" w:ascii="宋体" w:hAnsi="宋体" w:eastAsia="宋体" w:cs="宋体"/>
          <w:b/>
          <w:bCs/>
          <w:color w:val="auto"/>
          <w:sz w:val="24"/>
          <w:szCs w:val="24"/>
          <w:highlight w:val="none"/>
          <w:vertAlign w:val="baseline"/>
          <w:lang w:val="en-US" w:eastAsia="zh-CN"/>
        </w:rPr>
        <w:br w:type="page"/>
      </w:r>
    </w:p>
    <w:p w14:paraId="16A0E4BD">
      <w:pPr>
        <w:keepNext w:val="0"/>
        <w:keepLines w:val="0"/>
        <w:pageBreakBefore w:val="0"/>
        <w:widowControl w:val="0"/>
        <w:kinsoku/>
        <w:wordWrap/>
        <w:overflowPunct/>
        <w:topLinePunct w:val="0"/>
        <w:autoSpaceDE/>
        <w:autoSpaceDN/>
        <w:bidi w:val="0"/>
        <w:adjustRightInd/>
        <w:snapToGrid/>
        <w:spacing w:line="560" w:lineRule="exact"/>
        <w:jc w:val="left"/>
        <w:textAlignment w:val="auto"/>
        <w:outlineLvl w:val="0"/>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lang w:bidi="ar"/>
        </w:rPr>
        <w:t>附件1</w:t>
      </w:r>
      <w:bookmarkEnd w:id="94"/>
    </w:p>
    <w:p w14:paraId="0CF0DC76">
      <w:pPr>
        <w:spacing w:line="440" w:lineRule="exact"/>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bidi="ar"/>
        </w:rPr>
        <w:t>关于联合惩戒失信行为 加强信用查询管理的通知</w:t>
      </w:r>
    </w:p>
    <w:p w14:paraId="6F86EDDB">
      <w:pPr>
        <w:keepNext w:val="0"/>
        <w:keepLines w:val="0"/>
        <w:pageBreakBefore w:val="0"/>
        <w:kinsoku/>
        <w:overflowPunct/>
        <w:topLinePunct w:val="0"/>
        <w:autoSpaceDN/>
        <w:bidi w:val="0"/>
        <w:adjustRightInd/>
        <w:snapToGrid/>
        <w:spacing w:line="48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一、失信行为联合惩戒的范围和查询渠道</w:t>
      </w:r>
    </w:p>
    <w:p w14:paraId="2530E969">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在我市公共资源交易活动中对存在下列失信行为的投标人、法定代表人及其项目经理（建造师）实施联合惩戒，禁止参与我市公共资源交易活动。</w:t>
      </w:r>
    </w:p>
    <w:p w14:paraId="50D5175E">
      <w:pPr>
        <w:keepNext w:val="0"/>
        <w:keepLines w:val="0"/>
        <w:pageBreakBefore w:val="0"/>
        <w:widowControl/>
        <w:kinsoku/>
        <w:overflowPunct/>
        <w:topLinePunct w:val="0"/>
        <w:autoSpaceDE w:val="0"/>
        <w:autoSpaceDN/>
        <w:bidi w:val="0"/>
        <w:adjustRightInd/>
        <w:snapToGrid/>
        <w:spacing w:line="480" w:lineRule="exact"/>
        <w:ind w:firstLine="482" w:firstLineChars="200"/>
        <w:textAlignment w:val="baseline"/>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（一）工程建设项目</w:t>
      </w:r>
    </w:p>
    <w:p w14:paraId="78DEDF97">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1、“信用中国”网站（www.creditchina.gov.cn）查询投标人、法定代表人及其项目经理(建造师)以下失信行为：</w:t>
      </w:r>
    </w:p>
    <w:p w14:paraId="7CA42468">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①被列入“失信被执行人”的;</w:t>
      </w:r>
    </w:p>
    <w:p w14:paraId="4B106EA4">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②被列入“重大税收违法失信主体”的；</w:t>
      </w:r>
    </w:p>
    <w:p w14:paraId="7C30CC39">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③被列入“拖欠农民工工资失信联合惩戒对象名单”的；</w:t>
      </w:r>
    </w:p>
    <w:p w14:paraId="0DAD17BE">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④被列入 “严重失信主体名单”的；</w:t>
      </w:r>
    </w:p>
    <w:p w14:paraId="6D92DAF0">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⑤在“信用中国”网站上披露的仍在公示期的严重失信行为(具体行为类别及判定依据见附件2)的。</w:t>
      </w:r>
    </w:p>
    <w:p w14:paraId="3357F416">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2、国家企业信用信息公示系统网站（www.gsxt.gov.cn）查询投标人以下失信行为：</w:t>
      </w:r>
    </w:p>
    <w:p w14:paraId="7391E457">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①被列入“经营异常名录”或者“严重违法失信名单”的。</w:t>
      </w:r>
    </w:p>
    <w:p w14:paraId="0945789E">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3、由投标人、法定代表人及其项目经理(建造师)进行承诺，不进行现场网上信用查询的失信行为：</w:t>
      </w:r>
    </w:p>
    <w:p w14:paraId="53B7C7E9">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①前三年有行贿犯罪行为的单位和个人；</w:t>
      </w:r>
    </w:p>
    <w:p w14:paraId="1FC69D75">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②被滁州市县两级公管部门取消在一定期限内的投标资格且在取消期限内的；</w:t>
      </w:r>
    </w:p>
    <w:p w14:paraId="660F0880">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③被滁州市县两级各行业主管部门取消在一定期限内的投标资格且在取消期限内的；</w:t>
      </w:r>
    </w:p>
    <w:p w14:paraId="0D9D6362">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④因拖欠农民工工资被县级及以上有关行政主管部门限制投标资格且在限制期限内的；</w:t>
      </w:r>
    </w:p>
    <w:p w14:paraId="2EECDBBE">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2E5D3F3A">
      <w:pPr>
        <w:keepNext w:val="0"/>
        <w:keepLines w:val="0"/>
        <w:pageBreakBefore w:val="0"/>
        <w:widowControl/>
        <w:kinsoku/>
        <w:overflowPunct/>
        <w:topLinePunct w:val="0"/>
        <w:autoSpaceDE w:val="0"/>
        <w:autoSpaceDN/>
        <w:bidi w:val="0"/>
        <w:adjustRightInd/>
        <w:snapToGrid/>
        <w:spacing w:line="480" w:lineRule="exact"/>
        <w:ind w:firstLine="482" w:firstLineChars="200"/>
        <w:textAlignment w:val="baseline"/>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（二）政府采购项目</w:t>
      </w:r>
    </w:p>
    <w:p w14:paraId="254BD878">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1、“信用中国”网站（www.creditchina.gov.cn）查询供应商、法定代表人及其项目负责人以下失信行为：</w:t>
      </w:r>
    </w:p>
    <w:p w14:paraId="272CF0C3">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①被列入“失信被执行人”的;</w:t>
      </w:r>
    </w:p>
    <w:p w14:paraId="4D811E05">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②被列入“重大税收违法失信主体”的；</w:t>
      </w:r>
    </w:p>
    <w:p w14:paraId="1045BC36">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③被列入 “严重失信主体名单”的；</w:t>
      </w:r>
    </w:p>
    <w:p w14:paraId="7C07B484">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④在“信用中国”网站上披露的仍在公示期的严重失信行为(具体行为类别及判定依据见附件2)的。</w:t>
      </w:r>
    </w:p>
    <w:p w14:paraId="75200B48">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2、国家企业信用信息公示系统网站（</w:t>
      </w:r>
      <w:r>
        <w:rPr>
          <w:rFonts w:hint="eastAsia" w:ascii="宋体" w:hAnsi="宋体" w:eastAsia="宋体" w:cs="宋体"/>
          <w:bCs/>
          <w:color w:val="auto"/>
          <w:kern w:val="0"/>
          <w:sz w:val="24"/>
          <w:szCs w:val="24"/>
          <w:highlight w:val="none"/>
          <w:lang w:bidi="ar"/>
        </w:rPr>
        <w:fldChar w:fldCharType="begin"/>
      </w:r>
      <w:r>
        <w:rPr>
          <w:rFonts w:hint="eastAsia" w:ascii="宋体" w:hAnsi="宋体" w:eastAsia="宋体" w:cs="宋体"/>
          <w:bCs/>
          <w:color w:val="auto"/>
          <w:kern w:val="0"/>
          <w:sz w:val="24"/>
          <w:szCs w:val="24"/>
          <w:highlight w:val="none"/>
          <w:lang w:bidi="ar"/>
        </w:rPr>
        <w:instrText xml:space="preserve"> HYPERLINK "http://www.gsxt.gov.cn）查询" </w:instrText>
      </w:r>
      <w:r>
        <w:rPr>
          <w:rFonts w:hint="eastAsia" w:ascii="宋体" w:hAnsi="宋体" w:eastAsia="宋体" w:cs="宋体"/>
          <w:bCs/>
          <w:color w:val="auto"/>
          <w:kern w:val="0"/>
          <w:sz w:val="24"/>
          <w:szCs w:val="24"/>
          <w:highlight w:val="none"/>
          <w:lang w:bidi="ar"/>
        </w:rPr>
        <w:fldChar w:fldCharType="separate"/>
      </w:r>
      <w:r>
        <w:rPr>
          <w:rFonts w:hint="eastAsia" w:ascii="宋体" w:hAnsi="宋体" w:eastAsia="宋体" w:cs="宋体"/>
          <w:bCs/>
          <w:color w:val="auto"/>
          <w:kern w:val="0"/>
          <w:sz w:val="24"/>
          <w:szCs w:val="24"/>
          <w:highlight w:val="none"/>
          <w:lang w:bidi="ar"/>
        </w:rPr>
        <w:t>www.gsxt.gov.cn）</w:t>
      </w:r>
      <w:r>
        <w:rPr>
          <w:rFonts w:hint="eastAsia" w:ascii="宋体" w:hAnsi="宋体" w:eastAsia="宋体" w:cs="宋体"/>
          <w:bCs/>
          <w:color w:val="auto"/>
          <w:kern w:val="0"/>
          <w:sz w:val="24"/>
          <w:szCs w:val="24"/>
          <w:highlight w:val="none"/>
          <w:lang w:bidi="ar"/>
        </w:rPr>
        <w:fldChar w:fldCharType="end"/>
      </w:r>
      <w:r>
        <w:rPr>
          <w:rFonts w:hint="eastAsia" w:ascii="宋体" w:hAnsi="宋体" w:eastAsia="宋体" w:cs="宋体"/>
          <w:bCs/>
          <w:color w:val="auto"/>
          <w:kern w:val="0"/>
          <w:sz w:val="24"/>
          <w:szCs w:val="24"/>
          <w:highlight w:val="none"/>
          <w:lang w:bidi="ar"/>
        </w:rPr>
        <w:t>查询供应商以下失信行为：</w:t>
      </w:r>
    </w:p>
    <w:p w14:paraId="284960EA">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w:t>
      </w:r>
      <w:bookmarkStart w:id="95" w:name="OLE_LINK100"/>
      <w:bookmarkStart w:id="96" w:name="OLE_LINK101"/>
      <w:bookmarkStart w:id="97" w:name="OLE_LINK102"/>
      <w:r>
        <w:rPr>
          <w:rFonts w:hint="eastAsia" w:ascii="宋体" w:hAnsi="宋体" w:eastAsia="宋体" w:cs="宋体"/>
          <w:bCs/>
          <w:color w:val="auto"/>
          <w:kern w:val="0"/>
          <w:sz w:val="24"/>
          <w:szCs w:val="24"/>
          <w:highlight w:val="none"/>
          <w:lang w:bidi="ar"/>
        </w:rPr>
        <w:t>被列入“经营异常名录”或者“严重违法失信名单”的</w:t>
      </w:r>
      <w:bookmarkEnd w:id="95"/>
      <w:bookmarkEnd w:id="96"/>
      <w:bookmarkEnd w:id="97"/>
      <w:r>
        <w:rPr>
          <w:rFonts w:hint="eastAsia" w:ascii="宋体" w:hAnsi="宋体" w:eastAsia="宋体" w:cs="宋体"/>
          <w:bCs/>
          <w:color w:val="auto"/>
          <w:kern w:val="0"/>
          <w:sz w:val="24"/>
          <w:szCs w:val="24"/>
          <w:highlight w:val="none"/>
          <w:lang w:bidi="ar"/>
        </w:rPr>
        <w:t>。</w:t>
      </w:r>
    </w:p>
    <w:p w14:paraId="2444D20B">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3、中国政府采购网站（</w:t>
      </w:r>
      <w:bookmarkStart w:id="98" w:name="OLE_LINK96"/>
      <w:bookmarkStart w:id="99" w:name="OLE_LINK95"/>
      <w:r>
        <w:rPr>
          <w:rFonts w:hint="eastAsia" w:ascii="宋体" w:hAnsi="宋体" w:eastAsia="宋体" w:cs="宋体"/>
          <w:bCs/>
          <w:color w:val="auto"/>
          <w:kern w:val="0"/>
          <w:sz w:val="24"/>
          <w:szCs w:val="24"/>
          <w:highlight w:val="none"/>
          <w:lang w:bidi="ar"/>
        </w:rPr>
        <w:fldChar w:fldCharType="begin"/>
      </w:r>
      <w:r>
        <w:rPr>
          <w:rFonts w:hint="eastAsia" w:ascii="宋体" w:hAnsi="宋体" w:eastAsia="宋体" w:cs="宋体"/>
          <w:bCs/>
          <w:color w:val="auto"/>
          <w:kern w:val="0"/>
          <w:sz w:val="24"/>
          <w:szCs w:val="24"/>
          <w:highlight w:val="none"/>
          <w:lang w:bidi="ar"/>
        </w:rPr>
        <w:instrText xml:space="preserve"> HYPERLINK "http://www.ccgp.gov.cn" </w:instrText>
      </w:r>
      <w:r>
        <w:rPr>
          <w:rFonts w:hint="eastAsia" w:ascii="宋体" w:hAnsi="宋体" w:eastAsia="宋体" w:cs="宋体"/>
          <w:bCs/>
          <w:color w:val="auto"/>
          <w:kern w:val="0"/>
          <w:sz w:val="24"/>
          <w:szCs w:val="24"/>
          <w:highlight w:val="none"/>
          <w:lang w:bidi="ar"/>
        </w:rPr>
        <w:fldChar w:fldCharType="separate"/>
      </w:r>
      <w:r>
        <w:rPr>
          <w:rFonts w:hint="eastAsia" w:ascii="宋体" w:hAnsi="宋体" w:eastAsia="宋体" w:cs="宋体"/>
          <w:bCs/>
          <w:color w:val="auto"/>
          <w:kern w:val="0"/>
          <w:sz w:val="24"/>
          <w:szCs w:val="24"/>
          <w:highlight w:val="none"/>
          <w:lang w:bidi="ar"/>
        </w:rPr>
        <w:t>www.ccgp.gov.cn</w:t>
      </w:r>
      <w:r>
        <w:rPr>
          <w:rFonts w:hint="eastAsia" w:ascii="宋体" w:hAnsi="宋体" w:eastAsia="宋体" w:cs="宋体"/>
          <w:bCs/>
          <w:color w:val="auto"/>
          <w:kern w:val="0"/>
          <w:sz w:val="24"/>
          <w:szCs w:val="24"/>
          <w:highlight w:val="none"/>
          <w:lang w:bidi="ar"/>
        </w:rPr>
        <w:fldChar w:fldCharType="end"/>
      </w:r>
      <w:bookmarkEnd w:id="98"/>
      <w:bookmarkEnd w:id="99"/>
      <w:r>
        <w:rPr>
          <w:rFonts w:hint="eastAsia" w:ascii="宋体" w:hAnsi="宋体" w:eastAsia="宋体" w:cs="宋体"/>
          <w:bCs/>
          <w:color w:val="auto"/>
          <w:kern w:val="0"/>
          <w:sz w:val="24"/>
          <w:szCs w:val="24"/>
          <w:highlight w:val="none"/>
          <w:lang w:bidi="ar"/>
        </w:rPr>
        <w:t>）查询以下失信行为：</w:t>
      </w:r>
    </w:p>
    <w:p w14:paraId="0F697DA6">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①</w:t>
      </w:r>
      <w:bookmarkStart w:id="100" w:name="OLE_LINK104"/>
      <w:bookmarkStart w:id="101" w:name="OLE_LINK105"/>
      <w:bookmarkStart w:id="102" w:name="OLE_LINK106"/>
      <w:r>
        <w:rPr>
          <w:rFonts w:hint="eastAsia" w:ascii="宋体" w:hAnsi="宋体" w:eastAsia="宋体" w:cs="宋体"/>
          <w:bCs/>
          <w:color w:val="auto"/>
          <w:kern w:val="0"/>
          <w:sz w:val="24"/>
          <w:szCs w:val="24"/>
          <w:highlight w:val="none"/>
          <w:lang w:bidi="ar"/>
        </w:rPr>
        <w:t>被列入“政府采购严重违法失信行为信息记录”的</w:t>
      </w:r>
      <w:bookmarkEnd w:id="100"/>
      <w:bookmarkEnd w:id="101"/>
      <w:bookmarkEnd w:id="102"/>
      <w:r>
        <w:rPr>
          <w:rFonts w:hint="eastAsia" w:ascii="宋体" w:hAnsi="宋体" w:eastAsia="宋体" w:cs="宋体"/>
          <w:bCs/>
          <w:color w:val="auto"/>
          <w:kern w:val="0"/>
          <w:sz w:val="24"/>
          <w:szCs w:val="24"/>
          <w:highlight w:val="none"/>
          <w:lang w:bidi="ar"/>
        </w:rPr>
        <w:t>。</w:t>
      </w:r>
    </w:p>
    <w:p w14:paraId="0F1CBF06">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4、由竞争主体进行承诺，不进行现场网上信用查询的失信行为：</w:t>
      </w:r>
    </w:p>
    <w:p w14:paraId="7ABDD434">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①前三年有行贿犯罪行为的单位和个人。</w:t>
      </w:r>
    </w:p>
    <w:p w14:paraId="39A718BA">
      <w:pPr>
        <w:keepNext w:val="0"/>
        <w:keepLines w:val="0"/>
        <w:pageBreakBefore w:val="0"/>
        <w:widowControl/>
        <w:kinsoku/>
        <w:overflowPunct/>
        <w:topLinePunct w:val="0"/>
        <w:autoSpaceDE w:val="0"/>
        <w:autoSpaceDN/>
        <w:bidi w:val="0"/>
        <w:adjustRightInd/>
        <w:snapToGrid/>
        <w:spacing w:line="480" w:lineRule="exact"/>
        <w:ind w:firstLine="482" w:firstLineChars="200"/>
        <w:textAlignment w:val="baseline"/>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二、在开评标活动中的查询程序</w:t>
      </w:r>
    </w:p>
    <w:p w14:paraId="223DDABA">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00238CD9">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67CC9D4E">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3、项目单位及其委托的代理机构应当做好信用查询结果截图和记录留存。</w:t>
      </w:r>
    </w:p>
    <w:p w14:paraId="6BBFFCB6">
      <w:pPr>
        <w:keepNext w:val="0"/>
        <w:keepLines w:val="0"/>
        <w:pageBreakBefore w:val="0"/>
        <w:widowControl/>
        <w:kinsoku/>
        <w:overflowPunct/>
        <w:topLinePunct w:val="0"/>
        <w:autoSpaceDE w:val="0"/>
        <w:autoSpaceDN/>
        <w:bidi w:val="0"/>
        <w:adjustRightInd/>
        <w:snapToGrid/>
        <w:spacing w:line="480" w:lineRule="exact"/>
        <w:ind w:firstLine="482" w:firstLineChars="200"/>
        <w:textAlignment w:val="baseline"/>
        <w:rPr>
          <w:rFonts w:hint="eastAsia" w:ascii="宋体" w:hAnsi="宋体" w:eastAsia="宋体" w:cs="宋体"/>
          <w:b/>
          <w:bCs w:val="0"/>
          <w:color w:val="auto"/>
          <w:sz w:val="24"/>
          <w:szCs w:val="24"/>
          <w:highlight w:val="none"/>
        </w:rPr>
      </w:pPr>
      <w:r>
        <w:rPr>
          <w:rFonts w:hint="eastAsia" w:ascii="宋体" w:hAnsi="宋体" w:eastAsia="宋体" w:cs="宋体"/>
          <w:b/>
          <w:bCs w:val="0"/>
          <w:color w:val="auto"/>
          <w:kern w:val="0"/>
          <w:sz w:val="24"/>
          <w:szCs w:val="24"/>
          <w:highlight w:val="none"/>
          <w:lang w:bidi="ar"/>
        </w:rPr>
        <w:t>三、相关要求</w:t>
      </w:r>
    </w:p>
    <w:p w14:paraId="409AECD2">
      <w:pPr>
        <w:keepNext w:val="0"/>
        <w:keepLines w:val="0"/>
        <w:pageBreakBefore w:val="0"/>
        <w:widowControl/>
        <w:kinsoku/>
        <w:wordWrap w:val="0"/>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1、参与公共资源交易活动的竞争主体根据上述范围查询的内容进行自查并承诺，出具《诚信投标承诺书》（诚信投标承诺书包括但不限于上述自查并承诺内容）并注明承诺日期（投标截止时间前5日内）。</w:t>
      </w:r>
    </w:p>
    <w:p w14:paraId="3DA4E350">
      <w:pPr>
        <w:keepNext w:val="0"/>
        <w:keepLines w:val="0"/>
        <w:pageBreakBefore w:val="0"/>
        <w:widowControl/>
        <w:kinsoku/>
        <w:wordWrap w:val="0"/>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lang w:bidi="ar"/>
        </w:rPr>
      </w:pPr>
      <w:r>
        <w:rPr>
          <w:rFonts w:hint="eastAsia" w:ascii="宋体" w:hAnsi="宋体" w:eastAsia="宋体" w:cs="宋体"/>
          <w:bCs/>
          <w:color w:val="auto"/>
          <w:kern w:val="0"/>
          <w:sz w:val="24"/>
          <w:szCs w:val="24"/>
          <w:highlight w:val="none"/>
          <w:lang w:bidi="ar"/>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1445677E">
      <w:pPr>
        <w:keepNext w:val="0"/>
        <w:keepLines w:val="0"/>
        <w:pageBreakBefore w:val="0"/>
        <w:widowControl/>
        <w:kinsoku/>
        <w:wordWrap w:val="0"/>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kern w:val="0"/>
          <w:sz w:val="24"/>
          <w:szCs w:val="24"/>
          <w:highlight w:val="none"/>
          <w:lang w:bidi="ar"/>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https://credit.ah.gov.cn/xinyong-fuwu/xvbahv/index.html)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0805C395">
      <w:pPr>
        <w:keepNext w:val="0"/>
        <w:keepLines w:val="0"/>
        <w:pageBreakBefore w:val="0"/>
        <w:widowControl/>
        <w:kinsoku/>
        <w:overflowPunct/>
        <w:topLinePunct w:val="0"/>
        <w:autoSpaceDE w:val="0"/>
        <w:autoSpaceDN/>
        <w:bidi w:val="0"/>
        <w:adjustRightInd/>
        <w:snapToGrid/>
        <w:spacing w:line="480" w:lineRule="exact"/>
        <w:ind w:firstLine="482" w:firstLineChars="200"/>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2、“信用中国”查询的严重失信行为判定依据为各行业主管部门下发的联合惩戒文件中规定的行为（按附件2执行）。</w:t>
      </w:r>
    </w:p>
    <w:p w14:paraId="7A0C722F">
      <w:pPr>
        <w:keepNext w:val="0"/>
        <w:keepLines w:val="0"/>
        <w:pageBreakBefore w:val="0"/>
        <w:widowControl/>
        <w:kinsoku/>
        <w:overflowPunct/>
        <w:topLinePunct w:val="0"/>
        <w:autoSpaceDE w:val="0"/>
        <w:autoSpaceDN/>
        <w:bidi w:val="0"/>
        <w:adjustRightInd/>
        <w:snapToGrid/>
        <w:spacing w:line="480" w:lineRule="exact"/>
        <w:ind w:firstLine="480" w:firstLineChars="200"/>
        <w:textAlignment w:val="baseline"/>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bidi="ar"/>
        </w:rPr>
        <w:t>3、资格预审的项目以递交资格预审申请文件截止时间查询为准；资格后审的项目以递交投标文件截止时间查询为准。</w:t>
      </w:r>
    </w:p>
    <w:p w14:paraId="7DB60C39">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290680E1">
      <w:pPr>
        <w:pStyle w:val="31"/>
        <w:widowControl/>
        <w:spacing w:before="0" w:after="120" w:afterAutospacing="0" w:line="360" w:lineRule="auto"/>
        <w:ind w:left="420" w:leftChars="20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bidi="ar"/>
        </w:rPr>
        <w:t xml:space="preserve"> </w:t>
      </w:r>
    </w:p>
    <w:p w14:paraId="787CCA3F">
      <w:pPr>
        <w:spacing w:line="440" w:lineRule="exac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br w:type="page"/>
      </w:r>
      <w:r>
        <w:rPr>
          <w:rFonts w:hint="eastAsia" w:ascii="宋体" w:hAnsi="宋体" w:eastAsia="宋体" w:cs="宋体"/>
          <w:b/>
          <w:color w:val="auto"/>
          <w:sz w:val="24"/>
          <w:szCs w:val="24"/>
          <w:highlight w:val="none"/>
          <w:lang w:bidi="ar"/>
        </w:rPr>
        <w:t>附件2</w:t>
      </w:r>
    </w:p>
    <w:p w14:paraId="37D5F394">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“信用中国”查询的严重失信行为类别及判定依据</w:t>
      </w:r>
    </w:p>
    <w:p w14:paraId="415CA189">
      <w:pPr>
        <w:spacing w:line="440" w:lineRule="exact"/>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bidi="ar"/>
        </w:rPr>
        <w:t xml:space="preserve"> </w:t>
      </w:r>
    </w:p>
    <w:p w14:paraId="6C9A2FB4">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“信用中国”查询的严重失信行为判定依据为各行业主管部门下发的联合惩戒文件中规定的行为。下面将部分类别的严重失信行为列举如下：</w:t>
      </w:r>
    </w:p>
    <w:p w14:paraId="0978581C">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一、安全生产领域严重失信行为：</w:t>
      </w:r>
    </w:p>
    <w:p w14:paraId="7795744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（一）下列发生生产安全事故的生产经营单位及其有关人员应当列入严重失信主体名单：</w:t>
      </w:r>
    </w:p>
    <w:p w14:paraId="0729DD5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1、发生特别重大、重大生产安全事故的生产经营单位及其主要负责人，以及经调查认定对该事故发生负有责任，应当列入名单的其他单位和人员；</w:t>
      </w:r>
    </w:p>
    <w:p w14:paraId="031FAAE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2、12个月内累计发生2起以上较大生产安全事故的生产经营单位及其主要负责人；</w:t>
      </w:r>
    </w:p>
    <w:p w14:paraId="52FDF17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3、发生生产安全事故，情节特别严重、影响特别恶劣，依照《中华人民共和国安全生产法》第一百一十四条的规定被处以罚款数额2倍以上5倍以下罚款的生产经营单位及其主要负责人；</w:t>
      </w:r>
    </w:p>
    <w:p w14:paraId="27DC2CE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4、瞒报、谎报生产安全事故的生产经营单位及其有关责任人员；</w:t>
      </w:r>
    </w:p>
    <w:p w14:paraId="1E95BE2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5、发生生产安全事故后，不立即组织抢救或者在事故调查处理期间擅离职守或者逃匿的生产经营单位主要负责人。</w:t>
      </w:r>
    </w:p>
    <w:p w14:paraId="040BD98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（二）下列未发生生产安全事故，但因安全生产违法行为，受到行政处罚的生产经营单位或者机构及其有关人员，应当列入严重失信主体名单：</w:t>
      </w:r>
    </w:p>
    <w:p w14:paraId="78B1B62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1、未依法取得安全生产相关许可或者许可被暂扣、吊销期间从事相关生产经营活动的生产经营单位及其主要负责人；</w:t>
      </w:r>
    </w:p>
    <w:p w14:paraId="1112640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2、承担安全评价、认证、检测、检验职责的机构及其直接责任人员租借资质、挂靠、出具虚假报告或者证书的；</w:t>
      </w:r>
    </w:p>
    <w:p w14:paraId="612B5CA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3、在应急管理部门作出行政处罚后，有执行能力拒不执行或者逃避执行的生产经营单位及其主要负责人；</w:t>
      </w:r>
    </w:p>
    <w:p w14:paraId="60FC859F">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4、其他违反安全生产法律法规受到行政处罚，且性质恶劣、情节严重的。</w:t>
      </w:r>
    </w:p>
    <w:p w14:paraId="7F6EC613">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依据：《安全生产严重失信主体名单管理办法》（2023年8月8日应急管理部令第11号）</w:t>
      </w:r>
    </w:p>
    <w:p w14:paraId="473A75CA">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00B743DA">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二、环境保护领域严重失信行为：</w:t>
      </w:r>
    </w:p>
    <w:p w14:paraId="03D5E7B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（一）因为环境违法构成环境犯罪的；</w:t>
      </w:r>
    </w:p>
    <w:p w14:paraId="24BC601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（二）建设项目环境影响评价文件未按规定通过审批，擅自开工建设的；</w:t>
      </w:r>
    </w:p>
    <w:p w14:paraId="1D2FC71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（三）建设项目环保设施未建成、环保措施未落实、未通过竣工环保验收或者验收不合格，主体工程正式投入生产或者使用的；</w:t>
      </w:r>
    </w:p>
    <w:p w14:paraId="3E04899D">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（四）建设项目性质、规模、地点、采用的生产工艺或者防治污染、防止生态破坏的措施发生重大变动，未重新报批环境影响评价文件，擅自投入生产或者使用的；</w:t>
      </w:r>
    </w:p>
    <w:p w14:paraId="27C92BE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（五）主要污染物排放总量超过控制指标的；</w:t>
      </w:r>
    </w:p>
    <w:p w14:paraId="4CC76BE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（六）私设暗管或者利用渗井、渗坑、裂隙、溶洞等排放、倾倒、处置水污染物，或者通过私设旁路排放大气污染物的；</w:t>
      </w:r>
    </w:p>
    <w:p w14:paraId="6EA9C97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（七）非法排放、倾倒、处置危险废物，或者向无经营许可证或者超出经营许可范围的单位或个人提供或者委托其收集、贮存、利用、处置危险废物的；</w:t>
      </w:r>
    </w:p>
    <w:p w14:paraId="4B623259">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（八）环境违法行为造成集中式生活饮用水水源取水中断的；</w:t>
      </w:r>
    </w:p>
    <w:p w14:paraId="5DB5E08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（九）环境违法行为对生活饮用水水源保护区、自然保护区、国家重点生态功能区、风景名胜区、居住功能区、基本农田保护区等环境敏感区造成重大不利影响的；</w:t>
      </w:r>
    </w:p>
    <w:p w14:paraId="198B83D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（十）违法从事自然资源开发、交通基础设施建设，以及其他开发建设活动，造成严重生态破坏的；</w:t>
      </w:r>
    </w:p>
    <w:p w14:paraId="0D36626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（十一）发生较大及以上突发环境事件的；</w:t>
      </w:r>
    </w:p>
    <w:p w14:paraId="3EFF8FE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（十二）被环保部门挂牌督办，整改逾期未完成的；</w:t>
      </w:r>
    </w:p>
    <w:p w14:paraId="0533900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（十三）以暴力、威胁等方式拒绝、阻挠环保部门工作人员现场检查的；</w:t>
      </w:r>
    </w:p>
    <w:p w14:paraId="1847CC46">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（十四）违反重污染天气应急预案有关规定，对重污染天气响应不力的。</w:t>
      </w:r>
    </w:p>
    <w:p w14:paraId="56B297F3">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依据：《关于对环境保护领域失信生产经营单位及其有关人员开展联合惩戒的合作备忘录》、《企业环境信用评价办法（试行）》（环发〔2013〕150号）</w:t>
      </w:r>
    </w:p>
    <w:p w14:paraId="2A645D5E">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07778AD0">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三、公共资源交易领域严重失信行为</w:t>
      </w:r>
    </w:p>
    <w:p w14:paraId="2BBBB76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（一）违反法律规定，必须进行招标的项目而不招标的，将必须进行招标的项目化整为零或者以其他任何方式规避招标的； </w:t>
      </w:r>
    </w:p>
    <w:p w14:paraId="75F03D7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（二）招标代理机构违反法律规定，泄露应当保密的与招标投标活动有关的情况和资料的，或者与招标人、投标人串通损害 国家利益、社会公共利益或者他人合法权益的；</w:t>
      </w:r>
    </w:p>
    <w:p w14:paraId="51CDE8F1">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（三）招标人以不合理的条件限制或者排斥潜在投标人的，对潜在投标人实行歧视待遇的，强制要求投标人组成联合体共同 投标的，或者限制投标人之间竞争的；</w:t>
      </w:r>
    </w:p>
    <w:p w14:paraId="59E57C8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（四）依法必须进行招标的项目的招标人向他人透露已获取招标文件的潜在投标人的名称、数量或者可能影响公平竞争的有 关招标投标的其他情况的，或者泄露标底的；</w:t>
      </w:r>
    </w:p>
    <w:p w14:paraId="130CD6E7">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（五）投标人相互串通投标或者与招标人串通投标的，投标人以向招标人或者评标委员会成员行贿的手段谋取中标的； </w:t>
      </w:r>
    </w:p>
    <w:p w14:paraId="2F73AF0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（六）投标人以他人名义投标或者以其他方式弄虚作假，骗取中标的；</w:t>
      </w:r>
    </w:p>
    <w:p w14:paraId="6881FC7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（七）依法必须进行招标的项目，招标人违反法律规定，与投标人就投标价格、投标方案等实质性内容进行谈判的；</w:t>
      </w:r>
    </w:p>
    <w:p w14:paraId="7DB4AB0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1CF8933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（九）招标人在评标委员会依法推荐的中标候选人以外确定中标人的，依法必须进行招标的项目在所有投标被评标委员会否 决后自行确定中标人的； </w:t>
      </w:r>
    </w:p>
    <w:p w14:paraId="6E28EE7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（十）中标人将中标项目转让给他人的，将中标项目肢解后分别转让给他人的，违反法律规定将中标项目的部分主体、关键 性工作分包给他人的，或者分包人再次分包的； </w:t>
      </w:r>
    </w:p>
    <w:p w14:paraId="0885122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（十一）招标人与中标人不按照招标文件和中标人的投标文件订立合同的，或者招标人、中标人订立背离合同实质性内容的 协议的； </w:t>
      </w:r>
    </w:p>
    <w:p w14:paraId="2D41E9B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（十二）中标人不按照与招标人订立的合同履行义务，情节严重的； </w:t>
      </w:r>
    </w:p>
    <w:p w14:paraId="16BA8F57">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2F02E88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6D33702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（十五）采购人对应当实行集中采购的政府采购项目，不委托集中采购机构实行集中采购的； </w:t>
      </w:r>
    </w:p>
    <w:p w14:paraId="2E1E1CA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（十六）采购人、采购代理机构违反法律规定隐匿、销毁应当保存的采购文件或者伪造、变造采购文件的； </w:t>
      </w:r>
    </w:p>
    <w:p w14:paraId="66A21B1B">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59BBA09D">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（十八）疫苗生产企业向县级疾病预防控制机构以外的单位或者个人销售第二类疫苗的； </w:t>
      </w:r>
    </w:p>
    <w:p w14:paraId="3193D3DE">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（十九）存在其他违反公共资源交易法律法规行为的。</w:t>
      </w:r>
    </w:p>
    <w:p w14:paraId="43CC4C04">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依据：《关于对公共资源交易领域严重失信主体开展联合惩戒的备忘录》（发改法规〔2018〕457号）</w:t>
      </w:r>
    </w:p>
    <w:p w14:paraId="647BAAE0">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63C6E050">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四、社会保险领域严重失信行为</w:t>
      </w:r>
    </w:p>
    <w:p w14:paraId="55D2154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（一）用人单位未按相关规定参加社会保险且拒不整改的； </w:t>
      </w:r>
    </w:p>
    <w:p w14:paraId="024695FB">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（二）用人单位未如实申报社会保险缴费基数且拒不整改的； </w:t>
      </w:r>
    </w:p>
    <w:p w14:paraId="0F7C7DE3">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（三）应缴纳社会保险费却拒不缴纳的； </w:t>
      </w:r>
    </w:p>
    <w:p w14:paraId="165260E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（四）隐匿、转移、侵占、挪用社会保险费款、基金或者违规投资运营的；</w:t>
      </w:r>
    </w:p>
    <w:p w14:paraId="62EFD54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（五）以欺诈、伪造证明材料或者其他手段参加、申报社会保险和骗取社会保险基金支出或社会保险待遇的； </w:t>
      </w:r>
    </w:p>
    <w:p w14:paraId="445EEFC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（六）非法获取、出售或变相交易社会保险个人权益数据的； </w:t>
      </w:r>
    </w:p>
    <w:p w14:paraId="0D913902">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（七）社会保险服务机构违反服务协议或相关规定的； </w:t>
      </w:r>
    </w:p>
    <w:p w14:paraId="2E255E3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 xml:space="preserve">（八）拒绝协助社会保险行政部门、经办机构对事故和问题进 行调查核实的；拒绝接受或协助税务部门对社会保险实施监督检查， 不如实提供与社会保险相关各项资料的； </w:t>
      </w:r>
    </w:p>
    <w:p w14:paraId="55FC7BF4">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（九）其他违反法律法规规定的。</w:t>
      </w:r>
    </w:p>
    <w:p w14:paraId="1FCF90D3">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依据：《关于对社会保险领域严重失信企业及其有关人员实施联合惩戒的合作备忘录》（发改财金〔2018〕1704号）</w:t>
      </w:r>
    </w:p>
    <w:p w14:paraId="1D0B80D0">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54936AD3">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五、建筑市场领域严重失信行为</w:t>
      </w:r>
    </w:p>
    <w:p w14:paraId="20AD841A">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（一）利用虚假材料、以欺骗手段取得企业资质的；</w:t>
      </w:r>
    </w:p>
    <w:p w14:paraId="118EFFC4">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（二）发生转包、出借资质，受到行政处罚的；</w:t>
      </w:r>
    </w:p>
    <w:p w14:paraId="56B79D47">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（三）发生重大及以上工程质量安全事故，或1年内累计发生2次及以上较大工程质量安全事故，或发生性质恶劣、危害性严重、社会影响大的较大工程质量安全事故，受到行政处罚的；</w:t>
      </w:r>
    </w:p>
    <w:p w14:paraId="6AD220B5">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（四）经法院判决或仲裁机构裁决，认定为拖欠工程款,且拒不履行生效法律文书确定的义务的。</w:t>
      </w:r>
    </w:p>
    <w:p w14:paraId="28BF1659">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各级住房城乡建设主管部门应当参照建筑市场主体“黑名单”，对被人力资源社会保障行政部门列入拖欠农民工工资“黑名单”的建筑市场各方主体加强监管。</w:t>
      </w:r>
    </w:p>
    <w:p w14:paraId="3462D2D5">
      <w:pPr>
        <w:widowControl/>
        <w:autoSpaceDE w:val="0"/>
        <w:spacing w:line="480" w:lineRule="exact"/>
        <w:ind w:firstLine="482"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lang w:bidi="ar"/>
        </w:rPr>
        <w:t>依据：《建筑市场信用管理暂行办法》（建市〔2017〕241号）</w:t>
      </w:r>
    </w:p>
    <w:p w14:paraId="25784D83">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 xml:space="preserve"> </w:t>
      </w:r>
    </w:p>
    <w:p w14:paraId="7CCBCCE9">
      <w:pPr>
        <w:widowControl/>
        <w:autoSpaceDE w:val="0"/>
        <w:spacing w:line="480" w:lineRule="exact"/>
        <w:ind w:firstLine="482" w:firstLineChars="20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kern w:val="0"/>
          <w:sz w:val="24"/>
          <w:szCs w:val="24"/>
          <w:highlight w:val="none"/>
          <w:lang w:bidi="ar"/>
        </w:rPr>
        <w:t>六、政府采购严重失信行为</w:t>
      </w:r>
    </w:p>
    <w:p w14:paraId="748032EC">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供应商、采购代理机构在三年内受到财政部门作出下列情形之一的行政处罚，列入政府采购严重违法失信行为记录名单。</w:t>
      </w:r>
    </w:p>
    <w:p w14:paraId="4D6043E6">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（一）三万元以上罚款；</w:t>
      </w:r>
    </w:p>
    <w:p w14:paraId="7665799F">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（二）在一至三年内禁止参加政府采购活动（处罚期限届满的除外）；</w:t>
      </w:r>
    </w:p>
    <w:p w14:paraId="38AE84FE">
      <w:pPr>
        <w:widowControl/>
        <w:autoSpaceDE w:val="0"/>
        <w:spacing w:line="480" w:lineRule="exact"/>
        <w:ind w:firstLine="480" w:firstLineChars="200"/>
        <w:jc w:val="left"/>
        <w:textAlignment w:val="baseline"/>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（三）在一至三年内禁止代理政府采购业务（处罚期限届满的除外）；</w:t>
      </w:r>
    </w:p>
    <w:p w14:paraId="0F522BFE">
      <w:pPr>
        <w:widowControl/>
        <w:autoSpaceDE w:val="0"/>
        <w:spacing w:line="480" w:lineRule="exact"/>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（四）撤销政府采购代理机构资格（仅针对《政府采购法》第78条修改前作出的处罚决定）。</w:t>
      </w:r>
    </w:p>
    <w:p w14:paraId="41EAA27F">
      <w:pPr>
        <w:widowControl/>
        <w:autoSpaceDE w:val="0"/>
        <w:spacing w:line="480" w:lineRule="exact"/>
        <w:ind w:firstLine="482" w:firstLineChars="200"/>
        <w:jc w:val="left"/>
        <w:textAlignment w:val="baseline"/>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lang w:bidi="ar"/>
        </w:rPr>
        <w:t>依据：《关于报送政府采购严重违法失信行为信息记录的通知》（财办库〔2014〕526号）</w:t>
      </w:r>
    </w:p>
    <w:p w14:paraId="5B75A01E">
      <w:pPr>
        <w:widowControl/>
        <w:autoSpaceDE w:val="0"/>
        <w:spacing w:line="480" w:lineRule="exact"/>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 xml:space="preserve"> </w:t>
      </w:r>
    </w:p>
    <w:p w14:paraId="66340CA6">
      <w:pPr>
        <w:widowControl/>
        <w:autoSpaceDE w:val="0"/>
        <w:spacing w:line="480" w:lineRule="exact"/>
        <w:ind w:firstLine="482" w:firstLineChars="200"/>
        <w:jc w:val="left"/>
        <w:textAlignment w:val="baseline"/>
        <w:rPr>
          <w:rFonts w:hint="eastAsia" w:ascii="宋体" w:hAnsi="宋体" w:cs="宋体"/>
          <w:b/>
          <w:color w:val="auto"/>
          <w:szCs w:val="21"/>
          <w:highlight w:val="none"/>
        </w:rPr>
      </w:pPr>
      <w:r>
        <w:rPr>
          <w:rFonts w:hint="eastAsia" w:ascii="宋体" w:hAnsi="宋体" w:eastAsia="宋体" w:cs="宋体"/>
          <w:b/>
          <w:color w:val="auto"/>
          <w:kern w:val="0"/>
          <w:sz w:val="24"/>
          <w:szCs w:val="24"/>
          <w:highlight w:val="none"/>
          <w:lang w:bidi="ar"/>
        </w:rPr>
        <w:t>未列出的其他类别严重失信行为，由招标人（代理机构）根据各类别行业主管部门下发的联合惩戒文件进行判断</w:t>
      </w:r>
      <w:r>
        <w:rPr>
          <w:rFonts w:hint="eastAsia" w:ascii="宋体" w:hAnsi="宋体" w:eastAsia="宋体" w:cs="宋体"/>
          <w:b/>
          <w:bCs/>
          <w:color w:val="auto"/>
          <w:kern w:val="0"/>
          <w:sz w:val="24"/>
          <w:szCs w:val="24"/>
          <w:highlight w:val="none"/>
          <w:lang w:bidi="ar"/>
        </w:rPr>
        <w:t>。</w:t>
      </w:r>
    </w:p>
    <w:p w14:paraId="0FF00D95">
      <w:pPr>
        <w:pStyle w:val="2"/>
        <w:jc w:val="center"/>
        <w:rPr>
          <w:rFonts w:hint="eastAsia" w:ascii="宋体"/>
          <w:b w:val="0"/>
          <w:color w:val="auto"/>
          <w:szCs w:val="32"/>
          <w:highlight w:val="none"/>
        </w:rPr>
      </w:pPr>
      <w:bookmarkStart w:id="103" w:name="_Toc449028957"/>
      <w:r>
        <w:rPr>
          <w:rFonts w:ascii="宋体"/>
          <w:b w:val="0"/>
          <w:color w:val="auto"/>
          <w:szCs w:val="32"/>
          <w:highlight w:val="none"/>
        </w:rPr>
        <w:br w:type="page"/>
      </w:r>
      <w:bookmarkStart w:id="104" w:name="_Toc58430333"/>
      <w:bookmarkStart w:id="105" w:name="_Toc25631"/>
      <w:r>
        <w:rPr>
          <w:rFonts w:hint="eastAsia" w:ascii="宋体"/>
          <w:color w:val="auto"/>
          <w:szCs w:val="32"/>
          <w:highlight w:val="none"/>
        </w:rPr>
        <w:t xml:space="preserve">第七章 </w:t>
      </w:r>
      <w:r>
        <w:rPr>
          <w:rFonts w:hint="eastAsia" w:ascii="宋体"/>
          <w:bCs w:val="0"/>
          <w:color w:val="auto"/>
          <w:szCs w:val="32"/>
          <w:highlight w:val="none"/>
        </w:rPr>
        <w:t>招标人、采购代理机构对本招标文件的确认</w:t>
      </w:r>
      <w:bookmarkEnd w:id="103"/>
      <w:bookmarkEnd w:id="104"/>
      <w:bookmarkEnd w:id="105"/>
    </w:p>
    <w:p w14:paraId="77F80C4C">
      <w:pPr>
        <w:spacing w:line="440" w:lineRule="exact"/>
        <w:rPr>
          <w:rFonts w:hint="eastAsia" w:ascii="宋体"/>
          <w:color w:val="auto"/>
          <w:sz w:val="24"/>
          <w:highlight w:val="none"/>
          <w:u w:val="single"/>
        </w:rPr>
      </w:pPr>
    </w:p>
    <w:bookmarkEnd w:id="0"/>
    <w:tbl>
      <w:tblPr>
        <w:tblStyle w:val="35"/>
        <w:tblW w:w="0" w:type="auto"/>
        <w:jc w:val="center"/>
        <w:tblLayout w:type="fixed"/>
        <w:tblCellMar>
          <w:top w:w="0" w:type="dxa"/>
          <w:left w:w="108" w:type="dxa"/>
          <w:bottom w:w="0" w:type="dxa"/>
          <w:right w:w="108" w:type="dxa"/>
        </w:tblCellMar>
      </w:tblPr>
      <w:tblGrid>
        <w:gridCol w:w="9460"/>
      </w:tblGrid>
      <w:tr w14:paraId="6F06C978">
        <w:tblPrEx>
          <w:tblCellMar>
            <w:top w:w="0" w:type="dxa"/>
            <w:left w:w="108" w:type="dxa"/>
            <w:bottom w:w="0" w:type="dxa"/>
            <w:right w:w="108" w:type="dxa"/>
          </w:tblCellMar>
        </w:tblPrEx>
        <w:trPr>
          <w:trHeight w:val="5962" w:hRule="atLeast"/>
          <w:jc w:val="center"/>
        </w:trPr>
        <w:tc>
          <w:tcPr>
            <w:tcW w:w="9460" w:type="dxa"/>
            <w:tcBorders>
              <w:top w:val="single" w:color="auto" w:sz="4" w:space="0"/>
              <w:left w:val="single" w:color="auto" w:sz="4" w:space="0"/>
              <w:bottom w:val="single" w:color="auto" w:sz="4" w:space="0"/>
              <w:right w:val="single" w:color="auto" w:sz="4" w:space="0"/>
            </w:tcBorders>
            <w:noWrap w:val="0"/>
            <w:vAlign w:val="top"/>
          </w:tcPr>
          <w:p w14:paraId="54B5B53A">
            <w:pPr>
              <w:spacing w:line="440" w:lineRule="exact"/>
              <w:ind w:firstLine="560" w:firstLineChars="200"/>
              <w:rPr>
                <w:rFonts w:hint="eastAsia" w:ascii="宋体" w:cs="宋体"/>
                <w:color w:val="auto"/>
                <w:sz w:val="28"/>
                <w:szCs w:val="28"/>
                <w:highlight w:val="none"/>
              </w:rPr>
            </w:pPr>
          </w:p>
          <w:p w14:paraId="3CEE0165">
            <w:pPr>
              <w:spacing w:after="156" w:afterLines="50"/>
              <w:rPr>
                <w:rFonts w:hint="eastAsia" w:ascii="宋体" w:cs="宋体"/>
                <w:color w:val="auto"/>
                <w:sz w:val="28"/>
                <w:szCs w:val="28"/>
                <w:highlight w:val="none"/>
              </w:rPr>
            </w:pPr>
            <w:r>
              <w:rPr>
                <w:rFonts w:hint="eastAsia" w:ascii="宋体" w:cs="宋体"/>
                <w:color w:val="auto"/>
                <w:sz w:val="28"/>
                <w:szCs w:val="28"/>
                <w:highlight w:val="none"/>
              </w:rPr>
              <w:t xml:space="preserve">  我单位对</w:t>
            </w:r>
            <w:r>
              <w:rPr>
                <w:rFonts w:hint="eastAsia" w:ascii="宋体" w:cs="宋体"/>
                <w:color w:val="auto"/>
                <w:sz w:val="28"/>
                <w:szCs w:val="28"/>
                <w:highlight w:val="none"/>
                <w:u w:val="single"/>
              </w:rPr>
              <w:t xml:space="preserve"> </w:t>
            </w:r>
            <w:r>
              <w:rPr>
                <w:rFonts w:hint="eastAsia" w:ascii="宋体" w:cs="宋体"/>
                <w:color w:val="auto"/>
                <w:sz w:val="28"/>
                <w:szCs w:val="28"/>
                <w:highlight w:val="none"/>
                <w:u w:val="single"/>
                <w:lang w:eastAsia="zh-CN"/>
              </w:rPr>
              <w:t>滁州市扬子大道768号文创园经营服务项目</w:t>
            </w:r>
            <w:r>
              <w:rPr>
                <w:rFonts w:hint="eastAsia" w:ascii="宋体" w:cs="宋体"/>
                <w:color w:val="auto"/>
                <w:sz w:val="28"/>
                <w:szCs w:val="28"/>
                <w:highlight w:val="none"/>
                <w:u w:val="single"/>
              </w:rPr>
              <w:t xml:space="preserve"> </w:t>
            </w:r>
            <w:r>
              <w:rPr>
                <w:rFonts w:hint="eastAsia" w:ascii="宋体" w:cs="宋体"/>
                <w:color w:val="auto"/>
                <w:sz w:val="28"/>
                <w:szCs w:val="28"/>
                <w:highlight w:val="none"/>
              </w:rPr>
              <w:t>的招标文件进行确认。</w:t>
            </w:r>
          </w:p>
          <w:p w14:paraId="53AF6623">
            <w:pPr>
              <w:spacing w:line="540" w:lineRule="exact"/>
              <w:ind w:firstLine="560" w:firstLineChars="200"/>
              <w:rPr>
                <w:rFonts w:hint="eastAsia" w:ascii="宋体" w:eastAsia="宋体" w:cs="宋体"/>
                <w:color w:val="auto"/>
                <w:sz w:val="28"/>
                <w:szCs w:val="28"/>
                <w:highlight w:val="none"/>
                <w:lang w:eastAsia="zh-CN"/>
              </w:rPr>
            </w:pPr>
            <w:r>
              <w:rPr>
                <w:rFonts w:hint="eastAsia" w:ascii="宋体" w:cs="宋体"/>
                <w:color w:val="auto"/>
                <w:sz w:val="28"/>
                <w:szCs w:val="28"/>
                <w:highlight w:val="none"/>
              </w:rPr>
              <w:t>招标单位：</w:t>
            </w:r>
            <w:r>
              <w:rPr>
                <w:rFonts w:hint="eastAsia" w:ascii="宋体" w:cs="宋体"/>
                <w:color w:val="auto"/>
                <w:sz w:val="28"/>
                <w:szCs w:val="28"/>
                <w:highlight w:val="none"/>
                <w:lang w:eastAsia="zh-CN"/>
              </w:rPr>
              <w:t>中国扬子集团有限公司</w:t>
            </w:r>
          </w:p>
          <w:p w14:paraId="4C6C45EE">
            <w:pPr>
              <w:spacing w:line="540" w:lineRule="exact"/>
              <w:ind w:firstLine="560" w:firstLineChars="200"/>
              <w:rPr>
                <w:rFonts w:hint="eastAsia" w:ascii="宋体" w:eastAsia="宋体" w:cs="宋体"/>
                <w:color w:val="auto"/>
                <w:sz w:val="28"/>
                <w:szCs w:val="28"/>
                <w:highlight w:val="none"/>
                <w:lang w:val="en-US" w:eastAsia="zh-CN"/>
              </w:rPr>
            </w:pPr>
            <w:r>
              <w:rPr>
                <w:rFonts w:hint="eastAsia" w:ascii="宋体" w:cs="宋体"/>
                <w:color w:val="auto"/>
                <w:sz w:val="28"/>
                <w:szCs w:val="28"/>
                <w:highlight w:val="none"/>
              </w:rPr>
              <w:t>委托代理人：</w:t>
            </w:r>
            <w:r>
              <w:rPr>
                <w:rFonts w:hint="eastAsia" w:ascii="宋体" w:cs="宋体"/>
                <w:color w:val="auto"/>
                <w:sz w:val="28"/>
                <w:szCs w:val="28"/>
                <w:highlight w:val="none"/>
                <w:lang w:val="en-US" w:eastAsia="zh-CN"/>
              </w:rPr>
              <w:t>汪德胜</w:t>
            </w:r>
          </w:p>
          <w:p w14:paraId="0AE34175">
            <w:pPr>
              <w:spacing w:line="540" w:lineRule="exact"/>
              <w:ind w:firstLine="560" w:firstLineChars="200"/>
              <w:rPr>
                <w:rFonts w:hint="default" w:ascii="宋体" w:cs="宋体"/>
                <w:color w:val="auto"/>
                <w:sz w:val="28"/>
                <w:szCs w:val="28"/>
                <w:highlight w:val="none"/>
                <w:lang w:val="en-US"/>
              </w:rPr>
            </w:pPr>
            <w:r>
              <w:rPr>
                <w:rFonts w:hint="eastAsia" w:ascii="宋体" w:cs="宋体"/>
                <w:color w:val="auto"/>
                <w:sz w:val="28"/>
                <w:szCs w:val="28"/>
                <w:highlight w:val="none"/>
              </w:rPr>
              <w:t>联系电话：</w:t>
            </w:r>
            <w:r>
              <w:rPr>
                <w:rFonts w:hint="eastAsia" w:ascii="宋体" w:cs="宋体"/>
                <w:color w:val="auto"/>
                <w:sz w:val="28"/>
                <w:szCs w:val="28"/>
                <w:highlight w:val="none"/>
                <w:lang w:val="en-US" w:eastAsia="zh-CN"/>
              </w:rPr>
              <w:t>0550-3166090</w:t>
            </w:r>
          </w:p>
          <w:p w14:paraId="7AA6EED9">
            <w:pPr>
              <w:spacing w:line="540" w:lineRule="exact"/>
              <w:ind w:firstLine="7140" w:firstLineChars="2550"/>
              <w:rPr>
                <w:rFonts w:hint="eastAsia" w:ascii="宋体" w:cs="宋体"/>
                <w:color w:val="auto"/>
                <w:sz w:val="28"/>
                <w:szCs w:val="28"/>
                <w:highlight w:val="none"/>
              </w:rPr>
            </w:pPr>
          </w:p>
          <w:p w14:paraId="00336E8D">
            <w:pPr>
              <w:spacing w:line="540" w:lineRule="exact"/>
              <w:ind w:firstLine="7140" w:firstLineChars="2550"/>
              <w:rPr>
                <w:rFonts w:hint="eastAsia" w:ascii="宋体" w:cs="宋体"/>
                <w:color w:val="auto"/>
                <w:sz w:val="28"/>
                <w:szCs w:val="28"/>
                <w:highlight w:val="none"/>
              </w:rPr>
            </w:pPr>
            <w:r>
              <w:rPr>
                <w:rFonts w:hint="eastAsia" w:ascii="宋体" w:cs="宋体"/>
                <w:color w:val="auto"/>
                <w:sz w:val="28"/>
                <w:szCs w:val="28"/>
                <w:highlight w:val="none"/>
              </w:rPr>
              <w:t>（盖单位章）</w:t>
            </w:r>
          </w:p>
          <w:p w14:paraId="563D6AB3">
            <w:pPr>
              <w:spacing w:line="540" w:lineRule="exact"/>
              <w:jc w:val="right"/>
              <w:rPr>
                <w:rFonts w:ascii="宋体" w:cs="宋体"/>
                <w:color w:val="auto"/>
                <w:sz w:val="28"/>
                <w:szCs w:val="28"/>
                <w:highlight w:val="none"/>
              </w:rPr>
            </w:pPr>
            <w:r>
              <w:rPr>
                <w:rFonts w:hint="eastAsia" w:ascii="宋体" w:cs="宋体"/>
                <w:color w:val="auto"/>
                <w:sz w:val="28"/>
                <w:szCs w:val="28"/>
                <w:highlight w:val="none"/>
              </w:rPr>
              <w:t>202</w:t>
            </w:r>
            <w:r>
              <w:rPr>
                <w:rFonts w:hint="eastAsia" w:ascii="宋体" w:cs="宋体"/>
                <w:color w:val="auto"/>
                <w:sz w:val="28"/>
                <w:szCs w:val="28"/>
                <w:highlight w:val="none"/>
                <w:lang w:val="en-US" w:eastAsia="zh-CN"/>
              </w:rPr>
              <w:t>6</w:t>
            </w:r>
            <w:r>
              <w:rPr>
                <w:rFonts w:hint="eastAsia" w:ascii="宋体" w:cs="宋体"/>
                <w:color w:val="auto"/>
                <w:sz w:val="28"/>
                <w:szCs w:val="28"/>
                <w:highlight w:val="none"/>
              </w:rPr>
              <w:t>年</w:t>
            </w:r>
            <w:r>
              <w:rPr>
                <w:rFonts w:hint="eastAsia" w:ascii="宋体" w:cs="宋体"/>
                <w:color w:val="auto"/>
                <w:sz w:val="28"/>
                <w:szCs w:val="28"/>
                <w:highlight w:val="none"/>
                <w:lang w:val="en-US" w:eastAsia="zh-CN"/>
              </w:rPr>
              <w:t>2</w:t>
            </w:r>
            <w:r>
              <w:rPr>
                <w:rFonts w:hint="eastAsia" w:ascii="宋体" w:cs="宋体"/>
                <w:color w:val="auto"/>
                <w:sz w:val="28"/>
                <w:szCs w:val="28"/>
                <w:highlight w:val="none"/>
              </w:rPr>
              <w:t>月</w:t>
            </w:r>
          </w:p>
        </w:tc>
      </w:tr>
      <w:tr w14:paraId="30D1EF62">
        <w:tblPrEx>
          <w:tblCellMar>
            <w:top w:w="0" w:type="dxa"/>
            <w:left w:w="108" w:type="dxa"/>
            <w:bottom w:w="0" w:type="dxa"/>
            <w:right w:w="108" w:type="dxa"/>
          </w:tblCellMar>
        </w:tblPrEx>
        <w:trPr>
          <w:trHeight w:val="5471" w:hRule="atLeast"/>
          <w:jc w:val="center"/>
        </w:trPr>
        <w:tc>
          <w:tcPr>
            <w:tcW w:w="9460" w:type="dxa"/>
            <w:tcBorders>
              <w:top w:val="single" w:color="auto" w:sz="4" w:space="0"/>
              <w:left w:val="single" w:color="auto" w:sz="4" w:space="0"/>
              <w:bottom w:val="single" w:color="auto" w:sz="4" w:space="0"/>
              <w:right w:val="single" w:color="auto" w:sz="4" w:space="0"/>
            </w:tcBorders>
            <w:noWrap w:val="0"/>
            <w:vAlign w:val="top"/>
          </w:tcPr>
          <w:p w14:paraId="65E89F77">
            <w:pPr>
              <w:spacing w:line="440" w:lineRule="exact"/>
              <w:rPr>
                <w:rFonts w:hint="eastAsia" w:ascii="宋体" w:cs="宋体"/>
                <w:color w:val="auto"/>
                <w:sz w:val="28"/>
                <w:szCs w:val="28"/>
                <w:highlight w:val="none"/>
              </w:rPr>
            </w:pPr>
          </w:p>
          <w:p w14:paraId="019E0C2C">
            <w:pPr>
              <w:spacing w:line="520" w:lineRule="exact"/>
              <w:ind w:firstLine="560" w:firstLineChars="200"/>
              <w:rPr>
                <w:rFonts w:hint="eastAsia" w:ascii="宋体" w:cs="宋体"/>
                <w:color w:val="auto"/>
                <w:sz w:val="28"/>
                <w:szCs w:val="28"/>
                <w:highlight w:val="none"/>
              </w:rPr>
            </w:pPr>
            <w:r>
              <w:rPr>
                <w:rFonts w:hint="eastAsia" w:ascii="宋体" w:cs="宋体"/>
                <w:color w:val="auto"/>
                <w:sz w:val="28"/>
                <w:szCs w:val="28"/>
                <w:highlight w:val="none"/>
              </w:rPr>
              <w:t>招标代理机构：滁州市城投工程咨询管理有限公司</w:t>
            </w:r>
          </w:p>
          <w:p w14:paraId="167A5651">
            <w:pPr>
              <w:spacing w:line="520" w:lineRule="exact"/>
              <w:ind w:firstLine="560" w:firstLineChars="200"/>
              <w:rPr>
                <w:rFonts w:hint="eastAsia" w:ascii="宋体" w:cs="宋体"/>
                <w:color w:val="auto"/>
                <w:sz w:val="28"/>
                <w:szCs w:val="28"/>
                <w:highlight w:val="none"/>
              </w:rPr>
            </w:pPr>
            <w:r>
              <w:rPr>
                <w:rFonts w:hint="eastAsia" w:ascii="宋体" w:cs="宋体"/>
                <w:color w:val="auto"/>
                <w:sz w:val="28"/>
                <w:szCs w:val="28"/>
                <w:highlight w:val="none"/>
              </w:rPr>
              <w:t>经办人：杨韦</w:t>
            </w:r>
          </w:p>
          <w:p w14:paraId="4E945D8D">
            <w:pPr>
              <w:spacing w:line="520" w:lineRule="exact"/>
              <w:ind w:firstLine="560" w:firstLineChars="200"/>
              <w:rPr>
                <w:rFonts w:hint="eastAsia" w:ascii="宋体" w:cs="宋体"/>
                <w:color w:val="auto"/>
                <w:sz w:val="28"/>
                <w:szCs w:val="28"/>
                <w:highlight w:val="none"/>
              </w:rPr>
            </w:pPr>
            <w:r>
              <w:rPr>
                <w:rFonts w:hint="eastAsia" w:ascii="宋体" w:cs="宋体"/>
                <w:color w:val="auto"/>
                <w:sz w:val="28"/>
                <w:szCs w:val="28"/>
                <w:highlight w:val="none"/>
              </w:rPr>
              <w:t>电  话：0550-3519590、18005501210</w:t>
            </w:r>
          </w:p>
          <w:p w14:paraId="57E148F0">
            <w:pPr>
              <w:spacing w:line="520" w:lineRule="exact"/>
              <w:ind w:firstLine="6300" w:firstLineChars="2250"/>
              <w:rPr>
                <w:rFonts w:hint="eastAsia" w:ascii="宋体" w:cs="宋体"/>
                <w:color w:val="auto"/>
                <w:sz w:val="28"/>
                <w:szCs w:val="28"/>
                <w:highlight w:val="none"/>
              </w:rPr>
            </w:pPr>
          </w:p>
          <w:p w14:paraId="38A31B75">
            <w:pPr>
              <w:pStyle w:val="12"/>
              <w:rPr>
                <w:rFonts w:hint="eastAsia"/>
                <w:color w:val="auto"/>
                <w:kern w:val="2"/>
                <w:sz w:val="21"/>
                <w:szCs w:val="24"/>
                <w:highlight w:val="none"/>
              </w:rPr>
            </w:pPr>
          </w:p>
          <w:p w14:paraId="3DE989F0">
            <w:pPr>
              <w:spacing w:line="520" w:lineRule="exact"/>
              <w:ind w:firstLine="6580" w:firstLineChars="2350"/>
              <w:rPr>
                <w:rFonts w:hint="eastAsia" w:ascii="宋体" w:cs="宋体"/>
                <w:color w:val="auto"/>
                <w:sz w:val="28"/>
                <w:szCs w:val="28"/>
                <w:highlight w:val="none"/>
              </w:rPr>
            </w:pPr>
          </w:p>
          <w:p w14:paraId="5F965646">
            <w:pPr>
              <w:spacing w:line="520" w:lineRule="exact"/>
              <w:ind w:firstLine="7140" w:firstLineChars="2550"/>
              <w:rPr>
                <w:rFonts w:hint="eastAsia" w:ascii="宋体" w:cs="宋体"/>
                <w:color w:val="auto"/>
                <w:sz w:val="28"/>
                <w:szCs w:val="28"/>
                <w:highlight w:val="none"/>
              </w:rPr>
            </w:pPr>
            <w:r>
              <w:rPr>
                <w:rFonts w:hint="eastAsia" w:ascii="宋体" w:cs="宋体"/>
                <w:color w:val="auto"/>
                <w:sz w:val="28"/>
                <w:szCs w:val="28"/>
                <w:highlight w:val="none"/>
              </w:rPr>
              <w:t>（盖单位章）</w:t>
            </w:r>
          </w:p>
          <w:p w14:paraId="2995B274">
            <w:pPr>
              <w:spacing w:line="540" w:lineRule="exact"/>
              <w:jc w:val="right"/>
              <w:rPr>
                <w:rFonts w:hint="eastAsia" w:ascii="宋体" w:cs="宋体"/>
                <w:color w:val="auto"/>
                <w:sz w:val="28"/>
                <w:szCs w:val="28"/>
                <w:highlight w:val="none"/>
              </w:rPr>
            </w:pPr>
            <w:r>
              <w:rPr>
                <w:rFonts w:hint="eastAsia" w:ascii="宋体" w:cs="宋体"/>
                <w:color w:val="auto"/>
                <w:sz w:val="28"/>
                <w:szCs w:val="28"/>
                <w:highlight w:val="none"/>
              </w:rPr>
              <w:t>202</w:t>
            </w:r>
            <w:r>
              <w:rPr>
                <w:rFonts w:hint="eastAsia" w:ascii="宋体" w:cs="宋体"/>
                <w:color w:val="auto"/>
                <w:sz w:val="28"/>
                <w:szCs w:val="28"/>
                <w:highlight w:val="none"/>
                <w:lang w:val="en-US" w:eastAsia="zh-CN"/>
              </w:rPr>
              <w:t>6</w:t>
            </w:r>
            <w:r>
              <w:rPr>
                <w:rFonts w:hint="eastAsia" w:ascii="宋体" w:cs="宋体"/>
                <w:color w:val="auto"/>
                <w:sz w:val="28"/>
                <w:szCs w:val="28"/>
                <w:highlight w:val="none"/>
              </w:rPr>
              <w:t>年</w:t>
            </w:r>
            <w:r>
              <w:rPr>
                <w:rFonts w:hint="eastAsia" w:ascii="宋体" w:cs="宋体"/>
                <w:color w:val="auto"/>
                <w:sz w:val="28"/>
                <w:szCs w:val="28"/>
                <w:highlight w:val="none"/>
                <w:lang w:val="en-US" w:eastAsia="zh-CN"/>
              </w:rPr>
              <w:t>2</w:t>
            </w:r>
            <w:r>
              <w:rPr>
                <w:rFonts w:hint="eastAsia" w:ascii="宋体" w:cs="宋体"/>
                <w:color w:val="auto"/>
                <w:sz w:val="28"/>
                <w:szCs w:val="28"/>
                <w:highlight w:val="none"/>
              </w:rPr>
              <w:t>月</w:t>
            </w:r>
          </w:p>
        </w:tc>
      </w:tr>
    </w:tbl>
    <w:p w14:paraId="43275A1B">
      <w:pPr>
        <w:rPr>
          <w:color w:val="auto"/>
          <w:highlight w:val="none"/>
        </w:rPr>
      </w:pPr>
    </w:p>
    <w:sectPr>
      <w:pgSz w:w="11906" w:h="16838"/>
      <w:pgMar w:top="1440" w:right="1417" w:bottom="1417" w:left="1417"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DF55FD-E0C3-461A-B937-9E4C640D6D74}"/>
  </w:font>
  <w:font w:name="黑体">
    <w:panose1 w:val="02010609060101010101"/>
    <w:charset w:val="86"/>
    <w:family w:val="auto"/>
    <w:pitch w:val="default"/>
    <w:sig w:usb0="800002BF" w:usb1="38CF7CFA" w:usb2="00000016" w:usb3="00000000" w:csb0="00040001" w:csb1="00000000"/>
    <w:embedRegular r:id="rId2" w:fontKey="{00550C32-EDB9-463F-904C-C503C4FABAB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DDCFA8C-8A3C-4964-A098-25A1C38F1167}"/>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4" w:fontKey="{ADE709BD-F917-4500-8809-BC71EEF50388}"/>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405020304"/>
    <w:charset w:val="00"/>
    <w:family w:val="roman"/>
    <w:pitch w:val="default"/>
    <w:sig w:usb0="00000000" w:usb1="00000000" w:usb2="00000009" w:usb3="00000000" w:csb0="000001FF" w:csb1="00000000"/>
  </w:font>
  <w:font w:name="DokChampa">
    <w:altName w:val="Segoe Print"/>
    <w:panose1 w:val="020B0604020202020204"/>
    <w:charset w:val="00"/>
    <w:family w:val="swiss"/>
    <w:pitch w:val="default"/>
    <w:sig w:usb0="00000000" w:usb1="00000000" w:usb2="00000000" w:usb3="00000000" w:csb0="40010001" w:csb1="00000000"/>
  </w:font>
  <w:font w:name="MS Sans Serif">
    <w:altName w:val="Segoe Print"/>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7F" w:usb3="00000000" w:csb0="203F01FF" w:csb1="DFFF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embedRegular r:id="rId5" w:fontKey="{4157B5FB-C135-4B2E-BE7E-86A80300FA10}"/>
  </w:font>
  <w:font w:name="华文中宋">
    <w:panose1 w:val="02010600040101010101"/>
    <w:charset w:val="86"/>
    <w:family w:val="auto"/>
    <w:pitch w:val="default"/>
    <w:sig w:usb0="00000287" w:usb1="080F0000" w:usb2="00000000" w:usb3="00000000" w:csb0="0004009F" w:csb1="DFD70000"/>
    <w:embedRegular r:id="rId6" w:fontKey="{49A0BC4F-2B4F-478B-93E4-0876F3B2E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96DDF">
    <w:pPr>
      <w:pStyle w:val="23"/>
      <w:tabs>
        <w:tab w:val="clear" w:pos="4153"/>
        <w:tab w:val="clear" w:pos="8306"/>
      </w:tabs>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9D419">
    <w:pPr>
      <w:pStyle w:val="23"/>
      <w:tabs>
        <w:tab w:val="clear" w:pos="4153"/>
        <w:tab w:val="clear" w:pos="8306"/>
      </w:tabs>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E8EBDD">
                          <w:pPr>
                            <w:pStyle w:val="23"/>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7E8EBDD">
                    <w:pPr>
                      <w:pStyle w:val="23"/>
                    </w:pPr>
                    <w:r>
                      <w:fldChar w:fldCharType="begin"/>
                    </w:r>
                    <w:r>
                      <w:instrText xml:space="preserve"> PAGE  \* MERGEFORMAT </w:instrText>
                    </w:r>
                    <w:r>
                      <w:fldChar w:fldCharType="separate"/>
                    </w:r>
                    <w:r>
                      <w:t>50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A59F2">
    <w:pPr>
      <w:pStyle w:val="24"/>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D47F0">
    <w:pPr>
      <w:pStyle w:val="24"/>
      <w:pBdr>
        <w:bottom w:val="none" w:color="auto" w:sz="0" w:space="0"/>
      </w:pBdr>
      <w:tabs>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5"/>
    <w:multiLevelType w:val="multilevel"/>
    <w:tmpl w:val="00000005"/>
    <w:lvl w:ilvl="0" w:tentative="0">
      <w:start w:val="1"/>
      <w:numFmt w:val="chineseCountingThousand"/>
      <w:pStyle w:val="101"/>
      <w:suff w:val="space"/>
      <w:lvlText w:val="%1、"/>
      <w:lvlJc w:val="left"/>
      <w:pPr>
        <w:ind w:left="425" w:hanging="425"/>
      </w:pPr>
      <w:rPr>
        <w:rFonts w:hint="eastAsia"/>
      </w:rPr>
    </w:lvl>
    <w:lvl w:ilvl="1" w:tentative="0">
      <w:start w:val="1"/>
      <w:numFmt w:val="decimal"/>
      <w:suff w:val="space"/>
      <w:lvlText w:val="%2、"/>
      <w:lvlJc w:val="left"/>
      <w:pPr>
        <w:ind w:left="454" w:hanging="454"/>
      </w:pPr>
      <w:rPr>
        <w:rFonts w:hint="eastAsia"/>
      </w:rPr>
    </w:lvl>
    <w:lvl w:ilvl="2" w:tentative="0">
      <w:start w:val="1"/>
      <w:numFmt w:val="decimal"/>
      <w:suff w:val="space"/>
      <w:lvlText w:val="%2.%3"/>
      <w:lvlJc w:val="left"/>
      <w:pPr>
        <w:ind w:left="454" w:hanging="454"/>
      </w:pPr>
      <w:rPr>
        <w:rFonts w:hint="default" w:ascii="Cambria" w:hAnsi="Cambria"/>
      </w:rPr>
    </w:lvl>
    <w:lvl w:ilvl="3" w:tentative="0">
      <w:start w:val="1"/>
      <w:numFmt w:val="decimal"/>
      <w:lvlText w:val="%2.%3.%4"/>
      <w:lvlJc w:val="left"/>
      <w:pPr>
        <w:ind w:left="454" w:hanging="454"/>
      </w:pPr>
      <w:rPr>
        <w:rFonts w:hint="eastAsia"/>
      </w:rPr>
    </w:lvl>
    <w:lvl w:ilvl="4" w:tentative="0">
      <w:start w:val="1"/>
      <w:numFmt w:val="decimal"/>
      <w:lvlText w:val="%2.%3.%4.%5"/>
      <w:lvlJc w:val="left"/>
      <w:pPr>
        <w:ind w:left="454" w:hanging="454"/>
      </w:pPr>
      <w:rPr>
        <w:rFonts w:hint="eastAsia"/>
      </w:rPr>
    </w:lvl>
    <w:lvl w:ilvl="5" w:tentative="0">
      <w:start w:val="1"/>
      <w:numFmt w:val="decimal"/>
      <w:lvlText w:val="%1.%2.%3.%4.%5.%6"/>
      <w:lvlJc w:val="left"/>
      <w:pPr>
        <w:ind w:left="2550" w:hanging="425"/>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1">
    <w:nsid w:val="00000007"/>
    <w:multiLevelType w:val="multilevel"/>
    <w:tmpl w:val="00000007"/>
    <w:lvl w:ilvl="0" w:tentative="0">
      <w:start w:val="1"/>
      <w:numFmt w:val="chineseCountingThousand"/>
      <w:pStyle w:val="32"/>
      <w:lvlText w:val="%1、"/>
      <w:lvlJc w:val="left"/>
      <w:pPr>
        <w:ind w:left="420" w:hanging="420"/>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0D"/>
    <w:multiLevelType w:val="multilevel"/>
    <w:tmpl w:val="0000000D"/>
    <w:lvl w:ilvl="0" w:tentative="0">
      <w:start w:val="1"/>
      <w:numFmt w:val="decimal"/>
      <w:pStyle w:val="94"/>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000000F"/>
    <w:multiLevelType w:val="multilevel"/>
    <w:tmpl w:val="0000000F"/>
    <w:lvl w:ilvl="0" w:tentative="0">
      <w:start w:val="1"/>
      <w:numFmt w:val="decimal"/>
      <w:lvlText w:val="%1、"/>
      <w:lvlJc w:val="left"/>
      <w:pPr>
        <w:ind w:left="371" w:hanging="360"/>
      </w:pPr>
      <w:rPr>
        <w:rFonts w:hint="default"/>
      </w:rPr>
    </w:lvl>
    <w:lvl w:ilvl="1" w:tentative="0">
      <w:start w:val="1"/>
      <w:numFmt w:val="lowerLetter"/>
      <w:pStyle w:val="3"/>
      <w:lvlText w:val="%2)"/>
      <w:lvlJc w:val="left"/>
      <w:pPr>
        <w:ind w:left="851" w:hanging="420"/>
      </w:pPr>
    </w:lvl>
    <w:lvl w:ilvl="2" w:tentative="0">
      <w:start w:val="1"/>
      <w:numFmt w:val="lowerRoman"/>
      <w:lvlText w:val="%3."/>
      <w:lvlJc w:val="right"/>
      <w:pPr>
        <w:ind w:left="1271" w:hanging="420"/>
      </w:pPr>
    </w:lvl>
    <w:lvl w:ilvl="3" w:tentative="0">
      <w:start w:val="1"/>
      <w:numFmt w:val="decimal"/>
      <w:lvlText w:val="%4."/>
      <w:lvlJc w:val="left"/>
      <w:pPr>
        <w:ind w:left="1691" w:hanging="420"/>
      </w:pPr>
    </w:lvl>
    <w:lvl w:ilvl="4" w:tentative="0">
      <w:start w:val="1"/>
      <w:numFmt w:val="lowerLetter"/>
      <w:lvlText w:val="%5)"/>
      <w:lvlJc w:val="left"/>
      <w:pPr>
        <w:ind w:left="2111" w:hanging="420"/>
      </w:pPr>
    </w:lvl>
    <w:lvl w:ilvl="5" w:tentative="0">
      <w:start w:val="1"/>
      <w:numFmt w:val="lowerRoman"/>
      <w:lvlText w:val="%6."/>
      <w:lvlJc w:val="right"/>
      <w:pPr>
        <w:ind w:left="2531" w:hanging="420"/>
      </w:pPr>
    </w:lvl>
    <w:lvl w:ilvl="6" w:tentative="0">
      <w:start w:val="1"/>
      <w:numFmt w:val="decimal"/>
      <w:lvlText w:val="%7."/>
      <w:lvlJc w:val="left"/>
      <w:pPr>
        <w:ind w:left="2951" w:hanging="420"/>
      </w:pPr>
    </w:lvl>
    <w:lvl w:ilvl="7" w:tentative="0">
      <w:start w:val="1"/>
      <w:numFmt w:val="lowerLetter"/>
      <w:lvlText w:val="%8)"/>
      <w:lvlJc w:val="left"/>
      <w:pPr>
        <w:ind w:left="3371" w:hanging="420"/>
      </w:pPr>
    </w:lvl>
    <w:lvl w:ilvl="8" w:tentative="0">
      <w:start w:val="1"/>
      <w:numFmt w:val="lowerRoman"/>
      <w:lvlText w:val="%9."/>
      <w:lvlJc w:val="right"/>
      <w:pPr>
        <w:ind w:left="3791" w:hanging="420"/>
      </w:pPr>
    </w:lvl>
  </w:abstractNum>
  <w:abstractNum w:abstractNumId="4">
    <w:nsid w:val="00000010"/>
    <w:multiLevelType w:val="multilevel"/>
    <w:tmpl w:val="00000010"/>
    <w:lvl w:ilvl="0" w:tentative="0">
      <w:start w:val="1"/>
      <w:numFmt w:val="decimal"/>
      <w:pStyle w:val="10"/>
      <w:lvlText w:val="%1"/>
      <w:lvlJc w:val="left"/>
      <w:pPr>
        <w:tabs>
          <w:tab w:val="left" w:pos="425"/>
        </w:tabs>
        <w:ind w:left="425" w:hanging="425"/>
      </w:pPr>
      <w:rPr>
        <w:rFonts w:hint="default" w:ascii="Times New Roman" w:hAnsi="Times New Roman" w:cs="Times New Roman"/>
        <w:b/>
        <w:i w:val="0"/>
        <w:sz w:val="28"/>
      </w:rPr>
    </w:lvl>
    <w:lvl w:ilvl="1" w:tentative="0">
      <w:start w:val="1"/>
      <w:numFmt w:val="decimal"/>
      <w:lvlText w:val="%1.%2"/>
      <w:lvlJc w:val="left"/>
      <w:pPr>
        <w:tabs>
          <w:tab w:val="left" w:pos="992"/>
        </w:tabs>
        <w:ind w:left="992" w:hanging="567"/>
      </w:pPr>
      <w:rPr>
        <w:rFonts w:hint="eastAsia" w:cs="Times New Roman"/>
      </w:rPr>
    </w:lvl>
    <w:lvl w:ilvl="2" w:tentative="0">
      <w:start w:val="1"/>
      <w:numFmt w:val="decimal"/>
      <w:lvlText w:val="%1.%2.%3"/>
      <w:lvlJc w:val="left"/>
      <w:pPr>
        <w:tabs>
          <w:tab w:val="left" w:pos="1418"/>
        </w:tabs>
        <w:ind w:left="1418" w:hanging="567"/>
      </w:pPr>
      <w:rPr>
        <w:rFonts w:hint="eastAsia" w:cs="Times New Roman"/>
      </w:rPr>
    </w:lvl>
    <w:lvl w:ilvl="3" w:tentative="0">
      <w:start w:val="1"/>
      <w:numFmt w:val="decimal"/>
      <w:lvlText w:val="%1.%2.%3.%4"/>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5">
    <w:nsid w:val="00000012"/>
    <w:multiLevelType w:val="multilevel"/>
    <w:tmpl w:val="00000012"/>
    <w:lvl w:ilvl="0" w:tentative="0">
      <w:start w:val="1"/>
      <w:numFmt w:val="chineseCountingThousand"/>
      <w:pStyle w:val="117"/>
      <w:lvlText w:val="%1、"/>
      <w:lvlJc w:val="left"/>
      <w:pPr>
        <w:tabs>
          <w:tab w:val="left" w:pos="425"/>
        </w:tabs>
        <w:ind w:left="425" w:hanging="425"/>
      </w:pPr>
      <w:rPr>
        <w:rFonts w:hint="eastAsia" w:cs="Times New Roman"/>
      </w:rPr>
    </w:lvl>
    <w:lvl w:ilvl="1" w:tentative="0">
      <w:start w:val="1"/>
      <w:numFmt w:val="decimal"/>
      <w:isLgl/>
      <w:lvlText w:val="%1.%2"/>
      <w:lvlJc w:val="left"/>
      <w:pPr>
        <w:tabs>
          <w:tab w:val="left" w:pos="567"/>
        </w:tabs>
        <w:ind w:left="567" w:hanging="567"/>
      </w:pPr>
      <w:rPr>
        <w:rFonts w:hint="default" w:ascii="Arial" w:hAnsi="Arial" w:cs="Arial"/>
      </w:rPr>
    </w:lvl>
    <w:lvl w:ilvl="2" w:tentative="0">
      <w:start w:val="1"/>
      <w:numFmt w:val="decimal"/>
      <w:isLgl/>
      <w:lvlText w:val="%1.%2.%3"/>
      <w:lvlJc w:val="left"/>
      <w:pPr>
        <w:tabs>
          <w:tab w:val="left" w:pos="1069"/>
        </w:tabs>
        <w:ind w:left="1069" w:hanging="709"/>
      </w:pPr>
      <w:rPr>
        <w:rFonts w:hint="default" w:ascii="Arial" w:hAnsi="Arial" w:cs="Arial"/>
      </w:rPr>
    </w:lvl>
    <w:lvl w:ilvl="3" w:tentative="0">
      <w:start w:val="1"/>
      <w:numFmt w:val="decimal"/>
      <w:isLgl/>
      <w:lvlText w:val="%1.%2.%3.%4"/>
      <w:lvlJc w:val="left"/>
      <w:pPr>
        <w:tabs>
          <w:tab w:val="left" w:pos="1080"/>
        </w:tabs>
        <w:ind w:left="851" w:hanging="851"/>
      </w:pPr>
      <w:rPr>
        <w:rFonts w:hint="default" w:ascii="Arial" w:hAnsi="Arial" w:cs="Arial"/>
        <w:sz w:val="24"/>
        <w:szCs w:val="24"/>
      </w:rPr>
    </w:lvl>
    <w:lvl w:ilvl="4" w:tentative="0">
      <w:start w:val="1"/>
      <w:numFmt w:val="decimal"/>
      <w:isLgl/>
      <w:lvlText w:val="%1.%2.%3.%4.%5"/>
      <w:lvlJc w:val="left"/>
      <w:pPr>
        <w:tabs>
          <w:tab w:val="left" w:pos="1440"/>
        </w:tabs>
        <w:ind w:left="992" w:hanging="992"/>
      </w:pPr>
      <w:rPr>
        <w:rFonts w:hint="eastAsia" w:cs="Times New Roman"/>
      </w:rPr>
    </w:lvl>
    <w:lvl w:ilvl="5" w:tentative="0">
      <w:start w:val="1"/>
      <w:numFmt w:val="decimal"/>
      <w:isLgl/>
      <w:lvlText w:val="%1.%2.%3.%4.%5.%6"/>
      <w:lvlJc w:val="left"/>
      <w:pPr>
        <w:tabs>
          <w:tab w:val="left" w:pos="1440"/>
        </w:tabs>
        <w:ind w:left="1134" w:hanging="1134"/>
      </w:pPr>
      <w:rPr>
        <w:rFonts w:hint="eastAsia" w:cs="Times New Roman"/>
      </w:rPr>
    </w:lvl>
    <w:lvl w:ilvl="6" w:tentative="0">
      <w:start w:val="1"/>
      <w:numFmt w:val="decimal"/>
      <w:isLgl/>
      <w:lvlText w:val="%1.%2.%3.%4.%5.%6.%7"/>
      <w:lvlJc w:val="left"/>
      <w:pPr>
        <w:tabs>
          <w:tab w:val="left" w:pos="1800"/>
        </w:tabs>
        <w:ind w:left="1276" w:hanging="1276"/>
      </w:pPr>
      <w:rPr>
        <w:rFonts w:hint="eastAsia" w:cs="Times New Roman"/>
      </w:rPr>
    </w:lvl>
    <w:lvl w:ilvl="7" w:tentative="0">
      <w:start w:val="1"/>
      <w:numFmt w:val="decimal"/>
      <w:isLgl/>
      <w:lvlText w:val="%1.%2.%3.%4.%5.%6.%7.%8"/>
      <w:lvlJc w:val="left"/>
      <w:pPr>
        <w:tabs>
          <w:tab w:val="left" w:pos="1800"/>
        </w:tabs>
        <w:ind w:left="1418" w:hanging="1418"/>
      </w:pPr>
      <w:rPr>
        <w:rFonts w:hint="eastAsia" w:cs="Times New Roman"/>
      </w:rPr>
    </w:lvl>
    <w:lvl w:ilvl="8" w:tentative="0">
      <w:start w:val="1"/>
      <w:numFmt w:val="decimal"/>
      <w:isLgl/>
      <w:lvlText w:val="%1.%2.%3.%4.%5.%6.%7.%8.%9"/>
      <w:lvlJc w:val="left"/>
      <w:pPr>
        <w:tabs>
          <w:tab w:val="left" w:pos="2160"/>
        </w:tabs>
        <w:ind w:left="1559" w:hanging="1559"/>
      </w:pPr>
      <w:rPr>
        <w:rFonts w:hint="eastAsia" w:cs="Times New Roman"/>
      </w:rPr>
    </w:lvl>
  </w:abstractNum>
  <w:abstractNum w:abstractNumId="6">
    <w:nsid w:val="00000014"/>
    <w:multiLevelType w:val="multilevel"/>
    <w:tmpl w:val="00000014"/>
    <w:lvl w:ilvl="0" w:tentative="0">
      <w:start w:val="1"/>
      <w:numFmt w:val="decimal"/>
      <w:pStyle w:val="26"/>
      <w:lvlText w:val="%1."/>
      <w:lvlJc w:val="left"/>
      <w:pPr>
        <w:ind w:left="420" w:firstLine="0"/>
      </w:pPr>
      <w:rPr>
        <w:rFonts w:ascii="Times New Roman" w:hAnsi="Times New Roman" w:cs="Times New Roman"/>
        <w:b w:val="0"/>
        <w:bCs w:val="0"/>
        <w:i w:val="0"/>
        <w:iCs w:val="0"/>
        <w:caps w:val="0"/>
        <w:smallCaps w:val="0"/>
        <w:outline w:val="0"/>
        <w:shadow w:val="0"/>
        <w:emboss w:val="0"/>
        <w:imprint w:val="0"/>
        <w:snapToGrid w:val="0"/>
        <w:vanish w:val="0"/>
        <w:color w:val="000000"/>
        <w:spacing w:val="0"/>
        <w:w w:val="0"/>
        <w:kern w:val="0"/>
        <w:position w:val="0"/>
        <w:sz w:val="16"/>
        <w:szCs w:val="0"/>
        <w:u w:val="none" w:color="000000"/>
        <w:shd w:val="clear" w:color="000000" w:fill="000000"/>
        <w:vertAlign w:val="baseline"/>
        <w:lang w:val="zh-CN" w:eastAsia="zh-CN" w:bidi="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376AC27C"/>
    <w:multiLevelType w:val="singleLevel"/>
    <w:tmpl w:val="376AC27C"/>
    <w:lvl w:ilvl="0" w:tentative="0">
      <w:start w:val="2"/>
      <w:numFmt w:val="chineseCounting"/>
      <w:suff w:val="nothing"/>
      <w:lvlText w:val="%1、"/>
      <w:lvlJc w:val="left"/>
      <w:rPr>
        <w:rFonts w:hint="eastAsia"/>
      </w:rPr>
    </w:lvl>
  </w:abstractNum>
  <w:abstractNum w:abstractNumId="8">
    <w:nsid w:val="78460BCF"/>
    <w:multiLevelType w:val="singleLevel"/>
    <w:tmpl w:val="78460BCF"/>
    <w:lvl w:ilvl="0" w:tentative="0">
      <w:start w:val="4"/>
      <w:numFmt w:val="chineseCounting"/>
      <w:suff w:val="space"/>
      <w:lvlText w:val="第%1章"/>
      <w:lvlJc w:val="left"/>
      <w:rPr>
        <w:rFonts w:hint="eastAsia"/>
      </w:rPr>
    </w:lvl>
  </w:abstractNum>
  <w:num w:numId="1">
    <w:abstractNumId w:val="3"/>
  </w:num>
  <w:num w:numId="2">
    <w:abstractNumId w:val="4"/>
  </w:num>
  <w:num w:numId="3">
    <w:abstractNumId w:val="6"/>
  </w:num>
  <w:num w:numId="4">
    <w:abstractNumId w:val="1"/>
  </w:num>
  <w:num w:numId="5">
    <w:abstractNumId w:val="2"/>
  </w:num>
  <w:num w:numId="6">
    <w:abstractNumId w:val="0"/>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VjMjNhOGFiZDlmMmFjZDZlMWZjN2IzMmRmNzQ3NDcifQ=="/>
  </w:docVars>
  <w:rsids>
    <w:rsidRoot w:val="00172A27"/>
    <w:rsid w:val="000126F2"/>
    <w:rsid w:val="00086696"/>
    <w:rsid w:val="0009024D"/>
    <w:rsid w:val="000F5645"/>
    <w:rsid w:val="00115C78"/>
    <w:rsid w:val="00153AFF"/>
    <w:rsid w:val="00186C2B"/>
    <w:rsid w:val="00212728"/>
    <w:rsid w:val="00233C4E"/>
    <w:rsid w:val="00251036"/>
    <w:rsid w:val="002E50F8"/>
    <w:rsid w:val="003225FB"/>
    <w:rsid w:val="00323E97"/>
    <w:rsid w:val="00330766"/>
    <w:rsid w:val="003419E5"/>
    <w:rsid w:val="003955F9"/>
    <w:rsid w:val="00395E25"/>
    <w:rsid w:val="003E670B"/>
    <w:rsid w:val="00401F67"/>
    <w:rsid w:val="00403054"/>
    <w:rsid w:val="00466F77"/>
    <w:rsid w:val="004C4A9A"/>
    <w:rsid w:val="004F3A79"/>
    <w:rsid w:val="004F5165"/>
    <w:rsid w:val="00506947"/>
    <w:rsid w:val="00510AFB"/>
    <w:rsid w:val="00533663"/>
    <w:rsid w:val="005868F5"/>
    <w:rsid w:val="005931B7"/>
    <w:rsid w:val="005A3C00"/>
    <w:rsid w:val="005B5679"/>
    <w:rsid w:val="00620A2A"/>
    <w:rsid w:val="00677F31"/>
    <w:rsid w:val="0069368B"/>
    <w:rsid w:val="007678C6"/>
    <w:rsid w:val="007D541D"/>
    <w:rsid w:val="007F45BE"/>
    <w:rsid w:val="008005F7"/>
    <w:rsid w:val="008201B4"/>
    <w:rsid w:val="00833AB6"/>
    <w:rsid w:val="00853109"/>
    <w:rsid w:val="008766D7"/>
    <w:rsid w:val="008C7661"/>
    <w:rsid w:val="008E0C60"/>
    <w:rsid w:val="009255FE"/>
    <w:rsid w:val="009269A2"/>
    <w:rsid w:val="009343AA"/>
    <w:rsid w:val="00937817"/>
    <w:rsid w:val="009B2C38"/>
    <w:rsid w:val="009D17C8"/>
    <w:rsid w:val="009E196C"/>
    <w:rsid w:val="009F2CCC"/>
    <w:rsid w:val="00A012AB"/>
    <w:rsid w:val="00A362E4"/>
    <w:rsid w:val="00A54152"/>
    <w:rsid w:val="00A67D58"/>
    <w:rsid w:val="00A975DD"/>
    <w:rsid w:val="00AF40A6"/>
    <w:rsid w:val="00AF43B5"/>
    <w:rsid w:val="00B41BDC"/>
    <w:rsid w:val="00B45701"/>
    <w:rsid w:val="00B502D3"/>
    <w:rsid w:val="00B627A9"/>
    <w:rsid w:val="00B77363"/>
    <w:rsid w:val="00B8500A"/>
    <w:rsid w:val="00BF0751"/>
    <w:rsid w:val="00C069E8"/>
    <w:rsid w:val="00C24AE6"/>
    <w:rsid w:val="00CD391E"/>
    <w:rsid w:val="00CF1FFF"/>
    <w:rsid w:val="00D24FF0"/>
    <w:rsid w:val="00D25ACB"/>
    <w:rsid w:val="00D46C3D"/>
    <w:rsid w:val="00D50329"/>
    <w:rsid w:val="00D651BA"/>
    <w:rsid w:val="00DD6A62"/>
    <w:rsid w:val="00E4156B"/>
    <w:rsid w:val="00E700A9"/>
    <w:rsid w:val="00E70847"/>
    <w:rsid w:val="00E87AA3"/>
    <w:rsid w:val="00EA47C9"/>
    <w:rsid w:val="00F036C9"/>
    <w:rsid w:val="00F13E63"/>
    <w:rsid w:val="00F768E1"/>
    <w:rsid w:val="00FC3E1B"/>
    <w:rsid w:val="00FF16F3"/>
    <w:rsid w:val="016947F9"/>
    <w:rsid w:val="01826A17"/>
    <w:rsid w:val="01CB7DA6"/>
    <w:rsid w:val="01D9415D"/>
    <w:rsid w:val="01DA5E9C"/>
    <w:rsid w:val="01DB6127"/>
    <w:rsid w:val="01DE01EE"/>
    <w:rsid w:val="0219028B"/>
    <w:rsid w:val="02194771"/>
    <w:rsid w:val="022E6257"/>
    <w:rsid w:val="023850C1"/>
    <w:rsid w:val="02477318"/>
    <w:rsid w:val="0255285E"/>
    <w:rsid w:val="026B1259"/>
    <w:rsid w:val="02827B99"/>
    <w:rsid w:val="029F2E1F"/>
    <w:rsid w:val="02AC72AB"/>
    <w:rsid w:val="02BC3AEB"/>
    <w:rsid w:val="02D079EE"/>
    <w:rsid w:val="02E1227E"/>
    <w:rsid w:val="02E54D69"/>
    <w:rsid w:val="02F254D6"/>
    <w:rsid w:val="02F53218"/>
    <w:rsid w:val="030355FF"/>
    <w:rsid w:val="03127487"/>
    <w:rsid w:val="032B7262"/>
    <w:rsid w:val="0341645D"/>
    <w:rsid w:val="035241C7"/>
    <w:rsid w:val="037E320E"/>
    <w:rsid w:val="038A570F"/>
    <w:rsid w:val="039E11BA"/>
    <w:rsid w:val="03A2514E"/>
    <w:rsid w:val="03B409DD"/>
    <w:rsid w:val="03C03826"/>
    <w:rsid w:val="03C30C20"/>
    <w:rsid w:val="03C36058"/>
    <w:rsid w:val="03D1158F"/>
    <w:rsid w:val="03D96696"/>
    <w:rsid w:val="03DB41BC"/>
    <w:rsid w:val="03E75194"/>
    <w:rsid w:val="03EF7C67"/>
    <w:rsid w:val="03FE7EAB"/>
    <w:rsid w:val="041C543C"/>
    <w:rsid w:val="04221DEB"/>
    <w:rsid w:val="04435676"/>
    <w:rsid w:val="044E498E"/>
    <w:rsid w:val="04651CD8"/>
    <w:rsid w:val="046A5576"/>
    <w:rsid w:val="046E6DDE"/>
    <w:rsid w:val="04754611"/>
    <w:rsid w:val="04A942BA"/>
    <w:rsid w:val="04AB3862"/>
    <w:rsid w:val="04BF3332"/>
    <w:rsid w:val="04F01EE9"/>
    <w:rsid w:val="04F76DD4"/>
    <w:rsid w:val="05085485"/>
    <w:rsid w:val="050B6D23"/>
    <w:rsid w:val="053242B0"/>
    <w:rsid w:val="05373674"/>
    <w:rsid w:val="053E4A03"/>
    <w:rsid w:val="05455577"/>
    <w:rsid w:val="05465FAD"/>
    <w:rsid w:val="054B0F4A"/>
    <w:rsid w:val="054C26F9"/>
    <w:rsid w:val="058A5E9A"/>
    <w:rsid w:val="058F1702"/>
    <w:rsid w:val="05A351AD"/>
    <w:rsid w:val="05D215EF"/>
    <w:rsid w:val="05DE3CE5"/>
    <w:rsid w:val="05E82BC0"/>
    <w:rsid w:val="05F477B7"/>
    <w:rsid w:val="05F678C1"/>
    <w:rsid w:val="061816F7"/>
    <w:rsid w:val="062278D0"/>
    <w:rsid w:val="06370ACC"/>
    <w:rsid w:val="064C3473"/>
    <w:rsid w:val="06581AF4"/>
    <w:rsid w:val="06632AA3"/>
    <w:rsid w:val="06836B5F"/>
    <w:rsid w:val="06A55ADF"/>
    <w:rsid w:val="06A64F55"/>
    <w:rsid w:val="06C453DB"/>
    <w:rsid w:val="06D82C35"/>
    <w:rsid w:val="06DA075B"/>
    <w:rsid w:val="06E65D6F"/>
    <w:rsid w:val="06F224DF"/>
    <w:rsid w:val="06F9554A"/>
    <w:rsid w:val="070457D8"/>
    <w:rsid w:val="070659F4"/>
    <w:rsid w:val="070E2AFA"/>
    <w:rsid w:val="0721282E"/>
    <w:rsid w:val="07322345"/>
    <w:rsid w:val="07371FAF"/>
    <w:rsid w:val="075239E7"/>
    <w:rsid w:val="075B445B"/>
    <w:rsid w:val="07750484"/>
    <w:rsid w:val="077A3CEC"/>
    <w:rsid w:val="0788465B"/>
    <w:rsid w:val="07950B26"/>
    <w:rsid w:val="07A2269D"/>
    <w:rsid w:val="07AD2313"/>
    <w:rsid w:val="07B611C8"/>
    <w:rsid w:val="07B76CEE"/>
    <w:rsid w:val="07BE3841"/>
    <w:rsid w:val="07CA07CF"/>
    <w:rsid w:val="07E0529D"/>
    <w:rsid w:val="07E55609"/>
    <w:rsid w:val="07ED2710"/>
    <w:rsid w:val="07F613C5"/>
    <w:rsid w:val="08140B8B"/>
    <w:rsid w:val="08143A40"/>
    <w:rsid w:val="081E6D6D"/>
    <w:rsid w:val="08293B60"/>
    <w:rsid w:val="082C4FE6"/>
    <w:rsid w:val="08362309"/>
    <w:rsid w:val="08395955"/>
    <w:rsid w:val="084A1910"/>
    <w:rsid w:val="084F5934"/>
    <w:rsid w:val="085D1644"/>
    <w:rsid w:val="08607386"/>
    <w:rsid w:val="08713341"/>
    <w:rsid w:val="088A4403"/>
    <w:rsid w:val="088A5A8D"/>
    <w:rsid w:val="08A13C26"/>
    <w:rsid w:val="08AA2A59"/>
    <w:rsid w:val="08BF40AC"/>
    <w:rsid w:val="08C07429"/>
    <w:rsid w:val="08D15B8E"/>
    <w:rsid w:val="08D35DAA"/>
    <w:rsid w:val="08D51B22"/>
    <w:rsid w:val="08E27D9B"/>
    <w:rsid w:val="08E92ED7"/>
    <w:rsid w:val="08EE00FD"/>
    <w:rsid w:val="08FA50E4"/>
    <w:rsid w:val="092B6141"/>
    <w:rsid w:val="0935241C"/>
    <w:rsid w:val="09420839"/>
    <w:rsid w:val="094620D8"/>
    <w:rsid w:val="09524F20"/>
    <w:rsid w:val="097035F9"/>
    <w:rsid w:val="099217C1"/>
    <w:rsid w:val="09931095"/>
    <w:rsid w:val="09963123"/>
    <w:rsid w:val="09981838"/>
    <w:rsid w:val="09B5283E"/>
    <w:rsid w:val="09C120A6"/>
    <w:rsid w:val="09C166B7"/>
    <w:rsid w:val="09C851E3"/>
    <w:rsid w:val="09CB469C"/>
    <w:rsid w:val="09CF3948"/>
    <w:rsid w:val="09D678FF"/>
    <w:rsid w:val="09E71B0D"/>
    <w:rsid w:val="09EF44EC"/>
    <w:rsid w:val="09F14739"/>
    <w:rsid w:val="09FC4C49"/>
    <w:rsid w:val="0A03621B"/>
    <w:rsid w:val="0A2D3F49"/>
    <w:rsid w:val="0A8712AB"/>
    <w:rsid w:val="0AA04DDE"/>
    <w:rsid w:val="0AB12DCE"/>
    <w:rsid w:val="0AB45767"/>
    <w:rsid w:val="0AC43BFC"/>
    <w:rsid w:val="0ACF38CA"/>
    <w:rsid w:val="0AD16319"/>
    <w:rsid w:val="0AD96F7B"/>
    <w:rsid w:val="0ADD081A"/>
    <w:rsid w:val="0AEC4F01"/>
    <w:rsid w:val="0AF3628F"/>
    <w:rsid w:val="0B095AB3"/>
    <w:rsid w:val="0B343101"/>
    <w:rsid w:val="0B4B60CB"/>
    <w:rsid w:val="0B627EDA"/>
    <w:rsid w:val="0B704808"/>
    <w:rsid w:val="0B982B0E"/>
    <w:rsid w:val="0B98567B"/>
    <w:rsid w:val="0BA54B88"/>
    <w:rsid w:val="0BA94BA0"/>
    <w:rsid w:val="0BAB31B1"/>
    <w:rsid w:val="0BAF62FB"/>
    <w:rsid w:val="0BB04180"/>
    <w:rsid w:val="0BC66C7D"/>
    <w:rsid w:val="0BED3778"/>
    <w:rsid w:val="0C232BA4"/>
    <w:rsid w:val="0C2A577B"/>
    <w:rsid w:val="0C2D26E3"/>
    <w:rsid w:val="0C373ADB"/>
    <w:rsid w:val="0C37733F"/>
    <w:rsid w:val="0C3856AB"/>
    <w:rsid w:val="0C3C5A14"/>
    <w:rsid w:val="0C4274CE"/>
    <w:rsid w:val="0C6952DD"/>
    <w:rsid w:val="0CAD06C0"/>
    <w:rsid w:val="0CC53C5B"/>
    <w:rsid w:val="0CDB7B95"/>
    <w:rsid w:val="0CE95B9C"/>
    <w:rsid w:val="0CEA5470"/>
    <w:rsid w:val="0D077DD0"/>
    <w:rsid w:val="0D2B61B4"/>
    <w:rsid w:val="0D3E4B53"/>
    <w:rsid w:val="0D406E04"/>
    <w:rsid w:val="0D66529D"/>
    <w:rsid w:val="0D6B65B1"/>
    <w:rsid w:val="0D8544BC"/>
    <w:rsid w:val="0D8F76E7"/>
    <w:rsid w:val="0DA20C83"/>
    <w:rsid w:val="0DA707B9"/>
    <w:rsid w:val="0DB848AD"/>
    <w:rsid w:val="0DE01542"/>
    <w:rsid w:val="0DE87C01"/>
    <w:rsid w:val="0DEF69F4"/>
    <w:rsid w:val="0DF2282E"/>
    <w:rsid w:val="0DFD3DA4"/>
    <w:rsid w:val="0DFE5677"/>
    <w:rsid w:val="0E0A0A2B"/>
    <w:rsid w:val="0E24538F"/>
    <w:rsid w:val="0E264EFB"/>
    <w:rsid w:val="0E46735F"/>
    <w:rsid w:val="0E4969BD"/>
    <w:rsid w:val="0E5928AD"/>
    <w:rsid w:val="0E5B4877"/>
    <w:rsid w:val="0E707BF7"/>
    <w:rsid w:val="0E7D0D45"/>
    <w:rsid w:val="0E8611C8"/>
    <w:rsid w:val="0E975183"/>
    <w:rsid w:val="0EAD1661"/>
    <w:rsid w:val="0EBE21D3"/>
    <w:rsid w:val="0EBF7B36"/>
    <w:rsid w:val="0EC51CF1"/>
    <w:rsid w:val="0ECC307F"/>
    <w:rsid w:val="0EE4281A"/>
    <w:rsid w:val="0F0C791F"/>
    <w:rsid w:val="0F1A6FD6"/>
    <w:rsid w:val="0F2C7FC2"/>
    <w:rsid w:val="0F4E7F38"/>
    <w:rsid w:val="0F56503F"/>
    <w:rsid w:val="0F891446"/>
    <w:rsid w:val="0F9A13CF"/>
    <w:rsid w:val="0F9B000F"/>
    <w:rsid w:val="0F9D2C6D"/>
    <w:rsid w:val="0FB747DD"/>
    <w:rsid w:val="0FBA75B5"/>
    <w:rsid w:val="0FC91CB4"/>
    <w:rsid w:val="0FD10D03"/>
    <w:rsid w:val="0FD710A5"/>
    <w:rsid w:val="0FD718E6"/>
    <w:rsid w:val="0FD77F2D"/>
    <w:rsid w:val="0FD83CA6"/>
    <w:rsid w:val="0FEB14C7"/>
    <w:rsid w:val="10131364"/>
    <w:rsid w:val="101822F4"/>
    <w:rsid w:val="105B218F"/>
    <w:rsid w:val="10616837"/>
    <w:rsid w:val="1074577C"/>
    <w:rsid w:val="107E794C"/>
    <w:rsid w:val="10857989"/>
    <w:rsid w:val="10A3726C"/>
    <w:rsid w:val="10AC25CA"/>
    <w:rsid w:val="10B4201D"/>
    <w:rsid w:val="10CA7A92"/>
    <w:rsid w:val="10EF574B"/>
    <w:rsid w:val="10F30154"/>
    <w:rsid w:val="10F845FF"/>
    <w:rsid w:val="110C1E59"/>
    <w:rsid w:val="110D0173"/>
    <w:rsid w:val="11125CD9"/>
    <w:rsid w:val="111D5E14"/>
    <w:rsid w:val="11273BC1"/>
    <w:rsid w:val="112951FE"/>
    <w:rsid w:val="11317B11"/>
    <w:rsid w:val="11351403"/>
    <w:rsid w:val="11427629"/>
    <w:rsid w:val="114A2981"/>
    <w:rsid w:val="116E6670"/>
    <w:rsid w:val="117A3C75"/>
    <w:rsid w:val="11826A7D"/>
    <w:rsid w:val="118616F9"/>
    <w:rsid w:val="11904838"/>
    <w:rsid w:val="119F4A7B"/>
    <w:rsid w:val="11A6405B"/>
    <w:rsid w:val="11B83956"/>
    <w:rsid w:val="11C40985"/>
    <w:rsid w:val="11CC786A"/>
    <w:rsid w:val="11D24E50"/>
    <w:rsid w:val="11E93F48"/>
    <w:rsid w:val="11EC68FB"/>
    <w:rsid w:val="12046FD4"/>
    <w:rsid w:val="121420F8"/>
    <w:rsid w:val="12214445"/>
    <w:rsid w:val="12273D08"/>
    <w:rsid w:val="12324FEA"/>
    <w:rsid w:val="123D2FB3"/>
    <w:rsid w:val="124538DB"/>
    <w:rsid w:val="125067AE"/>
    <w:rsid w:val="12637655"/>
    <w:rsid w:val="12A12A75"/>
    <w:rsid w:val="12C549B5"/>
    <w:rsid w:val="12C80001"/>
    <w:rsid w:val="12CF56B4"/>
    <w:rsid w:val="12DB0575"/>
    <w:rsid w:val="12EF558E"/>
    <w:rsid w:val="12F92791"/>
    <w:rsid w:val="13033659"/>
    <w:rsid w:val="130354DD"/>
    <w:rsid w:val="13066050"/>
    <w:rsid w:val="13132BFE"/>
    <w:rsid w:val="132A7687"/>
    <w:rsid w:val="133236CD"/>
    <w:rsid w:val="134F1DF4"/>
    <w:rsid w:val="13557827"/>
    <w:rsid w:val="135D0F4C"/>
    <w:rsid w:val="13631AD8"/>
    <w:rsid w:val="137F4B64"/>
    <w:rsid w:val="138B3117"/>
    <w:rsid w:val="138E7538"/>
    <w:rsid w:val="13904FC3"/>
    <w:rsid w:val="13C06B9F"/>
    <w:rsid w:val="13CD2CC1"/>
    <w:rsid w:val="13EE1CEA"/>
    <w:rsid w:val="140B464A"/>
    <w:rsid w:val="140D6614"/>
    <w:rsid w:val="14172FEE"/>
    <w:rsid w:val="14264FE0"/>
    <w:rsid w:val="14364B2C"/>
    <w:rsid w:val="1438503B"/>
    <w:rsid w:val="143D057B"/>
    <w:rsid w:val="144933C4"/>
    <w:rsid w:val="145F384E"/>
    <w:rsid w:val="145F3F52"/>
    <w:rsid w:val="14694230"/>
    <w:rsid w:val="14720C0D"/>
    <w:rsid w:val="147D0BDA"/>
    <w:rsid w:val="147D6BCA"/>
    <w:rsid w:val="14860A3B"/>
    <w:rsid w:val="14972381"/>
    <w:rsid w:val="14AA2FD3"/>
    <w:rsid w:val="14B06F9F"/>
    <w:rsid w:val="14B52807"/>
    <w:rsid w:val="14BA1BCC"/>
    <w:rsid w:val="14C724CE"/>
    <w:rsid w:val="14CA5427"/>
    <w:rsid w:val="14DD669C"/>
    <w:rsid w:val="14E07884"/>
    <w:rsid w:val="14EA0703"/>
    <w:rsid w:val="150572EB"/>
    <w:rsid w:val="150A448F"/>
    <w:rsid w:val="150C68CB"/>
    <w:rsid w:val="152229F1"/>
    <w:rsid w:val="154461CC"/>
    <w:rsid w:val="15597637"/>
    <w:rsid w:val="15804BC3"/>
    <w:rsid w:val="15932B49"/>
    <w:rsid w:val="159C43B4"/>
    <w:rsid w:val="15BD23EA"/>
    <w:rsid w:val="15C9430D"/>
    <w:rsid w:val="15D373E9"/>
    <w:rsid w:val="15E213DA"/>
    <w:rsid w:val="15E52C78"/>
    <w:rsid w:val="15F874DA"/>
    <w:rsid w:val="16210154"/>
    <w:rsid w:val="1633342F"/>
    <w:rsid w:val="164E6A70"/>
    <w:rsid w:val="166817B1"/>
    <w:rsid w:val="16683008"/>
    <w:rsid w:val="167C2ACC"/>
    <w:rsid w:val="168E3310"/>
    <w:rsid w:val="16A36DBB"/>
    <w:rsid w:val="16A50D85"/>
    <w:rsid w:val="16B81E85"/>
    <w:rsid w:val="16CF7F44"/>
    <w:rsid w:val="16DC407B"/>
    <w:rsid w:val="16E86EC4"/>
    <w:rsid w:val="16EF3DAF"/>
    <w:rsid w:val="16F94C2D"/>
    <w:rsid w:val="16FE3FF2"/>
    <w:rsid w:val="16FF7D6A"/>
    <w:rsid w:val="171323AA"/>
    <w:rsid w:val="173B5246"/>
    <w:rsid w:val="17516817"/>
    <w:rsid w:val="176A78D9"/>
    <w:rsid w:val="17875FF8"/>
    <w:rsid w:val="17B63456"/>
    <w:rsid w:val="17F2764F"/>
    <w:rsid w:val="1833416F"/>
    <w:rsid w:val="18524B4C"/>
    <w:rsid w:val="185539A5"/>
    <w:rsid w:val="185C36C6"/>
    <w:rsid w:val="18737F6A"/>
    <w:rsid w:val="187D1E98"/>
    <w:rsid w:val="187D53EA"/>
    <w:rsid w:val="188C387F"/>
    <w:rsid w:val="18A817AE"/>
    <w:rsid w:val="18B21538"/>
    <w:rsid w:val="18BB7749"/>
    <w:rsid w:val="18C44192"/>
    <w:rsid w:val="18D9512F"/>
    <w:rsid w:val="18ED431E"/>
    <w:rsid w:val="18F558C8"/>
    <w:rsid w:val="18F877F3"/>
    <w:rsid w:val="1901601B"/>
    <w:rsid w:val="19070275"/>
    <w:rsid w:val="19106B6F"/>
    <w:rsid w:val="19212219"/>
    <w:rsid w:val="19235F91"/>
    <w:rsid w:val="193C7053"/>
    <w:rsid w:val="193F7C64"/>
    <w:rsid w:val="196C36C2"/>
    <w:rsid w:val="196D1903"/>
    <w:rsid w:val="19724162"/>
    <w:rsid w:val="198F1879"/>
    <w:rsid w:val="19A54BF8"/>
    <w:rsid w:val="19B4308D"/>
    <w:rsid w:val="19B47531"/>
    <w:rsid w:val="19C214C4"/>
    <w:rsid w:val="19EB6998"/>
    <w:rsid w:val="19F70AC5"/>
    <w:rsid w:val="19F85670"/>
    <w:rsid w:val="19F94F44"/>
    <w:rsid w:val="1A1324AA"/>
    <w:rsid w:val="1A2B77F4"/>
    <w:rsid w:val="1A2F16BB"/>
    <w:rsid w:val="1A3908A8"/>
    <w:rsid w:val="1A420699"/>
    <w:rsid w:val="1A501008"/>
    <w:rsid w:val="1A766595"/>
    <w:rsid w:val="1A8C59F8"/>
    <w:rsid w:val="1AA57FC0"/>
    <w:rsid w:val="1AAC1FB7"/>
    <w:rsid w:val="1AAE61FB"/>
    <w:rsid w:val="1AB01AA7"/>
    <w:rsid w:val="1AB23324"/>
    <w:rsid w:val="1ADF554D"/>
    <w:rsid w:val="1AE9320B"/>
    <w:rsid w:val="1AED13C7"/>
    <w:rsid w:val="1B075976"/>
    <w:rsid w:val="1B1069E9"/>
    <w:rsid w:val="1B193AF0"/>
    <w:rsid w:val="1B245FF1"/>
    <w:rsid w:val="1B2D30F7"/>
    <w:rsid w:val="1B7747F3"/>
    <w:rsid w:val="1B79254B"/>
    <w:rsid w:val="1B972C67"/>
    <w:rsid w:val="1BA55384"/>
    <w:rsid w:val="1BD712B5"/>
    <w:rsid w:val="1BDD4B1E"/>
    <w:rsid w:val="1BE35EAC"/>
    <w:rsid w:val="1BE76F28"/>
    <w:rsid w:val="1BF105C9"/>
    <w:rsid w:val="1C177904"/>
    <w:rsid w:val="1C284B16"/>
    <w:rsid w:val="1C5A26D3"/>
    <w:rsid w:val="1C5D0DA4"/>
    <w:rsid w:val="1C5F6917"/>
    <w:rsid w:val="1C6F5742"/>
    <w:rsid w:val="1C740F63"/>
    <w:rsid w:val="1C76287C"/>
    <w:rsid w:val="1C872925"/>
    <w:rsid w:val="1C9B764B"/>
    <w:rsid w:val="1C9E0082"/>
    <w:rsid w:val="1CAA693B"/>
    <w:rsid w:val="1CB14442"/>
    <w:rsid w:val="1CC66428"/>
    <w:rsid w:val="1CC80B99"/>
    <w:rsid w:val="1CCB0E1A"/>
    <w:rsid w:val="1D0113C9"/>
    <w:rsid w:val="1D0A2DA7"/>
    <w:rsid w:val="1D1140B4"/>
    <w:rsid w:val="1D2B18B9"/>
    <w:rsid w:val="1D2D27D8"/>
    <w:rsid w:val="1D3E783E"/>
    <w:rsid w:val="1D47116E"/>
    <w:rsid w:val="1D630F86"/>
    <w:rsid w:val="1D7019C1"/>
    <w:rsid w:val="1D752B34"/>
    <w:rsid w:val="1D7E5E8C"/>
    <w:rsid w:val="1D8131AA"/>
    <w:rsid w:val="1D836591"/>
    <w:rsid w:val="1D9236E6"/>
    <w:rsid w:val="1DB55626"/>
    <w:rsid w:val="1DB7314C"/>
    <w:rsid w:val="1DC15D79"/>
    <w:rsid w:val="1DC53ABB"/>
    <w:rsid w:val="1DC85AE6"/>
    <w:rsid w:val="1DC932FC"/>
    <w:rsid w:val="1DDB503E"/>
    <w:rsid w:val="1DE84D03"/>
    <w:rsid w:val="1DE85A9D"/>
    <w:rsid w:val="1DF13B3B"/>
    <w:rsid w:val="1E0E2B0B"/>
    <w:rsid w:val="1E1660C5"/>
    <w:rsid w:val="1E205195"/>
    <w:rsid w:val="1E276322"/>
    <w:rsid w:val="1E5F2F8D"/>
    <w:rsid w:val="1E650DFA"/>
    <w:rsid w:val="1E982F7E"/>
    <w:rsid w:val="1EA949E3"/>
    <w:rsid w:val="1EAC45D3"/>
    <w:rsid w:val="1EC71AB5"/>
    <w:rsid w:val="1ECF4FD3"/>
    <w:rsid w:val="1ED0096A"/>
    <w:rsid w:val="1ED7455A"/>
    <w:rsid w:val="1EDB6610"/>
    <w:rsid w:val="1EDC6880"/>
    <w:rsid w:val="1EF34658"/>
    <w:rsid w:val="1F02489B"/>
    <w:rsid w:val="1F095D51"/>
    <w:rsid w:val="1F132604"/>
    <w:rsid w:val="1F1A3993"/>
    <w:rsid w:val="1F242A63"/>
    <w:rsid w:val="1F2627EB"/>
    <w:rsid w:val="1F294332"/>
    <w:rsid w:val="1F2A62AD"/>
    <w:rsid w:val="1F3233D2"/>
    <w:rsid w:val="1F4804CC"/>
    <w:rsid w:val="1F4D3C73"/>
    <w:rsid w:val="1FEB1DE0"/>
    <w:rsid w:val="1FEF6DB8"/>
    <w:rsid w:val="1FF64400"/>
    <w:rsid w:val="200D799B"/>
    <w:rsid w:val="201E4F4F"/>
    <w:rsid w:val="20256A93"/>
    <w:rsid w:val="20384A18"/>
    <w:rsid w:val="20390790"/>
    <w:rsid w:val="203F5E7C"/>
    <w:rsid w:val="205055EF"/>
    <w:rsid w:val="206C46C2"/>
    <w:rsid w:val="20976AB4"/>
    <w:rsid w:val="209854B7"/>
    <w:rsid w:val="20A81514"/>
    <w:rsid w:val="20AB6760"/>
    <w:rsid w:val="20B16579"/>
    <w:rsid w:val="20C95670"/>
    <w:rsid w:val="20D65FDF"/>
    <w:rsid w:val="20E85D1A"/>
    <w:rsid w:val="210055F8"/>
    <w:rsid w:val="210466A8"/>
    <w:rsid w:val="21052421"/>
    <w:rsid w:val="2126121F"/>
    <w:rsid w:val="215A53B5"/>
    <w:rsid w:val="216B1A91"/>
    <w:rsid w:val="217B0F40"/>
    <w:rsid w:val="218A192D"/>
    <w:rsid w:val="21A972E1"/>
    <w:rsid w:val="21BF0821"/>
    <w:rsid w:val="21F816C1"/>
    <w:rsid w:val="221C5C74"/>
    <w:rsid w:val="222B0959"/>
    <w:rsid w:val="222D1C2F"/>
    <w:rsid w:val="222F1E4B"/>
    <w:rsid w:val="223631D9"/>
    <w:rsid w:val="2240564F"/>
    <w:rsid w:val="224F6049"/>
    <w:rsid w:val="22575E31"/>
    <w:rsid w:val="226D6AA8"/>
    <w:rsid w:val="22816594"/>
    <w:rsid w:val="22A00653"/>
    <w:rsid w:val="22A301F1"/>
    <w:rsid w:val="22A52EFA"/>
    <w:rsid w:val="22A567AC"/>
    <w:rsid w:val="22A77054"/>
    <w:rsid w:val="22AA3280"/>
    <w:rsid w:val="22BD2FB3"/>
    <w:rsid w:val="22CB1F7F"/>
    <w:rsid w:val="22CC31F6"/>
    <w:rsid w:val="22D43C96"/>
    <w:rsid w:val="22DB5B2F"/>
    <w:rsid w:val="22E66C6E"/>
    <w:rsid w:val="22EC6903"/>
    <w:rsid w:val="22FB3ADB"/>
    <w:rsid w:val="23076924"/>
    <w:rsid w:val="2318468D"/>
    <w:rsid w:val="23214B81"/>
    <w:rsid w:val="23250B58"/>
    <w:rsid w:val="23287A3B"/>
    <w:rsid w:val="234C2589"/>
    <w:rsid w:val="234E0C74"/>
    <w:rsid w:val="234E10B9"/>
    <w:rsid w:val="235D595F"/>
    <w:rsid w:val="2366667A"/>
    <w:rsid w:val="236B1B92"/>
    <w:rsid w:val="23725A46"/>
    <w:rsid w:val="239F4DAE"/>
    <w:rsid w:val="23A75A11"/>
    <w:rsid w:val="23D46034"/>
    <w:rsid w:val="23DD1433"/>
    <w:rsid w:val="23ED1676"/>
    <w:rsid w:val="23EF1892"/>
    <w:rsid w:val="23F37F14"/>
    <w:rsid w:val="23F956E8"/>
    <w:rsid w:val="23FA0237"/>
    <w:rsid w:val="24005D93"/>
    <w:rsid w:val="24015121"/>
    <w:rsid w:val="24126A21"/>
    <w:rsid w:val="24264B88"/>
    <w:rsid w:val="24305A06"/>
    <w:rsid w:val="2447702E"/>
    <w:rsid w:val="246114DA"/>
    <w:rsid w:val="24765B0F"/>
    <w:rsid w:val="247C0C4C"/>
    <w:rsid w:val="247C50B5"/>
    <w:rsid w:val="248F4E23"/>
    <w:rsid w:val="249B0281"/>
    <w:rsid w:val="24A55645"/>
    <w:rsid w:val="24C22B02"/>
    <w:rsid w:val="24C51203"/>
    <w:rsid w:val="24D570AE"/>
    <w:rsid w:val="24D6035C"/>
    <w:rsid w:val="24E01EF1"/>
    <w:rsid w:val="24E2777A"/>
    <w:rsid w:val="24ED22D8"/>
    <w:rsid w:val="24F51DFC"/>
    <w:rsid w:val="250C30B2"/>
    <w:rsid w:val="25423C43"/>
    <w:rsid w:val="25503432"/>
    <w:rsid w:val="256B13EC"/>
    <w:rsid w:val="25870903"/>
    <w:rsid w:val="25924268"/>
    <w:rsid w:val="25E67FEE"/>
    <w:rsid w:val="25EF0548"/>
    <w:rsid w:val="25F3318F"/>
    <w:rsid w:val="2629095F"/>
    <w:rsid w:val="26355556"/>
    <w:rsid w:val="263B7010"/>
    <w:rsid w:val="263C7979"/>
    <w:rsid w:val="264B2FCC"/>
    <w:rsid w:val="264E5249"/>
    <w:rsid w:val="2650413E"/>
    <w:rsid w:val="265359DC"/>
    <w:rsid w:val="26551754"/>
    <w:rsid w:val="26605FB5"/>
    <w:rsid w:val="26630315"/>
    <w:rsid w:val="26834513"/>
    <w:rsid w:val="26A10E3D"/>
    <w:rsid w:val="26AC3A6A"/>
    <w:rsid w:val="26B96187"/>
    <w:rsid w:val="26BE763B"/>
    <w:rsid w:val="26DB434F"/>
    <w:rsid w:val="26E730BC"/>
    <w:rsid w:val="270135A4"/>
    <w:rsid w:val="271635D9"/>
    <w:rsid w:val="272A0E33"/>
    <w:rsid w:val="2751016E"/>
    <w:rsid w:val="2768760E"/>
    <w:rsid w:val="277420AE"/>
    <w:rsid w:val="278C73F8"/>
    <w:rsid w:val="279F3713"/>
    <w:rsid w:val="27B84691"/>
    <w:rsid w:val="27BD1CA7"/>
    <w:rsid w:val="27C923FA"/>
    <w:rsid w:val="27CA464D"/>
    <w:rsid w:val="27CB7F20"/>
    <w:rsid w:val="27E91720"/>
    <w:rsid w:val="27F136A9"/>
    <w:rsid w:val="27F21934"/>
    <w:rsid w:val="27F6382B"/>
    <w:rsid w:val="27FD20A3"/>
    <w:rsid w:val="280F14ED"/>
    <w:rsid w:val="280F3776"/>
    <w:rsid w:val="28123DA1"/>
    <w:rsid w:val="281C4C20"/>
    <w:rsid w:val="283642C0"/>
    <w:rsid w:val="28527CD1"/>
    <w:rsid w:val="286A598B"/>
    <w:rsid w:val="287C7ABF"/>
    <w:rsid w:val="28844573"/>
    <w:rsid w:val="289C366A"/>
    <w:rsid w:val="28AA3FD9"/>
    <w:rsid w:val="28C52BC1"/>
    <w:rsid w:val="28CB64EB"/>
    <w:rsid w:val="28D472A8"/>
    <w:rsid w:val="28E9787B"/>
    <w:rsid w:val="28EE31C0"/>
    <w:rsid w:val="28F434A6"/>
    <w:rsid w:val="29441132"/>
    <w:rsid w:val="29547E8D"/>
    <w:rsid w:val="295D729E"/>
    <w:rsid w:val="29890753"/>
    <w:rsid w:val="298962E5"/>
    <w:rsid w:val="29934A6D"/>
    <w:rsid w:val="29B50E88"/>
    <w:rsid w:val="29B72649"/>
    <w:rsid w:val="29CD1E2A"/>
    <w:rsid w:val="29CF7F37"/>
    <w:rsid w:val="2A0C29B8"/>
    <w:rsid w:val="2A0E5104"/>
    <w:rsid w:val="2A131C98"/>
    <w:rsid w:val="2A336250"/>
    <w:rsid w:val="2A385615"/>
    <w:rsid w:val="2A570E85"/>
    <w:rsid w:val="2A6D13DC"/>
    <w:rsid w:val="2A7E571E"/>
    <w:rsid w:val="2A830F86"/>
    <w:rsid w:val="2A8745B6"/>
    <w:rsid w:val="2A8D46CE"/>
    <w:rsid w:val="2A922F77"/>
    <w:rsid w:val="2A9860B3"/>
    <w:rsid w:val="2A9A1E2C"/>
    <w:rsid w:val="2A9F5694"/>
    <w:rsid w:val="2AA23A25"/>
    <w:rsid w:val="2AAA6513"/>
    <w:rsid w:val="2AD15C14"/>
    <w:rsid w:val="2ADE440E"/>
    <w:rsid w:val="2AE31A25"/>
    <w:rsid w:val="2AE71AF4"/>
    <w:rsid w:val="2B045837"/>
    <w:rsid w:val="2B07429B"/>
    <w:rsid w:val="2B0D0850"/>
    <w:rsid w:val="2B147F37"/>
    <w:rsid w:val="2B154372"/>
    <w:rsid w:val="2B230073"/>
    <w:rsid w:val="2B520958"/>
    <w:rsid w:val="2B634913"/>
    <w:rsid w:val="2B683CD8"/>
    <w:rsid w:val="2B7F799F"/>
    <w:rsid w:val="2B85488A"/>
    <w:rsid w:val="2BA07916"/>
    <w:rsid w:val="2BEC2B5B"/>
    <w:rsid w:val="2BFF63EA"/>
    <w:rsid w:val="2C002162"/>
    <w:rsid w:val="2C063C1D"/>
    <w:rsid w:val="2C092D8B"/>
    <w:rsid w:val="2C246995"/>
    <w:rsid w:val="2C3562B0"/>
    <w:rsid w:val="2C385DA0"/>
    <w:rsid w:val="2C447E50"/>
    <w:rsid w:val="2C4944EB"/>
    <w:rsid w:val="2C4B162F"/>
    <w:rsid w:val="2C5D1363"/>
    <w:rsid w:val="2C5F50DB"/>
    <w:rsid w:val="2C792640"/>
    <w:rsid w:val="2C8B4122"/>
    <w:rsid w:val="2C9C1E8B"/>
    <w:rsid w:val="2CA91FCE"/>
    <w:rsid w:val="2CB847EB"/>
    <w:rsid w:val="2CB90C8F"/>
    <w:rsid w:val="2CB97926"/>
    <w:rsid w:val="2CC802FF"/>
    <w:rsid w:val="2CD72C54"/>
    <w:rsid w:val="2CEA709A"/>
    <w:rsid w:val="2D022235"/>
    <w:rsid w:val="2D031F0A"/>
    <w:rsid w:val="2D0F08AF"/>
    <w:rsid w:val="2D1C7470"/>
    <w:rsid w:val="2D2125B0"/>
    <w:rsid w:val="2D2C76B3"/>
    <w:rsid w:val="2D371BB4"/>
    <w:rsid w:val="2D3B78F6"/>
    <w:rsid w:val="2D594220"/>
    <w:rsid w:val="2D7C1CBC"/>
    <w:rsid w:val="2D8017AD"/>
    <w:rsid w:val="2D8868B3"/>
    <w:rsid w:val="2DAC4350"/>
    <w:rsid w:val="2E1755ED"/>
    <w:rsid w:val="2E3A7BAD"/>
    <w:rsid w:val="2E56250D"/>
    <w:rsid w:val="2E623354"/>
    <w:rsid w:val="2E6A4E27"/>
    <w:rsid w:val="2E876B6B"/>
    <w:rsid w:val="2E9B12B3"/>
    <w:rsid w:val="2EBA0CEE"/>
    <w:rsid w:val="2ED33B5E"/>
    <w:rsid w:val="2EDA313F"/>
    <w:rsid w:val="2EDE0C99"/>
    <w:rsid w:val="2EE53D89"/>
    <w:rsid w:val="2EEC10D1"/>
    <w:rsid w:val="2F012479"/>
    <w:rsid w:val="2F030EDA"/>
    <w:rsid w:val="2F0412C1"/>
    <w:rsid w:val="2F162DA0"/>
    <w:rsid w:val="2F171C9D"/>
    <w:rsid w:val="2F202F46"/>
    <w:rsid w:val="2F2E6FE6"/>
    <w:rsid w:val="2F43007A"/>
    <w:rsid w:val="2F47268D"/>
    <w:rsid w:val="2F484F80"/>
    <w:rsid w:val="2F8F5CD7"/>
    <w:rsid w:val="2F926074"/>
    <w:rsid w:val="2F971630"/>
    <w:rsid w:val="2FA774C5"/>
    <w:rsid w:val="2FB44E46"/>
    <w:rsid w:val="2FCA005B"/>
    <w:rsid w:val="2FFF4CAE"/>
    <w:rsid w:val="30042C3B"/>
    <w:rsid w:val="301F1BC4"/>
    <w:rsid w:val="30204B81"/>
    <w:rsid w:val="302E5110"/>
    <w:rsid w:val="303A5A64"/>
    <w:rsid w:val="304E74D7"/>
    <w:rsid w:val="305111DE"/>
    <w:rsid w:val="30662EDC"/>
    <w:rsid w:val="30823A8E"/>
    <w:rsid w:val="30901D07"/>
    <w:rsid w:val="309317F7"/>
    <w:rsid w:val="30C85944"/>
    <w:rsid w:val="30D95A3C"/>
    <w:rsid w:val="30E12562"/>
    <w:rsid w:val="30E84AF7"/>
    <w:rsid w:val="31093867"/>
    <w:rsid w:val="31103BE8"/>
    <w:rsid w:val="31175F84"/>
    <w:rsid w:val="31210BB1"/>
    <w:rsid w:val="31490108"/>
    <w:rsid w:val="315736D8"/>
    <w:rsid w:val="31660CB9"/>
    <w:rsid w:val="3166515D"/>
    <w:rsid w:val="31684A32"/>
    <w:rsid w:val="317403C7"/>
    <w:rsid w:val="3179559F"/>
    <w:rsid w:val="317E6003"/>
    <w:rsid w:val="319B6BB5"/>
    <w:rsid w:val="31A1154D"/>
    <w:rsid w:val="31A17F44"/>
    <w:rsid w:val="31AD053C"/>
    <w:rsid w:val="31CB6D6E"/>
    <w:rsid w:val="31D64091"/>
    <w:rsid w:val="31DE2F46"/>
    <w:rsid w:val="31E340B8"/>
    <w:rsid w:val="32056724"/>
    <w:rsid w:val="320B1E88"/>
    <w:rsid w:val="320D7E0E"/>
    <w:rsid w:val="32171FB4"/>
    <w:rsid w:val="321F33DF"/>
    <w:rsid w:val="3220530C"/>
    <w:rsid w:val="325B29A2"/>
    <w:rsid w:val="3268280F"/>
    <w:rsid w:val="32690A61"/>
    <w:rsid w:val="326D226F"/>
    <w:rsid w:val="32755BEE"/>
    <w:rsid w:val="32785148"/>
    <w:rsid w:val="327B2543"/>
    <w:rsid w:val="328533C1"/>
    <w:rsid w:val="32A4546A"/>
    <w:rsid w:val="32B31CDC"/>
    <w:rsid w:val="32ED1980"/>
    <w:rsid w:val="32F1304C"/>
    <w:rsid w:val="32F50547"/>
    <w:rsid w:val="33094881"/>
    <w:rsid w:val="333F3794"/>
    <w:rsid w:val="335A57BD"/>
    <w:rsid w:val="339E5D33"/>
    <w:rsid w:val="33B977C6"/>
    <w:rsid w:val="33EC17CD"/>
    <w:rsid w:val="33EF143A"/>
    <w:rsid w:val="33EF1C73"/>
    <w:rsid w:val="33F97BC3"/>
    <w:rsid w:val="33FA6F1E"/>
    <w:rsid w:val="340661A5"/>
    <w:rsid w:val="34076784"/>
    <w:rsid w:val="340903E3"/>
    <w:rsid w:val="340E30B9"/>
    <w:rsid w:val="341E3ACD"/>
    <w:rsid w:val="343678CD"/>
    <w:rsid w:val="34480B4A"/>
    <w:rsid w:val="34555BB2"/>
    <w:rsid w:val="345968B4"/>
    <w:rsid w:val="345A0C5F"/>
    <w:rsid w:val="345B087E"/>
    <w:rsid w:val="346D120F"/>
    <w:rsid w:val="346E774D"/>
    <w:rsid w:val="34702AF7"/>
    <w:rsid w:val="347A2085"/>
    <w:rsid w:val="347F27BE"/>
    <w:rsid w:val="34897199"/>
    <w:rsid w:val="34945B3E"/>
    <w:rsid w:val="34AD7661"/>
    <w:rsid w:val="34B01E1E"/>
    <w:rsid w:val="34E16FD5"/>
    <w:rsid w:val="34E94961"/>
    <w:rsid w:val="34EA39B0"/>
    <w:rsid w:val="35171719"/>
    <w:rsid w:val="351A24E7"/>
    <w:rsid w:val="352E7D40"/>
    <w:rsid w:val="354B26A0"/>
    <w:rsid w:val="357243F8"/>
    <w:rsid w:val="35853917"/>
    <w:rsid w:val="35906305"/>
    <w:rsid w:val="359C73A0"/>
    <w:rsid w:val="35A10512"/>
    <w:rsid w:val="35A26038"/>
    <w:rsid w:val="35AA3A3A"/>
    <w:rsid w:val="35AA4722"/>
    <w:rsid w:val="35CF507F"/>
    <w:rsid w:val="360B340E"/>
    <w:rsid w:val="362B32E5"/>
    <w:rsid w:val="36363473"/>
    <w:rsid w:val="365E28A7"/>
    <w:rsid w:val="366B14C0"/>
    <w:rsid w:val="368D102E"/>
    <w:rsid w:val="369342FF"/>
    <w:rsid w:val="369D456C"/>
    <w:rsid w:val="36A8455A"/>
    <w:rsid w:val="36AE738B"/>
    <w:rsid w:val="36C95F72"/>
    <w:rsid w:val="36DF3C16"/>
    <w:rsid w:val="36E27034"/>
    <w:rsid w:val="36ED1FA3"/>
    <w:rsid w:val="36F04CBD"/>
    <w:rsid w:val="36F36DEE"/>
    <w:rsid w:val="36F6663C"/>
    <w:rsid w:val="36FD514C"/>
    <w:rsid w:val="370E607B"/>
    <w:rsid w:val="372E4027"/>
    <w:rsid w:val="373F79B1"/>
    <w:rsid w:val="37537F32"/>
    <w:rsid w:val="376C4F8C"/>
    <w:rsid w:val="376F2F1F"/>
    <w:rsid w:val="37732CCF"/>
    <w:rsid w:val="378111F8"/>
    <w:rsid w:val="378400EB"/>
    <w:rsid w:val="37897F79"/>
    <w:rsid w:val="37904CE2"/>
    <w:rsid w:val="37976071"/>
    <w:rsid w:val="379D00C8"/>
    <w:rsid w:val="379F2985"/>
    <w:rsid w:val="37C03BF9"/>
    <w:rsid w:val="37D818FA"/>
    <w:rsid w:val="37E1109A"/>
    <w:rsid w:val="37E97122"/>
    <w:rsid w:val="37F35CB8"/>
    <w:rsid w:val="381256F7"/>
    <w:rsid w:val="382D2531"/>
    <w:rsid w:val="383A697D"/>
    <w:rsid w:val="383C09C6"/>
    <w:rsid w:val="384F4255"/>
    <w:rsid w:val="385633E2"/>
    <w:rsid w:val="386F79F1"/>
    <w:rsid w:val="38735660"/>
    <w:rsid w:val="38767A34"/>
    <w:rsid w:val="38795776"/>
    <w:rsid w:val="388D2FD0"/>
    <w:rsid w:val="389205E6"/>
    <w:rsid w:val="38983E4E"/>
    <w:rsid w:val="38A00F55"/>
    <w:rsid w:val="38A84A79"/>
    <w:rsid w:val="38B03902"/>
    <w:rsid w:val="38CB5C29"/>
    <w:rsid w:val="38D806EF"/>
    <w:rsid w:val="38F506EA"/>
    <w:rsid w:val="38FB618B"/>
    <w:rsid w:val="392C0A3B"/>
    <w:rsid w:val="39400042"/>
    <w:rsid w:val="39490357"/>
    <w:rsid w:val="397877DC"/>
    <w:rsid w:val="397B0F78"/>
    <w:rsid w:val="399563F4"/>
    <w:rsid w:val="3999678C"/>
    <w:rsid w:val="39A22AAB"/>
    <w:rsid w:val="39A6259B"/>
    <w:rsid w:val="39C742BF"/>
    <w:rsid w:val="39D377DB"/>
    <w:rsid w:val="39D62060"/>
    <w:rsid w:val="3A223DCB"/>
    <w:rsid w:val="3A296D28"/>
    <w:rsid w:val="3A3462BA"/>
    <w:rsid w:val="3A3F654C"/>
    <w:rsid w:val="3A4D0C68"/>
    <w:rsid w:val="3A58475F"/>
    <w:rsid w:val="3A5E7E93"/>
    <w:rsid w:val="3A6E6C87"/>
    <w:rsid w:val="3AA0348E"/>
    <w:rsid w:val="3AAF722D"/>
    <w:rsid w:val="3AB46F3A"/>
    <w:rsid w:val="3AD13648"/>
    <w:rsid w:val="3AE0388B"/>
    <w:rsid w:val="3B1C0596"/>
    <w:rsid w:val="3B2319C9"/>
    <w:rsid w:val="3B2B241B"/>
    <w:rsid w:val="3B364677"/>
    <w:rsid w:val="3B5B1163"/>
    <w:rsid w:val="3B5F7ABE"/>
    <w:rsid w:val="3B643EB9"/>
    <w:rsid w:val="3B84063D"/>
    <w:rsid w:val="3B8701AA"/>
    <w:rsid w:val="3B8875E3"/>
    <w:rsid w:val="3B955700"/>
    <w:rsid w:val="3BC27434"/>
    <w:rsid w:val="3BC95C98"/>
    <w:rsid w:val="3BCB453B"/>
    <w:rsid w:val="3BD75940"/>
    <w:rsid w:val="3BDD7DCA"/>
    <w:rsid w:val="3BF42260"/>
    <w:rsid w:val="3C265C15"/>
    <w:rsid w:val="3C284C49"/>
    <w:rsid w:val="3C2E7AAB"/>
    <w:rsid w:val="3C522566"/>
    <w:rsid w:val="3C541BC5"/>
    <w:rsid w:val="3C65673D"/>
    <w:rsid w:val="3C722C08"/>
    <w:rsid w:val="3C7C5F7D"/>
    <w:rsid w:val="3C9506A5"/>
    <w:rsid w:val="3C9C7C85"/>
    <w:rsid w:val="3C9E3DCB"/>
    <w:rsid w:val="3CA31014"/>
    <w:rsid w:val="3CB123E6"/>
    <w:rsid w:val="3CCA65A0"/>
    <w:rsid w:val="3CCF40AD"/>
    <w:rsid w:val="3CDB6174"/>
    <w:rsid w:val="3CED04E1"/>
    <w:rsid w:val="3D050477"/>
    <w:rsid w:val="3D14341C"/>
    <w:rsid w:val="3D3D4FC4"/>
    <w:rsid w:val="3D404852"/>
    <w:rsid w:val="3D477BF1"/>
    <w:rsid w:val="3D4A76E1"/>
    <w:rsid w:val="3D5D5666"/>
    <w:rsid w:val="3DB668C6"/>
    <w:rsid w:val="3DEB4A20"/>
    <w:rsid w:val="3DEE05E6"/>
    <w:rsid w:val="3DF062BF"/>
    <w:rsid w:val="3E0618F6"/>
    <w:rsid w:val="3E0869AC"/>
    <w:rsid w:val="3E246184"/>
    <w:rsid w:val="3E2C6DE7"/>
    <w:rsid w:val="3E3068D7"/>
    <w:rsid w:val="3E32264F"/>
    <w:rsid w:val="3E3E1A04"/>
    <w:rsid w:val="3E483C21"/>
    <w:rsid w:val="3E53454B"/>
    <w:rsid w:val="3E6F204E"/>
    <w:rsid w:val="3E6F6ECF"/>
    <w:rsid w:val="3E815973"/>
    <w:rsid w:val="3E88151A"/>
    <w:rsid w:val="3E894239"/>
    <w:rsid w:val="3E8C23C2"/>
    <w:rsid w:val="3E8D3D29"/>
    <w:rsid w:val="3E9450B8"/>
    <w:rsid w:val="3EAF3CA0"/>
    <w:rsid w:val="3EC62D97"/>
    <w:rsid w:val="3EE31B9B"/>
    <w:rsid w:val="3F0D6C18"/>
    <w:rsid w:val="3F1735F3"/>
    <w:rsid w:val="3F326B30"/>
    <w:rsid w:val="3F364D39"/>
    <w:rsid w:val="3F505A98"/>
    <w:rsid w:val="3F6207BA"/>
    <w:rsid w:val="3F7B1DD4"/>
    <w:rsid w:val="3F810615"/>
    <w:rsid w:val="3F843560"/>
    <w:rsid w:val="3F8C5D8F"/>
    <w:rsid w:val="3F8E7D59"/>
    <w:rsid w:val="3F984C13"/>
    <w:rsid w:val="3FA35D92"/>
    <w:rsid w:val="3FA72BC9"/>
    <w:rsid w:val="3FBD063E"/>
    <w:rsid w:val="3FC90D91"/>
    <w:rsid w:val="3FCF3ECE"/>
    <w:rsid w:val="3FD919BA"/>
    <w:rsid w:val="3FDC2B4A"/>
    <w:rsid w:val="3FFD010D"/>
    <w:rsid w:val="400A40D9"/>
    <w:rsid w:val="40183AC7"/>
    <w:rsid w:val="401A783F"/>
    <w:rsid w:val="401F452F"/>
    <w:rsid w:val="40330901"/>
    <w:rsid w:val="404B17A6"/>
    <w:rsid w:val="40515724"/>
    <w:rsid w:val="405F16F6"/>
    <w:rsid w:val="406D753F"/>
    <w:rsid w:val="408B38B3"/>
    <w:rsid w:val="40B27A77"/>
    <w:rsid w:val="40D40AAB"/>
    <w:rsid w:val="40D77011"/>
    <w:rsid w:val="40E90FBF"/>
    <w:rsid w:val="40F40090"/>
    <w:rsid w:val="40F55BB6"/>
    <w:rsid w:val="40FB76BC"/>
    <w:rsid w:val="41036525"/>
    <w:rsid w:val="4105404B"/>
    <w:rsid w:val="41072D28"/>
    <w:rsid w:val="41173D7E"/>
    <w:rsid w:val="411E335F"/>
    <w:rsid w:val="412344D1"/>
    <w:rsid w:val="4125450E"/>
    <w:rsid w:val="412973EA"/>
    <w:rsid w:val="41320BB8"/>
    <w:rsid w:val="41891398"/>
    <w:rsid w:val="41AA69A0"/>
    <w:rsid w:val="41B45A71"/>
    <w:rsid w:val="41F71B81"/>
    <w:rsid w:val="42010DBE"/>
    <w:rsid w:val="42044303"/>
    <w:rsid w:val="42075BA1"/>
    <w:rsid w:val="42424E2B"/>
    <w:rsid w:val="426365EC"/>
    <w:rsid w:val="426B25D4"/>
    <w:rsid w:val="4278084D"/>
    <w:rsid w:val="428611BC"/>
    <w:rsid w:val="42927B60"/>
    <w:rsid w:val="42BD2703"/>
    <w:rsid w:val="42C27D1A"/>
    <w:rsid w:val="42E04834"/>
    <w:rsid w:val="42E050FB"/>
    <w:rsid w:val="42E63A08"/>
    <w:rsid w:val="43140A2D"/>
    <w:rsid w:val="43301127"/>
    <w:rsid w:val="43364990"/>
    <w:rsid w:val="434075BC"/>
    <w:rsid w:val="434150E2"/>
    <w:rsid w:val="4355293C"/>
    <w:rsid w:val="4359067E"/>
    <w:rsid w:val="436117D4"/>
    <w:rsid w:val="437049F2"/>
    <w:rsid w:val="43707776"/>
    <w:rsid w:val="43842246"/>
    <w:rsid w:val="43935C63"/>
    <w:rsid w:val="43A7763B"/>
    <w:rsid w:val="43B92ECB"/>
    <w:rsid w:val="43BE0166"/>
    <w:rsid w:val="440525B4"/>
    <w:rsid w:val="440E3217"/>
    <w:rsid w:val="440F0504"/>
    <w:rsid w:val="441A0C25"/>
    <w:rsid w:val="4421185F"/>
    <w:rsid w:val="4437557C"/>
    <w:rsid w:val="444C2BC0"/>
    <w:rsid w:val="444F71A2"/>
    <w:rsid w:val="445361E5"/>
    <w:rsid w:val="447C0AC8"/>
    <w:rsid w:val="4482717F"/>
    <w:rsid w:val="44A21CDC"/>
    <w:rsid w:val="44A47F95"/>
    <w:rsid w:val="44B37D7B"/>
    <w:rsid w:val="44D05FB9"/>
    <w:rsid w:val="44D75CFE"/>
    <w:rsid w:val="44E5721A"/>
    <w:rsid w:val="44F22B38"/>
    <w:rsid w:val="44F248E6"/>
    <w:rsid w:val="45091C30"/>
    <w:rsid w:val="45244CBC"/>
    <w:rsid w:val="452B1E36"/>
    <w:rsid w:val="452B6B92"/>
    <w:rsid w:val="45350C77"/>
    <w:rsid w:val="453C0257"/>
    <w:rsid w:val="453C7EA3"/>
    <w:rsid w:val="454B3FF6"/>
    <w:rsid w:val="45682DFA"/>
    <w:rsid w:val="456C5AB9"/>
    <w:rsid w:val="45725A92"/>
    <w:rsid w:val="4577128F"/>
    <w:rsid w:val="45952817"/>
    <w:rsid w:val="459534C4"/>
    <w:rsid w:val="45A863B8"/>
    <w:rsid w:val="45BB6D3C"/>
    <w:rsid w:val="45C83899"/>
    <w:rsid w:val="45F91CA4"/>
    <w:rsid w:val="46017508"/>
    <w:rsid w:val="460F14C8"/>
    <w:rsid w:val="46130FB8"/>
    <w:rsid w:val="46132D66"/>
    <w:rsid w:val="46164604"/>
    <w:rsid w:val="46342CDD"/>
    <w:rsid w:val="46431B1A"/>
    <w:rsid w:val="464E1FF0"/>
    <w:rsid w:val="466366B9"/>
    <w:rsid w:val="46955E71"/>
    <w:rsid w:val="469A78E4"/>
    <w:rsid w:val="469C7200"/>
    <w:rsid w:val="46B026A8"/>
    <w:rsid w:val="46B06C31"/>
    <w:rsid w:val="46BA3976"/>
    <w:rsid w:val="46C10A14"/>
    <w:rsid w:val="46D67F86"/>
    <w:rsid w:val="46F448C2"/>
    <w:rsid w:val="4703629B"/>
    <w:rsid w:val="47060D7D"/>
    <w:rsid w:val="473F67A2"/>
    <w:rsid w:val="474536E0"/>
    <w:rsid w:val="47463365"/>
    <w:rsid w:val="47596E9F"/>
    <w:rsid w:val="47610BA1"/>
    <w:rsid w:val="476B55F6"/>
    <w:rsid w:val="47777325"/>
    <w:rsid w:val="477E4B57"/>
    <w:rsid w:val="47863A0C"/>
    <w:rsid w:val="47925F0D"/>
    <w:rsid w:val="47A876DF"/>
    <w:rsid w:val="47AA76FA"/>
    <w:rsid w:val="47B370C9"/>
    <w:rsid w:val="48027536"/>
    <w:rsid w:val="48042FA6"/>
    <w:rsid w:val="481C57BF"/>
    <w:rsid w:val="48240342"/>
    <w:rsid w:val="48343468"/>
    <w:rsid w:val="485578E8"/>
    <w:rsid w:val="48680CE3"/>
    <w:rsid w:val="487516C9"/>
    <w:rsid w:val="48A147B6"/>
    <w:rsid w:val="48A73C3A"/>
    <w:rsid w:val="48D367DD"/>
    <w:rsid w:val="48D9385D"/>
    <w:rsid w:val="48E82D4D"/>
    <w:rsid w:val="48F007F6"/>
    <w:rsid w:val="48F14EB5"/>
    <w:rsid w:val="491D5CAA"/>
    <w:rsid w:val="49537DE0"/>
    <w:rsid w:val="495518E8"/>
    <w:rsid w:val="49584F34"/>
    <w:rsid w:val="495C4A24"/>
    <w:rsid w:val="4977360C"/>
    <w:rsid w:val="49816239"/>
    <w:rsid w:val="498703ED"/>
    <w:rsid w:val="49C425C9"/>
    <w:rsid w:val="49C72B69"/>
    <w:rsid w:val="49E62540"/>
    <w:rsid w:val="49EB7B56"/>
    <w:rsid w:val="4A0E6954"/>
    <w:rsid w:val="4A1A47F4"/>
    <w:rsid w:val="4A275032"/>
    <w:rsid w:val="4A275F90"/>
    <w:rsid w:val="4A280DAA"/>
    <w:rsid w:val="4A29760D"/>
    <w:rsid w:val="4A2D4613"/>
    <w:rsid w:val="4A392FB7"/>
    <w:rsid w:val="4A522065"/>
    <w:rsid w:val="4A64191B"/>
    <w:rsid w:val="4A657908"/>
    <w:rsid w:val="4A722025"/>
    <w:rsid w:val="4A745F18"/>
    <w:rsid w:val="4A8B3EC0"/>
    <w:rsid w:val="4A9A1CA8"/>
    <w:rsid w:val="4AAC4A05"/>
    <w:rsid w:val="4AB112AD"/>
    <w:rsid w:val="4AB918F6"/>
    <w:rsid w:val="4AD14F9E"/>
    <w:rsid w:val="4AEB42B2"/>
    <w:rsid w:val="4AF403AA"/>
    <w:rsid w:val="4AFD616C"/>
    <w:rsid w:val="4B0A1577"/>
    <w:rsid w:val="4B0B04B0"/>
    <w:rsid w:val="4B1F5D09"/>
    <w:rsid w:val="4B3E2640"/>
    <w:rsid w:val="4B447AD4"/>
    <w:rsid w:val="4B4664C9"/>
    <w:rsid w:val="4B7050AD"/>
    <w:rsid w:val="4B717B63"/>
    <w:rsid w:val="4BA30828"/>
    <w:rsid w:val="4BA93D64"/>
    <w:rsid w:val="4BBE0554"/>
    <w:rsid w:val="4BBF20A9"/>
    <w:rsid w:val="4BCB40E3"/>
    <w:rsid w:val="4BD20FCE"/>
    <w:rsid w:val="4BD74836"/>
    <w:rsid w:val="4BED5E07"/>
    <w:rsid w:val="4BF70A34"/>
    <w:rsid w:val="4BFD1393"/>
    <w:rsid w:val="4C194E4E"/>
    <w:rsid w:val="4C1C26CD"/>
    <w:rsid w:val="4C2555A1"/>
    <w:rsid w:val="4C2C2DD4"/>
    <w:rsid w:val="4C2F4672"/>
    <w:rsid w:val="4C3C1FA9"/>
    <w:rsid w:val="4C3F1BAE"/>
    <w:rsid w:val="4C5C4D3B"/>
    <w:rsid w:val="4C5D5CA7"/>
    <w:rsid w:val="4C76404F"/>
    <w:rsid w:val="4C770EE0"/>
    <w:rsid w:val="4C8147A2"/>
    <w:rsid w:val="4CB26A62"/>
    <w:rsid w:val="4CC44899"/>
    <w:rsid w:val="4CCA20FA"/>
    <w:rsid w:val="4CCA7AE1"/>
    <w:rsid w:val="4CE216E4"/>
    <w:rsid w:val="4CEE0366"/>
    <w:rsid w:val="4CF569B5"/>
    <w:rsid w:val="4CFB4947"/>
    <w:rsid w:val="4D04165B"/>
    <w:rsid w:val="4D11448E"/>
    <w:rsid w:val="4D267823"/>
    <w:rsid w:val="4D275D07"/>
    <w:rsid w:val="4D3A507C"/>
    <w:rsid w:val="4D5325E2"/>
    <w:rsid w:val="4D6848C0"/>
    <w:rsid w:val="4D8602C2"/>
    <w:rsid w:val="4D9E5143"/>
    <w:rsid w:val="4D9F75D5"/>
    <w:rsid w:val="4DAE03C1"/>
    <w:rsid w:val="4DAE75B5"/>
    <w:rsid w:val="4DC97603"/>
    <w:rsid w:val="4DE1374A"/>
    <w:rsid w:val="4DE163BF"/>
    <w:rsid w:val="4DF72F6D"/>
    <w:rsid w:val="4DFE10C7"/>
    <w:rsid w:val="4E086F29"/>
    <w:rsid w:val="4E140B6A"/>
    <w:rsid w:val="4E1B739A"/>
    <w:rsid w:val="4E233D62"/>
    <w:rsid w:val="4E2875CB"/>
    <w:rsid w:val="4E407F3C"/>
    <w:rsid w:val="4E41243B"/>
    <w:rsid w:val="4E4267C4"/>
    <w:rsid w:val="4E676345"/>
    <w:rsid w:val="4E6C17FA"/>
    <w:rsid w:val="4E8B5D8F"/>
    <w:rsid w:val="4E943545"/>
    <w:rsid w:val="4EB86BA1"/>
    <w:rsid w:val="4ECC43FA"/>
    <w:rsid w:val="4EDC4454"/>
    <w:rsid w:val="4EE94FAC"/>
    <w:rsid w:val="4F0B3CA6"/>
    <w:rsid w:val="4F107345"/>
    <w:rsid w:val="4F183BE6"/>
    <w:rsid w:val="4F1847B3"/>
    <w:rsid w:val="4F2314B3"/>
    <w:rsid w:val="4F35067F"/>
    <w:rsid w:val="4F3B50DC"/>
    <w:rsid w:val="4F4524DF"/>
    <w:rsid w:val="4F5D5052"/>
    <w:rsid w:val="4F691C49"/>
    <w:rsid w:val="4F7242E4"/>
    <w:rsid w:val="4F813436"/>
    <w:rsid w:val="4FB619EF"/>
    <w:rsid w:val="4FBD1F95"/>
    <w:rsid w:val="4FC43323"/>
    <w:rsid w:val="4FC861DA"/>
    <w:rsid w:val="4FFB544B"/>
    <w:rsid w:val="500A342C"/>
    <w:rsid w:val="500D6A78"/>
    <w:rsid w:val="500F69BB"/>
    <w:rsid w:val="50324731"/>
    <w:rsid w:val="50406E4E"/>
    <w:rsid w:val="505B77CA"/>
    <w:rsid w:val="50970A38"/>
    <w:rsid w:val="509B22D6"/>
    <w:rsid w:val="50A126B7"/>
    <w:rsid w:val="50A82C45"/>
    <w:rsid w:val="50AE094F"/>
    <w:rsid w:val="50DB294E"/>
    <w:rsid w:val="50DC3D6E"/>
    <w:rsid w:val="510936E3"/>
    <w:rsid w:val="510A2FB8"/>
    <w:rsid w:val="5112495F"/>
    <w:rsid w:val="51145BE4"/>
    <w:rsid w:val="511856D5"/>
    <w:rsid w:val="51321C80"/>
    <w:rsid w:val="5134215D"/>
    <w:rsid w:val="515661FD"/>
    <w:rsid w:val="516A3A56"/>
    <w:rsid w:val="517255BD"/>
    <w:rsid w:val="517B5C63"/>
    <w:rsid w:val="518C4D4D"/>
    <w:rsid w:val="51A46F68"/>
    <w:rsid w:val="51B13335"/>
    <w:rsid w:val="51D75590"/>
    <w:rsid w:val="520209E2"/>
    <w:rsid w:val="521D3CB5"/>
    <w:rsid w:val="523302EC"/>
    <w:rsid w:val="52426781"/>
    <w:rsid w:val="524349D3"/>
    <w:rsid w:val="52454FAD"/>
    <w:rsid w:val="5246001F"/>
    <w:rsid w:val="524B15B3"/>
    <w:rsid w:val="528374C6"/>
    <w:rsid w:val="528B1ED6"/>
    <w:rsid w:val="52A70D2C"/>
    <w:rsid w:val="52BE405A"/>
    <w:rsid w:val="52E361B6"/>
    <w:rsid w:val="531210C9"/>
    <w:rsid w:val="531B14AC"/>
    <w:rsid w:val="532742F5"/>
    <w:rsid w:val="53607807"/>
    <w:rsid w:val="53784DD4"/>
    <w:rsid w:val="538434F5"/>
    <w:rsid w:val="538A03E0"/>
    <w:rsid w:val="538C5F06"/>
    <w:rsid w:val="539835FD"/>
    <w:rsid w:val="53A2397B"/>
    <w:rsid w:val="53B92A73"/>
    <w:rsid w:val="53BB67EB"/>
    <w:rsid w:val="53C71634"/>
    <w:rsid w:val="53D224B3"/>
    <w:rsid w:val="53EB1FF8"/>
    <w:rsid w:val="53EC2E48"/>
    <w:rsid w:val="53F45760"/>
    <w:rsid w:val="5406215C"/>
    <w:rsid w:val="543D5452"/>
    <w:rsid w:val="547C41CC"/>
    <w:rsid w:val="54983866"/>
    <w:rsid w:val="54A379AB"/>
    <w:rsid w:val="54A930AA"/>
    <w:rsid w:val="54B27BEE"/>
    <w:rsid w:val="54BD0C40"/>
    <w:rsid w:val="54BF40B9"/>
    <w:rsid w:val="54D659D2"/>
    <w:rsid w:val="54EA7ADF"/>
    <w:rsid w:val="54F75F49"/>
    <w:rsid w:val="54FC355F"/>
    <w:rsid w:val="551A7499"/>
    <w:rsid w:val="55284354"/>
    <w:rsid w:val="553E5926"/>
    <w:rsid w:val="55432F3C"/>
    <w:rsid w:val="554A42CB"/>
    <w:rsid w:val="554D5B69"/>
    <w:rsid w:val="5560589C"/>
    <w:rsid w:val="556C4241"/>
    <w:rsid w:val="5579695E"/>
    <w:rsid w:val="558C043F"/>
    <w:rsid w:val="559807C9"/>
    <w:rsid w:val="55A133E3"/>
    <w:rsid w:val="55B87486"/>
    <w:rsid w:val="55BE4C30"/>
    <w:rsid w:val="55C404FA"/>
    <w:rsid w:val="55C45E2B"/>
    <w:rsid w:val="55CC345F"/>
    <w:rsid w:val="55CD5D6F"/>
    <w:rsid w:val="55F04E72"/>
    <w:rsid w:val="56203207"/>
    <w:rsid w:val="562468CA"/>
    <w:rsid w:val="562A2C28"/>
    <w:rsid w:val="562C2ED7"/>
    <w:rsid w:val="564D4072"/>
    <w:rsid w:val="564E2A58"/>
    <w:rsid w:val="56610227"/>
    <w:rsid w:val="567551C0"/>
    <w:rsid w:val="567B54EE"/>
    <w:rsid w:val="567C4958"/>
    <w:rsid w:val="56846C29"/>
    <w:rsid w:val="5689497F"/>
    <w:rsid w:val="56917593"/>
    <w:rsid w:val="56A703F5"/>
    <w:rsid w:val="56BB5CFA"/>
    <w:rsid w:val="56C97471"/>
    <w:rsid w:val="56D64EB7"/>
    <w:rsid w:val="56E314E0"/>
    <w:rsid w:val="57282705"/>
    <w:rsid w:val="57493744"/>
    <w:rsid w:val="574C75A3"/>
    <w:rsid w:val="574D2F08"/>
    <w:rsid w:val="5774562F"/>
    <w:rsid w:val="57754BF2"/>
    <w:rsid w:val="57BD6FD6"/>
    <w:rsid w:val="57CA16F3"/>
    <w:rsid w:val="57CA3880"/>
    <w:rsid w:val="57E417E0"/>
    <w:rsid w:val="57EE53E1"/>
    <w:rsid w:val="57F32A52"/>
    <w:rsid w:val="57FE1D7E"/>
    <w:rsid w:val="57FE50EE"/>
    <w:rsid w:val="58073B8C"/>
    <w:rsid w:val="580E7831"/>
    <w:rsid w:val="58256929"/>
    <w:rsid w:val="582D051B"/>
    <w:rsid w:val="58337298"/>
    <w:rsid w:val="58383060"/>
    <w:rsid w:val="583C2A0F"/>
    <w:rsid w:val="583F3E8F"/>
    <w:rsid w:val="58A40196"/>
    <w:rsid w:val="58BF0B2C"/>
    <w:rsid w:val="58C148A4"/>
    <w:rsid w:val="58D67320"/>
    <w:rsid w:val="58F22CAF"/>
    <w:rsid w:val="593212FE"/>
    <w:rsid w:val="593432C8"/>
    <w:rsid w:val="593E026C"/>
    <w:rsid w:val="593E5EF4"/>
    <w:rsid w:val="593F3A1A"/>
    <w:rsid w:val="594D6137"/>
    <w:rsid w:val="5989503C"/>
    <w:rsid w:val="59977C6E"/>
    <w:rsid w:val="599B50F5"/>
    <w:rsid w:val="59A25D4A"/>
    <w:rsid w:val="59AA17DC"/>
    <w:rsid w:val="59B14918"/>
    <w:rsid w:val="59B15C2B"/>
    <w:rsid w:val="59B25F2D"/>
    <w:rsid w:val="59BF7377"/>
    <w:rsid w:val="59D86349"/>
    <w:rsid w:val="59DD0C04"/>
    <w:rsid w:val="59E53268"/>
    <w:rsid w:val="59EC76FE"/>
    <w:rsid w:val="5A034978"/>
    <w:rsid w:val="5A040EEC"/>
    <w:rsid w:val="5A160C1F"/>
    <w:rsid w:val="5A16280E"/>
    <w:rsid w:val="5A1B5A10"/>
    <w:rsid w:val="5A266807"/>
    <w:rsid w:val="5A2C21F1"/>
    <w:rsid w:val="5A3472F2"/>
    <w:rsid w:val="5A6977D7"/>
    <w:rsid w:val="5A6E45B7"/>
    <w:rsid w:val="5A74532F"/>
    <w:rsid w:val="5A963B0E"/>
    <w:rsid w:val="5AA955EF"/>
    <w:rsid w:val="5AAD1584"/>
    <w:rsid w:val="5ACC2E57"/>
    <w:rsid w:val="5AD92379"/>
    <w:rsid w:val="5AEB3E5A"/>
    <w:rsid w:val="5AF0321E"/>
    <w:rsid w:val="5AF905A1"/>
    <w:rsid w:val="5B044F1C"/>
    <w:rsid w:val="5B070568"/>
    <w:rsid w:val="5B1C2265"/>
    <w:rsid w:val="5B2E3D47"/>
    <w:rsid w:val="5B33135D"/>
    <w:rsid w:val="5B435A44"/>
    <w:rsid w:val="5B4672E2"/>
    <w:rsid w:val="5B4A6DD2"/>
    <w:rsid w:val="5B4B2B4A"/>
    <w:rsid w:val="5B572513"/>
    <w:rsid w:val="5B6078C7"/>
    <w:rsid w:val="5B633E23"/>
    <w:rsid w:val="5B762629"/>
    <w:rsid w:val="5B773CF2"/>
    <w:rsid w:val="5B953DC6"/>
    <w:rsid w:val="5B9B5880"/>
    <w:rsid w:val="5BB21D9A"/>
    <w:rsid w:val="5BB7600F"/>
    <w:rsid w:val="5BCD355F"/>
    <w:rsid w:val="5BDC6D33"/>
    <w:rsid w:val="5BF037E6"/>
    <w:rsid w:val="5BFD3E45"/>
    <w:rsid w:val="5C053504"/>
    <w:rsid w:val="5C0F2714"/>
    <w:rsid w:val="5C2A09B2"/>
    <w:rsid w:val="5C3A263A"/>
    <w:rsid w:val="5C531CB7"/>
    <w:rsid w:val="5C814A76"/>
    <w:rsid w:val="5C9D1184"/>
    <w:rsid w:val="5CAE513F"/>
    <w:rsid w:val="5CAF25EE"/>
    <w:rsid w:val="5CAF7F16"/>
    <w:rsid w:val="5CBE74EA"/>
    <w:rsid w:val="5CC56713"/>
    <w:rsid w:val="5CC71DD8"/>
    <w:rsid w:val="5CCE3A33"/>
    <w:rsid w:val="5CD66444"/>
    <w:rsid w:val="5CF10325"/>
    <w:rsid w:val="5CF82EF2"/>
    <w:rsid w:val="5CF9414D"/>
    <w:rsid w:val="5CF9552F"/>
    <w:rsid w:val="5D0631CD"/>
    <w:rsid w:val="5D0B433F"/>
    <w:rsid w:val="5D17501F"/>
    <w:rsid w:val="5D1D22C5"/>
    <w:rsid w:val="5D213B63"/>
    <w:rsid w:val="5D2E44D2"/>
    <w:rsid w:val="5D3C6BEF"/>
    <w:rsid w:val="5D431D2B"/>
    <w:rsid w:val="5D4569AE"/>
    <w:rsid w:val="5D5E0913"/>
    <w:rsid w:val="5D6D6DA8"/>
    <w:rsid w:val="5D6F2B20"/>
    <w:rsid w:val="5D7C6FEB"/>
    <w:rsid w:val="5D883BE2"/>
    <w:rsid w:val="5D9B5E1F"/>
    <w:rsid w:val="5DA36C6E"/>
    <w:rsid w:val="5DAF116F"/>
    <w:rsid w:val="5DB426F2"/>
    <w:rsid w:val="5DBE7604"/>
    <w:rsid w:val="5DCF35BF"/>
    <w:rsid w:val="5DF11787"/>
    <w:rsid w:val="5DF41277"/>
    <w:rsid w:val="5E0771FD"/>
    <w:rsid w:val="5E2733FB"/>
    <w:rsid w:val="5E340AEC"/>
    <w:rsid w:val="5E3D2C1E"/>
    <w:rsid w:val="5E467ABB"/>
    <w:rsid w:val="5E557927"/>
    <w:rsid w:val="5E647215"/>
    <w:rsid w:val="5E6F6B70"/>
    <w:rsid w:val="5E7128C8"/>
    <w:rsid w:val="5E785A05"/>
    <w:rsid w:val="5E7E5BC7"/>
    <w:rsid w:val="5E8A59E3"/>
    <w:rsid w:val="5EA467FA"/>
    <w:rsid w:val="5EAC5CC5"/>
    <w:rsid w:val="5EBB3B43"/>
    <w:rsid w:val="5EC24ED2"/>
    <w:rsid w:val="5ECF669A"/>
    <w:rsid w:val="5EF64B7B"/>
    <w:rsid w:val="5F131BD1"/>
    <w:rsid w:val="5F1C68EB"/>
    <w:rsid w:val="5F2931A3"/>
    <w:rsid w:val="5F304531"/>
    <w:rsid w:val="5F3A658F"/>
    <w:rsid w:val="5F443B39"/>
    <w:rsid w:val="5F4621D1"/>
    <w:rsid w:val="5F4B6DF9"/>
    <w:rsid w:val="5F5244A8"/>
    <w:rsid w:val="5F5E109E"/>
    <w:rsid w:val="5F675CE8"/>
    <w:rsid w:val="5F6D7533"/>
    <w:rsid w:val="5F904FD0"/>
    <w:rsid w:val="5F9E101E"/>
    <w:rsid w:val="5FD4310E"/>
    <w:rsid w:val="5FD80582"/>
    <w:rsid w:val="5FE377F5"/>
    <w:rsid w:val="601D2D07"/>
    <w:rsid w:val="60326087"/>
    <w:rsid w:val="603E7754"/>
    <w:rsid w:val="604D407A"/>
    <w:rsid w:val="605E0C2A"/>
    <w:rsid w:val="6061582C"/>
    <w:rsid w:val="6062071A"/>
    <w:rsid w:val="606E6033"/>
    <w:rsid w:val="60712742"/>
    <w:rsid w:val="60787F3E"/>
    <w:rsid w:val="60940AF0"/>
    <w:rsid w:val="609D64AA"/>
    <w:rsid w:val="60A27B32"/>
    <w:rsid w:val="60B92695"/>
    <w:rsid w:val="60BE5D83"/>
    <w:rsid w:val="60DD3A26"/>
    <w:rsid w:val="60E51508"/>
    <w:rsid w:val="60F82E2D"/>
    <w:rsid w:val="60FC0223"/>
    <w:rsid w:val="614A3DAA"/>
    <w:rsid w:val="6155027F"/>
    <w:rsid w:val="616821E1"/>
    <w:rsid w:val="61730B8F"/>
    <w:rsid w:val="618463A2"/>
    <w:rsid w:val="618741B1"/>
    <w:rsid w:val="61B2747F"/>
    <w:rsid w:val="61B90451"/>
    <w:rsid w:val="61DE0274"/>
    <w:rsid w:val="61E73B15"/>
    <w:rsid w:val="61EA259B"/>
    <w:rsid w:val="61EB473F"/>
    <w:rsid w:val="61EB7329"/>
    <w:rsid w:val="61F21F72"/>
    <w:rsid w:val="62013F63"/>
    <w:rsid w:val="622540F5"/>
    <w:rsid w:val="623B7475"/>
    <w:rsid w:val="62405FC3"/>
    <w:rsid w:val="62482F7C"/>
    <w:rsid w:val="62677DAD"/>
    <w:rsid w:val="6281113E"/>
    <w:rsid w:val="62854B94"/>
    <w:rsid w:val="62935219"/>
    <w:rsid w:val="62CD6AEC"/>
    <w:rsid w:val="62D94595"/>
    <w:rsid w:val="63103C43"/>
    <w:rsid w:val="631E6C0A"/>
    <w:rsid w:val="632624E0"/>
    <w:rsid w:val="632E0F01"/>
    <w:rsid w:val="633B34A5"/>
    <w:rsid w:val="633B5253"/>
    <w:rsid w:val="6347009B"/>
    <w:rsid w:val="6349032F"/>
    <w:rsid w:val="63566066"/>
    <w:rsid w:val="63901A42"/>
    <w:rsid w:val="639F1C85"/>
    <w:rsid w:val="63B81244"/>
    <w:rsid w:val="63C45248"/>
    <w:rsid w:val="63C60FC0"/>
    <w:rsid w:val="63CB65D6"/>
    <w:rsid w:val="63D41366"/>
    <w:rsid w:val="640E2967"/>
    <w:rsid w:val="640E5F10"/>
    <w:rsid w:val="64153CF6"/>
    <w:rsid w:val="6419594B"/>
    <w:rsid w:val="64264155"/>
    <w:rsid w:val="644C769A"/>
    <w:rsid w:val="64520AA6"/>
    <w:rsid w:val="64664551"/>
    <w:rsid w:val="647153D0"/>
    <w:rsid w:val="647C392C"/>
    <w:rsid w:val="64800077"/>
    <w:rsid w:val="64805613"/>
    <w:rsid w:val="6486074F"/>
    <w:rsid w:val="649829A9"/>
    <w:rsid w:val="64A77044"/>
    <w:rsid w:val="64BB2AEF"/>
    <w:rsid w:val="64CB26DD"/>
    <w:rsid w:val="64D771FD"/>
    <w:rsid w:val="650171EE"/>
    <w:rsid w:val="65055B18"/>
    <w:rsid w:val="65433804"/>
    <w:rsid w:val="65556AA0"/>
    <w:rsid w:val="65684D07"/>
    <w:rsid w:val="657A02B4"/>
    <w:rsid w:val="657D2B9C"/>
    <w:rsid w:val="6593581A"/>
    <w:rsid w:val="65956E9C"/>
    <w:rsid w:val="65A215B9"/>
    <w:rsid w:val="65BD63F3"/>
    <w:rsid w:val="65C46536"/>
    <w:rsid w:val="65D406EA"/>
    <w:rsid w:val="66536B52"/>
    <w:rsid w:val="66542B2C"/>
    <w:rsid w:val="665723A3"/>
    <w:rsid w:val="66655263"/>
    <w:rsid w:val="667B400E"/>
    <w:rsid w:val="66911D59"/>
    <w:rsid w:val="66BB7F8E"/>
    <w:rsid w:val="66E005EB"/>
    <w:rsid w:val="66E53E53"/>
    <w:rsid w:val="66E55C01"/>
    <w:rsid w:val="66EA7812"/>
    <w:rsid w:val="66FE4522"/>
    <w:rsid w:val="6704527C"/>
    <w:rsid w:val="673F1F3F"/>
    <w:rsid w:val="673F79B4"/>
    <w:rsid w:val="67442824"/>
    <w:rsid w:val="674A1F08"/>
    <w:rsid w:val="67544B35"/>
    <w:rsid w:val="67655FA1"/>
    <w:rsid w:val="67795693"/>
    <w:rsid w:val="677A0A3F"/>
    <w:rsid w:val="67987117"/>
    <w:rsid w:val="67A43BE0"/>
    <w:rsid w:val="67AB6E4B"/>
    <w:rsid w:val="67B37F71"/>
    <w:rsid w:val="67B545A8"/>
    <w:rsid w:val="67CE6C86"/>
    <w:rsid w:val="67D31319"/>
    <w:rsid w:val="67D46EF3"/>
    <w:rsid w:val="67D72D6F"/>
    <w:rsid w:val="67DC6D5A"/>
    <w:rsid w:val="67E206D5"/>
    <w:rsid w:val="68303C5A"/>
    <w:rsid w:val="68375408"/>
    <w:rsid w:val="683E4D48"/>
    <w:rsid w:val="685A261F"/>
    <w:rsid w:val="6865349E"/>
    <w:rsid w:val="68655F18"/>
    <w:rsid w:val="68B00491"/>
    <w:rsid w:val="68C14BF3"/>
    <w:rsid w:val="68E343C2"/>
    <w:rsid w:val="68FA309F"/>
    <w:rsid w:val="68FB170C"/>
    <w:rsid w:val="68FE0507"/>
    <w:rsid w:val="69034A64"/>
    <w:rsid w:val="690F3409"/>
    <w:rsid w:val="69272501"/>
    <w:rsid w:val="692C5D69"/>
    <w:rsid w:val="692E7D33"/>
    <w:rsid w:val="692F7608"/>
    <w:rsid w:val="69401815"/>
    <w:rsid w:val="694A487B"/>
    <w:rsid w:val="694D6631"/>
    <w:rsid w:val="695025CA"/>
    <w:rsid w:val="6958090C"/>
    <w:rsid w:val="695928D6"/>
    <w:rsid w:val="69765236"/>
    <w:rsid w:val="698E07D2"/>
    <w:rsid w:val="69AB0D0D"/>
    <w:rsid w:val="69B27B43"/>
    <w:rsid w:val="69BE0005"/>
    <w:rsid w:val="69DF2DDC"/>
    <w:rsid w:val="69EA352F"/>
    <w:rsid w:val="69EB2192"/>
    <w:rsid w:val="6A2E5B11"/>
    <w:rsid w:val="6A3C0286"/>
    <w:rsid w:val="6A4D41E9"/>
    <w:rsid w:val="6A570136"/>
    <w:rsid w:val="6A695DCD"/>
    <w:rsid w:val="6A731776"/>
    <w:rsid w:val="6A753740"/>
    <w:rsid w:val="6A7A6FA8"/>
    <w:rsid w:val="6A7E2C0A"/>
    <w:rsid w:val="6A802F8E"/>
    <w:rsid w:val="6A857F0C"/>
    <w:rsid w:val="6A8B4438"/>
    <w:rsid w:val="6AAD4C88"/>
    <w:rsid w:val="6ABA55F7"/>
    <w:rsid w:val="6AC10733"/>
    <w:rsid w:val="6AC72890"/>
    <w:rsid w:val="6ACD7255"/>
    <w:rsid w:val="6AD2649C"/>
    <w:rsid w:val="6AE17565"/>
    <w:rsid w:val="6AFE3735"/>
    <w:rsid w:val="6B2111D2"/>
    <w:rsid w:val="6B361E7E"/>
    <w:rsid w:val="6B3C7DBA"/>
    <w:rsid w:val="6B3D4EC2"/>
    <w:rsid w:val="6B43383E"/>
    <w:rsid w:val="6B4E489C"/>
    <w:rsid w:val="6B6F63E1"/>
    <w:rsid w:val="6B804DE4"/>
    <w:rsid w:val="6B8071BE"/>
    <w:rsid w:val="6B8D5DE3"/>
    <w:rsid w:val="6BAB3285"/>
    <w:rsid w:val="6BB16221"/>
    <w:rsid w:val="6BE40B7D"/>
    <w:rsid w:val="6BE45953"/>
    <w:rsid w:val="6BE94F3A"/>
    <w:rsid w:val="6BF40694"/>
    <w:rsid w:val="6C061F17"/>
    <w:rsid w:val="6C0D1CBF"/>
    <w:rsid w:val="6C0E5BFA"/>
    <w:rsid w:val="6C150D37"/>
    <w:rsid w:val="6C2F1E55"/>
    <w:rsid w:val="6C376EFF"/>
    <w:rsid w:val="6C661592"/>
    <w:rsid w:val="6C741E4F"/>
    <w:rsid w:val="6C787517"/>
    <w:rsid w:val="6C914D27"/>
    <w:rsid w:val="6CAA6CFE"/>
    <w:rsid w:val="6CC369E5"/>
    <w:rsid w:val="6CCE0587"/>
    <w:rsid w:val="6CDC7AA6"/>
    <w:rsid w:val="6D013FEB"/>
    <w:rsid w:val="6D1930EC"/>
    <w:rsid w:val="6D2F407A"/>
    <w:rsid w:val="6D5E2408"/>
    <w:rsid w:val="6DA71186"/>
    <w:rsid w:val="6DB30918"/>
    <w:rsid w:val="6DB620A5"/>
    <w:rsid w:val="6DC42A14"/>
    <w:rsid w:val="6DCF04CF"/>
    <w:rsid w:val="6DCF4F15"/>
    <w:rsid w:val="6DD036A3"/>
    <w:rsid w:val="6DD62AF8"/>
    <w:rsid w:val="6DDC4D91"/>
    <w:rsid w:val="6DE81D0F"/>
    <w:rsid w:val="6DE85FD7"/>
    <w:rsid w:val="6DF76B0A"/>
    <w:rsid w:val="6E054DB3"/>
    <w:rsid w:val="6E0D5EB7"/>
    <w:rsid w:val="6E1A0994"/>
    <w:rsid w:val="6E3F209B"/>
    <w:rsid w:val="6E7004A6"/>
    <w:rsid w:val="6E9879FD"/>
    <w:rsid w:val="6E9A19C7"/>
    <w:rsid w:val="6EBD3E7A"/>
    <w:rsid w:val="6EBD700A"/>
    <w:rsid w:val="6EBF142E"/>
    <w:rsid w:val="6EC72090"/>
    <w:rsid w:val="6ED53771"/>
    <w:rsid w:val="6EFD2502"/>
    <w:rsid w:val="6F082DD5"/>
    <w:rsid w:val="6F10216C"/>
    <w:rsid w:val="6F1352D6"/>
    <w:rsid w:val="6F457799"/>
    <w:rsid w:val="6F5E1724"/>
    <w:rsid w:val="6F6618A9"/>
    <w:rsid w:val="6F71097A"/>
    <w:rsid w:val="6F743FC6"/>
    <w:rsid w:val="6F783707"/>
    <w:rsid w:val="6F7D7049"/>
    <w:rsid w:val="6F963F3C"/>
    <w:rsid w:val="6FE1043B"/>
    <w:rsid w:val="6FF670D1"/>
    <w:rsid w:val="700B760E"/>
    <w:rsid w:val="700D7F77"/>
    <w:rsid w:val="702E651A"/>
    <w:rsid w:val="703B4AE4"/>
    <w:rsid w:val="706E310B"/>
    <w:rsid w:val="70794B97"/>
    <w:rsid w:val="70860455"/>
    <w:rsid w:val="70860D62"/>
    <w:rsid w:val="70891C83"/>
    <w:rsid w:val="708C17E3"/>
    <w:rsid w:val="70981F36"/>
    <w:rsid w:val="70B52AE8"/>
    <w:rsid w:val="70CB2BBE"/>
    <w:rsid w:val="70CD6084"/>
    <w:rsid w:val="70CE6BA0"/>
    <w:rsid w:val="70D016D0"/>
    <w:rsid w:val="70F35BF8"/>
    <w:rsid w:val="71124D16"/>
    <w:rsid w:val="71160F53"/>
    <w:rsid w:val="711A0B9D"/>
    <w:rsid w:val="713A6780"/>
    <w:rsid w:val="713C4FB8"/>
    <w:rsid w:val="71491244"/>
    <w:rsid w:val="714B51FB"/>
    <w:rsid w:val="71582A07"/>
    <w:rsid w:val="716C6988"/>
    <w:rsid w:val="716E28EA"/>
    <w:rsid w:val="717943B6"/>
    <w:rsid w:val="71845F40"/>
    <w:rsid w:val="71900E5F"/>
    <w:rsid w:val="71916F49"/>
    <w:rsid w:val="71A33B87"/>
    <w:rsid w:val="71AB63BC"/>
    <w:rsid w:val="71AE4713"/>
    <w:rsid w:val="71B27028"/>
    <w:rsid w:val="71D25565"/>
    <w:rsid w:val="71D945B4"/>
    <w:rsid w:val="71F11C1F"/>
    <w:rsid w:val="723314F1"/>
    <w:rsid w:val="723637B5"/>
    <w:rsid w:val="724A62A9"/>
    <w:rsid w:val="725435CA"/>
    <w:rsid w:val="72646574"/>
    <w:rsid w:val="727F33AE"/>
    <w:rsid w:val="72802C82"/>
    <w:rsid w:val="728A6048"/>
    <w:rsid w:val="72A8433C"/>
    <w:rsid w:val="72AA7CFF"/>
    <w:rsid w:val="72BD1CA1"/>
    <w:rsid w:val="72C07522"/>
    <w:rsid w:val="72C54B91"/>
    <w:rsid w:val="72D468CD"/>
    <w:rsid w:val="73156124"/>
    <w:rsid w:val="731A30D6"/>
    <w:rsid w:val="731D03D0"/>
    <w:rsid w:val="731F693F"/>
    <w:rsid w:val="7320374B"/>
    <w:rsid w:val="73426189"/>
    <w:rsid w:val="734C0DB6"/>
    <w:rsid w:val="73584999"/>
    <w:rsid w:val="735A3B0C"/>
    <w:rsid w:val="7361796E"/>
    <w:rsid w:val="737427E7"/>
    <w:rsid w:val="737669D2"/>
    <w:rsid w:val="737C78ED"/>
    <w:rsid w:val="739369E5"/>
    <w:rsid w:val="739700BA"/>
    <w:rsid w:val="739B4217"/>
    <w:rsid w:val="73AD5CF9"/>
    <w:rsid w:val="73D94D40"/>
    <w:rsid w:val="740D2C3B"/>
    <w:rsid w:val="742E508B"/>
    <w:rsid w:val="744877CF"/>
    <w:rsid w:val="745F1E4B"/>
    <w:rsid w:val="7460720F"/>
    <w:rsid w:val="74692D8A"/>
    <w:rsid w:val="74716D26"/>
    <w:rsid w:val="74933140"/>
    <w:rsid w:val="74B81FE2"/>
    <w:rsid w:val="74B86703"/>
    <w:rsid w:val="74BD1F6B"/>
    <w:rsid w:val="74CE23CA"/>
    <w:rsid w:val="74DE12C2"/>
    <w:rsid w:val="74E813D5"/>
    <w:rsid w:val="74FF4332"/>
    <w:rsid w:val="750E0AAE"/>
    <w:rsid w:val="75105270"/>
    <w:rsid w:val="75112770"/>
    <w:rsid w:val="751C1388"/>
    <w:rsid w:val="75241FEA"/>
    <w:rsid w:val="75581C94"/>
    <w:rsid w:val="755F3023"/>
    <w:rsid w:val="75644ADD"/>
    <w:rsid w:val="75874327"/>
    <w:rsid w:val="75995FB8"/>
    <w:rsid w:val="75A1188D"/>
    <w:rsid w:val="75A2478B"/>
    <w:rsid w:val="75B50E95"/>
    <w:rsid w:val="75CA0DE4"/>
    <w:rsid w:val="75CD4430"/>
    <w:rsid w:val="75D25EEA"/>
    <w:rsid w:val="75F75951"/>
    <w:rsid w:val="75FC4D15"/>
    <w:rsid w:val="75FE0A8D"/>
    <w:rsid w:val="760327D0"/>
    <w:rsid w:val="76097029"/>
    <w:rsid w:val="76133C04"/>
    <w:rsid w:val="762229CE"/>
    <w:rsid w:val="764A4CEF"/>
    <w:rsid w:val="766C1E9B"/>
    <w:rsid w:val="76880357"/>
    <w:rsid w:val="769D2054"/>
    <w:rsid w:val="76AA4771"/>
    <w:rsid w:val="76B31878"/>
    <w:rsid w:val="76CC0B8C"/>
    <w:rsid w:val="76E13170"/>
    <w:rsid w:val="76E311A3"/>
    <w:rsid w:val="772938E8"/>
    <w:rsid w:val="7734344E"/>
    <w:rsid w:val="774424D0"/>
    <w:rsid w:val="77813724"/>
    <w:rsid w:val="77972F48"/>
    <w:rsid w:val="7798554B"/>
    <w:rsid w:val="77A2369A"/>
    <w:rsid w:val="77B561D9"/>
    <w:rsid w:val="77C41863"/>
    <w:rsid w:val="77C56F9E"/>
    <w:rsid w:val="77CB0E43"/>
    <w:rsid w:val="77E141C3"/>
    <w:rsid w:val="77F008AA"/>
    <w:rsid w:val="77FE2FC7"/>
    <w:rsid w:val="78054355"/>
    <w:rsid w:val="78202F3D"/>
    <w:rsid w:val="782347DB"/>
    <w:rsid w:val="782A5B6A"/>
    <w:rsid w:val="78300CA6"/>
    <w:rsid w:val="78322C70"/>
    <w:rsid w:val="783267CC"/>
    <w:rsid w:val="783951EC"/>
    <w:rsid w:val="783C3AEF"/>
    <w:rsid w:val="783E1615"/>
    <w:rsid w:val="78484242"/>
    <w:rsid w:val="78485FF0"/>
    <w:rsid w:val="784F2AA8"/>
    <w:rsid w:val="786646C8"/>
    <w:rsid w:val="786C4C30"/>
    <w:rsid w:val="7874661E"/>
    <w:rsid w:val="78827754"/>
    <w:rsid w:val="78B91B03"/>
    <w:rsid w:val="78BE2756"/>
    <w:rsid w:val="78D12489"/>
    <w:rsid w:val="78D44487"/>
    <w:rsid w:val="78EA354B"/>
    <w:rsid w:val="78EA70A7"/>
    <w:rsid w:val="79246961"/>
    <w:rsid w:val="79711576"/>
    <w:rsid w:val="7973634F"/>
    <w:rsid w:val="797F0066"/>
    <w:rsid w:val="79862855"/>
    <w:rsid w:val="798B1DF8"/>
    <w:rsid w:val="798E037A"/>
    <w:rsid w:val="79AB7B9C"/>
    <w:rsid w:val="79B078F9"/>
    <w:rsid w:val="79C36276"/>
    <w:rsid w:val="79D33BD7"/>
    <w:rsid w:val="79E65AC0"/>
    <w:rsid w:val="7A0712A8"/>
    <w:rsid w:val="7A1A5F3C"/>
    <w:rsid w:val="7A293BFF"/>
    <w:rsid w:val="7A2E3F8E"/>
    <w:rsid w:val="7A3A5E0C"/>
    <w:rsid w:val="7A440A39"/>
    <w:rsid w:val="7A486B67"/>
    <w:rsid w:val="7A55245C"/>
    <w:rsid w:val="7A5C5D83"/>
    <w:rsid w:val="7A63380E"/>
    <w:rsid w:val="7A7C01D3"/>
    <w:rsid w:val="7A7E002C"/>
    <w:rsid w:val="7A8734B8"/>
    <w:rsid w:val="7A8A6D94"/>
    <w:rsid w:val="7A906299"/>
    <w:rsid w:val="7A911ED0"/>
    <w:rsid w:val="7A996FD7"/>
    <w:rsid w:val="7A9C562E"/>
    <w:rsid w:val="7AB64546"/>
    <w:rsid w:val="7AC04563"/>
    <w:rsid w:val="7ACB4729"/>
    <w:rsid w:val="7AE220D3"/>
    <w:rsid w:val="7AE70BAE"/>
    <w:rsid w:val="7AEA7832"/>
    <w:rsid w:val="7AEC455F"/>
    <w:rsid w:val="7AF16E13"/>
    <w:rsid w:val="7AF91823"/>
    <w:rsid w:val="7B0528FD"/>
    <w:rsid w:val="7B05466C"/>
    <w:rsid w:val="7B0703E4"/>
    <w:rsid w:val="7B136D89"/>
    <w:rsid w:val="7B294867"/>
    <w:rsid w:val="7B4D1357"/>
    <w:rsid w:val="7B641393"/>
    <w:rsid w:val="7B6E2F9B"/>
    <w:rsid w:val="7B89704B"/>
    <w:rsid w:val="7B98702C"/>
    <w:rsid w:val="7BC71922"/>
    <w:rsid w:val="7BC77B74"/>
    <w:rsid w:val="7BD04C7A"/>
    <w:rsid w:val="7BD57CCF"/>
    <w:rsid w:val="7BE1417D"/>
    <w:rsid w:val="7C022E76"/>
    <w:rsid w:val="7C0A4D17"/>
    <w:rsid w:val="7C0A6D20"/>
    <w:rsid w:val="7C156B9F"/>
    <w:rsid w:val="7C213B75"/>
    <w:rsid w:val="7C305719"/>
    <w:rsid w:val="7C3163FF"/>
    <w:rsid w:val="7C3474E9"/>
    <w:rsid w:val="7C620E3B"/>
    <w:rsid w:val="7C896BD7"/>
    <w:rsid w:val="7C8B6DF3"/>
    <w:rsid w:val="7C8D6749"/>
    <w:rsid w:val="7CA61385"/>
    <w:rsid w:val="7CB22D0E"/>
    <w:rsid w:val="7CB718F6"/>
    <w:rsid w:val="7CCC0C02"/>
    <w:rsid w:val="7CE24C65"/>
    <w:rsid w:val="7CE64C01"/>
    <w:rsid w:val="7CFB7AD5"/>
    <w:rsid w:val="7D0270B5"/>
    <w:rsid w:val="7D07647A"/>
    <w:rsid w:val="7D0E5A5A"/>
    <w:rsid w:val="7D123C1F"/>
    <w:rsid w:val="7D1467DB"/>
    <w:rsid w:val="7D2C7C8E"/>
    <w:rsid w:val="7D576182"/>
    <w:rsid w:val="7D625DA6"/>
    <w:rsid w:val="7D871368"/>
    <w:rsid w:val="7D8B70AB"/>
    <w:rsid w:val="7D931348"/>
    <w:rsid w:val="7DAD0637"/>
    <w:rsid w:val="7DC12ACC"/>
    <w:rsid w:val="7DC93376"/>
    <w:rsid w:val="7DD32800"/>
    <w:rsid w:val="7DF14781"/>
    <w:rsid w:val="7DFA2E1C"/>
    <w:rsid w:val="7E0D3978"/>
    <w:rsid w:val="7E3A287F"/>
    <w:rsid w:val="7E3F7E95"/>
    <w:rsid w:val="7E6873EC"/>
    <w:rsid w:val="7E9E4BBC"/>
    <w:rsid w:val="7EA23BA4"/>
    <w:rsid w:val="7EB10D93"/>
    <w:rsid w:val="7EB459DD"/>
    <w:rsid w:val="7ECD724F"/>
    <w:rsid w:val="7EE22D5E"/>
    <w:rsid w:val="7EF02C27"/>
    <w:rsid w:val="7EF91AB2"/>
    <w:rsid w:val="7EFB3E85"/>
    <w:rsid w:val="7F016EF9"/>
    <w:rsid w:val="7F030EC3"/>
    <w:rsid w:val="7F0E20E8"/>
    <w:rsid w:val="7F175EDC"/>
    <w:rsid w:val="7F177E9D"/>
    <w:rsid w:val="7F2729DE"/>
    <w:rsid w:val="7F390D88"/>
    <w:rsid w:val="7F405C73"/>
    <w:rsid w:val="7F466C3D"/>
    <w:rsid w:val="7F841BB1"/>
    <w:rsid w:val="7F8C2C66"/>
    <w:rsid w:val="7F912972"/>
    <w:rsid w:val="7F9623C1"/>
    <w:rsid w:val="7FAC4722"/>
    <w:rsid w:val="7FAF016F"/>
    <w:rsid w:val="7FCF1996"/>
    <w:rsid w:val="7FD17D13"/>
    <w:rsid w:val="7FD7406F"/>
    <w:rsid w:val="7FDF106F"/>
    <w:rsid w:val="7FF107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5"/>
    <w:qFormat/>
    <w:uiPriority w:val="0"/>
    <w:pPr>
      <w:keepNext/>
      <w:keepLines/>
      <w:spacing w:before="340" w:beforeLines="0" w:after="330" w:afterLines="0" w:line="578" w:lineRule="auto"/>
      <w:jc w:val="center"/>
      <w:outlineLvl w:val="0"/>
    </w:pPr>
    <w:rPr>
      <w:b/>
      <w:bCs/>
      <w:kern w:val="44"/>
      <w:sz w:val="32"/>
      <w:szCs w:val="44"/>
    </w:rPr>
  </w:style>
  <w:style w:type="paragraph" w:styleId="3">
    <w:name w:val="heading 2"/>
    <w:basedOn w:val="1"/>
    <w:next w:val="1"/>
    <w:qFormat/>
    <w:uiPriority w:val="0"/>
    <w:pPr>
      <w:keepNext/>
      <w:keepLines/>
      <w:numPr>
        <w:ilvl w:val="1"/>
        <w:numId w:val="1"/>
      </w:numPr>
      <w:adjustRightInd w:val="0"/>
      <w:spacing w:line="360" w:lineRule="atLeast"/>
      <w:textAlignment w:val="baseline"/>
      <w:outlineLvl w:val="1"/>
    </w:pPr>
    <w:rPr>
      <w:rFonts w:ascii="Times New Roman" w:hAnsi="Times New Roman" w:eastAsia="宋体" w:cs="Times New Roman"/>
      <w:kern w:val="0"/>
      <w:sz w:val="24"/>
      <w:szCs w:val="20"/>
    </w:rPr>
  </w:style>
  <w:style w:type="paragraph" w:styleId="4">
    <w:name w:val="heading 3"/>
    <w:basedOn w:val="1"/>
    <w:next w:val="1"/>
    <w:qFormat/>
    <w:uiPriority w:val="0"/>
    <w:pPr>
      <w:keepNext/>
      <w:keepLines/>
      <w:spacing w:before="260" w:beforeLines="0" w:after="260" w:afterLines="0" w:line="416" w:lineRule="atLeast"/>
      <w:jc w:val="both"/>
      <w:textAlignment w:val="baseline"/>
      <w:outlineLvl w:val="2"/>
    </w:pPr>
    <w:rPr>
      <w:rFonts w:ascii="Times New Roman" w:hAnsi="Times New Roman" w:eastAsia="宋体" w:cs="Times New Roman"/>
      <w:b/>
      <w:bCs/>
      <w:color w:val="000000"/>
      <w:sz w:val="32"/>
      <w:szCs w:val="32"/>
      <w:u w:val="none" w:color="000000"/>
      <w:lang w:val="en-US" w:eastAsia="zh-CN" w:bidi="ar-SA"/>
    </w:rPr>
  </w:style>
  <w:style w:type="paragraph" w:styleId="5">
    <w:name w:val="heading 4"/>
    <w:basedOn w:val="1"/>
    <w:next w:val="1"/>
    <w:link w:val="56"/>
    <w:qFormat/>
    <w:uiPriority w:val="0"/>
    <w:pPr>
      <w:keepNext/>
      <w:keepLines/>
      <w:widowControl/>
      <w:spacing w:before="280" w:beforeLines="0" w:after="290" w:afterLines="0" w:line="376" w:lineRule="atLeast"/>
      <w:textAlignment w:val="baseline"/>
      <w:outlineLvl w:val="3"/>
    </w:pPr>
    <w:rPr>
      <w:rFonts w:ascii="Arial" w:hAnsi="Arial" w:eastAsia="黑体"/>
      <w:b/>
      <w:bCs/>
      <w:color w:val="000000"/>
      <w:kern w:val="0"/>
      <w:sz w:val="28"/>
      <w:szCs w:val="28"/>
      <w:u w:val="none" w:color="000000"/>
    </w:rPr>
  </w:style>
  <w:style w:type="paragraph" w:styleId="6">
    <w:name w:val="heading 5"/>
    <w:basedOn w:val="1"/>
    <w:next w:val="1"/>
    <w:link w:val="57"/>
    <w:qFormat/>
    <w:uiPriority w:val="0"/>
    <w:pPr>
      <w:keepNext/>
      <w:keepLines/>
      <w:spacing w:before="280" w:beforeLines="0" w:after="290" w:afterLines="0" w:line="376" w:lineRule="auto"/>
      <w:outlineLvl w:val="4"/>
    </w:pPr>
    <w:rPr>
      <w:b/>
      <w:bCs/>
      <w:sz w:val="28"/>
      <w:szCs w:val="28"/>
    </w:rPr>
  </w:style>
  <w:style w:type="paragraph" w:styleId="7">
    <w:name w:val="heading 6"/>
    <w:basedOn w:val="1"/>
    <w:next w:val="1"/>
    <w:link w:val="58"/>
    <w:qFormat/>
    <w:uiPriority w:val="0"/>
    <w:pPr>
      <w:keepNext/>
      <w:keepLines/>
      <w:spacing w:before="240" w:beforeLines="0" w:after="64" w:afterLines="0" w:line="320" w:lineRule="auto"/>
      <w:outlineLvl w:val="5"/>
    </w:pPr>
    <w:rPr>
      <w:rFonts w:ascii="Cambria" w:hAnsi="Cambria"/>
      <w:b/>
      <w:bCs/>
      <w:sz w:val="24"/>
    </w:rPr>
  </w:style>
  <w:style w:type="paragraph" w:styleId="8">
    <w:name w:val="heading 7"/>
    <w:basedOn w:val="1"/>
    <w:next w:val="1"/>
    <w:link w:val="59"/>
    <w:qFormat/>
    <w:uiPriority w:val="0"/>
    <w:pPr>
      <w:keepNext/>
      <w:keepLines/>
      <w:spacing w:before="240" w:beforeLines="0" w:after="64" w:afterLines="0" w:line="320" w:lineRule="auto"/>
      <w:outlineLvl w:val="6"/>
    </w:pPr>
    <w:rPr>
      <w:b/>
      <w:bCs/>
      <w:sz w:val="24"/>
    </w:rPr>
  </w:style>
  <w:style w:type="character" w:default="1" w:styleId="37">
    <w:name w:val="Default Paragraph Font"/>
    <w:qFormat/>
    <w:uiPriority w:val="0"/>
    <w:rPr>
      <w:rFonts w:ascii="Times New Roman" w:hAnsi="Times New Roman" w:eastAsia="宋体" w:cs="Times New Roman"/>
    </w:rPr>
  </w:style>
  <w:style w:type="table" w:default="1" w:styleId="35">
    <w:name w:val="Normal Table"/>
    <w:semiHidden/>
    <w:qFormat/>
    <w:uiPriority w:val="0"/>
    <w:tblPr>
      <w:tblCellMar>
        <w:top w:w="0" w:type="dxa"/>
        <w:left w:w="108" w:type="dxa"/>
        <w:bottom w:w="0" w:type="dxa"/>
        <w:right w:w="108" w:type="dxa"/>
      </w:tblCellMar>
    </w:tblPr>
  </w:style>
  <w:style w:type="paragraph" w:styleId="9">
    <w:name w:val="toc 7"/>
    <w:basedOn w:val="1"/>
    <w:next w:val="1"/>
    <w:qFormat/>
    <w:uiPriority w:val="39"/>
    <w:pPr>
      <w:ind w:left="1260"/>
      <w:jc w:val="left"/>
    </w:pPr>
    <w:rPr>
      <w:sz w:val="18"/>
      <w:szCs w:val="18"/>
    </w:rPr>
  </w:style>
  <w:style w:type="paragraph" w:styleId="10">
    <w:name w:val="List Number 2"/>
    <w:basedOn w:val="1"/>
    <w:qFormat/>
    <w:uiPriority w:val="0"/>
    <w:pPr>
      <w:numPr>
        <w:ilvl w:val="0"/>
        <w:numId w:val="2"/>
      </w:numPr>
      <w:tabs>
        <w:tab w:val="left" w:pos="567"/>
        <w:tab w:val="clear" w:pos="425"/>
      </w:tabs>
      <w:adjustRightInd w:val="0"/>
      <w:spacing w:line="300" w:lineRule="auto"/>
      <w:textAlignment w:val="baseline"/>
    </w:pPr>
    <w:rPr>
      <w:rFonts w:ascii="Times New Roman" w:hAnsi="Times New Roman" w:eastAsia="宋体" w:cs="Times New Roman"/>
      <w:kern w:val="0"/>
      <w:sz w:val="28"/>
      <w:szCs w:val="20"/>
    </w:rPr>
  </w:style>
  <w:style w:type="paragraph" w:styleId="11">
    <w:name w:val="Normal Indent"/>
    <w:basedOn w:val="1"/>
    <w:next w:val="12"/>
    <w:qFormat/>
    <w:uiPriority w:val="0"/>
    <w:pPr>
      <w:adjustRightInd w:val="0"/>
      <w:spacing w:line="360" w:lineRule="atLeast"/>
      <w:ind w:firstLine="482"/>
      <w:textAlignment w:val="baseline"/>
    </w:pPr>
    <w:rPr>
      <w:rFonts w:ascii="Times New Roman" w:hAnsi="Times New Roman" w:eastAsia="宋体" w:cs="Times New Roman"/>
      <w:kern w:val="0"/>
      <w:sz w:val="24"/>
      <w:szCs w:val="20"/>
    </w:rPr>
  </w:style>
  <w:style w:type="paragraph" w:styleId="12">
    <w:name w:val="Body Text First Indent 2"/>
    <w:basedOn w:val="13"/>
    <w:next w:val="1"/>
    <w:link w:val="54"/>
    <w:qFormat/>
    <w:uiPriority w:val="0"/>
    <w:pPr>
      <w:ind w:left="420" w:firstLine="420" w:firstLineChars="200"/>
    </w:pPr>
    <w:rPr>
      <w:kern w:val="0"/>
      <w:sz w:val="20"/>
      <w:szCs w:val="20"/>
    </w:rPr>
  </w:style>
  <w:style w:type="paragraph" w:styleId="13">
    <w:name w:val="Body Text Indent"/>
    <w:basedOn w:val="1"/>
    <w:next w:val="14"/>
    <w:link w:val="53"/>
    <w:qFormat/>
    <w:uiPriority w:val="0"/>
    <w:pPr>
      <w:spacing w:after="120" w:afterLines="0"/>
      <w:ind w:left="200" w:leftChars="200"/>
    </w:pPr>
  </w:style>
  <w:style w:type="paragraph" w:styleId="14">
    <w:name w:val="envelope return"/>
    <w:basedOn w:val="1"/>
    <w:next w:val="9"/>
    <w:qFormat/>
    <w:uiPriority w:val="0"/>
    <w:pPr>
      <w:snapToGrid w:val="0"/>
    </w:pPr>
    <w:rPr>
      <w:rFonts w:ascii="Arial" w:hAnsi="Arial" w:eastAsia="宋体" w:cs="Times New Roman"/>
    </w:rPr>
  </w:style>
  <w:style w:type="paragraph" w:styleId="15">
    <w:name w:val="Document Map"/>
    <w:basedOn w:val="1"/>
    <w:next w:val="1"/>
    <w:qFormat/>
    <w:uiPriority w:val="0"/>
    <w:pPr>
      <w:widowControl/>
      <w:shd w:val="clear" w:color="000000" w:fill="000080"/>
      <w:autoSpaceDE/>
      <w:autoSpaceDN/>
      <w:spacing w:before="0" w:beforeLines="0" w:after="0" w:afterLines="0" w:line="357" w:lineRule="atLeast"/>
      <w:ind w:left="0" w:firstLine="0"/>
      <w:jc w:val="both"/>
    </w:pPr>
    <w:rPr>
      <w:rFonts w:ascii="Times New Roman" w:hAnsi="Times New Roman" w:eastAsia="宋体" w:cs="Times New Roman"/>
      <w:color w:val="000000"/>
      <w:sz w:val="21"/>
    </w:rPr>
  </w:style>
  <w:style w:type="paragraph" w:styleId="16">
    <w:name w:val="annotation text"/>
    <w:basedOn w:val="1"/>
    <w:link w:val="60"/>
    <w:qFormat/>
    <w:uiPriority w:val="0"/>
    <w:pPr>
      <w:jc w:val="left"/>
    </w:pPr>
  </w:style>
  <w:style w:type="paragraph" w:styleId="17">
    <w:name w:val="Body Text"/>
    <w:basedOn w:val="1"/>
    <w:qFormat/>
    <w:uiPriority w:val="0"/>
    <w:pPr>
      <w:spacing w:after="120" w:afterLines="0"/>
    </w:pPr>
    <w:rPr>
      <w:rFonts w:ascii="Times New Roman" w:hAnsi="Times New Roman" w:eastAsia="宋体" w:cs="Times New Roman"/>
    </w:rPr>
  </w:style>
  <w:style w:type="paragraph" w:styleId="18">
    <w:name w:val="toc 3"/>
    <w:basedOn w:val="1"/>
    <w:next w:val="1"/>
    <w:qFormat/>
    <w:uiPriority w:val="0"/>
    <w:pPr>
      <w:tabs>
        <w:tab w:val="right" w:leader="dot" w:pos="9288"/>
      </w:tabs>
      <w:ind w:left="400" w:leftChars="400"/>
    </w:pPr>
    <w:rPr>
      <w:rFonts w:ascii="宋体" w:hAnsi="Times New Roman" w:eastAsia="宋体" w:cs="Times New Roman"/>
    </w:rPr>
  </w:style>
  <w:style w:type="paragraph" w:styleId="19">
    <w:name w:val="Plain Text"/>
    <w:basedOn w:val="1"/>
    <w:link w:val="61"/>
    <w:qFormat/>
    <w:uiPriority w:val="0"/>
    <w:rPr>
      <w:rFonts w:ascii="宋体"/>
      <w:color w:val="000000"/>
      <w:szCs w:val="20"/>
      <w:u w:val="none" w:color="000000"/>
    </w:rPr>
  </w:style>
  <w:style w:type="paragraph" w:styleId="20">
    <w:name w:val="Date"/>
    <w:basedOn w:val="1"/>
    <w:next w:val="1"/>
    <w:link w:val="62"/>
    <w:qFormat/>
    <w:uiPriority w:val="0"/>
    <w:rPr>
      <w:rFonts w:ascii="Arial" w:hAnsi="Arial" w:eastAsia="仿宋_GB2312"/>
      <w:color w:val="000000"/>
      <w:sz w:val="32"/>
      <w:szCs w:val="20"/>
      <w:u w:val="none" w:color="000000"/>
    </w:rPr>
  </w:style>
  <w:style w:type="paragraph" w:styleId="21">
    <w:name w:val="Body Text Indent 2"/>
    <w:basedOn w:val="1"/>
    <w:link w:val="63"/>
    <w:qFormat/>
    <w:uiPriority w:val="0"/>
    <w:pPr>
      <w:spacing w:after="120" w:afterLines="0" w:line="480" w:lineRule="auto"/>
      <w:ind w:left="420" w:leftChars="200"/>
    </w:pPr>
  </w:style>
  <w:style w:type="paragraph" w:styleId="22">
    <w:name w:val="Balloon Text"/>
    <w:basedOn w:val="1"/>
    <w:link w:val="64"/>
    <w:qFormat/>
    <w:uiPriority w:val="0"/>
    <w:rPr>
      <w:sz w:val="18"/>
      <w:szCs w:val="18"/>
    </w:rPr>
  </w:style>
  <w:style w:type="paragraph" w:styleId="23">
    <w:name w:val="footer"/>
    <w:basedOn w:val="1"/>
    <w:link w:val="65"/>
    <w:qFormat/>
    <w:uiPriority w:val="0"/>
    <w:pPr>
      <w:tabs>
        <w:tab w:val="center" w:pos="4153"/>
        <w:tab w:val="right" w:pos="8306"/>
      </w:tabs>
      <w:snapToGrid w:val="0"/>
      <w:jc w:val="left"/>
    </w:pPr>
    <w:rPr>
      <w:sz w:val="18"/>
      <w:szCs w:val="18"/>
    </w:rPr>
  </w:style>
  <w:style w:type="paragraph" w:styleId="24">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0"/>
    <w:rPr>
      <w:rFonts w:ascii="Times New Roman" w:hAnsi="Times New Roman" w:eastAsia="宋体" w:cs="Times New Roman"/>
    </w:rPr>
  </w:style>
  <w:style w:type="paragraph" w:styleId="26">
    <w:name w:val="Subtitle"/>
    <w:basedOn w:val="1"/>
    <w:next w:val="1"/>
    <w:qFormat/>
    <w:uiPriority w:val="0"/>
    <w:pPr>
      <w:numPr>
        <w:ilvl w:val="0"/>
        <w:numId w:val="3"/>
      </w:numPr>
      <w:spacing w:line="360" w:lineRule="auto"/>
      <w:jc w:val="left"/>
      <w:outlineLvl w:val="1"/>
    </w:pPr>
    <w:rPr>
      <w:rFonts w:ascii="Calibri Light" w:hAnsi="Calibri Light" w:eastAsia="宋体" w:cs="Times New Roman"/>
      <w:bCs/>
      <w:kern w:val="28"/>
      <w:szCs w:val="32"/>
    </w:rPr>
  </w:style>
  <w:style w:type="paragraph" w:styleId="27">
    <w:name w:val="List"/>
    <w:basedOn w:val="1"/>
    <w:next w:val="1"/>
    <w:qFormat/>
    <w:uiPriority w:val="0"/>
    <w:pPr>
      <w:widowControl w:val="0"/>
      <w:spacing w:line="240" w:lineRule="auto"/>
      <w:ind w:left="420" w:hanging="420"/>
      <w:textAlignment w:val="auto"/>
    </w:pPr>
    <w:rPr>
      <w:rFonts w:ascii="Arial" w:hAnsi="Arial" w:eastAsia="楷体_GB2312" w:cs="Times New Roman"/>
      <w:color w:val="auto"/>
      <w:kern w:val="2"/>
      <w:sz w:val="28"/>
      <w:u w:val="none" w:color="auto"/>
    </w:rPr>
  </w:style>
  <w:style w:type="paragraph" w:styleId="28">
    <w:name w:val="toc 6"/>
    <w:basedOn w:val="1"/>
    <w:next w:val="1"/>
    <w:qFormat/>
    <w:uiPriority w:val="0"/>
    <w:pPr>
      <w:autoSpaceDE w:val="0"/>
      <w:autoSpaceDN w:val="0"/>
      <w:ind w:left="1700"/>
      <w:jc w:val="left"/>
      <w:textAlignment w:val="baseline"/>
    </w:pPr>
    <w:rPr>
      <w:kern w:val="0"/>
      <w:sz w:val="18"/>
      <w:szCs w:val="18"/>
    </w:rPr>
  </w:style>
  <w:style w:type="paragraph" w:styleId="29">
    <w:name w:val="toc 2"/>
    <w:basedOn w:val="1"/>
    <w:next w:val="1"/>
    <w:qFormat/>
    <w:uiPriority w:val="0"/>
    <w:pPr>
      <w:ind w:left="200" w:leftChars="200"/>
    </w:pPr>
    <w:rPr>
      <w:rFonts w:ascii="Times New Roman" w:hAnsi="Times New Roman" w:eastAsia="宋体" w:cs="Times New Roman"/>
    </w:rPr>
  </w:style>
  <w:style w:type="paragraph" w:styleId="3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Arial" w:hAnsi="Arial"/>
    </w:rPr>
  </w:style>
  <w:style w:type="paragraph" w:styleId="31">
    <w:name w:val="Normal (Web)"/>
    <w:basedOn w:val="1"/>
    <w:qFormat/>
    <w:uiPriority w:val="0"/>
    <w:pPr>
      <w:widowControl/>
      <w:spacing w:before="100" w:beforeLines="0" w:beforeAutospacing="1" w:after="100" w:afterLines="0" w:afterAutospacing="1"/>
      <w:jc w:val="left"/>
    </w:pPr>
    <w:rPr>
      <w:rFonts w:ascii="宋体" w:hAnsi="宋体" w:eastAsia="宋体" w:cs="宋体"/>
      <w:kern w:val="0"/>
      <w:sz w:val="24"/>
    </w:rPr>
  </w:style>
  <w:style w:type="paragraph" w:styleId="32">
    <w:name w:val="Title"/>
    <w:basedOn w:val="1"/>
    <w:next w:val="1"/>
    <w:qFormat/>
    <w:uiPriority w:val="0"/>
    <w:pPr>
      <w:numPr>
        <w:ilvl w:val="0"/>
        <w:numId w:val="4"/>
      </w:numPr>
      <w:spacing w:line="360" w:lineRule="auto"/>
      <w:jc w:val="left"/>
      <w:outlineLvl w:val="0"/>
    </w:pPr>
    <w:rPr>
      <w:rFonts w:ascii="Cambria" w:hAnsi="Cambria" w:eastAsia="宋体" w:cs="Times New Roman"/>
      <w:b/>
      <w:bCs/>
      <w:sz w:val="28"/>
      <w:szCs w:val="32"/>
    </w:rPr>
  </w:style>
  <w:style w:type="paragraph" w:styleId="33">
    <w:name w:val="annotation subject"/>
    <w:basedOn w:val="16"/>
    <w:next w:val="16"/>
    <w:link w:val="67"/>
    <w:qFormat/>
    <w:uiPriority w:val="0"/>
    <w:rPr>
      <w:b/>
      <w:bCs/>
    </w:rPr>
  </w:style>
  <w:style w:type="paragraph" w:styleId="34">
    <w:name w:val="Body Text First Indent"/>
    <w:basedOn w:val="17"/>
    <w:qFormat/>
    <w:uiPriority w:val="0"/>
    <w:pPr>
      <w:ind w:firstLine="420" w:firstLineChars="100"/>
    </w:pPr>
    <w:rPr>
      <w:rFonts w:ascii="Times New Roman" w:hAnsi="Times New Roman" w:eastAsia="宋体" w:cs="Times New Roman"/>
    </w:rPr>
  </w:style>
  <w:style w:type="table" w:styleId="36">
    <w:name w:val="Table Grid"/>
    <w:basedOn w:val="3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rFonts w:ascii="Times New Roman" w:hAnsi="Times New Roman" w:eastAsia="宋体" w:cs="Times New Roman"/>
      <w:b/>
    </w:rPr>
  </w:style>
  <w:style w:type="character" w:styleId="39">
    <w:name w:val="page number"/>
    <w:qFormat/>
    <w:uiPriority w:val="0"/>
    <w:rPr>
      <w:rFonts w:ascii="Times New Roman" w:hAnsi="Times New Roman" w:eastAsia="宋体" w:cs="Times New Roman"/>
    </w:rPr>
  </w:style>
  <w:style w:type="character" w:styleId="40">
    <w:name w:val="FollowedHyperlink"/>
    <w:qFormat/>
    <w:uiPriority w:val="0"/>
    <w:rPr>
      <w:rFonts w:ascii="Times New Roman" w:hAnsi="Times New Roman" w:eastAsia="宋体" w:cs="Times New Roman"/>
      <w:color w:val="333333"/>
      <w:u w:val="none"/>
    </w:rPr>
  </w:style>
  <w:style w:type="character" w:styleId="41">
    <w:name w:val="Emphasis"/>
    <w:qFormat/>
    <w:uiPriority w:val="0"/>
    <w:rPr>
      <w:rFonts w:ascii="Times New Roman" w:hAnsi="Times New Roman" w:eastAsia="宋体" w:cs="Times New Roman"/>
      <w:i/>
      <w:iCs/>
    </w:rPr>
  </w:style>
  <w:style w:type="character" w:styleId="42">
    <w:name w:val="HTML Definition"/>
    <w:qFormat/>
    <w:uiPriority w:val="0"/>
    <w:rPr>
      <w:rFonts w:ascii="Times New Roman" w:hAnsi="Times New Roman" w:eastAsia="宋体" w:cs="Times New Roman"/>
    </w:rPr>
  </w:style>
  <w:style w:type="character" w:styleId="43">
    <w:name w:val="HTML Typewriter"/>
    <w:qFormat/>
    <w:uiPriority w:val="0"/>
    <w:rPr>
      <w:rFonts w:hint="default" w:ascii="monospace" w:hAnsi="monospace" w:eastAsia="monospace" w:cs="monospace"/>
      <w:sz w:val="20"/>
    </w:rPr>
  </w:style>
  <w:style w:type="character" w:styleId="44">
    <w:name w:val="HTML Acronym"/>
    <w:qFormat/>
    <w:uiPriority w:val="0"/>
    <w:rPr>
      <w:rFonts w:ascii="Times New Roman" w:hAnsi="Times New Roman" w:eastAsia="宋体" w:cs="Times New Roman"/>
    </w:rPr>
  </w:style>
  <w:style w:type="character" w:styleId="45">
    <w:name w:val="HTML Variable"/>
    <w:qFormat/>
    <w:uiPriority w:val="0"/>
    <w:rPr>
      <w:rFonts w:ascii="Times New Roman" w:hAnsi="Times New Roman" w:eastAsia="宋体" w:cs="Times New Roman"/>
    </w:rPr>
  </w:style>
  <w:style w:type="character" w:styleId="46">
    <w:name w:val="Hyperlink"/>
    <w:qFormat/>
    <w:uiPriority w:val="0"/>
    <w:rPr>
      <w:rFonts w:ascii="Times New Roman" w:hAnsi="Times New Roman" w:eastAsia="宋体" w:cs="Times New Roman"/>
      <w:color w:val="333333"/>
      <w:u w:val="none"/>
    </w:rPr>
  </w:style>
  <w:style w:type="character" w:styleId="47">
    <w:name w:val="HTML Code"/>
    <w:qFormat/>
    <w:uiPriority w:val="0"/>
    <w:rPr>
      <w:rFonts w:hint="default" w:ascii="monospace" w:hAnsi="monospace" w:eastAsia="monospace" w:cs="monospace"/>
      <w:sz w:val="20"/>
    </w:rPr>
  </w:style>
  <w:style w:type="character" w:styleId="48">
    <w:name w:val="annotation reference"/>
    <w:qFormat/>
    <w:uiPriority w:val="0"/>
    <w:rPr>
      <w:rFonts w:ascii="Times New Roman" w:hAnsi="Times New Roman" w:eastAsia="宋体" w:cs="Times New Roman"/>
      <w:sz w:val="21"/>
      <w:szCs w:val="21"/>
    </w:rPr>
  </w:style>
  <w:style w:type="character" w:styleId="49">
    <w:name w:val="HTML Cite"/>
    <w:qFormat/>
    <w:uiPriority w:val="0"/>
    <w:rPr>
      <w:rFonts w:ascii="Times New Roman" w:hAnsi="Times New Roman" w:eastAsia="宋体" w:cs="Times New Roman"/>
    </w:rPr>
  </w:style>
  <w:style w:type="character" w:styleId="50">
    <w:name w:val="HTML Keyboard"/>
    <w:qFormat/>
    <w:uiPriority w:val="0"/>
    <w:rPr>
      <w:rFonts w:hint="default" w:ascii="monospace" w:hAnsi="monospace" w:eastAsia="monospace" w:cs="monospace"/>
      <w:sz w:val="20"/>
    </w:rPr>
  </w:style>
  <w:style w:type="character" w:styleId="51">
    <w:name w:val="HTML Sample"/>
    <w:qFormat/>
    <w:uiPriority w:val="0"/>
    <w:rPr>
      <w:rFonts w:ascii="monospace" w:hAnsi="monospace" w:eastAsia="monospace" w:cs="monospace"/>
    </w:rPr>
  </w:style>
  <w:style w:type="paragraph" w:customStyle="1" w:styleId="52">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53">
    <w:name w:val="正文文本缩进 Char"/>
    <w:link w:val="13"/>
    <w:qFormat/>
    <w:uiPriority w:val="0"/>
    <w:rPr>
      <w:rFonts w:ascii="Times New Roman" w:hAnsi="Times New Roman" w:eastAsia="宋体" w:cs="Times New Roman"/>
      <w:kern w:val="2"/>
      <w:sz w:val="21"/>
      <w:szCs w:val="24"/>
    </w:rPr>
  </w:style>
  <w:style w:type="character" w:customStyle="1" w:styleId="54">
    <w:name w:val="正文首行缩进 2 Char"/>
    <w:link w:val="12"/>
    <w:qFormat/>
    <w:uiPriority w:val="0"/>
    <w:rPr>
      <w:rFonts w:ascii="Times New Roman" w:hAnsi="Times New Roman" w:eastAsia="宋体" w:cs="Times New Roman"/>
    </w:rPr>
  </w:style>
  <w:style w:type="character" w:customStyle="1" w:styleId="55">
    <w:name w:val="标题 1 Char"/>
    <w:link w:val="2"/>
    <w:qFormat/>
    <w:uiPriority w:val="0"/>
    <w:rPr>
      <w:rFonts w:ascii="Times New Roman" w:hAnsi="Times New Roman" w:eastAsia="宋体" w:cs="Times New Roman"/>
      <w:b/>
      <w:bCs/>
      <w:kern w:val="44"/>
      <w:sz w:val="32"/>
      <w:szCs w:val="44"/>
    </w:rPr>
  </w:style>
  <w:style w:type="character" w:customStyle="1" w:styleId="56">
    <w:name w:val="标题 4 Char"/>
    <w:link w:val="5"/>
    <w:qFormat/>
    <w:uiPriority w:val="0"/>
    <w:rPr>
      <w:rFonts w:ascii="Arial" w:hAnsi="Arial" w:eastAsia="黑体" w:cs="Times New Roman"/>
      <w:b/>
      <w:bCs/>
      <w:color w:val="000000"/>
      <w:sz w:val="28"/>
      <w:szCs w:val="28"/>
      <w:u w:val="none" w:color="000000"/>
      <w:lang w:val="en-US" w:eastAsia="zh-CN" w:bidi="ar-SA"/>
    </w:rPr>
  </w:style>
  <w:style w:type="character" w:customStyle="1" w:styleId="57">
    <w:name w:val="标题 5 Char"/>
    <w:link w:val="6"/>
    <w:qFormat/>
    <w:uiPriority w:val="0"/>
    <w:rPr>
      <w:rFonts w:ascii="Times New Roman" w:hAnsi="Times New Roman" w:eastAsia="宋体" w:cs="Times New Roman"/>
      <w:b/>
      <w:bCs/>
      <w:kern w:val="2"/>
      <w:sz w:val="28"/>
      <w:szCs w:val="28"/>
    </w:rPr>
  </w:style>
  <w:style w:type="character" w:customStyle="1" w:styleId="58">
    <w:name w:val="标题 6 Char"/>
    <w:link w:val="7"/>
    <w:qFormat/>
    <w:uiPriority w:val="0"/>
    <w:rPr>
      <w:rFonts w:ascii="Cambria" w:hAnsi="Cambria" w:eastAsia="宋体" w:cs="Times New Roman"/>
      <w:b/>
      <w:bCs/>
      <w:kern w:val="2"/>
      <w:sz w:val="24"/>
      <w:szCs w:val="24"/>
    </w:rPr>
  </w:style>
  <w:style w:type="character" w:customStyle="1" w:styleId="59">
    <w:name w:val="标题 7 Char"/>
    <w:link w:val="8"/>
    <w:qFormat/>
    <w:uiPriority w:val="0"/>
    <w:rPr>
      <w:rFonts w:ascii="Times New Roman" w:hAnsi="Times New Roman" w:eastAsia="宋体" w:cs="Times New Roman"/>
      <w:b/>
      <w:bCs/>
      <w:kern w:val="2"/>
      <w:sz w:val="24"/>
      <w:szCs w:val="24"/>
    </w:rPr>
  </w:style>
  <w:style w:type="character" w:customStyle="1" w:styleId="60">
    <w:name w:val="批注文字 Char"/>
    <w:link w:val="16"/>
    <w:qFormat/>
    <w:uiPriority w:val="0"/>
    <w:rPr>
      <w:rFonts w:ascii="Times New Roman" w:hAnsi="Times New Roman" w:eastAsia="宋体" w:cs="Times New Roman"/>
      <w:kern w:val="2"/>
      <w:sz w:val="21"/>
      <w:szCs w:val="24"/>
    </w:rPr>
  </w:style>
  <w:style w:type="character" w:customStyle="1" w:styleId="61">
    <w:name w:val="纯文本 Char"/>
    <w:link w:val="19"/>
    <w:qFormat/>
    <w:uiPriority w:val="0"/>
    <w:rPr>
      <w:rFonts w:ascii="宋体" w:hAnsi="Times New Roman" w:eastAsia="宋体" w:cs="Times New Roman"/>
      <w:color w:val="000000"/>
      <w:kern w:val="2"/>
      <w:sz w:val="21"/>
      <w:u w:val="none" w:color="000000"/>
      <w:lang w:val="en-US" w:eastAsia="zh-CN" w:bidi="ar-SA"/>
    </w:rPr>
  </w:style>
  <w:style w:type="character" w:customStyle="1" w:styleId="62">
    <w:name w:val="日期 Char"/>
    <w:link w:val="20"/>
    <w:qFormat/>
    <w:uiPriority w:val="0"/>
    <w:rPr>
      <w:rFonts w:ascii="Arial" w:hAnsi="Arial" w:eastAsia="仿宋_GB2312" w:cs="Times New Roman"/>
      <w:color w:val="000000"/>
      <w:kern w:val="2"/>
      <w:sz w:val="32"/>
      <w:u w:val="none" w:color="000000"/>
    </w:rPr>
  </w:style>
  <w:style w:type="character" w:customStyle="1" w:styleId="63">
    <w:name w:val="正文文本缩进 2 Char"/>
    <w:link w:val="21"/>
    <w:qFormat/>
    <w:uiPriority w:val="0"/>
    <w:rPr>
      <w:rFonts w:ascii="Times New Roman" w:hAnsi="Times New Roman" w:eastAsia="宋体" w:cs="Times New Roman"/>
      <w:kern w:val="2"/>
      <w:sz w:val="21"/>
      <w:szCs w:val="24"/>
    </w:rPr>
  </w:style>
  <w:style w:type="character" w:customStyle="1" w:styleId="64">
    <w:name w:val="批注框文本 Char"/>
    <w:link w:val="22"/>
    <w:qFormat/>
    <w:uiPriority w:val="0"/>
    <w:rPr>
      <w:rFonts w:ascii="Times New Roman" w:hAnsi="Times New Roman" w:eastAsia="宋体" w:cs="Times New Roman"/>
      <w:kern w:val="2"/>
      <w:sz w:val="18"/>
      <w:szCs w:val="18"/>
    </w:rPr>
  </w:style>
  <w:style w:type="character" w:customStyle="1" w:styleId="65">
    <w:name w:val="页脚 Char"/>
    <w:link w:val="23"/>
    <w:qFormat/>
    <w:uiPriority w:val="0"/>
    <w:rPr>
      <w:rFonts w:ascii="Times New Roman" w:hAnsi="Times New Roman" w:eastAsia="宋体" w:cs="Times New Roman"/>
      <w:kern w:val="2"/>
      <w:sz w:val="18"/>
      <w:szCs w:val="18"/>
    </w:rPr>
  </w:style>
  <w:style w:type="character" w:customStyle="1" w:styleId="66">
    <w:name w:val="页眉 Char"/>
    <w:link w:val="24"/>
    <w:qFormat/>
    <w:uiPriority w:val="0"/>
    <w:rPr>
      <w:rFonts w:ascii="Times New Roman" w:hAnsi="Times New Roman" w:eastAsia="宋体" w:cs="Times New Roman"/>
      <w:kern w:val="2"/>
      <w:sz w:val="18"/>
      <w:szCs w:val="18"/>
    </w:rPr>
  </w:style>
  <w:style w:type="character" w:customStyle="1" w:styleId="67">
    <w:name w:val="批注主题 Char"/>
    <w:link w:val="33"/>
    <w:qFormat/>
    <w:uiPriority w:val="0"/>
    <w:rPr>
      <w:rFonts w:ascii="Times New Roman" w:hAnsi="Times New Roman" w:eastAsia="宋体" w:cs="Times New Roman"/>
      <w:b/>
      <w:bCs/>
      <w:kern w:val="2"/>
      <w:sz w:val="21"/>
      <w:szCs w:val="24"/>
    </w:rPr>
  </w:style>
  <w:style w:type="character" w:customStyle="1" w:styleId="68">
    <w:name w:val="图表 Char Char"/>
    <w:link w:val="69"/>
    <w:qFormat/>
    <w:uiPriority w:val="0"/>
    <w:rPr>
      <w:rFonts w:ascii="Times New Roman" w:hAnsi="Times New Roman" w:eastAsia="宋体" w:cs="Times New Roman"/>
      <w:kern w:val="2"/>
      <w:sz w:val="21"/>
      <w:szCs w:val="21"/>
    </w:rPr>
  </w:style>
  <w:style w:type="paragraph" w:customStyle="1" w:styleId="69">
    <w:name w:val="图表"/>
    <w:basedOn w:val="1"/>
    <w:next w:val="1"/>
    <w:link w:val="68"/>
    <w:qFormat/>
    <w:uiPriority w:val="0"/>
    <w:pPr>
      <w:jc w:val="center"/>
    </w:pPr>
    <w:rPr>
      <w:szCs w:val="21"/>
    </w:rPr>
  </w:style>
  <w:style w:type="character" w:customStyle="1" w:styleId="70">
    <w:name w:val="【正文】 Char Char"/>
    <w:link w:val="71"/>
    <w:qFormat/>
    <w:uiPriority w:val="0"/>
    <w:rPr>
      <w:rFonts w:ascii="Times New Roman" w:hAnsi="Times New Roman" w:eastAsia="宋体" w:cs="DokChampa"/>
      <w:kern w:val="2"/>
      <w:sz w:val="24"/>
      <w:szCs w:val="22"/>
    </w:rPr>
  </w:style>
  <w:style w:type="paragraph" w:customStyle="1" w:styleId="71">
    <w:name w:val="【正文】"/>
    <w:basedOn w:val="1"/>
    <w:link w:val="70"/>
    <w:qFormat/>
    <w:uiPriority w:val="0"/>
    <w:pPr>
      <w:spacing w:line="360" w:lineRule="auto"/>
      <w:ind w:firstLine="480" w:firstLineChars="200"/>
    </w:pPr>
    <w:rPr>
      <w:sz w:val="24"/>
      <w:szCs w:val="22"/>
    </w:rPr>
  </w:style>
  <w:style w:type="character" w:customStyle="1" w:styleId="72">
    <w:name w:val="selected"/>
    <w:qFormat/>
    <w:uiPriority w:val="0"/>
    <w:rPr>
      <w:rFonts w:ascii="Times New Roman" w:hAnsi="Times New Roman" w:eastAsia="宋体" w:cs="Times New Roman"/>
      <w:shd w:val="clear" w:color="auto" w:fill="B00006"/>
    </w:rPr>
  </w:style>
  <w:style w:type="character" w:customStyle="1" w:styleId="73">
    <w:name w:val="font21"/>
    <w:basedOn w:val="37"/>
    <w:qFormat/>
    <w:uiPriority w:val="0"/>
    <w:rPr>
      <w:rFonts w:hint="eastAsia" w:ascii="宋体" w:hAnsi="宋体" w:eastAsia="宋体" w:cs="宋体"/>
      <w:color w:val="000000"/>
      <w:sz w:val="18"/>
      <w:szCs w:val="18"/>
      <w:u w:val="none"/>
    </w:rPr>
  </w:style>
  <w:style w:type="character" w:customStyle="1" w:styleId="74">
    <w:name w:val="bds_nopic"/>
    <w:qFormat/>
    <w:uiPriority w:val="0"/>
    <w:rPr>
      <w:rFonts w:ascii="Times New Roman" w:hAnsi="Times New Roman" w:eastAsia="宋体" w:cs="Times New Roman"/>
    </w:rPr>
  </w:style>
  <w:style w:type="character" w:customStyle="1" w:styleId="75">
    <w:name w:val="NormalCharacter"/>
    <w:qFormat/>
    <w:uiPriority w:val="0"/>
    <w:rPr>
      <w:rFonts w:ascii="Times New Roman" w:hAnsi="Times New Roman" w:eastAsia="宋体" w:cs="Times New Roman"/>
      <w:kern w:val="2"/>
      <w:sz w:val="21"/>
      <w:szCs w:val="24"/>
      <w:lang w:val="en-US" w:eastAsia="zh-CN" w:bidi="ar-SA"/>
    </w:rPr>
  </w:style>
  <w:style w:type="character" w:customStyle="1" w:styleId="76">
    <w:name w:val="gpa"/>
    <w:qFormat/>
    <w:uiPriority w:val="0"/>
    <w:rPr>
      <w:rFonts w:ascii="Arial" w:hAnsi="Arial" w:eastAsia="宋体" w:cs="Arial"/>
      <w:sz w:val="15"/>
      <w:szCs w:val="15"/>
    </w:rPr>
  </w:style>
  <w:style w:type="character" w:customStyle="1" w:styleId="77">
    <w:name w:val="正文首行缩进 2 Char1"/>
    <w:qFormat/>
    <w:uiPriority w:val="0"/>
    <w:rPr>
      <w:rFonts w:ascii="Times New Roman" w:hAnsi="Times New Roman" w:eastAsia="宋体" w:cs="Times New Roman"/>
    </w:rPr>
  </w:style>
  <w:style w:type="character" w:customStyle="1" w:styleId="78">
    <w:name w:val="列出段落 Char"/>
    <w:link w:val="79"/>
    <w:qFormat/>
    <w:uiPriority w:val="0"/>
    <w:rPr>
      <w:rFonts w:ascii="Calibri" w:hAnsi="Calibri" w:eastAsia="宋体" w:cs="Times New Roman"/>
      <w:kern w:val="2"/>
      <w:sz w:val="21"/>
      <w:szCs w:val="22"/>
      <w:lang w:val="en-US" w:eastAsia="zh-CN" w:bidi="ar-SA"/>
    </w:rPr>
  </w:style>
  <w:style w:type="paragraph" w:customStyle="1" w:styleId="79">
    <w:name w:val="List Paragraph1"/>
    <w:basedOn w:val="1"/>
    <w:link w:val="78"/>
    <w:qFormat/>
    <w:uiPriority w:val="0"/>
    <w:pPr>
      <w:spacing w:line="312" w:lineRule="auto"/>
      <w:ind w:firstLine="420" w:firstLineChars="200"/>
    </w:pPr>
    <w:rPr>
      <w:rFonts w:ascii="Calibri" w:hAnsi="Calibri"/>
      <w:szCs w:val="22"/>
    </w:rPr>
  </w:style>
  <w:style w:type="character" w:customStyle="1" w:styleId="80">
    <w:name w:val="bds_nopic2"/>
    <w:qFormat/>
    <w:uiPriority w:val="0"/>
    <w:rPr>
      <w:rFonts w:ascii="Times New Roman" w:hAnsi="Times New Roman" w:eastAsia="宋体" w:cs="Times New Roman"/>
    </w:rPr>
  </w:style>
  <w:style w:type="character" w:customStyle="1" w:styleId="81">
    <w:name w:val="font61"/>
    <w:qFormat/>
    <w:uiPriority w:val="0"/>
    <w:rPr>
      <w:rFonts w:hint="default" w:ascii="MS Sans Serif" w:hAnsi="MS Sans Serif" w:eastAsia="MS Sans Serif" w:cs="MS Sans Serif"/>
      <w:color w:val="000000"/>
      <w:sz w:val="18"/>
      <w:szCs w:val="18"/>
      <w:u w:val="none"/>
    </w:rPr>
  </w:style>
  <w:style w:type="character" w:customStyle="1" w:styleId="82">
    <w:name w:val="bds_more1"/>
    <w:qFormat/>
    <w:uiPriority w:val="0"/>
    <w:rPr>
      <w:rFonts w:ascii="Times New Roman" w:hAnsi="Times New Roman" w:eastAsia="宋体" w:cs="Times New Roman"/>
    </w:rPr>
  </w:style>
  <w:style w:type="character" w:customStyle="1" w:styleId="83">
    <w:name w:val="font71"/>
    <w:qFormat/>
    <w:uiPriority w:val="0"/>
    <w:rPr>
      <w:rFonts w:hint="default" w:ascii="MS Sans Serif" w:hAnsi="MS Sans Serif" w:eastAsia="MS Sans Serif" w:cs="MS Sans Serif"/>
      <w:color w:val="000000"/>
      <w:sz w:val="18"/>
      <w:szCs w:val="18"/>
      <w:u w:val="none"/>
    </w:rPr>
  </w:style>
  <w:style w:type="character" w:customStyle="1" w:styleId="84">
    <w:name w:val="first-child"/>
    <w:qFormat/>
    <w:uiPriority w:val="0"/>
    <w:rPr>
      <w:rFonts w:ascii="Times New Roman" w:hAnsi="Times New Roman" w:eastAsia="宋体" w:cs="Times New Roman"/>
    </w:rPr>
  </w:style>
  <w:style w:type="character" w:customStyle="1" w:styleId="85">
    <w:name w:val="bds_nopic1"/>
    <w:qFormat/>
    <w:uiPriority w:val="0"/>
    <w:rPr>
      <w:rFonts w:ascii="Times New Roman" w:hAnsi="Times New Roman" w:eastAsia="宋体" w:cs="Times New Roman"/>
    </w:rPr>
  </w:style>
  <w:style w:type="character" w:customStyle="1" w:styleId="86">
    <w:name w:val="layui-this"/>
    <w:qFormat/>
    <w:uiPriority w:val="0"/>
    <w:rPr>
      <w:rFonts w:ascii="Times New Roman" w:hAnsi="Times New Roman" w:eastAsia="宋体" w:cs="Times New Roman"/>
      <w:bdr w:val="single" w:color="EEEEEE" w:sz="6" w:space="0"/>
      <w:shd w:val="clear" w:color="auto" w:fill="FFFFFF"/>
    </w:rPr>
  </w:style>
  <w:style w:type="character" w:customStyle="1" w:styleId="87">
    <w:name w:val="font81"/>
    <w:qFormat/>
    <w:uiPriority w:val="0"/>
    <w:rPr>
      <w:rFonts w:ascii="Arial Unicode MS" w:hAnsi="Arial Unicode MS" w:eastAsia="Arial Unicode MS" w:cs="Arial Unicode MS"/>
      <w:color w:val="000000"/>
      <w:sz w:val="18"/>
      <w:szCs w:val="18"/>
      <w:u w:val="none"/>
    </w:rPr>
  </w:style>
  <w:style w:type="character" w:customStyle="1" w:styleId="88">
    <w:name w:val="apple-converted-space"/>
    <w:qFormat/>
    <w:uiPriority w:val="0"/>
    <w:rPr>
      <w:rFonts w:ascii="Times New Roman" w:hAnsi="Times New Roman" w:eastAsia="宋体" w:cs="Times New Roman"/>
    </w:rPr>
  </w:style>
  <w:style w:type="character" w:customStyle="1" w:styleId="89">
    <w:name w:val="displayarti"/>
    <w:qFormat/>
    <w:uiPriority w:val="0"/>
    <w:rPr>
      <w:rFonts w:ascii="Times New Roman" w:hAnsi="Times New Roman" w:eastAsia="宋体" w:cs="Times New Roman"/>
      <w:color w:val="FFFFFF"/>
      <w:shd w:val="clear" w:color="auto" w:fill="A00000"/>
    </w:rPr>
  </w:style>
  <w:style w:type="character" w:customStyle="1" w:styleId="90">
    <w:name w:val="font131"/>
    <w:qFormat/>
    <w:uiPriority w:val="0"/>
    <w:rPr>
      <w:rFonts w:hint="eastAsia" w:ascii="宋体" w:hAnsi="宋体" w:eastAsia="宋体" w:cs="宋体"/>
      <w:b/>
      <w:bCs/>
      <w:color w:val="000000"/>
      <w:sz w:val="20"/>
      <w:szCs w:val="20"/>
      <w:u w:val="none"/>
    </w:rPr>
  </w:style>
  <w:style w:type="character" w:customStyle="1" w:styleId="91">
    <w:name w:val="bds_more2"/>
    <w:qFormat/>
    <w:uiPriority w:val="0"/>
    <w:rPr>
      <w:rFonts w:ascii="Times New Roman" w:hAnsi="Times New Roman" w:eastAsia="宋体" w:cs="Times New Roman"/>
    </w:rPr>
  </w:style>
  <w:style w:type="character" w:customStyle="1" w:styleId="92">
    <w:name w:val="bds_more"/>
    <w:qFormat/>
    <w:uiPriority w:val="0"/>
    <w:rPr>
      <w:rFonts w:hint="eastAsia" w:ascii="宋体" w:hAnsi="宋体" w:eastAsia="宋体" w:cs="宋体"/>
    </w:rPr>
  </w:style>
  <w:style w:type="paragraph" w:customStyle="1" w:styleId="93">
    <w:name w:val=" Char Char Char Char"/>
    <w:basedOn w:val="1"/>
    <w:qFormat/>
    <w:uiPriority w:val="0"/>
    <w:rPr>
      <w:rFonts w:ascii="Tahoma" w:hAnsi="Tahoma" w:eastAsia="宋体" w:cs="Times New Roman"/>
      <w:sz w:val="24"/>
      <w:szCs w:val="20"/>
    </w:rPr>
  </w:style>
  <w:style w:type="paragraph" w:customStyle="1" w:styleId="94">
    <w:name w:val="标题4"/>
    <w:basedOn w:val="1"/>
    <w:qFormat/>
    <w:uiPriority w:val="0"/>
    <w:pPr>
      <w:numPr>
        <w:ilvl w:val="0"/>
        <w:numId w:val="5"/>
      </w:numPr>
      <w:spacing w:line="360" w:lineRule="auto"/>
      <w:ind w:left="720" w:leftChars="300"/>
      <w:jc w:val="left"/>
    </w:pPr>
    <w:rPr>
      <w:rFonts w:ascii="宋体" w:hAnsi="宋体" w:eastAsia="宋体" w:cs="Times New Roman"/>
      <w:sz w:val="18"/>
      <w:szCs w:val="18"/>
    </w:rPr>
  </w:style>
  <w:style w:type="paragraph" w:customStyle="1" w:styleId="95">
    <w:name w:val="Table Paragraph"/>
    <w:basedOn w:val="1"/>
    <w:qFormat/>
    <w:uiPriority w:val="0"/>
    <w:rPr>
      <w:rFonts w:ascii="宋体" w:hAnsi="宋体" w:eastAsia="宋体" w:cs="宋体"/>
      <w:lang w:val="zh-CN" w:eastAsia="zh-CN" w:bidi="zh-CN"/>
    </w:rPr>
  </w:style>
  <w:style w:type="paragraph" w:customStyle="1" w:styleId="96">
    <w:name w:val="p0"/>
    <w:basedOn w:val="1"/>
    <w:qFormat/>
    <w:uiPriority w:val="0"/>
    <w:pPr>
      <w:widowControl/>
      <w:spacing w:line="365" w:lineRule="atLeast"/>
      <w:ind w:left="1"/>
      <w:textAlignment w:val="bottom"/>
    </w:pPr>
    <w:rPr>
      <w:rFonts w:ascii="Calibri" w:hAnsi="Calibri" w:eastAsia="宋体" w:cs="Times New Roman"/>
      <w:kern w:val="0"/>
      <w:sz w:val="20"/>
      <w:szCs w:val="22"/>
    </w:rPr>
  </w:style>
  <w:style w:type="paragraph" w:customStyle="1" w:styleId="97">
    <w:name w:val="正文 New"/>
    <w:next w:val="98"/>
    <w:qFormat/>
    <w:uiPriority w:val="0"/>
    <w:pPr>
      <w:widowControl w:val="0"/>
      <w:spacing w:line="440" w:lineRule="exact"/>
      <w:ind w:left="357" w:hanging="357"/>
      <w:jc w:val="both"/>
    </w:pPr>
    <w:rPr>
      <w:rFonts w:ascii="Calibri" w:hAnsi="Calibri" w:eastAsia="宋体" w:cs="Times New Roman"/>
      <w:kern w:val="2"/>
      <w:sz w:val="21"/>
      <w:szCs w:val="22"/>
      <w:lang w:val="en-US" w:eastAsia="zh-CN" w:bidi="ar-SA"/>
    </w:rPr>
  </w:style>
  <w:style w:type="paragraph" w:customStyle="1" w:styleId="98">
    <w:name w:val="正文缩进1"/>
    <w:basedOn w:val="1"/>
    <w:next w:val="15"/>
    <w:qFormat/>
    <w:uiPriority w:val="0"/>
    <w:pPr>
      <w:widowControl w:val="0"/>
      <w:autoSpaceDE/>
      <w:autoSpaceDN/>
      <w:spacing w:before="0" w:beforeLines="0" w:after="0" w:afterLines="0" w:line="360" w:lineRule="atLeast"/>
      <w:ind w:left="0" w:firstLine="482"/>
      <w:jc w:val="both"/>
    </w:pPr>
    <w:rPr>
      <w:rFonts w:ascii="Times New Roman" w:hAnsi="Times New Roman" w:eastAsia="宋体" w:cs="Times New Roman"/>
      <w:sz w:val="24"/>
    </w:rPr>
  </w:style>
  <w:style w:type="paragraph" w:customStyle="1" w:styleId="99">
    <w:name w:val="Char Char Char Char Char Char Char1 Char"/>
    <w:basedOn w:val="1"/>
    <w:qFormat/>
    <w:uiPriority w:val="0"/>
    <w:rPr>
      <w:rFonts w:ascii="Tahoma" w:hAnsi="Tahoma" w:eastAsia="宋体" w:cs="Times New Roman"/>
      <w:sz w:val="24"/>
      <w:szCs w:val="20"/>
    </w:rPr>
  </w:style>
  <w:style w:type="paragraph" w:customStyle="1" w:styleId="100">
    <w:name w:val=" Char"/>
    <w:basedOn w:val="1"/>
    <w:qFormat/>
    <w:uiPriority w:val="0"/>
    <w:rPr>
      <w:rFonts w:ascii="Times New Roman" w:hAnsi="Times New Roman" w:eastAsia="宋体" w:cs="Times New Roman"/>
    </w:rPr>
  </w:style>
  <w:style w:type="paragraph" w:customStyle="1" w:styleId="101">
    <w:name w:val="（无样式）"/>
    <w:basedOn w:val="1"/>
    <w:qFormat/>
    <w:uiPriority w:val="0"/>
    <w:pPr>
      <w:widowControl/>
      <w:numPr>
        <w:ilvl w:val="0"/>
        <w:numId w:val="6"/>
      </w:numPr>
      <w:spacing w:line="360" w:lineRule="auto"/>
      <w:ind w:firstLine="0"/>
    </w:pPr>
    <w:rPr>
      <w:rFonts w:ascii="Times New Roman" w:hAnsi="Times New Roman" w:eastAsia="宋体" w:cs="Times New Roman"/>
      <w:sz w:val="24"/>
      <w:szCs w:val="20"/>
    </w:rPr>
  </w:style>
  <w:style w:type="paragraph" w:customStyle="1" w:styleId="10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03">
    <w:name w:val="节标题"/>
    <w:basedOn w:val="1"/>
    <w:next w:val="1"/>
    <w:qFormat/>
    <w:uiPriority w:val="0"/>
    <w:pPr>
      <w:widowControl/>
      <w:spacing w:line="289" w:lineRule="atLeast"/>
      <w:jc w:val="center"/>
      <w:textAlignment w:val="baseline"/>
    </w:pPr>
    <w:rPr>
      <w:rFonts w:ascii="Times New Roman" w:hAnsi="Times New Roman" w:eastAsia="宋体" w:cs="Times New Roman"/>
      <w:color w:val="000000"/>
      <w:kern w:val="0"/>
      <w:sz w:val="28"/>
      <w:szCs w:val="20"/>
      <w:u w:val="none" w:color="000000"/>
    </w:rPr>
  </w:style>
  <w:style w:type="paragraph" w:customStyle="1" w:styleId="104">
    <w:name w:val="_Style 102"/>
    <w:qFormat/>
    <w:uiPriority w:val="0"/>
    <w:rPr>
      <w:rFonts w:ascii="Times New Roman" w:hAnsi="Times New Roman" w:eastAsia="宋体" w:cs="Times New Roman"/>
      <w:kern w:val="2"/>
      <w:sz w:val="21"/>
      <w:szCs w:val="24"/>
      <w:lang w:val="en-US" w:eastAsia="zh-CN" w:bidi="ar-SA"/>
    </w:rPr>
  </w:style>
  <w:style w:type="paragraph" w:customStyle="1" w:styleId="105">
    <w:name w:val="Char"/>
    <w:basedOn w:val="1"/>
    <w:next w:val="1"/>
    <w:qFormat/>
    <w:uiPriority w:val="0"/>
    <w:pPr>
      <w:widowControl/>
      <w:spacing w:line="360" w:lineRule="auto"/>
      <w:jc w:val="left"/>
    </w:pPr>
    <w:rPr>
      <w:rFonts w:ascii="Times New Roman" w:hAnsi="Times New Roman" w:eastAsia="宋体" w:cs="Times New Roman"/>
      <w:kern w:val="0"/>
      <w:szCs w:val="20"/>
      <w:lang w:eastAsia="en-US"/>
    </w:rPr>
  </w:style>
  <w:style w:type="paragraph" w:customStyle="1" w:styleId="106">
    <w:name w:val="_Style 2"/>
    <w:basedOn w:val="1"/>
    <w:qFormat/>
    <w:uiPriority w:val="0"/>
    <w:rPr>
      <w:rFonts w:ascii="Times New Roman" w:hAnsi="Times New Roman" w:eastAsia="宋体" w:cs="Times New Roman"/>
    </w:rPr>
  </w:style>
  <w:style w:type="paragraph" w:customStyle="1" w:styleId="107">
    <w:name w:val="列出段落2"/>
    <w:basedOn w:val="1"/>
    <w:qFormat/>
    <w:uiPriority w:val="0"/>
    <w:pPr>
      <w:ind w:firstLine="420" w:firstLineChars="200"/>
    </w:pPr>
    <w:rPr>
      <w:rFonts w:ascii="Calibri" w:hAnsi="Calibri" w:eastAsia="宋体" w:cs="Times New Roman"/>
      <w:szCs w:val="22"/>
    </w:rPr>
  </w:style>
  <w:style w:type="paragraph" w:customStyle="1" w:styleId="108">
    <w:name w:val="*正文"/>
    <w:basedOn w:val="1"/>
    <w:qFormat/>
    <w:uiPriority w:val="0"/>
    <w:pPr>
      <w:widowControl/>
      <w:snapToGrid w:val="0"/>
      <w:ind w:firstLine="560"/>
      <w:jc w:val="left"/>
    </w:pPr>
    <w:rPr>
      <w:rFonts w:ascii="仿宋_GB2312" w:hAnsi="Times New Roman" w:eastAsia="宋体" w:cs="Times New Roman"/>
      <w:color w:val="191919"/>
      <w:sz w:val="28"/>
      <w:szCs w:val="28"/>
    </w:rPr>
  </w:style>
  <w:style w:type="paragraph" w:customStyle="1" w:styleId="109">
    <w:name w:val="列出段落1"/>
    <w:basedOn w:val="1"/>
    <w:qFormat/>
    <w:uiPriority w:val="0"/>
    <w:pPr>
      <w:ind w:firstLine="420" w:firstLineChars="200"/>
    </w:pPr>
    <w:rPr>
      <w:rFonts w:ascii="Times New Roman" w:hAnsi="Times New Roman" w:eastAsia="宋体" w:cs="Times New Roman"/>
    </w:rPr>
  </w:style>
  <w:style w:type="paragraph" w:customStyle="1" w:styleId="110">
    <w:name w:val="HtmlNormal"/>
    <w:basedOn w:val="1"/>
    <w:qFormat/>
    <w:uiPriority w:val="0"/>
    <w:pPr>
      <w:widowControl/>
      <w:spacing w:before="100" w:beforeLines="0" w:beforeAutospacing="1" w:after="100" w:afterLines="0" w:afterAutospacing="1"/>
      <w:jc w:val="left"/>
    </w:pPr>
    <w:rPr>
      <w:rFonts w:ascii="宋体" w:hAnsi="宋体" w:eastAsia="宋体" w:cs="Times New Roman"/>
      <w:kern w:val="0"/>
      <w:sz w:val="24"/>
    </w:rPr>
  </w:style>
  <w:style w:type="paragraph" w:styleId="111">
    <w:name w:val="List Paragraph"/>
    <w:basedOn w:val="1"/>
    <w:qFormat/>
    <w:uiPriority w:val="0"/>
    <w:pPr>
      <w:spacing w:line="360" w:lineRule="auto"/>
      <w:ind w:firstLine="420" w:firstLineChars="200"/>
    </w:pPr>
    <w:rPr>
      <w:rFonts w:ascii="宋体" w:hAnsi="宋体" w:eastAsia="宋体" w:cs="宋体"/>
      <w:sz w:val="24"/>
    </w:rPr>
  </w:style>
  <w:style w:type="paragraph" w:customStyle="1" w:styleId="112">
    <w:name w:val="列出段落11"/>
    <w:basedOn w:val="1"/>
    <w:qFormat/>
    <w:uiPriority w:val="0"/>
    <w:pPr>
      <w:spacing w:after="120" w:afterLines="0" w:line="360" w:lineRule="auto"/>
      <w:ind w:firstLine="420" w:firstLineChars="200"/>
    </w:pPr>
    <w:rPr>
      <w:rFonts w:ascii="Calibri" w:hAnsi="Calibri" w:eastAsia="宋体" w:cs="Times New Roman"/>
      <w:szCs w:val="22"/>
    </w:rPr>
  </w:style>
  <w:style w:type="paragraph" w:customStyle="1" w:styleId="113">
    <w:name w:val="_Style 4"/>
    <w:basedOn w:val="1"/>
    <w:qFormat/>
    <w:uiPriority w:val="0"/>
    <w:pPr>
      <w:adjustRightInd w:val="0"/>
      <w:ind w:firstLine="420" w:firstLineChars="200"/>
      <w:jc w:val="left"/>
      <w:textAlignment w:val="baseline"/>
    </w:pPr>
    <w:rPr>
      <w:rFonts w:ascii="Times New Roman" w:hAnsi="Times New Roman" w:eastAsia="宋体" w:cs="Times New Roman"/>
      <w:kern w:val="0"/>
      <w:szCs w:val="20"/>
    </w:rPr>
  </w:style>
  <w:style w:type="paragraph" w:customStyle="1" w:styleId="114">
    <w:name w:val="List Paragraph2"/>
    <w:basedOn w:val="1"/>
    <w:qFormat/>
    <w:uiPriority w:val="0"/>
    <w:pPr>
      <w:spacing w:line="360" w:lineRule="auto"/>
      <w:ind w:firstLine="420"/>
    </w:pPr>
    <w:rPr>
      <w:rFonts w:ascii="Times New Roman" w:hAnsi="Times New Roman" w:eastAsia="宋体" w:cs="Times New Roman"/>
      <w:color w:val="000000"/>
      <w:sz w:val="24"/>
      <w:szCs w:val="21"/>
    </w:rPr>
  </w:style>
  <w:style w:type="paragraph" w:customStyle="1" w:styleId="115">
    <w:name w:val="正文文字 8"/>
    <w:basedOn w:val="1"/>
    <w:next w:val="1"/>
    <w:qFormat/>
    <w:uiPriority w:val="0"/>
    <w:pPr>
      <w:ind w:left="240"/>
    </w:pPr>
    <w:rPr>
      <w:sz w:val="16"/>
    </w:rPr>
  </w:style>
  <w:style w:type="paragraph" w:customStyle="1" w:styleId="116">
    <w:name w:val="样式1"/>
    <w:basedOn w:val="1"/>
    <w:qFormat/>
    <w:uiPriority w:val="0"/>
    <w:pPr>
      <w:spacing w:line="360" w:lineRule="auto"/>
      <w:jc w:val="center"/>
    </w:pPr>
    <w:rPr>
      <w:rFonts w:ascii="Times New Roman" w:hAnsi="Times New Roman" w:eastAsia="宋体" w:cs="Times New Roman"/>
      <w:b/>
      <w:sz w:val="30"/>
      <w:szCs w:val="30"/>
    </w:rPr>
  </w:style>
  <w:style w:type="paragraph" w:customStyle="1" w:styleId="117">
    <w:name w:val="列表2"/>
    <w:basedOn w:val="1"/>
    <w:next w:val="1"/>
    <w:qFormat/>
    <w:uiPriority w:val="0"/>
    <w:pPr>
      <w:numPr>
        <w:ilvl w:val="0"/>
        <w:numId w:val="7"/>
      </w:numPr>
      <w:spacing w:line="200" w:lineRule="atLeast"/>
    </w:pPr>
    <w:rPr>
      <w:rFonts w:ascii="Times New Roman" w:hAnsi="Times New Roman" w:eastAsia="仿宋" w:cs="Times New Roman"/>
      <w:sz w:val="28"/>
    </w:rPr>
  </w:style>
  <w:style w:type="paragraph" w:customStyle="1" w:styleId="118">
    <w:name w:val="标题3-副本"/>
    <w:basedOn w:val="26"/>
    <w:qFormat/>
    <w:uiPriority w:val="0"/>
    <w:pPr>
      <w:numPr>
        <w:ilvl w:val="0"/>
        <w:numId w:val="0"/>
      </w:numPr>
      <w:ind w:left="840"/>
    </w:pPr>
    <w:rPr>
      <w:rFonts w:ascii="Times New Roman" w:hAnsi="Times New Roman" w:eastAsia="宋体" w:cs="Times New Roman"/>
    </w:rPr>
  </w:style>
  <w:style w:type="paragraph" w:customStyle="1" w:styleId="119">
    <w:name w:val="_Style 117"/>
    <w:basedOn w:val="1"/>
    <w:next w:val="1"/>
    <w:qFormat/>
    <w:uiPriority w:val="0"/>
    <w:pPr>
      <w:pBdr>
        <w:bottom w:val="single" w:color="auto" w:sz="6" w:space="1"/>
      </w:pBdr>
      <w:jc w:val="center"/>
    </w:pPr>
    <w:rPr>
      <w:rFonts w:ascii="Arial" w:eastAsia="宋体"/>
      <w:vanish/>
      <w:sz w:val="16"/>
    </w:rPr>
  </w:style>
  <w:style w:type="paragraph" w:customStyle="1" w:styleId="120">
    <w:name w:val="_Style 118"/>
    <w:basedOn w:val="1"/>
    <w:next w:val="1"/>
    <w:qFormat/>
    <w:uiPriority w:val="0"/>
    <w:pPr>
      <w:pBdr>
        <w:top w:val="single" w:color="auto" w:sz="6" w:space="1"/>
      </w:pBdr>
      <w:jc w:val="center"/>
    </w:pPr>
    <w:rPr>
      <w:rFonts w:ascii="Arial" w:eastAsia="宋体"/>
      <w:vanish/>
      <w:sz w:val="16"/>
    </w:rPr>
  </w:style>
  <w:style w:type="paragraph" w:customStyle="1" w:styleId="121">
    <w:name w:val="无间隔1"/>
    <w:basedOn w:val="1"/>
    <w:qFormat/>
    <w:uiPriority w:val="0"/>
    <w:pPr>
      <w:widowControl/>
      <w:adjustRightInd w:val="0"/>
      <w:snapToGrid w:val="0"/>
      <w:jc w:val="left"/>
    </w:pPr>
    <w:rPr>
      <w:rFonts w:ascii="Tahoma" w:hAnsi="Tahoma" w:eastAsia="微软雅黑" w:cs="Times New Roman"/>
      <w:kern w:val="0"/>
      <w:sz w:val="24"/>
      <w:szCs w:val="22"/>
    </w:rPr>
  </w:style>
  <w:style w:type="paragraph" w:customStyle="1" w:styleId="122">
    <w:name w:val="text-tag1"/>
    <w:basedOn w:val="1"/>
    <w:qFormat/>
    <w:uiPriority w:val="0"/>
    <w:pPr>
      <w:widowControl/>
      <w:spacing w:before="100" w:beforeAutospacing="1" w:after="100" w:afterAutospacing="1"/>
      <w:jc w:val="left"/>
    </w:pPr>
    <w:rPr>
      <w:rFonts w:ascii="宋体" w:hAnsi="宋体" w:eastAsia="宋体" w:cs="宋体"/>
      <w:kern w:val="0"/>
      <w:sz w:val="24"/>
    </w:rPr>
  </w:style>
  <w:style w:type="character" w:customStyle="1" w:styleId="123">
    <w:name w:val="font11"/>
    <w:qFormat/>
    <w:uiPriority w:val="0"/>
    <w:rPr>
      <w:rFonts w:hint="eastAsia" w:ascii="宋体" w:hAnsi="宋体" w:eastAsia="宋体" w:cs="宋体"/>
      <w:color w:val="000000"/>
      <w:sz w:val="16"/>
      <w:szCs w:val="16"/>
      <w:u w:val="none"/>
    </w:rPr>
  </w:style>
  <w:style w:type="character" w:customStyle="1" w:styleId="124">
    <w:name w:val="font31"/>
    <w:basedOn w:val="37"/>
    <w:qFormat/>
    <w:uiPriority w:val="0"/>
    <w:rPr>
      <w:rFonts w:ascii="宋体" w:hAnsi="宋体" w:eastAsia="宋体" w:cs="宋体"/>
      <w:color w:val="000000"/>
      <w:sz w:val="16"/>
      <w:szCs w:val="16"/>
      <w:u w:val="none"/>
    </w:rPr>
  </w:style>
  <w:style w:type="character" w:customStyle="1" w:styleId="125">
    <w:name w:val="font41"/>
    <w:basedOn w:val="37"/>
    <w:qFormat/>
    <w:uiPriority w:val="0"/>
    <w:rPr>
      <w:rFonts w:hint="eastAsia" w:ascii="宋体" w:hAnsi="宋体" w:eastAsia="宋体" w:cs="宋体"/>
      <w:color w:val="000000"/>
      <w:sz w:val="21"/>
      <w:szCs w:val="21"/>
      <w:u w:val="none"/>
    </w:rPr>
  </w:style>
  <w:style w:type="character" w:customStyle="1" w:styleId="126">
    <w:name w:val="hover"/>
    <w:basedOn w:val="37"/>
    <w:qFormat/>
    <w:uiPriority w:val="0"/>
  </w:style>
  <w:style w:type="character" w:customStyle="1" w:styleId="127">
    <w:name w:val="hover1"/>
    <w:basedOn w:val="37"/>
    <w:qFormat/>
    <w:uiPriority w:val="0"/>
    <w:rPr>
      <w:color w:val="2590EB"/>
    </w:rPr>
  </w:style>
  <w:style w:type="character" w:customStyle="1" w:styleId="128">
    <w:name w:val="hover2"/>
    <w:basedOn w:val="37"/>
    <w:qFormat/>
    <w:uiPriority w:val="0"/>
    <w:rPr>
      <w:color w:val="2590EB"/>
    </w:rPr>
  </w:style>
  <w:style w:type="character" w:customStyle="1" w:styleId="129">
    <w:name w:val="hover3"/>
    <w:basedOn w:val="37"/>
    <w:qFormat/>
    <w:uiPriority w:val="0"/>
    <w:rPr>
      <w:color w:val="2590EB"/>
      <w:shd w:val="clear" w:fill="E9F4FD"/>
    </w:rPr>
  </w:style>
  <w:style w:type="table" w:customStyle="1" w:styleId="130">
    <w:name w:val="Table Normal"/>
    <w:semiHidden/>
    <w:unhideWhenUsed/>
    <w:qFormat/>
    <w:uiPriority w:val="0"/>
    <w:tblPr>
      <w:tblCellMar>
        <w:top w:w="0" w:type="dxa"/>
        <w:left w:w="0" w:type="dxa"/>
        <w:bottom w:w="0" w:type="dxa"/>
        <w:right w:w="0" w:type="dxa"/>
      </w:tblCellMar>
    </w:tblPr>
  </w:style>
  <w:style w:type="paragraph" w:customStyle="1" w:styleId="131">
    <w:name w:val="Table Text"/>
    <w:basedOn w:val="1"/>
    <w:semiHidden/>
    <w:qFormat/>
    <w:uiPriority w:val="0"/>
    <w:rPr>
      <w:rFonts w:ascii="宋体" w:hAnsi="宋体" w:eastAsia="宋体" w:cs="宋体"/>
      <w:sz w:val="20"/>
      <w:szCs w:val="20"/>
      <w:lang w:val="en-US" w:eastAsia="en-US" w:bidi="ar-SA"/>
    </w:rPr>
  </w:style>
  <w:style w:type="character" w:customStyle="1" w:styleId="132">
    <w:name w:val="hover4"/>
    <w:basedOn w:val="37"/>
    <w:qFormat/>
    <w:uiPriority w:val="0"/>
    <w:rPr>
      <w:color w:val="2590EB"/>
      <w:shd w:val="clear" w:fill="E9F4FD"/>
    </w:rPr>
  </w:style>
  <w:style w:type="character" w:customStyle="1" w:styleId="133">
    <w:name w:val="mini-outputtext1"/>
    <w:basedOn w:val="37"/>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c8a31471-36a2-408d-aa49-84e54b3ea707</errorID>
      <errorWord>(</errorWord>
      <group>L1_Format</group>
      <groupName>格式问题</groupName>
      <ability>L2_HalfPunc</ability>
      <abilityName>全半角检查</abilityName>
      <candidateList>
        <item>（</item>
      </candidateList>
      <explain>文本全半角错误。</explain>
      <paraID>45E6C5AC</paraID>
      <start>26</start>
      <end>27</end>
      <status>unmodified</status>
      <modifiedWord/>
      <trackRevisions>false</trackRevisions>
    </reviewItem>
    <reviewItem>
      <errorID>95c7c8d0-b177-4eac-9e5b-eee1db6a5a26</errorID>
      <errorWord>)的</errorWord>
      <group>L1_Word</group>
      <groupName>字词问题</groupName>
      <ability>L2_Typo</ability>
      <abilityName>字词错误</abilityName>
      <candidateList>
        <item>)</item>
      </candidateList>
      <explain/>
      <paraID>45E6C5AC</paraID>
      <start>42</start>
      <end>44</end>
      <status>unmodified</status>
      <modifiedWord/>
      <trackRevisions>false</trackRevisions>
    </reviewItem>
    <reviewItem>
      <errorID>e9ac8953-151a-48ef-92c8-c8dae64937dd</errorID>
      <errorWord>&gt;</errorWord>
      <group>L1_Format</group>
      <groupName>格式问题</groupName>
      <ability>L2_HalfPunc</ability>
      <abilityName>全半角检查</abilityName>
      <candidateList>
        <item>〉</item>
      </candidateList>
      <explain>文本全半角错误。</explain>
      <paraID>45BB9D5E</paraID>
      <start>193</start>
      <end>194</end>
      <status>unmodified</status>
      <modifiedWord/>
      <trackRevisions>false</trackRevisions>
    </reviewItem>
    <reviewItem>
      <errorID>05ff1f71-debd-4b64-ab45-82822b3be038</errorID>
      <errorWord>&gt;</errorWord>
      <group>L1_Format</group>
      <groupName>格式问题</groupName>
      <ability>L2_HalfPunc</ability>
      <abilityName>全半角检查</abilityName>
      <candidateList>
        <item>〉</item>
      </candidateList>
      <explain>文本全半角错误。</explain>
      <paraID>45BB9D5E</paraID>
      <start>198</start>
      <end>199</end>
      <status>unmodified</status>
      <modifiedWord/>
      <trackRevisions>false</trackRevisions>
    </reviewItem>
    <reviewItem>
      <errorID>daf22320-17aa-4951-9568-66dd9ebc50f5</errorID>
      <errorWord>,</errorWord>
      <group>L1_Format</group>
      <groupName>格式问题</groupName>
      <ability>L2_HalfPunc</ability>
      <abilityName>全半角检查</abilityName>
      <candidateList>
        <item>，</item>
      </candidateList>
      <explain>文本全半角错误。</explain>
      <paraID>45BB9D5E</paraID>
      <start>352</start>
      <end>353</end>
      <status>unmodified</status>
      <modifiedWord/>
      <trackRevisions>false</trackRevisions>
    </reviewItem>
    <reviewItem>
      <errorID>b2728f3d-747c-48d2-a800-6fd269d13889</errorID>
      <errorWord>00）、</errorWord>
      <group>L1_Punc</group>
      <groupName>标点问题</groupName>
      <ability>L2_Punc</ability>
      <abilityName>标点符号检查</abilityName>
      <candidateList>
        <item>00）</item>
      </candidateList>
      <explain>根据国标GB/T 15834-2011《标点符号用法》中的4.5.3.3节，带括号的汉字数字或阿拉伯数字表次序时，后面通常不加顿号。如“（一）指导思想”“（二）行动指南”。</explain>
      <paraID>45BB9D5E</paraID>
      <start>436</start>
      <end>440</end>
      <status>unmodified</status>
      <modifiedWord/>
      <trackRevisions>false</trackRevisions>
    </reviewItem>
    <reviewItem>
      <errorID>fbfce323-45ca-4ecf-bd69-1c27c30e2220</errorID>
      <errorWord>间</errorWord>
      <group>L1_Word</group>
      <groupName>字词问题</groupName>
      <ability>L2_Typo</ability>
      <abilityName>字词错误</abilityName>
      <candidateList>
        <item>间内</item>
      </candidateList>
      <explain/>
      <paraID>45BB9D5E</paraID>
      <start>538</start>
      <end>539</end>
      <status>unmodified</status>
      <modifiedWord/>
      <trackRevisions>false</trackRevisions>
    </reviewItem>
    <reviewItem>
      <errorID>e8caaad8-ece5-4193-bb1f-245b1314da12</errorID>
      <errorWord>&gt;</errorWord>
      <group>L1_Format</group>
      <groupName>格式问题</groupName>
      <ability>L2_HalfPunc</ability>
      <abilityName>全半角检查</abilityName>
      <candidateList>
        <item>〉</item>
      </candidateList>
      <explain>文本全半角错误。</explain>
      <paraID>729604CF</paraID>
      <start>48</start>
      <end>49</end>
      <status>unmodified</status>
      <modifiedWord/>
      <trackRevisions>false</trackRevisions>
    </reviewItem>
    <reviewItem>
      <errorID>a2424d95-45bc-4b19-b08a-16d5d735a17b</errorID>
      <errorWord>&gt;</errorWord>
      <group>L1_Format</group>
      <groupName>格式问题</groupName>
      <ability>L2_HalfPunc</ability>
      <abilityName>全半角检查</abilityName>
      <candidateList>
        <item>〉</item>
      </candidateList>
      <explain>文本全半角错误。</explain>
      <paraID>729604CF</paraID>
      <start>53</start>
      <end>54</end>
      <status>unmodified</status>
      <modifiedWord/>
      <trackRevisions>false</trackRevisions>
    </reviewItem>
    <reviewItem>
      <errorID>c2e9e3c9-ba15-41ab-87c2-07829c5ffc47</errorID>
      <errorWord>(</errorWord>
      <group>L1_Format</group>
      <groupName>格式问题</groupName>
      <ability>L2_HalfPunc</ability>
      <abilityName>全半角检查</abilityName>
      <candidateList>
        <item>（</item>
      </candidateList>
      <explain>文本全半角错误。</explain>
      <paraID>2AE69080</paraID>
      <start>12</start>
      <end>13</end>
      <status>unmodified</status>
      <modifiedWord/>
      <trackRevisions>false</trackRevisions>
    </reviewItem>
    <reviewItem>
      <errorID>12da7af3-8a3a-41ae-8222-ccf14bdfd23f</errorID>
      <errorWord>)</errorWord>
      <group>L1_Format</group>
      <groupName>格式问题</groupName>
      <ability>L2_HalfPunc</ability>
      <abilityName>全半角检查</abilityName>
      <candidateList>
        <item>）</item>
      </candidateList>
      <explain>文本全半角错误。</explain>
      <paraID>2AE69080</paraID>
      <start>17</start>
      <end>18</end>
      <status>unmodified</status>
      <modifiedWord/>
      <trackRevisions>false</trackRevisions>
    </reviewItem>
    <reviewItem>
      <errorID>9d4e85b3-f9d8-4339-9f60-cf6f79791269</errorID>
      <errorWord>&gt;</errorWord>
      <group>L1_Format</group>
      <groupName>格式问题</groupName>
      <ability>L2_HalfPunc</ability>
      <abilityName>全半角检查</abilityName>
      <candidateList>
        <item>〉</item>
      </candidateList>
      <explain>文本全半角错误。</explain>
      <paraID>2AE69080</paraID>
      <start>209</start>
      <end>210</end>
      <status>unmodified</status>
      <modifiedWord/>
      <trackRevisions>false</trackRevisions>
    </reviewItem>
    <reviewItem>
      <errorID>4abef716-de99-40cf-a69d-1aa47bd6fca6</errorID>
      <errorWord>&gt;</errorWord>
      <group>L1_Format</group>
      <groupName>格式问题</groupName>
      <ability>L2_HalfPunc</ability>
      <abilityName>全半角检查</abilityName>
      <candidateList>
        <item>〉</item>
      </candidateList>
      <explain>文本全半角错误。</explain>
      <paraID>2AE69080</paraID>
      <start>214</start>
      <end>215</end>
      <status>unmodified</status>
      <modifiedWord/>
      <trackRevisions>false</trackRevisions>
    </reviewItem>
    <reviewItem>
      <errorID>5c8c00ad-aca6-48dc-b16a-362adbe57624</errorID>
      <errorWord>截止10日</errorWord>
      <group>L1_Word</group>
      <groupName>字词问题</groupName>
      <ability>L2_Typo</ability>
      <abilityName>字词错误</abilityName>
      <candidateList>
        <item>截至10日</item>
      </candidateList>
      <explain/>
      <paraID>7FCDD002</paraID>
      <start>50</start>
      <end>55</end>
      <status>unmodified</status>
      <modifiedWord/>
      <trackRevisions>false</trackRevisions>
    </reviewItem>
    <reviewItem>
      <errorID>2c1db784-0f61-49fb-bb26-b411e4c0832c</errorID>
      <errorWord>&gt;</errorWord>
      <group>L1_Format</group>
      <groupName>格式问题</groupName>
      <ability>L2_HalfPunc</ability>
      <abilityName>全半角检查</abilityName>
      <candidateList>
        <item>〉</item>
      </candidateList>
      <explain>文本全半角错误。</explain>
      <paraID>7FCDD002</paraID>
      <start>98</start>
      <end>99</end>
      <status>unmodified</status>
      <modifiedWord/>
      <trackRevisions>false</trackRevisions>
    </reviewItem>
    <reviewItem>
      <errorID>9bb47142-058a-4c66-99ce-d6069c7a0187</errorID>
      <errorWord>&gt;</errorWord>
      <group>L1_Format</group>
      <groupName>格式问题</groupName>
      <ability>L2_HalfPunc</ability>
      <abilityName>全半角检查</abilityName>
      <candidateList>
        <item>〉</item>
      </candidateList>
      <explain>文本全半角错误。</explain>
      <paraID>7FCDD002</paraID>
      <start>103</start>
      <end>104</end>
      <status>unmodified</status>
      <modifiedWord/>
      <trackRevisions>false</trackRevisions>
    </reviewItem>
    <reviewItem>
      <errorID>c49fe082-0327-4b62-bc34-cad2f9656a4f</errorID>
      <errorWord>法律、法规</errorWord>
      <group>L1_Word</group>
      <groupName>字词问题</groupName>
      <ability>L2_Typo</ability>
      <abilityName>字词错误</abilityName>
      <candidateList>
        <item>法律法规</item>
      </candidateList>
      <explain/>
      <paraID>6884F001</paraID>
      <start>35</start>
      <end>40</end>
      <status>unmodified</status>
      <modifiedWord/>
      <trackRevisions>false</trackRevisions>
    </reviewItem>
    <reviewItem>
      <errorID>c26449e4-43ba-4096-8338-5332a1dee337</errorID>
      <errorWord>&gt;</errorWord>
      <group>L1_Format</group>
      <groupName>格式问题</groupName>
      <ability>L2_HalfPunc</ability>
      <abilityName>全半角检查</abilityName>
      <candidateList>
        <item>〉</item>
      </candidateList>
      <explain>文本全半角错误。</explain>
      <paraID>6884F001</paraID>
      <start>79</start>
      <end>80</end>
      <status>unmodified</status>
      <modifiedWord/>
      <trackRevisions>false</trackRevisions>
    </reviewItem>
    <reviewItem>
      <errorID>5328a7b9-1644-44c8-9505-a26d8f6e0451</errorID>
      <errorWord>&gt;</errorWord>
      <group>L1_Format</group>
      <groupName>格式问题</groupName>
      <ability>L2_HalfPunc</ability>
      <abilityName>全半角检查</abilityName>
      <candidateList>
        <item>〉</item>
      </candidateList>
      <explain>文本全半角错误。</explain>
      <paraID>6884F001</paraID>
      <start>157</start>
      <end>158</end>
      <status>unmodified</status>
      <modifiedWord/>
      <trackRevisions>false</trackRevisions>
    </reviewItem>
    <reviewItem>
      <errorID>f2e78a48-1c44-46f9-92d1-f6ab2a83d301</errorID>
      <errorWord>&gt;</errorWord>
      <group>L1_Format</group>
      <groupName>格式问题</groupName>
      <ability>L2_HalfPunc</ability>
      <abilityName>全半角检查</abilityName>
      <candidateList>
        <item>〉</item>
      </candidateList>
      <explain>文本全半角错误。</explain>
      <paraID>6884F001</paraID>
      <start>162</start>
      <end>163</end>
      <status>unmodified</status>
      <modifiedWord/>
      <trackRevisions>false</trackRevisions>
    </reviewItem>
    <reviewItem>
      <errorID>b7bf029b-5fa7-4f18-a9e8-06ed4d4c6c28</errorID>
      <errorWord>&gt;</errorWord>
      <group>L1_Format</group>
      <groupName>格式问题</groupName>
      <ability>L2_HalfPunc</ability>
      <abilityName>全半角检查</abilityName>
      <candidateList>
        <item>〉</item>
      </candidateList>
      <explain>文本全半角错误。</explain>
      <paraID>6884F001</paraID>
      <start>168</start>
      <end>169</end>
      <status>unmodified</status>
      <modifiedWord/>
      <trackRevisions>false</trackRevisions>
    </reviewItem>
    <reviewItem>
      <errorID>004a89cf-cfdb-4b78-84c2-0240a1a4bfe5</errorID>
      <errorWord>,</errorWord>
      <group>L1_Format</group>
      <groupName>格式问题</groupName>
      <ability>L2_HalfPunc</ability>
      <abilityName>全半角检查</abilityName>
      <candidateList>
        <item>，</item>
      </candidateList>
      <explain>文本全半角错误。</explain>
      <paraID>26F60FA8</paraID>
      <start>3</start>
      <end>4</end>
      <status>unmodified</status>
      <modifiedWord/>
      <trackRevisions>false</trackRevisions>
    </reviewItem>
    <reviewItem>
      <errorID>d07863a5-9070-409f-9034-ab2974e7b497</errorID>
      <errorWord>截止10日</errorWord>
      <group>L1_Word</group>
      <groupName>字词问题</groupName>
      <ability>L2_Typo</ability>
      <abilityName>字词错误</abilityName>
      <candidateList>
        <item>截至10日</item>
      </candidateList>
      <explain/>
      <paraID>78C0B83B</paraID>
      <start>32</start>
      <end>37</end>
      <status>unmodified</status>
      <modifiedWord/>
      <trackRevisions>false</trackRevisions>
    </reviewItem>
    <reviewItem>
      <errorID>b7c80efd-5a96-4b9f-a126-3c2816e63821</errorID>
      <errorWord>&gt;</errorWord>
      <group>L1_Format</group>
      <groupName>格式问题</groupName>
      <ability>L2_HalfPunc</ability>
      <abilityName>全半角检查</abilityName>
      <candidateList>
        <item>〉</item>
      </candidateList>
      <explain>文本全半角错误。</explain>
      <paraID>78C0B83B</paraID>
      <start>84</start>
      <end>85</end>
      <status>unmodified</status>
      <modifiedWord/>
      <trackRevisions>false</trackRevisions>
    </reviewItem>
    <reviewItem>
      <errorID>49ed22bf-6e92-4578-84b1-1f26527c911a</errorID>
      <errorWord>&gt;</errorWord>
      <group>L1_Format</group>
      <groupName>格式问题</groupName>
      <ability>L2_HalfPunc</ability>
      <abilityName>全半角检查</abilityName>
      <candidateList>
        <item>〉</item>
      </candidateList>
      <explain>文本全半角错误。</explain>
      <paraID>78C0B83B</paraID>
      <start>89</start>
      <end>90</end>
      <status>unmodified</status>
      <modifiedWord/>
      <trackRevisions>false</trackRevisions>
    </reviewItem>
    <reviewItem>
      <errorID>c97e1f36-5560-43e3-a1af-fbf32842499d</errorID>
      <errorWord>/）</errorWord>
      <group>L1_Punc</group>
      <groupName>标点问题</groupName>
      <ability>L2_Punc</ability>
      <abilityName>标点符号检查</abilityName>
      <candidateList>
        <item>）</item>
      </candidateList>
      <explain/>
      <paraID>3824FE5C</paraID>
      <start>61</start>
      <end>63</end>
      <status>unmodified</status>
      <modifiedWord/>
      <trackRevisions>false</trackRevisions>
    </reviewItem>
    <reviewItem>
      <errorID>90ca8232-9941-4e26-be7f-eb77751012ca</errorID>
      <errorWord>【2002】1980号</errorWord>
      <group>L1_Knowledge</group>
      <groupName>知识性问题</groupName>
      <ability>L2_Knowledge</ability>
      <abilityName>其他知识</abilityName>
      <candidateList>
        <item>〔2002〕1980号</item>
      </candidateList>
      <explain>发文字号格式错误。</explain>
      <paraID>154D5E54</paraID>
      <start>21</start>
      <end>32</end>
      <status>unmodified</status>
      <modifiedWord/>
      <trackRevisions>false</trackRevisions>
    </reviewItem>
    <reviewItem>
      <errorID>ffa68d91-c1e6-43a8-84b3-45ac49b6d4ab</errorID>
      <errorWord>法律、法规</errorWord>
      <group>L1_Word</group>
      <groupName>字词问题</groupName>
      <ability>L2_Typo</ability>
      <abilityName>字词错误</abilityName>
      <candidateList>
        <item>法律法规</item>
      </candidateList>
      <explain/>
      <paraID>33605BA1</paraID>
      <start>22</start>
      <end>27</end>
      <status>unmodified</status>
      <modifiedWord/>
      <trackRevisions>false</trackRevisions>
    </reviewItem>
    <reviewItem>
      <errorID>5c0b7876-1ad5-49ee-970f-93e0ad7738b7</errorID>
      <errorWord>&gt;</errorWord>
      <group>L1_Format</group>
      <groupName>格式问题</groupName>
      <ability>L2_HalfPunc</ability>
      <abilityName>全半角检查</abilityName>
      <candidateList>
        <item>〉</item>
      </candidateList>
      <explain>文本全半角错误。</explain>
      <paraID>33605BA1</paraID>
      <start>66</start>
      <end>67</end>
      <status>unmodified</status>
      <modifiedWord/>
      <trackRevisions>false</trackRevisions>
    </reviewItem>
    <reviewItem>
      <errorID>a086cf46-79ba-44d5-bea2-eff80a36cc24</errorID>
      <errorWord>&gt;</errorWord>
      <group>L1_Format</group>
      <groupName>格式问题</groupName>
      <ability>L2_HalfPunc</ability>
      <abilityName>全半角检查</abilityName>
      <candidateList>
        <item>〉</item>
      </candidateList>
      <explain>文本全半角错误。</explain>
      <paraID>33605BA1</paraID>
      <start>218</start>
      <end>219</end>
      <status>unmodified</status>
      <modifiedWord/>
      <trackRevisions>false</trackRevisions>
    </reviewItem>
    <reviewItem>
      <errorID>e2dc0eb4-321b-46b6-b106-764b090374a6</errorID>
      <errorWord>&gt;</errorWord>
      <group>L1_Format</group>
      <groupName>格式问题</groupName>
      <ability>L2_HalfPunc</ability>
      <abilityName>全半角检查</abilityName>
      <candidateList>
        <item>〉</item>
      </candidateList>
      <explain>文本全半角错误。</explain>
      <paraID>33605BA1</paraID>
      <start>223</start>
      <end>224</end>
      <status>unmodified</status>
      <modifiedWord/>
      <trackRevisions>false</trackRevisions>
    </reviewItem>
    <reviewItem>
      <errorID>590f67fd-1807-4d5d-b117-aedc8fc2e758</errorID>
      <errorWord>&gt;</errorWord>
      <group>L1_Format</group>
      <groupName>格式问题</groupName>
      <ability>L2_HalfPunc</ability>
      <abilityName>全半角检查</abilityName>
      <candidateList>
        <item>〉</item>
      </candidateList>
      <explain>文本全半角错误。</explain>
      <paraID>33605BA1</paraID>
      <start>229</start>
      <end>230</end>
      <status>unmodified</status>
      <modifiedWord/>
      <trackRevisions>false</trackRevisions>
    </reviewItem>
    <reviewItem>
      <errorID>21fa3c39-aed2-4b5e-9edb-546faaed6e79</errorID>
      <errorWord>&gt;</errorWord>
      <group>L1_Format</group>
      <groupName>格式问题</groupName>
      <ability>L2_HalfPunc</ability>
      <abilityName>全半角检查</abilityName>
      <candidateList>
        <item>〉</item>
      </candidateList>
      <explain>文本全半角错误。</explain>
      <paraID>1729968A</paraID>
      <start>32</start>
      <end>33</end>
      <status>unmodified</status>
      <modifiedWord/>
      <trackRevisions>false</trackRevisions>
    </reviewItem>
    <reviewItem>
      <errorID>4057c6cc-0065-4898-85e3-819543a54034</errorID>
      <errorWord>&gt;</errorWord>
      <group>L1_Format</group>
      <groupName>格式问题</groupName>
      <ability>L2_HalfPunc</ability>
      <abilityName>全半角检查</abilityName>
      <candidateList>
        <item>〉</item>
      </candidateList>
      <explain>文本全半角错误。</explain>
      <paraID>1729968A</paraID>
      <start>37</start>
      <end>38</end>
      <status>unmodified</status>
      <modifiedWord/>
      <trackRevisions>false</trackRevisions>
    </reviewItem>
    <reviewItem>
      <errorID>9d587206-07dc-4bdc-91a3-24a3eb2420b4</errorID>
      <errorWord>&gt;</errorWord>
      <group>L1_Format</group>
      <groupName>格式问题</groupName>
      <ability>L2_HalfPunc</ability>
      <abilityName>全半角检查</abilityName>
      <candidateList>
        <item>〉</item>
      </candidateList>
      <explain>文本全半角错误。</explain>
      <paraID>60B3C5C5</paraID>
      <start>83</start>
      <end>84</end>
      <status>unmodified</status>
      <modifiedWord/>
      <trackRevisions>false</trackRevisions>
    </reviewItem>
    <reviewItem>
      <errorID>dc199931-eb4c-4f17-bf62-84fadf2a1bd7</errorID>
      <errorWord>&gt;</errorWord>
      <group>L1_Format</group>
      <groupName>格式问题</groupName>
      <ability>L2_HalfPunc</ability>
      <abilityName>全半角检查</abilityName>
      <candidateList>
        <item>〉</item>
      </candidateList>
      <explain>文本全半角错误。</explain>
      <paraID>60B3C5C5</paraID>
      <start>88</start>
      <end>89</end>
      <status>unmodified</status>
      <modifiedWord/>
      <trackRevisions>false</trackRevisions>
    </reviewItem>
    <reviewItem>
      <errorID>884ecfa9-7731-4d95-a07b-cba650104f82</errorID>
      <errorWord>，</errorWord>
      <group>L1_Word</group>
      <groupName>字词问题</groupName>
      <ability>L2_Typo</ability>
      <abilityName>字词错误</abilityName>
      <candidateList>
        <item>，并</item>
      </candidateList>
      <explain/>
      <paraID> EE72171</paraID>
      <start>150</start>
      <end>151</end>
      <status>unmodified</status>
      <modifiedWord/>
      <trackRevisions>false</trackRevisions>
    </reviewItem>
    <reviewItem>
      <errorID>45022586-0c2c-49f8-aa5f-968b2ace0130</errorID>
      <errorWord>:</errorWord>
      <group>L1_Format</group>
      <groupName>格式问题</groupName>
      <ability>L2_HalfPunc</ability>
      <abilityName>全半角检查</abilityName>
      <candidateList>
        <item>：</item>
      </candidateList>
      <explain>文本全半角错误。</explain>
      <paraID>3E1120C7</paraID>
      <start>10</start>
      <end>11</end>
      <status>unmodified</status>
      <modifiedWord/>
      <trackRevisions>false</trackRevisions>
    </reviewItem>
    <reviewItem>
      <errorID>1020f54e-a914-455a-a610-97c3a5bf20d8</errorID>
      <errorWord>:</errorWord>
      <group>L1_Format</group>
      <groupName>格式问题</groupName>
      <ability>L2_HalfPunc</ability>
      <abilityName>全半角检查</abilityName>
      <candidateList>
        <item>：</item>
      </candidateList>
      <explain>文本全半角错误。</explain>
      <paraID>18BCC25F</paraID>
      <start>12</start>
      <end>13</end>
      <status>unmodified</status>
      <modifiedWord/>
      <trackRevisions>false</trackRevisions>
    </reviewItem>
    <reviewItem>
      <errorID>d1cf72c7-e396-473d-806f-a35f27f5daf3</errorID>
      <errorWord>(</errorWord>
      <group>L1_Format</group>
      <groupName>格式问题</groupName>
      <ability>L2_HalfPunc</ability>
      <abilityName>全半角检查</abilityName>
      <candidateList>
        <item>（</item>
      </candidateList>
      <explain>文本全半角错误。</explain>
      <paraID> 22B3409</paraID>
      <start>8</start>
      <end>9</end>
      <status>unmodified</status>
      <modifiedWord/>
      <trackRevisions>false</trackRevisions>
    </reviewItem>
    <reviewItem>
      <errorID>33500da4-0df8-4603-9782-6d0ea9725cfb</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6BFAEDAA</paraID>
      <start>36</start>
      <end>37</end>
      <status>unmodified</status>
      <modifiedWord/>
      <trackRevisions>false</trackRevisions>
    </reviewItem>
    <reviewItem>
      <errorID>bd6ee2c3-8337-48f6-beef-fdcb02c6f1bd</errorID>
      <errorWord>法律、法规</errorWord>
      <group>L1_Word</group>
      <groupName>字词问题</groupName>
      <ability>L2_Typo</ability>
      <abilityName>字词错误</abilityName>
      <candidateList>
        <item>法律法规</item>
      </candidateList>
      <explain/>
      <paraID>7CCCDC9D</paraID>
      <start>32</start>
      <end>37</end>
      <status>unmodified</status>
      <modifiedWord/>
      <trackRevisions>false</trackRevisions>
    </reviewItem>
    <reviewItem>
      <errorID>0662c41e-5339-4be5-873b-578edd8debb3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31342AA2</paraID>
      <start>15</start>
      <end>18</end>
      <status>unmodified</status>
      <modifiedWord/>
      <trackRevisions>false</trackRevisions>
    </reviewItem>
    <reviewItem>
      <errorID>ee169238-f5f6-49fc-a1a4-d303a4b38458</errorID>
      <errorWord>文件中</errorWord>
      <group>L1_Word</group>
      <groupName>字词问题</groupName>
      <ability>L2_Typo</ability>
      <abilityName>字词错误</abilityName>
      <candidateList>
        <item>文件</item>
      </candidateList>
      <explain/>
      <paraID>35526534</paraID>
      <start>21</start>
      <end>24</end>
      <status>unmodified</status>
      <modifiedWord/>
      <trackRevisions>false</trackRevisions>
    </reviewItem>
    <reviewItem>
      <errorID>cf5211a6-56a5-48fd-9d85-6bc616780950</errorID>
      <errorWord>、以及</errorWord>
      <group>L1_Punc</group>
      <groupName>标点问题</groupName>
      <ability>L2_Punc</ability>
      <abilityName>标点符号检查</abilityName>
      <candidateList>
        <item>，以及</item>
      </candidateList>
      <explain>连接词前后不宜使用顿号，建议使用逗号。</explain>
      <paraID>5F4B94EC</paraID>
      <start>12</start>
      <end>15</end>
      <status>unmodified</status>
      <modifiedWord/>
      <trackRevisions>false</trackRevisions>
    </reviewItem>
    <reviewItem>
      <errorID>cdb4edc8-1aa2-4cc1-bee2-10d5461da262</errorID>
      <errorWord>(</errorWord>
      <group>L1_Format</group>
      <groupName>格式问题</groupName>
      <ability>L2_HalfPunc</ability>
      <abilityName>全半角检查</abilityName>
      <candidateList>
        <item>（</item>
      </candidateList>
      <explain>文本全半角错误。</explain>
      <paraID>39B9BBC7</paraID>
      <start>40</start>
      <end>41</end>
      <status>unmodified</status>
      <modifiedWord/>
      <trackRevisions>false</trackRevisions>
    </reviewItem>
    <reviewItem>
      <errorID>1800c087-f7b5-42ce-93f3-e4c3e48d8f3b</errorID>
      <errorWord>)</errorWord>
      <group>L1_Format</group>
      <groupName>格式问题</groupName>
      <ability>L2_HalfPunc</ability>
      <abilityName>全半角检查</abilityName>
      <candidateList>
        <item>）</item>
      </candidateList>
      <explain>文本全半角错误。</explain>
      <paraID>39B9BBC7</paraID>
      <start>48</start>
      <end>49</end>
      <status>unmodified</status>
      <modifiedWord/>
      <trackRevisions>false</trackRevisions>
    </reviewItem>
    <reviewItem>
      <errorID>b821afdd-d95f-4141-9c97-d191cff7b14e</errorID>
      <errorWord>:</errorWord>
      <group>L1_Format</group>
      <groupName>格式问题</groupName>
      <ability>L2_HalfPunc</ability>
      <abilityName>全半角检查</abilityName>
      <candidateList>
        <item>：</item>
      </candidateList>
      <explain>文本全半角错误。</explain>
      <paraID>39B9BBC7</paraID>
      <start>88</start>
      <end>89</end>
      <status>unmodified</status>
      <modifiedWord/>
      <trackRevisions>false</trackRevisions>
    </reviewItem>
    <reviewItem>
      <errorID>45e1dbb1-2624-480b-a18b-c3a002c50584</errorID>
      <errorWord>.</errorWord>
      <group>L1_Format</group>
      <groupName>格式问题</groupName>
      <ability>L2_HalfPunc</ability>
      <abilityName>全半角检查</abilityName>
      <candidateList>
        <item>。</item>
      </candidateList>
      <explain>文本全半角错误。</explain>
      <paraID>39B9BBC7</paraID>
      <start>92</start>
      <end>93</end>
      <status>unmodified</status>
      <modifiedWord/>
      <trackRevisions>false</trackRevisions>
    </reviewItem>
    <reviewItem>
      <errorID>a8c5afc8-0427-4ee9-a4a1-ab464acce0c6</errorID>
      <errorWord>.</errorWord>
      <group>L1_Format</group>
      <groupName>格式问题</groupName>
      <ability>L2_HalfPunc</ability>
      <abilityName>全半角检查</abilityName>
      <candidateList>
        <item>。</item>
      </candidateList>
      <explain>文本全半角错误。</explain>
      <paraID>39B9BBC7</paraID>
      <start>109</start>
      <end>110</end>
      <status>unmodified</status>
      <modifiedWord/>
      <trackRevisions>false</trackRevisions>
    </reviewItem>
    <reviewItem>
      <errorID>3c0f3046-6088-41ab-a472-232ae914ec74</errorID>
      <errorWord>免费赠送</errorWord>
      <group>L1_Word</group>
      <groupName>字词问题</groupName>
      <ability>L2_Typo</ability>
      <abilityName>字词错误</abilityName>
      <candidateList>
        <item>赠送</item>
      </candidateList>
      <explain/>
      <paraID>3FB23BBB</paraID>
      <start>88</start>
      <end>92</end>
      <status>unmodified</status>
      <modifiedWord/>
      <trackRevisions>false</trackRevisions>
    </reviewItem>
    <reviewItem>
      <errorID>21733b67-cc2d-4805-8c28-783cff8a015c</errorID>
      <errorWord>,</errorWord>
      <group>L1_Format</group>
      <groupName>格式问题</groupName>
      <ability>L2_HalfPunc</ability>
      <abilityName>全半角检查</abilityName>
      <candidateList>
        <item>，</item>
      </candidateList>
      <explain>文本全半角错误。</explain>
      <paraID>53E28C38</paraID>
      <start>56</start>
      <end>57</end>
      <status>unmodified</status>
      <modifiedWord/>
      <trackRevisions>false</trackRevisions>
    </reviewItem>
    <reviewItem>
      <errorID>63a7ebbf-b085-4d67-ad86-0bf53f89c42e</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1EA5C20E</paraID>
      <start>0</start>
      <end>3</end>
      <status>unmodified</status>
      <modifiedWord/>
      <trackRevisions>false</trackRevisions>
    </reviewItem>
    <reviewItem>
      <errorID>99332553-1380-47c6-8d9c-278fe0d0da7a</errorID>
      <errorWord>，</errorWord>
      <group>L1_Word</group>
      <groupName>字词问题</groupName>
      <ability>L2_Typo</ability>
      <abilityName>字词错误</abilityName>
      <candidateList>
        <item>，在</item>
      </candidateList>
      <explain/>
      <paraID>2C37FC38</paraID>
      <start>14</start>
      <end>15</end>
      <status>unmodified</status>
      <modifiedWord/>
      <trackRevisions>false</trackRevisions>
    </reviewItem>
    <reviewItem>
      <errorID>f6aaf8b0-8697-40b6-a7f6-d7ea87ddea0f</errorID>
      <errorWord>,</errorWord>
      <group>L1_Format</group>
      <groupName>格式问题</groupName>
      <ability>L2_HalfPunc</ability>
      <abilityName>全半角检查</abilityName>
      <candidateList>
        <item>，</item>
      </candidateList>
      <explain>文本全半角错误。</explain>
      <paraID>6DA4A811</paraID>
      <start>22</start>
      <end>23</end>
      <status>unmodified</status>
      <modifiedWord/>
      <trackRevisions>false</trackRevisions>
    </reviewItem>
    <reviewItem>
      <errorID>cab807ff-fa00-42b3-aa3b-4cb045eb4b73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660C42D0</paraID>
      <start>0</start>
      <end>3</end>
      <status>unmodified</status>
      <modifiedWord/>
      <trackRevisions>false</trackRevisions>
    </reviewItem>
    <reviewItem>
      <errorID>a99b4522-7c16-440c-8fc6-497f39836dd9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5AE8FE98</paraID>
      <start>0</start>
      <end>3</end>
      <status>unmodified</status>
      <modifiedWord/>
      <trackRevisions>false</trackRevisions>
    </reviewItem>
    <reviewItem>
      <errorID>ee410421-47c0-41c5-8e35-389dfeb66da6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453064DB</paraID>
      <start>0</start>
      <end>3</end>
      <status>unmodified</status>
      <modifiedWord/>
      <trackRevisions>false</trackRevisions>
    </reviewItem>
    <reviewItem>
      <errorID>51f91b4a-e01a-4069-a9e2-2061a2fd4bd3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5B711E88</paraID>
      <start>0</start>
      <end>3</end>
      <status>unmodified</status>
      <modifiedWord/>
      <trackRevisions>false</trackRevisions>
    </reviewItem>
    <reviewItem>
      <errorID>ac443ea2-013e-408e-838e-a6454e19de71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73CB2A09</paraID>
      <start>0</start>
      <end>3</end>
      <status>unmodified</status>
      <modifiedWord/>
      <trackRevisions>false</trackRevisions>
    </reviewItem>
    <reviewItem>
      <errorID>0ad78df7-6383-4c1c-b607-7537d5f99335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322A9312</paraID>
      <start>0</start>
      <end>3</end>
      <status>unmodified</status>
      <modifiedWord/>
      <trackRevisions>false</trackRevisions>
    </reviewItem>
    <reviewItem>
      <errorID>5b734b95-a987-4900-bb82-92d704b97e41</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44CAF792</paraID>
      <start>7</start>
      <end>11</end>
      <status>unmodified</status>
      <modifiedWord/>
      <trackRevisions>false</trackRevisions>
    </reviewItem>
    <reviewItem>
      <errorID>5be8de0e-64b0-4dad-b750-fc19b0fe65b8</errorID>
      <errorWord>透漏</errorWord>
      <group>L1_Word</group>
      <groupName>字词问题</groupName>
      <ability>L2_Typo</ability>
      <abilityName>字词错误</abilityName>
      <candidateList>
        <item>透露</item>
      </candidateList>
      <explain>存在发音相同字词的误用。</explain>
      <paraID>14D4C5C3</paraID>
      <start>32</start>
      <end>34</end>
      <status>unmodified</status>
      <modifiedWord/>
      <trackRevisions>false</trackRevisions>
    </reviewItem>
    <reviewItem>
      <errorID>2e97d295-08b7-443e-9aa9-946a8fc2092d</errorID>
      <errorWord>透漏</errorWord>
      <group>L1_Word</group>
      <groupName>字词问题</groupName>
      <ability>L2_Typo</ability>
      <abilityName>字词错误</abilityName>
      <candidateList>
        <item>透露</item>
      </candidateList>
      <explain>存在发音相同字词的误用。</explain>
      <paraID>480EE5D4</paraID>
      <start>37</start>
      <end>39</end>
      <status>unmodified</status>
      <modifiedWord/>
      <trackRevisions>false</trackRevisions>
    </reviewItem>
    <reviewItem>
      <errorID>eca3afd4-87ae-428c-815b-33149233f6d9</errorID>
      <errorWord>,</errorWord>
      <group>L1_Format</group>
      <groupName>格式问题</groupName>
      <ability>L2_HalfPunc</ability>
      <abilityName>全半角检查</abilityName>
      <candidateList>
        <item>，</item>
      </candidateList>
      <explain>文本全半角错误。</explain>
      <paraID>619F45D8</paraID>
      <start>59</start>
      <end>60</end>
      <status>unmodified</status>
      <modifiedWord/>
      <trackRevisions>false</trackRevisions>
    </reviewItem>
    <reviewItem>
      <errorID>acd9f26e-bef0-41b4-b284-afc36291088d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60518F5A</paraID>
      <start>64</start>
      <end>65</end>
      <status>unmodified</status>
      <modifiedWord/>
      <trackRevisions>false</trackRevisions>
    </reviewItem>
    <reviewItem>
      <errorID>bde1a554-9683-4428-893b-84e72a6a7b80</errorID>
      <errorWord>法律、法规</errorWord>
      <group>L1_Word</group>
      <groupName>字词问题</groupName>
      <ability>L2_Typo</ability>
      <abilityName>字词错误</abilityName>
      <candidateList>
        <item>法律法规</item>
      </candidateList>
      <explain/>
      <paraID>5C638886</paraID>
      <start>25</start>
      <end>30</end>
      <status>unmodified</status>
      <modifiedWord/>
      <trackRevisions>false</trackRevisions>
    </reviewItem>
    <reviewItem>
      <errorID>bc2e2655-2c45-424a-afe1-d1347ebc94b9</errorID>
      <errorWord>提出质疑</errorWord>
      <group>L1_Grammar</group>
      <groupName>语法问题</groupName>
      <ability>L2_Grammar</ability>
      <abilityName>语法错误</abilityName>
      <candidateList>
        <item>质疑</item>
      </candidateList>
      <explain>〈动〉提出疑问：～问难。</explain>
      <paraID>7918B047</paraID>
      <start>73</start>
      <end>77</end>
      <status>unmodified</status>
      <modifiedWord/>
      <trackRevisions>false</trackRevisions>
    </reviewItem>
    <reviewItem>
      <errorID>701adf3e-fd6f-4cb4-a888-28c5abd47660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69D2704D</paraID>
      <start>0</start>
      <end>2</end>
      <status>unmodified</status>
      <modifiedWord/>
      <trackRevisions>false</trackRevisions>
    </reviewItem>
    <reviewItem>
      <errorID>0b2003c5-0b96-449b-b4e0-2ebc5ec21bcc</errorID>
      <errorWord>&gt;</errorWord>
      <group>L1_Format</group>
      <groupName>格式问题</groupName>
      <ability>L2_HalfPunc</ability>
      <abilityName>全半角检查</abilityName>
      <candidateList>
        <item>〉</item>
      </candidateList>
      <explain>文本全半角错误。</explain>
      <paraID>4A638BA9</paraID>
      <start>22</start>
      <end>23</end>
      <status>unmodified</status>
      <modifiedWord/>
      <trackRevisions>false</trackRevisions>
    </reviewItem>
    <reviewItem>
      <errorID>a1afb58b-2ba2-4bc9-a482-2a06b9dba1dd</errorID>
      <errorWord>&gt;</errorWord>
      <group>L1_Format</group>
      <groupName>格式问题</groupName>
      <ability>L2_HalfPunc</ability>
      <abilityName>全半角检查</abilityName>
      <candidateList>
        <item>〉</item>
      </candidateList>
      <explain>文本全半角错误。</explain>
      <paraID>4A638BA9</paraID>
      <start>27</start>
      <end>28</end>
      <status>unmodified</status>
      <modifiedWord/>
      <trackRevisions>false</trackRevisions>
    </reviewItem>
    <reviewItem>
      <errorID>5daf443e-8365-402d-a504-59b459c3db90</errorID>
      <errorWord>(</errorWord>
      <group>L1_Format</group>
      <groupName>格式问题</groupName>
      <ability>L2_HalfPunc</ability>
      <abilityName>全半角检查</abilityName>
      <candidateList>
        <item>（</item>
      </candidateList>
      <explain>文本全半角错误。</explain>
      <paraID>4A638BA9</paraID>
      <start>39</start>
      <end>40</end>
      <status>unmodified</status>
      <modifiedWord/>
      <trackRevisions>false</trackRevisions>
    </reviewItem>
    <reviewItem>
      <errorID>314e6f76-727e-422f-83c3-8a3fd81481d7</errorID>
      <errorWord>)</errorWord>
      <group>L1_Format</group>
      <groupName>格式问题</groupName>
      <ability>L2_HalfPunc</ability>
      <abilityName>全半角检查</abilityName>
      <candidateList>
        <item>）</item>
      </candidateList>
      <explain>文本全半角错误。</explain>
      <paraID>4A638BA9</paraID>
      <start>42</start>
      <end>43</end>
      <status>unmodified</status>
      <modifiedWord/>
      <trackRevisions>false</trackRevisions>
    </reviewItem>
    <reviewItem>
      <errorID>67729fcb-4ca5-42ce-a99d-09c28be4c505</errorID>
      <errorWord>其它</errorWord>
      <group>L1_Word</group>
      <groupName>字词问题</groupName>
      <ability>L2_Alias</ability>
      <abilityName>也作/曾用词</abilityName>
      <candidateList>
        <item>其他</item>
      </candidateList>
      <explain>词汇[其它]为不规范表述或旧称，其规范书面表述为[其他]。</explain>
      <paraID>40721524</paraID>
      <start>76</start>
      <end>78</end>
      <status>unmodified</status>
      <modifiedWord/>
      <trackRevisions>false</trackRevisions>
    </reviewItem>
    <reviewItem>
      <errorID>44e635e3-ce40-4651-ad9c-e06b785b0acd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5AEEEA7F</paraID>
      <start>0</start>
      <end>2</end>
      <status>unmodified</status>
      <modifiedWord/>
      <trackRevisions>false</trackRevisions>
    </reviewItem>
    <reviewItem>
      <errorID>17111672-50b2-4429-8116-d8201045995b</errorID>
      <errorWord>资格性</errorWord>
      <group>L1_Word</group>
      <groupName>字词问题</groupName>
      <ability>L2_Typo</ability>
      <abilityName>字词错误</abilityName>
      <candidateList>
        <item>资格</item>
      </candidateList>
      <explain/>
      <paraID> 24ECF41</paraID>
      <start>2</start>
      <end>5</end>
      <status>unmodified</status>
      <modifiedWord/>
      <trackRevisions>false</trackRevisions>
    </reviewItem>
    <reviewItem>
      <errorID>7d530bd2-3bf8-4a05-b177-cee845c7306b</errorID>
      <errorWord>:</errorWord>
      <group>L1_Format</group>
      <groupName>格式问题</groupName>
      <ability>L2_HalfPunc</ability>
      <abilityName>全半角检查</abilityName>
      <candidateList>
        <item>：</item>
      </candidateList>
      <explain>文本全半角错误。</explain>
      <paraID> 24ECF41</paraID>
      <start>7</start>
      <end>8</end>
      <status>unmodified</status>
      <modifiedWord/>
      <trackRevisions>false</trackRevisions>
    </reviewItem>
    <reviewItem>
      <errorID>63f8886d-4ae7-4244-8e3d-0ab1cd759256</errorID>
      <errorWord>(</errorWord>
      <group>L1_Format</group>
      <groupName>格式问题</groupName>
      <ability>L2_HalfPunc</ability>
      <abilityName>全半角检查</abilityName>
      <candidateList>
        <item>（</item>
      </candidateList>
      <explain>文本全半角错误。</explain>
      <paraID> C9F220B</paraID>
      <start>20</start>
      <end>21</end>
      <status>unmodified</status>
      <modifiedWord/>
      <trackRevisions>false</trackRevisions>
    </reviewItem>
    <reviewItem>
      <errorID>9797cb8c-5c13-4724-864f-eb981f49c02d</errorID>
      <errorWord>)</errorWord>
      <group>L1_Format</group>
      <groupName>格式问题</groupName>
      <ability>L2_HalfPunc</ability>
      <abilityName>全半角检查</abilityName>
      <candidateList>
        <item>）</item>
      </candidateList>
      <explain>文本全半角错误。</explain>
      <paraID> C9F220B</paraID>
      <start>43</start>
      <end>44</end>
      <status>unmodified</status>
      <modifiedWord/>
      <trackRevisions>false</trackRevisions>
    </reviewItem>
    <reviewItem>
      <errorID>01489ba6-8049-47d6-a46d-9020b75604c9</errorID>
      <errorWord>符合的</errorWord>
      <group>L1_Word</group>
      <groupName>字词问题</groupName>
      <ability>L2_Typo</ability>
      <abilityName>字词错误</abilityName>
      <candidateList>
        <item>符合</item>
      </candidateList>
      <explain>〈动〉（数量、形状、情节等）相合：～事实｜这些产品不～质量标准。</explain>
      <paraID>6A87C2C8</paraID>
      <start>4</start>
      <end>7</end>
      <status>unmodified</status>
      <modifiedWord/>
      <trackRevisions>false</trackRevisions>
    </reviewItem>
    <reviewItem>
      <errorID>391704cd-4690-440d-b439-7bdd9025e1b4</errorID>
      <errorWord>-</errorWord>
      <group>L1_Format</group>
      <groupName>格式问题</groupName>
      <ability>L2_HalfPunc</ability>
      <abilityName>全半角检查</abilityName>
      <candidateList>
        <item>－</item>
      </candidateList>
      <explain>文本全半角错误。</explain>
      <paraID> 58CF8D1</paraID>
      <start>19</start>
      <end>20</end>
      <status>unmodified</status>
      <modifiedWord/>
      <trackRevisions>false</trackRevisions>
    </reviewItem>
    <reviewItem>
      <errorID>13d2705b-02e2-477c-8ce3-52a05da577d6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6C52594A</paraID>
      <start>1</start>
      <end>4</end>
      <status>unmodified</status>
      <modifiedWord/>
      <trackRevisions>false</trackRevisions>
    </reviewItem>
    <reviewItem>
      <errorID>d1f20c9e-9dc3-47bf-b564-c3127a4811f9</errorID>
      <errorWord>提出质疑</errorWord>
      <group>L1_Grammar</group>
      <groupName>语法问题</groupName>
      <ability>L2_Grammar</ability>
      <abilityName>语法错误</abilityName>
      <candidateList>
        <item>质疑</item>
      </candidateList>
      <explain>〈动〉提出疑问：～问难。</explain>
      <paraID> BCF7B17</paraID>
      <start>27</start>
      <end>31</end>
      <status>unmodified</status>
      <modifiedWord/>
      <trackRevisions>false</trackRevisions>
    </reviewItem>
    <reviewItem>
      <errorID>6c19bf33-7457-4064-a945-c7549cc403b5</errorID>
      <errorWord>一步</errorWord>
      <group>L1_Knowledge</group>
      <groupName>知识性问题</groupName>
      <ability>L2_Knowledge</ability>
      <abilityName>其他知识</abilityName>
      <candidateList>
        <item>一道</item>
      </candidateList>
      <explain>（～儿）〈副〉一同；一路❸：～走｜～工作。</explain>
      <paraID> 38A954C</paraID>
      <start>18</start>
      <end>20</end>
      <status>unmodified</status>
      <modifiedWord/>
      <trackRevisions>false</trackRevisions>
    </reviewItem>
    <reviewItem>
      <errorID>6c531535-9616-4321-9ee6-d8839731491f</errorID>
      <errorWord>,</errorWord>
      <group>L1_Format</group>
      <groupName>格式问题</groupName>
      <ability>L2_HalfPunc</ability>
      <abilityName>全半角检查</abilityName>
      <candidateList>
        <item>，</item>
      </candidateList>
      <explain>文本全半角错误。</explain>
      <paraID>414E14D9</paraID>
      <start>17</start>
      <end>18</end>
      <status>unmodified</status>
      <modifiedWord/>
      <trackRevisions>false</trackRevisions>
    </reviewItem>
    <reviewItem>
      <errorID>0e70e642-870a-4c7f-9602-d6c2e6671a1d</errorID>
      <errorWord>&gt;</errorWord>
      <group>L1_Format</group>
      <groupName>格式问题</groupName>
      <ability>L2_HalfPunc</ability>
      <abilityName>全半角检查</abilityName>
      <candidateList>
        <item>〉</item>
      </candidateList>
      <explain>文本全半角错误。</explain>
      <paraID>6DD91EAE</paraID>
      <start>71</start>
      <end>72</end>
      <status>unmodified</status>
      <modifiedWord/>
      <trackRevisions>false</trackRevisions>
    </reviewItem>
    <reviewItem>
      <errorID>f5659547-8dbd-4b34-9a8e-30a09b7338b1</errorID>
      <errorWord>&gt;</errorWord>
      <group>L1_Format</group>
      <groupName>格式问题</groupName>
      <ability>L2_HalfPunc</ability>
      <abilityName>全半角检查</abilityName>
      <candidateList>
        <item>〉</item>
      </candidateList>
      <explain>文本全半角错误。</explain>
      <paraID>6DD91EAE</paraID>
      <start>76</start>
      <end>77</end>
      <status>unmodified</status>
      <modifiedWord/>
      <trackRevisions>false</trackRevisions>
    </reviewItem>
    <reviewItem>
      <errorID>082f16fa-c63d-4501-afc1-ac51348fc92a</errorID>
      <errorWord>(</errorWord>
      <group>L1_Format</group>
      <groupName>格式问题</groupName>
      <ability>L2_HalfPunc</ability>
      <abilityName>全半角检查</abilityName>
      <candidateList>
        <item>（</item>
      </candidateList>
      <explain>文本全半角错误。</explain>
      <paraID>6DD91EAE</paraID>
      <start>88</start>
      <end>89</end>
      <status>unmodified</status>
      <modifiedWord/>
      <trackRevisions>false</trackRevisions>
    </reviewItem>
    <reviewItem>
      <errorID>8549758c-a5a8-4e82-aae0-a1701bfaa5c9</errorID>
      <errorWord>)</errorWord>
      <group>L1_Format</group>
      <groupName>格式问题</groupName>
      <ability>L2_HalfPunc</ability>
      <abilityName>全半角检查</abilityName>
      <candidateList>
        <item>）</item>
      </candidateList>
      <explain>文本全半角错误。</explain>
      <paraID>6DD91EAE</paraID>
      <start>91</start>
      <end>92</end>
      <status>unmodified</status>
      <modifiedWord/>
      <trackRevisions>false</trackRevisions>
    </reviewItem>
    <reviewItem>
      <errorID>66c70a42-267e-4d61-803e-c48f6a5b0d46</errorID>
      <errorWord>应对</errorWord>
      <group>L1_Word</group>
      <groupName>字词问题</groupName>
      <ability>L2_Typo</ability>
      <abilityName>字词错误</abilityName>
      <candidateList>
        <item>对</item>
      </candidateList>
      <explain>（對）duì❶回答：～答｜无言以～。❷〈动〉对待；对付：～事不～人｜～症下药｜刀～刀，枪～枪。❸〈动〉朝着；向着（常跟“着”）：～着镜子理理头发｜枪口～着敌人。❹二者相对；彼此相向：～调｜～流｜～立｜～抗。❺对面的；敌对的：～岸｜～方｜～手｜作～。❻〈动〉使两个东西配合或接触：～对子｜把门～上｜～个火儿。</explain>
      <paraID>4C23F428</paraID>
      <start>37</start>
      <end>39</end>
      <status>unmodified</status>
      <modifiedWord/>
      <trackRevisions>false</trackRevisions>
    </reviewItem>
    <reviewItem>
      <errorID>d6053eba-2710-4a8b-969b-dd0eba2112e7</errorID>
      <errorWord>晰</errorWord>
      <group>L1_Word</group>
      <groupName>字词问题</groupName>
      <ability>L2_Typo</ability>
      <abilityName>字词错误</abilityName>
      <candidateList>
        <item>晰地</item>
      </candidateList>
      <explain/>
      <paraID>5F0F71A5</paraID>
      <start>24</start>
      <end>25</end>
      <status>unmodified</status>
      <modifiedWord/>
      <trackRevisions>false</trackRevisions>
    </reviewItem>
    <reviewItem>
      <errorID>9ca33d5b-3f12-4334-b21e-48046521e95b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35102F1C</paraID>
      <start>0</start>
      <end>2</end>
      <status>unmodified</status>
      <modifiedWord/>
      <trackRevisions>false</trackRevisions>
    </reviewItem>
    <reviewItem>
      <errorID>d40817dc-0d03-46de-8b60-2c3017129f22</errorID>
      <errorWord>详实</errorWord>
      <group>L1_Word</group>
      <groupName>字词问题</groupName>
      <ability>L2_Typo</ability>
      <abilityName>字词错误</abilityName>
      <candidateList>
        <item>翔实</item>
      </candidateList>
      <explain/>
      <paraID>20FAD6E2</paraID>
      <start>46</start>
      <end>48</end>
      <status>unmodified</status>
      <modifiedWord/>
      <trackRevisions>false</trackRevisions>
    </reviewItem>
    <reviewItem>
      <errorID>a290f17b-6113-4a45-bab5-0a9c6a87bbea</errorID>
      <errorWord>、及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1CE57DD6</paraID>
      <start>71</start>
      <end>73</end>
      <status>unmodified</status>
      <modifiedWord/>
      <trackRevisions>false</trackRevisions>
    </reviewItem>
    <reviewItem>
      <errorID>2fc11b7a-ad2e-49e6-83ac-e0f7f07c7061</errorID>
      <errorWord>(</errorWord>
      <group>L1_Format</group>
      <groupName>格式问题</groupName>
      <ability>L2_HalfPunc</ability>
      <abilityName>全半角检查</abilityName>
      <candidateList>
        <item>（</item>
      </candidateList>
      <explain>文本全半角错误。</explain>
      <paraID> 8EA652B</paraID>
      <start>28</start>
      <end>29</end>
      <status>unmodified</status>
      <modifiedWord/>
      <trackRevisions>false</trackRevisions>
    </reviewItem>
    <reviewItem>
      <errorID>ff50c077-3019-45e4-b220-84ab41cf613d</errorID>
      <errorWord>)</errorWord>
      <group>L1_Format</group>
      <groupName>格式问题</groupName>
      <ability>L2_HalfPunc</ability>
      <abilityName>全半角检查</abilityName>
      <candidateList>
        <item>）</item>
      </candidateList>
      <explain>文本全半角错误。</explain>
      <paraID> 8EA652B</paraID>
      <start>31</start>
      <end>32</end>
      <status>unmodified</status>
      <modifiedWord/>
      <trackRevisions>false</trackRevisions>
    </reviewItem>
    <reviewItem>
      <errorID>6c9913db-b7ce-4f50-93f0-6fe722a77fc7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26A3FA4</paraID>
      <start>0</start>
      <end>2</end>
      <status>unmodified</status>
      <modifiedWord/>
      <trackRevisions>false</trackRevisions>
    </reviewItem>
    <reviewItem>
      <errorID>e6f71783-aa23-4d66-8e42-2f5f215573e2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4FB38A30</paraID>
      <start>0</start>
      <end>2</end>
      <status>unmodified</status>
      <modifiedWord/>
      <trackRevisions>false</trackRevisions>
    </reviewItem>
    <reviewItem>
      <errorID>627d2b8c-a4c0-460d-a08e-fc07ed398c1c</errorID>
      <errorWord>,</errorWord>
      <group>L1_Format</group>
      <groupName>格式问题</groupName>
      <ability>L2_HalfPunc</ability>
      <abilityName>全半角检查</abilityName>
      <candidateList>
        <item>，</item>
      </candidateList>
      <explain>文本全半角错误。</explain>
      <paraID>52539C10</paraID>
      <start>15</start>
      <end>16</end>
      <status>unmodified</status>
      <modifiedWord/>
      <trackRevisions>false</trackRevisions>
    </reviewItem>
    <reviewItem>
      <errorID>db26194e-d8ff-4125-aa03-2aa81db526f0</errorID>
      <errorWord>:</errorWord>
      <group>L1_Format</group>
      <groupName>格式问题</groupName>
      <ability>L2_HalfPunc</ability>
      <abilityName>全半角检查</abilityName>
      <candidateList>
        <item>：</item>
      </candidateList>
      <explain>文本全半角错误。</explain>
      <paraID>52539C10</paraID>
      <start>23</start>
      <end>24</end>
      <status>unmodified</status>
      <modifiedWord/>
      <trackRevisions>false</trackRevisions>
    </reviewItem>
    <reviewItem>
      <errorID>8f8bceb6-e1d7-4dba-b54f-22a2e888942d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3DB89858</paraID>
      <start>0</start>
      <end>3</end>
      <status>unmodified</status>
      <modifiedWord/>
      <trackRevisions>false</trackRevisions>
    </reviewItem>
    <reviewItem>
      <errorID>f9e726e0-07d4-4dc3-960a-ce2715b93238</errorID>
      <errorWord>,</errorWord>
      <group>L1_Format</group>
      <groupName>格式问题</groupName>
      <ability>L2_HalfPunc</ability>
      <abilityName>全半角检查</abilityName>
      <candidateList>
        <item>，</item>
      </candidateList>
      <explain>文本全半角错误。</explain>
      <paraID>1B288997</paraID>
      <start>15</start>
      <end>16</end>
      <status>unmodified</status>
      <modifiedWord/>
      <trackRevisions>false</trackRevisions>
    </reviewItem>
    <reviewItem>
      <errorID>b6b329b0-ee52-40e4-80cd-d4d660a9f405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51D08EB6</paraID>
      <start>0</start>
      <end>3</end>
      <status>unmodified</status>
      <modifiedWord/>
      <trackRevisions>false</trackRevisions>
    </reviewItem>
    <reviewItem>
      <errorID>fdfe9f03-0aa3-4fef-b260-e627ef433616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629F8374</paraID>
      <start>0</start>
      <end>3</end>
      <status>unmodified</status>
      <modifiedWord/>
      <trackRevisions>false</trackRevisions>
    </reviewItem>
    <reviewItem>
      <errorID>0e8c1931-8fa4-4651-b09e-682e3c477ab0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149EF601</paraID>
      <start>0</start>
      <end>3</end>
      <status>unmodified</status>
      <modifiedWord/>
      <trackRevisions>false</trackRevisions>
    </reviewItem>
    <reviewItem>
      <errorID>ddefe144-ec68-42bb-8025-fa2d2c2ab7e7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2D9119DB</paraID>
      <start>0</start>
      <end>3</end>
      <status>unmodified</status>
      <modifiedWord/>
      <trackRevisions>false</trackRevisions>
    </reviewItem>
    <reviewItem>
      <errorID>98878d15-0d36-4659-bde9-26e3eedf81da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EFD1C00</paraID>
      <start>0</start>
      <end>3</end>
      <status>unmodified</status>
      <modifiedWord/>
      <trackRevisions>false</trackRevisions>
    </reviewItem>
    <reviewItem>
      <errorID>432d7227-0b69-43bb-9058-b4b9f1e4a127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4D46EF21</paraID>
      <start>0</start>
      <end>3</end>
      <status>unmodified</status>
      <modifiedWord/>
      <trackRevisions>false</trackRevisions>
    </reviewItem>
    <reviewItem>
      <errorID>de71902a-c44d-4527-9184-0eb181b1dcfa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4BE821A4</paraID>
      <start>0</start>
      <end>3</end>
      <status>unmodified</status>
      <modifiedWord/>
      <trackRevisions>false</trackRevisions>
    </reviewItem>
    <reviewItem>
      <errorID>5fb620a2-3b39-4a9c-8073-bc32c3d00ec6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973073A</paraID>
      <start>0</start>
      <end>3</end>
      <status>unmodified</status>
      <modifiedWord/>
      <trackRevisions>false</trackRevisions>
    </reviewItem>
    <reviewItem>
      <errorID>9fb962c9-31c8-49e8-b3e1-14379e9eb761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14D32DA5</paraID>
      <start>0</start>
      <end>3</end>
      <status>unmodified</status>
      <modifiedWord/>
      <trackRevisions>false</trackRevisions>
    </reviewItem>
    <reviewItem>
      <errorID>7c55d004-5063-4f41-9398-fab33498f128</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4009FD6E</paraID>
      <start>0</start>
      <end>4</end>
      <status>unmodified</status>
      <modifiedWord/>
      <trackRevisions>false</trackRevisions>
    </reviewItem>
    <reviewItem>
      <errorID>6cd488bb-2022-4bbc-b83a-241e598372e3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D4CA10D</paraID>
      <start>0</start>
      <end>4</end>
      <status>unmodified</status>
      <modifiedWord/>
      <trackRevisions>false</trackRevisions>
    </reviewItem>
    <reviewItem>
      <errorID>fbfaaa04-8d9a-4947-a649-ed650804b4f6</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23283FAE</paraID>
      <start>0</start>
      <end>4</end>
      <status>unmodified</status>
      <modifiedWord/>
      <trackRevisions>false</trackRevisions>
    </reviewItem>
    <reviewItem>
      <errorID>92230c56-7ca0-4555-833b-3d759b0f6cb0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6670241A</paraID>
      <start>0</start>
      <end>4</end>
      <status>unmodified</status>
      <modifiedWord/>
      <trackRevisions>false</trackRevisions>
    </reviewItem>
    <reviewItem>
      <errorID>8994b46c-bb84-4f81-8cb9-e9e9a89e6e19</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1FF03626</paraID>
      <start>0</start>
      <end>4</end>
      <status>unmodified</status>
      <modifiedWord/>
      <trackRevisions>false</trackRevisions>
    </reviewItem>
    <reviewItem>
      <errorID>ef1b3e1d-a771-4d4c-a1eb-0fda34952257</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1FF03626</paraID>
      <start>4</start>
      <end>8</end>
      <status>unmodified</status>
      <modifiedWord/>
      <trackRevisions>false</trackRevisions>
    </reviewItem>
    <reviewItem>
      <errorID>8de6ccb5-9b76-49c5-87c5-e22dc8e4c119</errorID>
      <errorWord>委员会委</errorWord>
      <group>L1_Word</group>
      <groupName>字词问题</groupName>
      <ability>L2_Typo</ability>
      <abilityName>字词错误</abilityName>
      <candidateList>
        <item>委员会</item>
      </candidateList>
      <explain/>
      <paraID>1FF03626</paraID>
      <start>12</start>
      <end>16</end>
      <status>unmodified</status>
      <modifiedWord/>
      <trackRevisions>false</trackRevisions>
    </reviewItem>
    <reviewItem>
      <errorID>114ea545-e684-420f-91ec-f7e52775b67c</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1142FEC8</paraID>
      <start>0</start>
      <end>4</end>
      <status>unmodified</status>
      <modifiedWord/>
      <trackRevisions>false</trackRevisions>
    </reviewItem>
    <reviewItem>
      <errorID>2d2130de-50ae-436e-a9f1-714c819701b9</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3880FE8B</paraID>
      <start>0</start>
      <end>4</end>
      <status>unmodified</status>
      <modifiedWord/>
      <trackRevisions>false</trackRevisions>
    </reviewItem>
    <reviewItem>
      <errorID>e4456bbb-351e-4653-9715-d0a25c037c53</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2F9C7556</paraID>
      <start>0</start>
      <end>4</end>
      <status>unmodified</status>
      <modifiedWord/>
      <trackRevisions>false</trackRevisions>
    </reviewItem>
    <reviewItem>
      <errorID>e0b3511a-08eb-489f-a70d-355b7eeb9941</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2F9C7556</paraID>
      <start>11</start>
      <end>15</end>
      <status>unmodified</status>
      <modifiedWord/>
      <trackRevisions>false</trackRevisions>
    </reviewItem>
    <reviewItem>
      <errorID>7026bd44-c82a-47a8-bfa1-a0bc94f4701d</errorID>
      <errorWord>,</errorWord>
      <group>L1_Format</group>
      <groupName>格式问题</groupName>
      <ability>L2_HalfPunc</ability>
      <abilityName>全半角检查</abilityName>
      <candidateList>
        <item>，</item>
      </candidateList>
      <explain>文本全半角错误。</explain>
      <paraID>504E86B7</paraID>
      <start>16</start>
      <end>17</end>
      <status>unmodified</status>
      <modifiedWord/>
      <trackRevisions>false</trackRevisions>
    </reviewItem>
    <reviewItem>
      <errorID>8e7e20c5-6618-4180-8f32-0a4ad19e244b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70996AB7</paraID>
      <start>0</start>
      <end>3</end>
      <status>unmodified</status>
      <modifiedWord/>
      <trackRevisions>false</trackRevisions>
    </reviewItem>
    <reviewItem>
      <errorID>7cf39b3e-2da2-4071-ad47-1d0e6d1ed470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1C2B0FF7</paraID>
      <start>0</start>
      <end>3</end>
      <status>unmodified</status>
      <modifiedWord/>
      <trackRevisions>false</trackRevisions>
    </reviewItem>
    <reviewItem>
      <errorID>46deedf5-1c56-41e6-b44f-6faf73eb3ec8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522FED92</paraID>
      <start>0</start>
      <end>3</end>
      <status>unmodified</status>
      <modifiedWord/>
      <trackRevisions>false</trackRevisions>
    </reviewItem>
    <reviewItem>
      <errorID>18ea6744-8f4a-4f02-8562-ed90ee3a75c0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4B9B6FEE</paraID>
      <start>0</start>
      <end>3</end>
      <status>unmodified</status>
      <modifiedWord/>
      <trackRevisions>false</trackRevisions>
    </reviewItem>
    <reviewItem>
      <errorID>a72cd39e-9b86-4883-8aa7-139a177c206d</errorID>
      <errorWord>;</errorWord>
      <group>L1_Format</group>
      <groupName>格式问题</groupName>
      <ability>L2_HalfPunc</ability>
      <abilityName>全半角检查</abilityName>
      <candidateList>
        <item>；</item>
      </candidateList>
      <explain>文本全半角错误。</explain>
      <paraID>4B9B6FEE</paraID>
      <start>27</start>
      <end>28</end>
      <status>unmodified</status>
      <modifiedWord/>
      <trackRevisions>false</trackRevisions>
    </reviewItem>
    <reviewItem>
      <errorID>1f6e6cbd-08a7-464d-9331-37e3d306d65c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4AFF2E55</paraID>
      <start>0</start>
      <end>3</end>
      <status>unmodified</status>
      <modifiedWord/>
      <trackRevisions>false</trackRevisions>
    </reviewItem>
    <reviewItem>
      <errorID>8c0397c1-972d-49a3-882c-04b630f5415f</errorID>
      <errorWord>预算的</errorWord>
      <group>L1_Word</group>
      <groupName>字词问题</groupName>
      <ability>L2_Typo</ability>
      <abilityName>字词错误</abilityName>
      <candidateList>
        <item>预算</item>
      </candidateList>
      <explain/>
      <paraID>4AFF2E55</paraID>
      <start>22</start>
      <end>25</end>
      <status>unmodified</status>
      <modifiedWord/>
      <trackRevisions>false</trackRevisions>
    </reviewItem>
    <reviewItem>
      <errorID>e789947f-c94b-4ce0-a83d-dbe25b07ccef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14D8709E</paraID>
      <start>0</start>
      <end>3</end>
      <status>unmodified</status>
      <modifiedWord/>
      <trackRevisions>false</trackRevisions>
    </reviewItem>
    <reviewItem>
      <errorID>bcc64a7e-88b4-40a7-98ad-ce6dee2f86f1</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7986B156</paraID>
      <start>3</start>
      <end>7</end>
      <status>unmodified</status>
      <modifiedWord/>
      <trackRevisions>false</trackRevisions>
    </reviewItem>
    <reviewItem>
      <errorID>b0406670-51cc-4f2f-a446-5cc7e10e2e8d</errorID>
      <errorWord>委员会委</errorWord>
      <group>L1_Word</group>
      <groupName>字词问题</groupName>
      <ability>L2_Typo</ability>
      <abilityName>字词错误</abilityName>
      <candidateList>
        <item>委员会</item>
      </candidateList>
      <explain/>
      <paraID>7986B156</paraID>
      <start>11</start>
      <end>15</end>
      <status>unmodified</status>
      <modifiedWord/>
      <trackRevisions>false</trackRevisions>
    </reviewItem>
    <reviewItem>
      <errorID>8d37d92a-cdf3-4ca7-b884-15435c57ac4b</errorID>
      <errorWord>;</errorWord>
      <group>L1_Format</group>
      <groupName>格式问题</groupName>
      <ability>L2_HalfPunc</ability>
      <abilityName>全半角检查</abilityName>
      <candidateList>
        <item>；</item>
      </candidateList>
      <explain>文本全半角错误。</explain>
      <paraID>1CB27C3C</paraID>
      <start>22</start>
      <end>23</end>
      <status>unmodified</status>
      <modifiedWord/>
      <trackRevisions>false</trackRevisions>
    </reviewItem>
    <reviewItem>
      <errorID>68a9b891-f3bc-4daa-986f-f5aa7a280ea8</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5625C5CE</paraID>
      <start>10</start>
      <end>14</end>
      <status>unmodified</status>
      <modifiedWord/>
      <trackRevisions>false</trackRevisions>
    </reviewItem>
    <reviewItem>
      <errorID>6fec6229-b8db-4f06-a73c-4e5b8590d38b</errorID>
      <errorWord>,</errorWord>
      <group>L1_Format</group>
      <groupName>格式问题</groupName>
      <ability>L2_HalfPunc</ability>
      <abilityName>全半角检查</abilityName>
      <candidateList>
        <item>，</item>
      </candidateList>
      <explain>文本全半角错误。</explain>
      <paraID>48F26B77</paraID>
      <start>15</start>
      <end>16</end>
      <status>unmodified</status>
      <modifiedWord/>
      <trackRevisions>false</trackRevisions>
    </reviewItem>
    <reviewItem>
      <errorID>1924bc2e-c942-451f-b175-6ee1eb4276e9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6B3F3F1B</paraID>
      <start>0</start>
      <end>3</end>
      <status>unmodified</status>
      <modifiedWord/>
      <trackRevisions>false</trackRevisions>
    </reviewItem>
    <reviewItem>
      <errorID>63b877ab-2548-49ec-960c-a2b70c6fe825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15CA1160</paraID>
      <start>0</start>
      <end>3</end>
      <status>unmodified</status>
      <modifiedWord/>
      <trackRevisions>false</trackRevisions>
    </reviewItem>
    <reviewItem>
      <errorID>1af0abc1-9265-40db-a945-46dfbe35e9d5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406ADF6</paraID>
      <start>0</start>
      <end>3</end>
      <status>unmodified</status>
      <modifiedWord/>
      <trackRevisions>false</trackRevisions>
    </reviewItem>
    <reviewItem>
      <errorID>f8f3c264-9621-4c3c-84b6-0c7435529599</errorID>
      <errorWord>法律、法规</errorWord>
      <group>L1_Word</group>
      <groupName>字词问题</groupName>
      <ability>L2_Typo</ability>
      <abilityName>字词错误</abilityName>
      <candidateList>
        <item>法律法规</item>
      </candidateList>
      <explain/>
      <paraID> 406ADF6</paraID>
      <start>13</start>
      <end>18</end>
      <status>unmodified</status>
      <modifiedWord/>
      <trackRevisions>false</trackRevisions>
    </reviewItem>
    <reviewItem>
      <errorID>381865d1-2598-47a1-8813-08e3f4f36482</errorID>
      <errorWord>其它情形</errorWord>
      <group>L1_Word</group>
      <groupName>字词问题</groupName>
      <ability>L2_Alias</ability>
      <abilityName>也作/曾用词</abilityName>
      <candidateList>
        <item>其他情形</item>
      </candidateList>
      <explain>词汇[其它情形]为不规范表述或旧称，其规范书面表述为[其他情形]。</explain>
      <paraID>38BC2E2B</paraID>
      <start>3</start>
      <end>7</end>
      <status>unmodified</status>
      <modifiedWord/>
      <trackRevisions>false</trackRevisions>
    </reviewItem>
    <reviewItem>
      <errorID>58ffb061-7522-400a-8778-48c4e4b7dad3</errorID>
      <errorWord>委员会委</errorWord>
      <group>L1_Word</group>
      <groupName>字词问题</groupName>
      <ability>L2_Typo</ability>
      <abilityName>字词错误</abilityName>
      <candidateList>
        <item>委员会</item>
      </candidateList>
      <explain/>
      <paraID>38BC2E2B</paraID>
      <start>11</start>
      <end>15</end>
      <status>unmodified</status>
      <modifiedWord/>
      <trackRevisions>false</trackRevisions>
    </reviewItem>
    <reviewItem>
      <errorID>b62c63df-8fc7-41a3-86e9-0966591f7afc</errorID>
      <errorWord>其它无效</errorWord>
      <group>L1_Word</group>
      <groupName>字词问题</groupName>
      <ability>L2_Alias</ability>
      <abilityName>也作/曾用词</abilityName>
      <candidateList>
        <item>其他无效</item>
      </candidateList>
      <explain>词汇[其它无效]为不规范表述或旧称，其规范书面表述为[其他无效]。</explain>
      <paraID>35311766</paraID>
      <start>10</start>
      <end>14</end>
      <status>unmodified</status>
      <modifiedWord/>
      <trackRevisions>false</trackRevisions>
    </reviewItem>
    <reviewItem>
      <errorID>24a3dd65-21ab-4347-ae69-67b608277924</errorID>
      <errorWord>平</errorWord>
      <group>L1_Word</group>
      <groupName>字词问题</groupName>
      <ability>L2_Typo</ability>
      <abilityName>字词错误</abilityName>
      <candidateList>
        <item>平方</item>
      </candidateList>
      <explain/>
      <paraID>527181B4</paraID>
      <start>138</start>
      <end>139</end>
      <status>unmodified</status>
      <modifiedWord/>
      <trackRevisions>false</trackRevisions>
    </reviewItem>
    <reviewItem>
      <errorID>f0503628-7f80-4b62-bd12-f2058c39e072</errorID>
      <errorWord>须</errorWord>
      <group>L1_Word</group>
      <groupName>字词问题</groupName>
      <ability>L2_Typo</ability>
      <abilityName>字词错误</abilityName>
      <candidateList>
        <item>需</item>
      </candidateList>
      <explain>❶〈动〉需要：～求｜按～分配｜完成任务还～五天时间。❷需用的东西：军～。</explain>
      <paraID> 7E5CCCD</paraID>
      <start>87</start>
      <end>88</end>
      <status>unmodified</status>
      <modifiedWord/>
      <trackRevisions>false</trackRevisions>
    </reviewItem>
    <reviewItem>
      <errorID>5b625c27-b7f3-429c-9a02-b8fb573f1654</errorID>
      <errorWord>；</errorWord>
      <group>L1_Word</group>
      <groupName>字词问题</groupName>
      <ability>L2_Typo</ability>
      <abilityName>字词错误</abilityName>
      <candidateList>
        <item>；其</item>
      </candidateList>
      <explain/>
      <paraID>345D90D9</paraID>
      <start>125</start>
      <end>126</end>
      <status>unmodified</status>
      <modifiedWord/>
      <trackRevisions>false</trackRevisions>
    </reviewItem>
    <reviewItem>
      <errorID>67f5e8ea-e2dd-465a-9e32-70eb03ebf69b</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DB341A6</paraID>
      <start>13</start>
      <end>16</end>
      <status>unmodified</status>
      <modifiedWord/>
      <trackRevisions>false</trackRevisions>
    </reviewItem>
    <reviewItem>
      <errorID>b486cf26-b90d-4566-a6a4-002d345901bd</errorID>
      <errorWord>个文件</errorWord>
      <group>L1_Knowledge</group>
      <groupName>知识性问题</groupName>
      <ability>L2_Knowledge</ability>
      <abilityName>其他知识</abilityName>
      <candidateList>
        <item>份文件</item>
      </candidateList>
      <explain/>
      <paraID>686DE145</paraID>
      <start>77</start>
      <end>80</end>
      <status>unmodified</status>
      <modifiedWord/>
      <trackRevisions>false</trackRevisions>
    </reviewItem>
    <reviewItem>
      <errorID>c231bef6-59f3-4bfb-8f73-ccb2b0d3bf02</errorID>
      <errorWord>适用</errorWord>
      <group>L1_Word</group>
      <groupName>字词问题</groupName>
      <ability>L2_Typo</ability>
      <abilityName>字词错误</abilityName>
      <candidateList>
        <item>使用</item>
      </candidateList>
      <explain>〈动〉使人员、器物、资金等为某种目的服务：～干部｜合理～资金。</explain>
      <paraID>686DE145</paraID>
      <start>83</start>
      <end>85</end>
      <status>unmodified</status>
      <modifiedWord/>
      <trackRevisions>false</trackRevisions>
    </reviewItem>
    <reviewItem>
      <errorID>1ae3ebc4-f119-494b-b676-75d74673ca2a</errorID>
      <errorWord>依</errorWord>
      <group>L1_Word</group>
      <groupName>字词问题</groupName>
      <ability>L2_Typo</ability>
      <abilityName>字词错误</abilityName>
      <candidateList>
        <item>依据</item>
      </candidateList>
      <explain/>
      <paraID>1B16E089</paraID>
      <start>29</start>
      <end>30</end>
      <status>unmodified</status>
      <modifiedWord/>
      <trackRevisions>false</trackRevisions>
    </reviewItem>
    <reviewItem>
      <errorID>36452ea6-d959-4e57-8f0e-974d23f418a9</errorID>
      <errorWord>(</errorWord>
      <group>L1_Format</group>
      <groupName>格式问题</groupName>
      <ability>L2_HalfPunc</ability>
      <abilityName>全半角检查</abilityName>
      <candidateList>
        <item>（</item>
      </candidateList>
      <explain>文本全半角错误。</explain>
      <paraID>4B3E4A23</paraID>
      <start>31</start>
      <end>32</end>
      <status>unmodified</status>
      <modifiedWord/>
      <trackRevisions>false</trackRevisions>
    </reviewItem>
    <reviewItem>
      <errorID>8f6f7eab-1c05-4d61-8e47-0fcf2fb39f81</errorID>
      <errorWord>)</errorWord>
      <group>L1_Format</group>
      <groupName>格式问题</groupName>
      <ability>L2_HalfPunc</ability>
      <abilityName>全半角检查</abilityName>
      <candidateList>
        <item>）</item>
      </candidateList>
      <explain>文本全半角错误。</explain>
      <paraID>4B3E4A23</paraID>
      <start>37</start>
      <end>38</end>
      <status>unmodified</status>
      <modifiedWord/>
      <trackRevisions>false</trackRevisions>
    </reviewItem>
    <reviewItem>
      <errorID>a6db61a9-b8d6-477e-a420-4eff6ba7d9f4</errorID>
      <errorWord>(</errorWord>
      <group>L1_Format</group>
      <groupName>格式问题</groupName>
      <ability>L2_HalfPunc</ability>
      <abilityName>全半角检查</abilityName>
      <candidateList>
        <item>（</item>
      </candidateList>
      <explain>文本全半角错误。</explain>
      <paraID>4B3E4A23</paraID>
      <start>47</start>
      <end>48</end>
      <status>unmodified</status>
      <modifiedWord/>
      <trackRevisions>false</trackRevisions>
    </reviewItem>
    <reviewItem>
      <errorID>bc9ff877-9d4e-4f5d-a277-8d0688b5c10b</errorID>
      <errorWord>)</errorWord>
      <group>L1_Format</group>
      <groupName>格式问题</groupName>
      <ability>L2_HalfPunc</ability>
      <abilityName>全半角检查</abilityName>
      <candidateList>
        <item>）</item>
      </candidateList>
      <explain>文本全半角错误。</explain>
      <paraID>4B3E4A23</paraID>
      <start>57</start>
      <end>58</end>
      <status>unmodified</status>
      <modifiedWord/>
      <trackRevisions>false</trackRevisions>
    </reviewItem>
    <reviewItem>
      <errorID>d87f37b3-5b48-4f3a-af34-10279642ec0d</errorID>
      <errorWord>(</errorWord>
      <group>L1_Format</group>
      <groupName>格式问题</groupName>
      <ability>L2_HalfPunc</ability>
      <abilityName>全半角检查</abilityName>
      <candidateList>
        <item>（</item>
      </candidateList>
      <explain>文本全半角错误。</explain>
      <paraID>337272C4</paraID>
      <start>91</start>
      <end>92</end>
      <status>unmodified</status>
      <modifiedWord/>
      <trackRevisions>false</trackRevisions>
    </reviewItem>
    <reviewItem>
      <errorID>8d65f34a-6c0b-401c-adde-9466cfbdea93</errorID>
      <errorWord>，</errorWord>
      <group>L1_Word</group>
      <groupName>字词问题</groupName>
      <ability>L2_Typo</ability>
      <abilityName>字词错误</abilityName>
      <candidateList>
        <item>，具</item>
      </candidateList>
      <explain/>
      <paraID>7DF11B30</paraID>
      <start>91</start>
      <end>92</end>
      <status>unmodified</status>
      <modifiedWord/>
      <trackRevisions>false</trackRevisions>
    </reviewItem>
    <reviewItem>
      <errorID>a0550d99-bd3c-496a-af37-441edc849108</errorID>
      <errorWord>;</errorWord>
      <group>L1_Format</group>
      <groupName>格式问题</groupName>
      <ability>L2_HalfPunc</ability>
      <abilityName>全半角检查</abilityName>
      <candidateList>
        <item>；</item>
      </candidateList>
      <explain>文本全半角错误。</explain>
      <paraID>250E28A3</paraID>
      <start>68</start>
      <end>69</end>
      <status>unmodified</status>
      <modifiedWord/>
      <trackRevisions>false</trackRevisions>
    </reviewItem>
    <reviewItem>
      <errorID>df450241-41d2-4208-919c-e4168b6714bd</errorID>
      <errorWord>(</errorWord>
      <group>L1_Format</group>
      <groupName>格式问题</groupName>
      <ability>L2_HalfPunc</ability>
      <abilityName>全半角检查</abilityName>
      <candidateList>
        <item>（</item>
      </candidateList>
      <explain>文本全半角错误。</explain>
      <paraID>250E28A3</paraID>
      <start>178</start>
      <end>179</end>
      <status>unmodified</status>
      <modifiedWord/>
      <trackRevisions>false</trackRevisions>
    </reviewItem>
    <reviewItem>
      <errorID>d60b53f7-bbe5-4694-8890-7fb2c326d416</errorID>
      <errorWord>)</errorWord>
      <group>L1_Format</group>
      <groupName>格式问题</groupName>
      <ability>L2_HalfPunc</ability>
      <abilityName>全半角检查</abilityName>
      <candidateList>
        <item>）</item>
      </candidateList>
      <explain>文本全半角错误。</explain>
      <paraID>250E28A3</paraID>
      <start>194</start>
      <end>195</end>
      <status>unmodified</status>
      <modifiedWord/>
      <trackRevisions>false</trackRevisions>
    </reviewItem>
    <reviewItem>
      <errorID>e546685c-64ef-4656-b73c-00d6f48c83e3</errorID>
      <errorWord>(</errorWord>
      <group>L1_Format</group>
      <groupName>格式问题</groupName>
      <ability>L2_HalfPunc</ability>
      <abilityName>全半角检查</abilityName>
      <candidateList>
        <item>（</item>
      </candidateList>
      <explain>文本全半角错误。</explain>
      <paraID>26DB0F14</paraID>
      <start>37</start>
      <end>38</end>
      <status>unmodified</status>
      <modifiedWord/>
      <trackRevisions>false</trackRevisions>
    </reviewItem>
    <reviewItem>
      <errorID>d9f9a10c-16d0-4293-918c-a990336a9599</errorID>
      <errorWord>)</errorWord>
      <group>L1_Format</group>
      <groupName>格式问题</groupName>
      <ability>L2_HalfPunc</ability>
      <abilityName>全半角检查</abilityName>
      <candidateList>
        <item>）</item>
      </candidateList>
      <explain>文本全半角错误。</explain>
      <paraID>26DB0F14</paraID>
      <start>40</start>
      <end>41</end>
      <status>unmodified</status>
      <modifiedWord/>
      <trackRevisions>false</trackRevisions>
    </reviewItem>
    <reviewItem>
      <errorID>3e9a80c5-95a2-4876-9b45-9b2b691b5c37</errorID>
      <errorWord>。】</errorWord>
      <group>L1_Punc</group>
      <groupName>标点问题</groupName>
      <ability>L2_Punc</ability>
      <abilityName>标点符号检查</abilityName>
      <candidateList>
        <item>】</item>
      </candidateList>
      <explain/>
      <paraID>2AC158F8</paraID>
      <start>107</start>
      <end>109</end>
      <status>unmodified</status>
      <modifiedWord/>
      <trackRevisions>false</trackRevisions>
    </reviewItem>
    <reviewItem>
      <errorID>21551eee-4ded-4167-b7e2-18208f2a03d6</errorID>
      <errorWord>)</errorWord>
      <group>L1_Format</group>
      <groupName>格式问题</groupName>
      <ability>L2_HalfPunc</ability>
      <abilityName>全半角检查</abilityName>
      <candidateList>
        <item>）</item>
      </candidateList>
      <explain>文本全半角错误。</explain>
      <paraID>265D23AE</paraID>
      <start>3</start>
      <end>4</end>
      <status>unmodified</status>
      <modifiedWord/>
      <trackRevisions>false</trackRevisions>
    </reviewItem>
    <reviewItem>
      <errorID>e9ff1d0b-bc44-4d70-9bf7-5e94718d0f60</errorID>
      <errorWord>(</errorWord>
      <group>L1_Format</group>
      <groupName>格式问题</groupName>
      <ability>L2_HalfPunc</ability>
      <abilityName>全半角检查</abilityName>
      <candidateList>
        <item>（</item>
      </candidateList>
      <explain>文本全半角错误。</explain>
      <paraID>633D8441</paraID>
      <start>9</start>
      <end>10</end>
      <status>unmodified</status>
      <modifiedWord/>
      <trackRevisions>false</trackRevisions>
    </reviewItem>
    <reviewItem>
      <errorID>f9fe28a4-3270-40f9-8454-50d252184f1c</errorID>
      <errorWord>)</errorWord>
      <group>L1_Format</group>
      <groupName>格式问题</groupName>
      <ability>L2_HalfPunc</ability>
      <abilityName>全半角检查</abilityName>
      <candidateList>
        <item>）</item>
      </candidateList>
      <explain>文本全半角错误。</explain>
      <paraID>633D8441</paraID>
      <start>13</start>
      <end>14</end>
      <status>unmodified</status>
      <modifiedWord/>
      <trackRevisions>false</trackRevisions>
    </reviewItem>
    <reviewItem>
      <errorID>1d6c1670-16bb-46c7-8b32-ea31902c45d8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19C9845A</paraID>
      <start>0</start>
      <end>2</end>
      <status>unmodified</status>
      <modifiedWord/>
      <trackRevisions>false</trackRevisions>
    </reviewItem>
    <reviewItem>
      <errorID>9f45c49b-51e5-4ca7-88e7-78589bc3ea5c</errorID>
      <errorWord>(</errorWord>
      <group>L1_Format</group>
      <groupName>格式问题</groupName>
      <ability>L2_HalfPunc</ability>
      <abilityName>全半角检查</abilityName>
      <candidateList>
        <item>（</item>
      </candidateList>
      <explain>文本全半角错误。</explain>
      <paraID>19C9845A</paraID>
      <start>68</start>
      <end>69</end>
      <status>unmodified</status>
      <modifiedWord/>
      <trackRevisions>false</trackRevisions>
    </reviewItem>
    <reviewItem>
      <errorID>212dc836-2f11-442f-8ec8-054d8ab8b3dd</errorID>
      <errorWord>)</errorWord>
      <group>L1_Format</group>
      <groupName>格式问题</groupName>
      <ability>L2_HalfPunc</ability>
      <abilityName>全半角检查</abilityName>
      <candidateList>
        <item>）</item>
      </candidateList>
      <explain>文本全半角错误。</explain>
      <paraID>19C9845A</paraID>
      <start>74</start>
      <end>75</end>
      <status>unmodified</status>
      <modifiedWord/>
      <trackRevisions>false</trackRevisions>
    </reviewItem>
    <reviewItem>
      <errorID>35ce7378-d9b2-4b3d-bc8a-3ed291ab6da7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7E7EC9A5</paraID>
      <start>0</start>
      <end>2</end>
      <status>unmodified</status>
      <modifiedWord/>
      <trackRevisions>false</trackRevisions>
    </reviewItem>
    <reviewItem>
      <errorID>bc817fd8-3623-4f56-b8c3-9f5bb8d3f465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50E4D188</paraID>
      <start>0</start>
      <end>2</end>
      <status>unmodified</status>
      <modifiedWord/>
      <trackRevisions>false</trackRevisions>
    </reviewItem>
    <reviewItem>
      <errorID>0f2fd953-6a2f-4176-8067-0613c695594d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3BBDA8AC</paraID>
      <start>0</start>
      <end>2</end>
      <status>unmodified</status>
      <modifiedWord/>
      <trackRevisions>false</trackRevisions>
    </reviewItem>
    <reviewItem>
      <errorID>bae642c7-ee47-4c9a-82af-4e5b863820aa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78A1FF82</paraID>
      <start>0</start>
      <end>2</end>
      <status>unmodified</status>
      <modifiedWord/>
      <trackRevisions>false</trackRevisions>
    </reviewItem>
    <reviewItem>
      <errorID>dcf86ebc-495f-4fb4-9bfd-d9ce16489c0e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403CEBF0</paraID>
      <start>0</start>
      <end>2</end>
      <status>unmodified</status>
      <modifiedWord/>
      <trackRevisions>false</trackRevisions>
    </reviewItem>
    <reviewItem>
      <errorID>3569b51e-a7f2-4ef8-bbbb-9201dbf87a89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70425351</paraID>
      <start>0</start>
      <end>2</end>
      <status>unmodified</status>
      <modifiedWord/>
      <trackRevisions>false</trackRevisions>
    </reviewItem>
    <reviewItem>
      <errorID>aa89bee5-cb6a-44e8-9608-2b847be80ba9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78DEDF97</paraID>
      <start>0</start>
      <end>2</end>
      <status>unmodified</status>
      <modifiedWord/>
      <trackRevisions>false</trackRevisions>
    </reviewItem>
    <reviewItem>
      <errorID>b798d66e-3bf4-4889-b04a-1f369583204f</errorID>
      <errorWord>(</errorWord>
      <group>L1_Format</group>
      <groupName>格式问题</groupName>
      <ability>L2_HalfPunc</ability>
      <abilityName>全半角检查</abilityName>
      <candidateList>
        <item>（</item>
      </candidateList>
      <explain>文本全半角错误。</explain>
      <paraID>78DEDF97</paraID>
      <start>51</start>
      <end>52</end>
      <status>unmodified</status>
      <modifiedWord/>
      <trackRevisions>false</trackRevisions>
    </reviewItem>
    <reviewItem>
      <errorID>deaa335a-8779-4a2a-b748-522ffaa026ad</errorID>
      <errorWord>)</errorWord>
      <group>L1_Format</group>
      <groupName>格式问题</groupName>
      <ability>L2_HalfPunc</ability>
      <abilityName>全半角检查</abilityName>
      <candidateList>
        <item>）</item>
      </candidateList>
      <explain>文本全半角错误。</explain>
      <paraID>78DEDF97</paraID>
      <start>55</start>
      <end>56</end>
      <status>unmodified</status>
      <modifiedWord/>
      <trackRevisions>false</trackRevisions>
    </reviewItem>
    <reviewItem>
      <errorID>516d38a9-b59e-41b7-b135-fa0d5acab202</errorID>
      <errorWord>;</errorWord>
      <group>L1_Format</group>
      <groupName>格式问题</groupName>
      <ability>L2_HalfPunc</ability>
      <abilityName>全半角检查</abilityName>
      <candidateList>
        <item>；</item>
      </candidateList>
      <explain>文本全半角错误。</explain>
      <paraID>7CA42468</paraID>
      <start>13</start>
      <end>14</end>
      <status>unmodified</status>
      <modifiedWord/>
      <trackRevisions>false</trackRevisions>
    </reviewItem>
    <reviewItem>
      <errorID>e59fb3e3-b72d-4eca-bf96-28d378736368</errorID>
      <errorWord>(</errorWord>
      <group>L1_Format</group>
      <groupName>格式问题</groupName>
      <ability>L2_HalfPunc</ability>
      <abilityName>全半角检查</abilityName>
      <candidateList>
        <item>（</item>
      </candidateList>
      <explain>文本全半角错误。</explain>
      <paraID>6D92DAF0</paraID>
      <start>26</start>
      <end>27</end>
      <status>unmodified</status>
      <modifiedWord/>
      <trackRevisions>false</trackRevisions>
    </reviewItem>
    <reviewItem>
      <errorID>1088e51f-8960-46fa-a02e-2a0e0e50669e</errorID>
      <errorWord>)</errorWord>
      <group>L1_Format</group>
      <groupName>格式问题</groupName>
      <ability>L2_HalfPunc</ability>
      <abilityName>全半角检查</abilityName>
      <candidateList>
        <item>）</item>
      </candidateList>
      <explain>文本全半角错误。</explain>
      <paraID>6D92DAF0</paraID>
      <start>42</start>
      <end>43</end>
      <status>unmodified</status>
      <modifiedWord/>
      <trackRevisions>false</trackRevisions>
    </reviewItem>
    <reviewItem>
      <errorID>73e2c715-32e6-41f3-964d-5098b4b38367</errorID>
      <errorWord>、</errorWord>
      <group>L1_Word</group>
      <groupName>字词问题</groupName>
      <ability>L2_Typo</ability>
      <abilityName>字词错误</abilityName>
      <candidateList>
        <item>、在</item>
      </candidateList>
      <explain/>
      <paraID>3357F416</paraID>
      <start>1</start>
      <end>2</end>
      <status>unmodified</status>
      <modifiedWord/>
      <trackRevisions>false</trackRevisions>
    </reviewItem>
    <reviewItem>
      <errorID>dd283c65-9f3e-499c-8a2f-f3866f13f234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945789E</paraID>
      <start>0</start>
      <end>2</end>
      <status>unmodified</status>
      <modifiedWord/>
      <trackRevisions>false</trackRevisions>
    </reviewItem>
    <reviewItem>
      <errorID>b3eab35c-0190-4562-8790-98786edd0d4e</errorID>
      <errorWord>(</errorWord>
      <group>L1_Format</group>
      <groupName>格式问题</groupName>
      <ability>L2_HalfPunc</ability>
      <abilityName>全半角检查</abilityName>
      <candidateList>
        <item>（</item>
      </candidateList>
      <explain>文本全半角错误。</explain>
      <paraID> 945789E</paraID>
      <start>18</start>
      <end>19</end>
      <status>unmodified</status>
      <modifiedWord/>
      <trackRevisions>false</trackRevisions>
    </reviewItem>
    <reviewItem>
      <errorID>6ab3e9a9-3c92-42e5-bc0f-68f41b8c9e2a</errorID>
      <errorWord>)</errorWord>
      <group>L1_Format</group>
      <groupName>格式问题</groupName>
      <ability>L2_HalfPunc</ability>
      <abilityName>全半角检查</abilityName>
      <candidateList>
        <item>）</item>
      </candidateList>
      <explain>文本全半角错误。</explain>
      <paraID> 945789E</paraID>
      <start>22</start>
      <end>23</end>
      <status>unmodified</status>
      <modifiedWord/>
      <trackRevisions>false</trackRevisions>
    </reviewItem>
    <reviewItem>
      <errorID>8eb055c5-c3b8-47f3-8f56-d88fe105a27f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254BD878</paraID>
      <start>0</start>
      <end>2</end>
      <status>unmodified</status>
      <modifiedWord/>
      <trackRevisions>false</trackRevisions>
    </reviewItem>
    <reviewItem>
      <errorID>c28725f8-c4f5-4a5c-829c-bb588ebfad63</errorID>
      <errorWord>;</errorWord>
      <group>L1_Format</group>
      <groupName>格式问题</groupName>
      <ability>L2_HalfPunc</ability>
      <abilityName>全半角检查</abilityName>
      <candidateList>
        <item>；</item>
      </candidateList>
      <explain>文本全半角错误。</explain>
      <paraID>272CF0C3</paraID>
      <start>13</start>
      <end>14</end>
      <status>unmodified</status>
      <modifiedWord/>
      <trackRevisions>false</trackRevisions>
    </reviewItem>
    <reviewItem>
      <errorID>4fb8337c-c4ab-4996-a583-4223c861c941</errorID>
      <errorWord>(</errorWord>
      <group>L1_Format</group>
      <groupName>格式问题</groupName>
      <ability>L2_HalfPunc</ability>
      <abilityName>全半角检查</abilityName>
      <candidateList>
        <item>（</item>
      </candidateList>
      <explain>文本全半角错误。</explain>
      <paraID>7C07B484</paraID>
      <start>26</start>
      <end>27</end>
      <status>unmodified</status>
      <modifiedWord/>
      <trackRevisions>false</trackRevisions>
    </reviewItem>
    <reviewItem>
      <errorID>05a9ce34-9f52-4bca-a81d-560b7641fb76</errorID>
      <errorWord>)</errorWord>
      <group>L1_Format</group>
      <groupName>格式问题</groupName>
      <ability>L2_HalfPunc</ability>
      <abilityName>全半角检查</abilityName>
      <candidateList>
        <item>）</item>
      </candidateList>
      <explain>文本全半角错误。</explain>
      <paraID>7C07B484</paraID>
      <start>42</start>
      <end>43</end>
      <status>unmodified</status>
      <modifiedWord/>
      <trackRevisions>false</trackRevisions>
    </reviewItem>
    <reviewItem>
      <errorID>1ef732a5-cd2f-47a2-80a5-abe72d124ff4</errorID>
      <errorWord>、</errorWord>
      <group>L1_Word</group>
      <groupName>字词问题</groupName>
      <ability>L2_Typo</ability>
      <abilityName>字词错误</abilityName>
      <candidateList>
        <item>、在</item>
      </candidateList>
      <explain/>
      <paraID>75200B48</paraID>
      <start>1</start>
      <end>2</end>
      <status>unmodified</status>
      <modifiedWord/>
      <trackRevisions>false</trackRevisions>
    </reviewItem>
    <reviewItem>
      <errorID>4964622a-6975-488f-9d46-985733ca51d3</errorID>
      <errorWord>、</errorWord>
      <group>L1_Word</group>
      <groupName>字词问题</groupName>
      <ability>L2_Typo</ability>
      <abilityName>字词错误</abilityName>
      <candidateList>
        <item>、在</item>
      </candidateList>
      <explain/>
      <paraID>2444D20B</paraID>
      <start>1</start>
      <end>2</end>
      <status>unmodified</status>
      <modifiedWord/>
      <trackRevisions>false</trackRevisions>
    </reviewItem>
    <reviewItem>
      <errorID>a2844e18-1702-4c16-8b15-9913b91e6265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F1CBF06</paraID>
      <start>0</start>
      <end>2</end>
      <status>unmodified</status>
      <modifiedWord/>
      <trackRevisions>false</trackRevisions>
    </reviewItem>
    <reviewItem>
      <errorID>35000960-ddc2-4911-8051-a9aa23038a2a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223DDABA</paraID>
      <start>0</start>
      <end>2</end>
      <status>unmodified</status>
      <modifiedWord/>
      <trackRevisions>false</trackRevisions>
    </reviewItem>
    <reviewItem>
      <errorID>b46fb32e-1661-4956-af4c-a6611f6b9e20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238CD9</paraID>
      <start>0</start>
      <end>2</end>
      <status>unmodified</status>
      <modifiedWord/>
      <trackRevisions>false</trackRevisions>
    </reviewItem>
    <reviewItem>
      <errorID>c1a84f06-75f3-486b-a04d-67a39c7fad00</errorID>
      <errorWord>件</errorWord>
      <group>L1_Word</group>
      <groupName>字词问题</groupName>
      <ability>L2_Typo</ability>
      <abilityName>字词错误</abilityName>
      <candidateList>
        <item>件和</item>
      </candidateList>
      <explain/>
      <paraID>  238CD9</paraID>
      <start>117</start>
      <end>118</end>
      <status>unmodified</status>
      <modifiedWord/>
      <trackRevisions>false</trackRevisions>
    </reviewItem>
    <reviewItem>
      <errorID>3ad563eb-3d8a-4a66-a9c1-d6529341c641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67CC9D4E</paraID>
      <start>0</start>
      <end>2</end>
      <status>unmodified</status>
      <modifiedWord/>
      <trackRevisions>false</trackRevisions>
    </reviewItem>
    <reviewItem>
      <errorID>99a26700-c74e-4515-aa16-5a699763ba9a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409AECD2</paraID>
      <start>0</start>
      <end>2</end>
      <status>unmodified</status>
      <modifiedWord/>
      <trackRevisions>false</trackRevisions>
    </reviewItem>
    <reviewItem>
      <errorID>8fba49ea-a3ba-426e-9bf2-2ccf9a717abe</errorID>
      <errorWord>(</errorWord>
      <group>L1_Format</group>
      <groupName>格式问题</groupName>
      <ability>L2_HalfPunc</ability>
      <abilityName>全半角检查</abilityName>
      <candidateList>
        <item>（</item>
      </candidateList>
      <explain>文本全半角错误。</explain>
      <paraID>1445677E</paraID>
      <start>130</start>
      <end>131</end>
      <status>unmodified</status>
      <modifiedWord/>
      <trackRevisions>false</trackRevisions>
    </reviewItem>
    <reviewItem>
      <errorID>2b86a610-e18f-46e3-a9de-3e9b7be38c29</errorID>
      <errorWord>)</errorWord>
      <group>L1_Format</group>
      <groupName>格式问题</groupName>
      <ability>L2_HalfPunc</ability>
      <abilityName>全半角检查</abilityName>
      <candidateList>
        <item>）</item>
      </candidateList>
      <explain>文本全半角错误。</explain>
      <paraID>1445677E</paraID>
      <start>133</start>
      <end>134</end>
      <status>unmodified</status>
      <modifiedWord/>
      <trackRevisions>false</trackRevisions>
    </reviewItem>
    <reviewItem>
      <errorID>8e458408-cd52-4759-906a-a308a25b2d93</errorID>
      <errorWord>)</errorWord>
      <group>L1_Format</group>
      <groupName>格式问题</groupName>
      <ability>L2_HalfPunc</ability>
      <abilityName>全半角检查</abilityName>
      <candidateList>
        <item>）</item>
      </candidateList>
      <explain>文本全半角错误。</explain>
      <paraID>1445677E</paraID>
      <start>203</start>
      <end>204</end>
      <status>unmodified</status>
      <modifiedWord/>
      <trackRevisions>false</trackRevisions>
    </reviewItem>
    <reviewItem>
      <errorID>51d2cd68-e74e-4e16-857a-0b8120ec4e94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805C395</paraID>
      <start>0</start>
      <end>2</end>
      <status>unmodified</status>
      <modifiedWord/>
      <trackRevisions>false</trackRevisions>
    </reviewItem>
    <reviewItem>
      <errorID>d787785c-8729-4e69-b0f5-f765720efb91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7A0C722F</paraID>
      <start>0</start>
      <end>2</end>
      <status>unmodified</status>
      <modifiedWord/>
      <trackRevisions>false</trackRevisions>
    </reviewItem>
    <reviewItem>
      <errorID>8decc05b-ed9e-4d02-891e-374651313293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729DD56</paraID>
      <start>0</start>
      <end>2</end>
      <status>unmodified</status>
      <modifiedWord/>
      <trackRevisions>false</trackRevisions>
    </reviewItem>
    <reviewItem>
      <errorID>034c5124-827a-4806-83af-d15b0f8cde92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31FAAE5</paraID>
      <start>0</start>
      <end>2</end>
      <status>unmodified</status>
      <modifiedWord/>
      <trackRevisions>false</trackRevisions>
    </reviewItem>
    <reviewItem>
      <errorID>239862ff-0106-42de-a9d6-77e33fef5219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52FDF17E</paraID>
      <start>0</start>
      <end>2</end>
      <status>unmodified</status>
      <modifiedWord/>
      <trackRevisions>false</trackRevisions>
    </reviewItem>
    <reviewItem>
      <errorID>471e02d8-8137-4dd5-b892-361f4726db71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27DC2CEE</paraID>
      <start>0</start>
      <end>2</end>
      <status>unmodified</status>
      <modifiedWord/>
      <trackRevisions>false</trackRevisions>
    </reviewItem>
    <reviewItem>
      <errorID>8884af6f-4f83-4dbe-934c-691f46d42bef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1E95BE22</paraID>
      <start>0</start>
      <end>2</end>
      <status>unmodified</status>
      <modifiedWord/>
      <trackRevisions>false</trackRevisions>
    </reviewItem>
    <reviewItem>
      <errorID>076eef26-efc7-4685-9a21-9bbb257f1f08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78B1B624</paraID>
      <start>0</start>
      <end>2</end>
      <status>unmodified</status>
      <modifiedWord/>
      <trackRevisions>false</trackRevisions>
    </reviewItem>
    <reviewItem>
      <errorID>ec7a5bc1-d26a-40dd-8c80-18a66bcb8f5a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1112640E</paraID>
      <start>0</start>
      <end>2</end>
      <status>unmodified</status>
      <modifiedWord/>
      <trackRevisions>false</trackRevisions>
    </reviewItem>
    <reviewItem>
      <errorID>d2a3bc9a-bde6-4639-9e61-bf20c6745288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612B5CA2</paraID>
      <start>0</start>
      <end>2</end>
      <status>unmodified</status>
      <modifiedWord/>
      <trackRevisions>false</trackRevisions>
    </reviewItem>
    <reviewItem>
      <errorID>af1c17ea-fe01-4437-a6fd-e0a4185c56a8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60FC859F</paraID>
      <start>0</start>
      <end>2</end>
      <status>unmodified</status>
      <modifiedWord/>
      <trackRevisions>false</trackRevisions>
    </reviewItem>
    <reviewItem>
      <errorID>89a307d2-bac7-43bf-a335-2deccde94269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56B297F3</paraID>
      <start>39</start>
      <end>42</end>
      <status>unmodified</status>
      <modifiedWord/>
      <trackRevisions>false</trackRevisions>
    </reviewItem>
    <reviewItem>
      <errorID>d204e5fe-36cb-4a9c-8abf-7ff067b793c7</errorID>
      <errorWord>,</errorWord>
      <group>L1_Format</group>
      <groupName>格式问题</groupName>
      <ability>L2_HalfPunc</ability>
      <abilityName>全半角检查</abilityName>
      <candidateList>
        <item>，</item>
      </candidateList>
      <explain>文本全半角错误。</explain>
      <paraID>6AD220B5</paraID>
      <start>24</start>
      <end>25</end>
      <status>unmodified</status>
      <modifiedWord/>
      <trackRevisions>false</trackRevisions>
    </reviewItem>
    <reviewItem>
      <errorID>f627bfed-ba47-4a20-bb63-5f75734b2266</errorID>
      <errorWord>政府采购法</errorWord>
      <group>L1_Knowledge</group>
      <groupName>知识性问题</groupName>
      <ability>L2_Knowledge</ability>
      <abilityName>其他知识</abilityName>
      <candidateList>
        <item>中华人民共和国政府采购法</item>
      </candidateList>
      <explain>当前法律法规名称使用简称，请注意是否应当使用全称。</explain>
      <paraID> F522BFE</paraID>
      <start>20</start>
      <end>25</end>
      <status>unmodified</status>
      <modifiedWord/>
      <trackRevisions>false</trackRevisions>
    </reviewItem>
    <reviewItem>
      <errorID>e1ed1db7-381c-42ad-9f35-fe84216f37ce</errorID>
      <errorWord>第78条</errorWord>
      <group>L1_Knowledge</group>
      <groupName>知识性问题</groupName>
      <ability>L2_Knowledge</ability>
      <abilityName>其他知识</abilityName>
      <candidateList>
        <item>第七十八条</item>
      </candidateList>
      <explain/>
      <paraID> F522BFE</paraID>
      <start>26</start>
      <end>30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f7b33d-c0fd-4d1e-beb1-8b4055f5ded6}">
  <ds:schemaRefs/>
</ds:datastoreItem>
</file>

<file path=docProps/app.xml><?xml version="1.0" encoding="utf-8"?>
<Properties xmlns="http://schemas.openxmlformats.org/officeDocument/2006/extended-properties" xmlns:vt="http://schemas.openxmlformats.org/officeDocument/2006/docPropsVTypes">
  <Template>Normal</Template>
  <Pages>75</Pages>
  <Words>17550</Words>
  <Characters>19541</Characters>
  <Lines>414</Lines>
  <Paragraphs>116</Paragraphs>
  <TotalTime>16</TotalTime>
  <ScaleCrop>false</ScaleCrop>
  <LinksUpToDate>false</LinksUpToDate>
  <CharactersWithSpaces>20150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2022-04-22T03:46:00Z</dcterms:created>
  <dc:creator>陈倩倩</dc:creator>
  <cp:lastModifiedBy>韦韦</cp:lastModifiedBy>
  <cp:lastPrinted>2026-02-06T02:48:00Z</cp:lastPrinted>
  <dcterms:modified xsi:type="dcterms:W3CDTF">2026-02-11T07:14:25Z</dcterms:modified>
  <dc:title>滁州市人力资源和社会保障信息中心信息网络设备采购及安装项目</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9015BF1CB6B8434A85F9622231FF685D_13</vt:lpwstr>
  </property>
  <property fmtid="{D5CDD505-2E9C-101B-9397-08002B2CF9AE}" pid="4" name="KSOTemplateDocerSaveRecord">
    <vt:lpwstr>eyJoZGlkIjoiZmQ5MGI3YTdkMjVkZTZjM2ZjZTQ5YjMxYTJjZjRlOWEiLCJ1c2VySWQiOiIzNjE4MjQ5In0=</vt:lpwstr>
  </property>
</Properties>
</file>