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E78A1">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right="0" w:rightChars="0"/>
        <w:jc w:val="both"/>
        <w:textAlignment w:val="baseline"/>
        <w:rPr>
          <w:rFonts w:hint="eastAsia"/>
          <w:color w:val="auto"/>
          <w:sz w:val="44"/>
          <w:szCs w:val="44"/>
          <w:highlight w:val="none"/>
        </w:rPr>
      </w:pPr>
      <w:bookmarkStart w:id="225" w:name="_GoBack"/>
    </w:p>
    <w:p w14:paraId="7D757B08">
      <w:pPr>
        <w:widowControl/>
        <w:spacing w:line="400" w:lineRule="atLeast"/>
        <w:jc w:val="center"/>
        <w:textAlignment w:val="baseline"/>
        <w:rPr>
          <w:rFonts w:hint="eastAsia" w:ascii="宋体" w:hAnsi="宋体" w:eastAsia="宋体" w:cs="Times New Roman"/>
          <w:b/>
          <w:bCs/>
          <w:color w:val="auto"/>
          <w:spacing w:val="-10"/>
          <w:kern w:val="0"/>
          <w:sz w:val="52"/>
          <w:szCs w:val="52"/>
          <w:highlight w:val="none"/>
          <w:lang w:val="en-US" w:eastAsia="zh-CN"/>
        </w:rPr>
      </w:pPr>
      <w:r>
        <w:rPr>
          <w:rFonts w:hint="eastAsia" w:ascii="宋体" w:hAnsi="宋体" w:eastAsia="宋体" w:cs="Times New Roman"/>
          <w:b/>
          <w:bCs/>
          <w:color w:val="auto"/>
          <w:spacing w:val="-10"/>
          <w:kern w:val="0"/>
          <w:sz w:val="52"/>
          <w:szCs w:val="52"/>
          <w:highlight w:val="none"/>
          <w:lang w:val="en-US" w:eastAsia="zh-CN"/>
        </w:rPr>
        <w:t>滁州市公安局4G执法记录仪流量服务（二次）</w:t>
      </w:r>
    </w:p>
    <w:p w14:paraId="675464EE">
      <w:pPr>
        <w:pageBreakBefore w:val="0"/>
        <w:widowControl/>
        <w:kinsoku/>
        <w:topLinePunct w:val="0"/>
        <w:bidi w:val="0"/>
        <w:spacing w:line="360" w:lineRule="auto"/>
        <w:ind w:left="0" w:leftChars="0" w:right="0" w:rightChars="0" w:firstLine="1124" w:firstLineChars="200"/>
        <w:jc w:val="center"/>
        <w:textAlignment w:val="baseline"/>
        <w:rPr>
          <w:rFonts w:hint="eastAsia" w:ascii="宋体" w:hAnsi="宋体" w:cs="宋体"/>
          <w:b/>
          <w:color w:val="auto"/>
          <w:kern w:val="0"/>
          <w:sz w:val="56"/>
          <w:szCs w:val="56"/>
          <w:highlight w:val="none"/>
        </w:rPr>
      </w:pPr>
    </w:p>
    <w:p w14:paraId="34BF9BE2">
      <w:pPr>
        <w:widowControl/>
        <w:spacing w:line="400" w:lineRule="atLeast"/>
        <w:jc w:val="center"/>
        <w:textAlignment w:val="baseline"/>
        <w:rPr>
          <w:rFonts w:hint="eastAsia" w:ascii="宋体" w:hAnsi="宋体" w:eastAsia="宋体" w:cs="宋体"/>
          <w:b/>
          <w:bCs/>
          <w:color w:val="auto"/>
          <w:kern w:val="0"/>
          <w:sz w:val="98"/>
          <w:szCs w:val="98"/>
          <w:highlight w:val="none"/>
          <w:lang w:eastAsia="zh-CN"/>
        </w:rPr>
      </w:pPr>
    </w:p>
    <w:p w14:paraId="1B6B9C48">
      <w:pPr>
        <w:widowControl/>
        <w:spacing w:line="400" w:lineRule="atLeast"/>
        <w:jc w:val="center"/>
        <w:textAlignment w:val="baseline"/>
        <w:rPr>
          <w:rFonts w:hint="eastAsia" w:ascii="宋体" w:hAnsi="宋体" w:eastAsia="宋体" w:cs="宋体"/>
          <w:b/>
          <w:bCs/>
          <w:color w:val="auto"/>
          <w:kern w:val="0"/>
          <w:sz w:val="98"/>
          <w:szCs w:val="98"/>
          <w:highlight w:val="none"/>
        </w:rPr>
      </w:pPr>
      <w:r>
        <w:rPr>
          <w:rFonts w:hint="eastAsia" w:ascii="宋体" w:hAnsi="宋体" w:eastAsia="宋体" w:cs="宋体"/>
          <w:b/>
          <w:bCs/>
          <w:color w:val="auto"/>
          <w:kern w:val="0"/>
          <w:sz w:val="98"/>
          <w:szCs w:val="98"/>
          <w:highlight w:val="none"/>
          <w:lang w:eastAsia="zh-CN"/>
        </w:rPr>
        <w:t>竞争性谈判</w:t>
      </w:r>
      <w:r>
        <w:rPr>
          <w:rFonts w:hint="eastAsia" w:ascii="宋体" w:hAnsi="宋体" w:eastAsia="宋体" w:cs="宋体"/>
          <w:b/>
          <w:bCs/>
          <w:color w:val="auto"/>
          <w:kern w:val="0"/>
          <w:sz w:val="98"/>
          <w:szCs w:val="98"/>
          <w:highlight w:val="none"/>
        </w:rPr>
        <w:t>文件</w:t>
      </w:r>
    </w:p>
    <w:p w14:paraId="52C092DD">
      <w:pPr>
        <w:pStyle w:val="84"/>
        <w:pageBreakBefore w:val="0"/>
        <w:kinsoku/>
        <w:topLinePunct w:val="0"/>
        <w:bidi w:val="0"/>
        <w:ind w:left="0" w:leftChars="0" w:right="0" w:rightChars="0" w:firstLine="420" w:firstLineChars="200"/>
        <w:rPr>
          <w:rFonts w:hint="eastAsia"/>
          <w:color w:val="auto"/>
          <w:highlight w:val="none"/>
        </w:rPr>
      </w:pPr>
    </w:p>
    <w:p w14:paraId="4B04400C">
      <w:pPr>
        <w:widowControl/>
        <w:spacing w:line="480" w:lineRule="exact"/>
        <w:jc w:val="center"/>
        <w:textAlignment w:val="baseline"/>
        <w:rPr>
          <w:rFonts w:hint="eastAsia" w:ascii="宋体" w:hAnsi="宋体" w:eastAsia="宋体" w:cs="宋体"/>
          <w:color w:val="auto"/>
          <w:kern w:val="0"/>
          <w:sz w:val="32"/>
          <w:highlight w:val="none"/>
          <w:u w:val="none"/>
          <w:lang w:val="en-US" w:eastAsia="zh-CN"/>
        </w:rPr>
      </w:pPr>
      <w:r>
        <w:rPr>
          <w:rFonts w:hint="eastAsia" w:ascii="宋体" w:hAnsi="宋体" w:eastAsia="宋体" w:cs="宋体"/>
          <w:color w:val="auto"/>
          <w:kern w:val="0"/>
          <w:sz w:val="32"/>
          <w:highlight w:val="none"/>
          <w:u w:val="none"/>
          <w:lang w:val="en-US" w:eastAsia="zh-CN"/>
        </w:rPr>
        <w:t xml:space="preserve">项目编号：HXJY1110001042232001001   </w:t>
      </w:r>
    </w:p>
    <w:p w14:paraId="1B48C6A2">
      <w:pPr>
        <w:pageBreakBefore w:val="0"/>
        <w:kinsoku/>
        <w:topLinePunct w:val="0"/>
        <w:bidi w:val="0"/>
        <w:spacing w:line="480" w:lineRule="exact"/>
        <w:ind w:left="0" w:leftChars="0" w:right="0" w:rightChars="0" w:firstLine="643" w:firstLineChars="200"/>
        <w:jc w:val="center"/>
        <w:rPr>
          <w:rFonts w:hint="eastAsia" w:ascii="宋体" w:hAnsi="宋体" w:cs="宋体"/>
          <w:b/>
          <w:color w:val="auto"/>
          <w:sz w:val="32"/>
          <w:highlight w:val="none"/>
        </w:rPr>
      </w:pPr>
    </w:p>
    <w:p w14:paraId="1A590D9D">
      <w:pPr>
        <w:pageBreakBefore w:val="0"/>
        <w:kinsoku/>
        <w:topLinePunct w:val="0"/>
        <w:bidi w:val="0"/>
        <w:spacing w:line="480" w:lineRule="exact"/>
        <w:ind w:left="0" w:leftChars="0" w:right="0" w:rightChars="0" w:firstLine="643" w:firstLineChars="200"/>
        <w:rPr>
          <w:rFonts w:hint="eastAsia" w:ascii="宋体" w:hAnsi="宋体" w:cs="宋体"/>
          <w:b/>
          <w:color w:val="auto"/>
          <w:sz w:val="32"/>
          <w:highlight w:val="none"/>
        </w:rPr>
      </w:pPr>
    </w:p>
    <w:p w14:paraId="410C4F69">
      <w:pPr>
        <w:pageBreakBefore w:val="0"/>
        <w:kinsoku/>
        <w:topLinePunct w:val="0"/>
        <w:bidi w:val="0"/>
        <w:spacing w:line="480" w:lineRule="exact"/>
        <w:ind w:right="0" w:rightChars="0"/>
        <w:rPr>
          <w:rFonts w:hint="eastAsia" w:ascii="宋体" w:hAnsi="宋体" w:cs="宋体"/>
          <w:b/>
          <w:color w:val="auto"/>
          <w:sz w:val="32"/>
          <w:highlight w:val="none"/>
        </w:rPr>
      </w:pPr>
    </w:p>
    <w:p w14:paraId="061B9694">
      <w:pPr>
        <w:pStyle w:val="6"/>
        <w:pageBreakBefore w:val="0"/>
        <w:kinsoku/>
        <w:topLinePunct w:val="0"/>
        <w:bidi w:val="0"/>
        <w:ind w:left="0" w:leftChars="0" w:right="0" w:rightChars="0" w:firstLine="643" w:firstLineChars="200"/>
        <w:rPr>
          <w:rFonts w:hint="eastAsia"/>
          <w:color w:val="auto"/>
          <w:szCs w:val="24"/>
          <w:highlight w:val="none"/>
        </w:rPr>
      </w:pPr>
    </w:p>
    <w:p w14:paraId="2F6F8788">
      <w:pPr>
        <w:pageBreakBefore w:val="0"/>
        <w:kinsoku/>
        <w:topLinePunct w:val="0"/>
        <w:bidi w:val="0"/>
        <w:spacing w:line="480" w:lineRule="exact"/>
        <w:ind w:left="0" w:leftChars="0" w:right="0" w:rightChars="0" w:firstLine="643" w:firstLineChars="200"/>
        <w:rPr>
          <w:rFonts w:hint="eastAsia" w:ascii="宋体" w:hAnsi="宋体" w:cs="宋体"/>
          <w:b/>
          <w:color w:val="auto"/>
          <w:sz w:val="32"/>
          <w:highlight w:val="none"/>
        </w:rPr>
      </w:pPr>
    </w:p>
    <w:p w14:paraId="09C92FAD">
      <w:pPr>
        <w:pageBreakBefore w:val="0"/>
        <w:kinsoku/>
        <w:topLinePunct w:val="0"/>
        <w:bidi w:val="0"/>
        <w:spacing w:line="800" w:lineRule="exact"/>
        <w:ind w:right="0" w:rightChars="0" w:firstLine="560" w:firstLineChars="200"/>
        <w:rPr>
          <w:rFonts w:hint="eastAsia" w:asciiTheme="majorEastAsia" w:hAnsiTheme="majorEastAsia" w:eastAsiaTheme="majorEastAsia" w:cstheme="majorEastAsia"/>
          <w:b w:val="0"/>
          <w:bCs/>
          <w:color w:val="auto"/>
          <w:sz w:val="28"/>
          <w:szCs w:val="28"/>
          <w:highlight w:val="none"/>
          <w:u w:val="single"/>
        </w:rPr>
      </w:pPr>
      <w:r>
        <w:rPr>
          <w:rFonts w:hint="eastAsia" w:asciiTheme="majorEastAsia" w:hAnsiTheme="majorEastAsia" w:eastAsiaTheme="majorEastAsia" w:cstheme="majorEastAsia"/>
          <w:b w:val="0"/>
          <w:bCs/>
          <w:color w:val="auto"/>
          <w:sz w:val="28"/>
          <w:szCs w:val="28"/>
          <w:highlight w:val="none"/>
        </w:rPr>
        <w:t>采  购 人 ：</w:t>
      </w:r>
      <w:r>
        <w:rPr>
          <w:rFonts w:hint="eastAsia" w:asciiTheme="majorEastAsia" w:hAnsiTheme="majorEastAsia" w:eastAsiaTheme="majorEastAsia" w:cstheme="majorEastAsia"/>
          <w:b w:val="0"/>
          <w:bCs/>
          <w:color w:val="auto"/>
          <w:sz w:val="28"/>
          <w:szCs w:val="28"/>
          <w:highlight w:val="none"/>
          <w:u w:val="single"/>
        </w:rPr>
        <w:t xml:space="preserve">  </w:t>
      </w:r>
      <w:r>
        <w:rPr>
          <w:rFonts w:hint="eastAsia" w:asciiTheme="majorEastAsia" w:hAnsiTheme="majorEastAsia" w:eastAsiaTheme="majorEastAsia" w:cstheme="majorEastAsia"/>
          <w:b w:val="0"/>
          <w:bCs/>
          <w:color w:val="auto"/>
          <w:sz w:val="28"/>
          <w:szCs w:val="28"/>
          <w:highlight w:val="none"/>
          <w:u w:val="single"/>
          <w:lang w:val="en-US" w:eastAsia="zh-CN"/>
        </w:rPr>
        <w:t xml:space="preserve">        </w:t>
      </w:r>
      <w:r>
        <w:rPr>
          <w:rFonts w:hint="eastAsia" w:asciiTheme="majorEastAsia" w:hAnsiTheme="majorEastAsia" w:eastAsiaTheme="majorEastAsia" w:cstheme="majorEastAsia"/>
          <w:b w:val="0"/>
          <w:bCs/>
          <w:color w:val="auto"/>
          <w:sz w:val="28"/>
          <w:szCs w:val="28"/>
          <w:highlight w:val="none"/>
          <w:u w:val="single"/>
        </w:rPr>
        <w:t xml:space="preserve"> </w:t>
      </w:r>
      <w:r>
        <w:rPr>
          <w:rFonts w:hint="eastAsia" w:asciiTheme="majorEastAsia" w:hAnsiTheme="majorEastAsia" w:eastAsiaTheme="majorEastAsia" w:cstheme="majorEastAsia"/>
          <w:b w:val="0"/>
          <w:bCs/>
          <w:color w:val="auto"/>
          <w:sz w:val="28"/>
          <w:szCs w:val="28"/>
          <w:highlight w:val="none"/>
          <w:u w:val="single"/>
          <w:lang w:eastAsia="zh-CN"/>
        </w:rPr>
        <w:t>滁州市公安局</w:t>
      </w:r>
      <w:r>
        <w:rPr>
          <w:rFonts w:hint="eastAsia" w:asciiTheme="majorEastAsia" w:hAnsiTheme="majorEastAsia" w:eastAsiaTheme="majorEastAsia" w:cstheme="majorEastAsia"/>
          <w:b w:val="0"/>
          <w:bCs/>
          <w:color w:val="auto"/>
          <w:sz w:val="28"/>
          <w:szCs w:val="28"/>
          <w:highlight w:val="none"/>
          <w:u w:val="single"/>
        </w:rPr>
        <w:t xml:space="preserve">   </w:t>
      </w:r>
      <w:r>
        <w:rPr>
          <w:rFonts w:hint="eastAsia" w:asciiTheme="majorEastAsia" w:hAnsiTheme="majorEastAsia" w:eastAsiaTheme="majorEastAsia" w:cstheme="majorEastAsia"/>
          <w:b w:val="0"/>
          <w:bCs/>
          <w:color w:val="auto"/>
          <w:sz w:val="28"/>
          <w:szCs w:val="28"/>
          <w:highlight w:val="none"/>
          <w:u w:val="single"/>
          <w:lang w:val="en-US" w:eastAsia="zh-CN"/>
        </w:rPr>
        <w:t xml:space="preserve">       </w:t>
      </w:r>
      <w:r>
        <w:rPr>
          <w:rFonts w:hint="eastAsia" w:asciiTheme="majorEastAsia" w:hAnsiTheme="majorEastAsia" w:eastAsiaTheme="majorEastAsia" w:cstheme="majorEastAsia"/>
          <w:b w:val="0"/>
          <w:bCs/>
          <w:color w:val="auto"/>
          <w:sz w:val="28"/>
          <w:szCs w:val="28"/>
          <w:highlight w:val="none"/>
          <w:u w:val="single"/>
        </w:rPr>
        <w:t xml:space="preserve">  （盖章）</w:t>
      </w:r>
    </w:p>
    <w:p w14:paraId="0073E898">
      <w:pPr>
        <w:pageBreakBefore w:val="0"/>
        <w:kinsoku/>
        <w:topLinePunct w:val="0"/>
        <w:bidi w:val="0"/>
        <w:spacing w:line="1000" w:lineRule="exact"/>
        <w:ind w:left="0" w:leftChars="0" w:right="0" w:rightChars="0" w:firstLine="560" w:firstLineChars="200"/>
        <w:jc w:val="left"/>
        <w:rPr>
          <w:rFonts w:hint="eastAsia" w:asciiTheme="majorEastAsia" w:hAnsiTheme="majorEastAsia" w:eastAsiaTheme="majorEastAsia" w:cstheme="majorEastAsia"/>
          <w:b w:val="0"/>
          <w:bCs/>
          <w:color w:val="auto"/>
          <w:sz w:val="28"/>
          <w:szCs w:val="28"/>
          <w:highlight w:val="none"/>
          <w:u w:val="thick"/>
        </w:rPr>
      </w:pPr>
      <w:r>
        <w:rPr>
          <w:rFonts w:hint="eastAsia" w:asciiTheme="majorEastAsia" w:hAnsiTheme="majorEastAsia" w:eastAsiaTheme="majorEastAsia" w:cstheme="majorEastAsia"/>
          <w:b w:val="0"/>
          <w:bCs/>
          <w:color w:val="auto"/>
          <w:sz w:val="28"/>
          <w:szCs w:val="28"/>
          <w:highlight w:val="none"/>
        </w:rPr>
        <w:t>采购代理机构：</w:t>
      </w:r>
      <w:r>
        <w:rPr>
          <w:rFonts w:hint="eastAsia" w:asciiTheme="majorEastAsia" w:hAnsiTheme="majorEastAsia" w:eastAsiaTheme="majorEastAsia" w:cstheme="majorEastAsia"/>
          <w:b w:val="0"/>
          <w:bCs/>
          <w:color w:val="auto"/>
          <w:sz w:val="28"/>
          <w:szCs w:val="28"/>
          <w:highlight w:val="none"/>
          <w:u w:val="single"/>
        </w:rPr>
        <w:t xml:space="preserve">  滁州市城投工程咨询管理有限公司 （盖章）</w:t>
      </w:r>
    </w:p>
    <w:p w14:paraId="1C29A03B">
      <w:pPr>
        <w:pageBreakBefore w:val="0"/>
        <w:kinsoku/>
        <w:topLinePunct w:val="0"/>
        <w:bidi w:val="0"/>
        <w:spacing w:line="560" w:lineRule="exact"/>
        <w:ind w:left="0" w:leftChars="0" w:right="0" w:rightChars="0" w:firstLine="480" w:firstLineChars="200"/>
        <w:rPr>
          <w:rFonts w:hint="eastAsia" w:asciiTheme="majorEastAsia" w:hAnsiTheme="majorEastAsia" w:eastAsiaTheme="majorEastAsia" w:cstheme="majorEastAsia"/>
          <w:b w:val="0"/>
          <w:bCs/>
          <w:color w:val="auto"/>
          <w:spacing w:val="-20"/>
          <w:sz w:val="28"/>
          <w:szCs w:val="28"/>
          <w:highlight w:val="none"/>
          <w:u w:val="thick"/>
        </w:rPr>
      </w:pPr>
    </w:p>
    <w:p w14:paraId="27055920">
      <w:pPr>
        <w:pageBreakBefore w:val="0"/>
        <w:kinsoku/>
        <w:topLinePunct w:val="0"/>
        <w:bidi w:val="0"/>
        <w:spacing w:line="560" w:lineRule="exact"/>
        <w:ind w:left="0" w:leftChars="0" w:right="0" w:rightChars="0" w:firstLine="480" w:firstLineChars="200"/>
        <w:rPr>
          <w:rFonts w:hint="eastAsia" w:asciiTheme="majorEastAsia" w:hAnsiTheme="majorEastAsia" w:eastAsiaTheme="majorEastAsia" w:cstheme="majorEastAsia"/>
          <w:b/>
          <w:color w:val="auto"/>
          <w:spacing w:val="20"/>
          <w:sz w:val="28"/>
          <w:szCs w:val="28"/>
          <w:highlight w:val="none"/>
          <w:u w:val="single"/>
        </w:rPr>
      </w:pPr>
      <w:r>
        <w:rPr>
          <w:rFonts w:hint="eastAsia" w:asciiTheme="majorEastAsia" w:hAnsiTheme="majorEastAsia" w:eastAsiaTheme="majorEastAsia" w:cstheme="majorEastAsia"/>
          <w:b w:val="0"/>
          <w:bCs/>
          <w:color w:val="auto"/>
          <w:spacing w:val="-20"/>
          <w:sz w:val="28"/>
          <w:szCs w:val="28"/>
          <w:highlight w:val="none"/>
        </w:rPr>
        <w:t xml:space="preserve"> 发 布 日 期</w:t>
      </w:r>
      <w:r>
        <w:rPr>
          <w:rFonts w:hint="eastAsia" w:asciiTheme="majorEastAsia" w:hAnsiTheme="majorEastAsia" w:eastAsiaTheme="majorEastAsia" w:cstheme="majorEastAsia"/>
          <w:b w:val="0"/>
          <w:bCs/>
          <w:color w:val="auto"/>
          <w:spacing w:val="-20"/>
          <w:sz w:val="28"/>
          <w:szCs w:val="28"/>
          <w:highlight w:val="none"/>
          <w:lang w:val="en-US" w:eastAsia="zh-CN"/>
        </w:rPr>
        <w:t xml:space="preserve">   </w:t>
      </w:r>
      <w:r>
        <w:rPr>
          <w:rFonts w:hint="eastAsia" w:asciiTheme="majorEastAsia" w:hAnsiTheme="majorEastAsia" w:eastAsiaTheme="majorEastAsia" w:cstheme="majorEastAsia"/>
          <w:b w:val="0"/>
          <w:bCs/>
          <w:color w:val="auto"/>
          <w:spacing w:val="-20"/>
          <w:sz w:val="28"/>
          <w:szCs w:val="28"/>
          <w:highlight w:val="none"/>
        </w:rPr>
        <w:t>：</w:t>
      </w:r>
      <w:r>
        <w:rPr>
          <w:rFonts w:hint="eastAsia" w:asciiTheme="majorEastAsia" w:hAnsiTheme="majorEastAsia" w:eastAsiaTheme="majorEastAsia" w:cstheme="majorEastAsia"/>
          <w:b w:val="0"/>
          <w:bCs/>
          <w:color w:val="auto"/>
          <w:sz w:val="28"/>
          <w:szCs w:val="28"/>
          <w:highlight w:val="none"/>
          <w:u w:val="single"/>
        </w:rPr>
        <w:t xml:space="preserve">         </w:t>
      </w:r>
      <w:r>
        <w:rPr>
          <w:rFonts w:hint="eastAsia" w:asciiTheme="majorEastAsia" w:hAnsiTheme="majorEastAsia" w:eastAsiaTheme="majorEastAsia" w:cstheme="majorEastAsia"/>
          <w:b w:val="0"/>
          <w:bCs/>
          <w:color w:val="auto"/>
          <w:sz w:val="28"/>
          <w:szCs w:val="28"/>
          <w:highlight w:val="none"/>
          <w:u w:val="single"/>
          <w:lang w:val="en-US" w:eastAsia="zh-CN"/>
        </w:rPr>
        <w:t xml:space="preserve">  </w:t>
      </w:r>
      <w:r>
        <w:rPr>
          <w:rFonts w:hint="eastAsia" w:asciiTheme="majorEastAsia" w:hAnsiTheme="majorEastAsia" w:eastAsiaTheme="majorEastAsia" w:cstheme="majorEastAsia"/>
          <w:b w:val="0"/>
          <w:bCs/>
          <w:color w:val="auto"/>
          <w:sz w:val="28"/>
          <w:szCs w:val="28"/>
          <w:highlight w:val="none"/>
          <w:u w:val="single"/>
        </w:rPr>
        <w:t xml:space="preserve"> 202</w:t>
      </w:r>
      <w:r>
        <w:rPr>
          <w:rFonts w:hint="eastAsia" w:asciiTheme="majorEastAsia" w:hAnsiTheme="majorEastAsia" w:eastAsiaTheme="majorEastAsia" w:cstheme="majorEastAsia"/>
          <w:b w:val="0"/>
          <w:bCs/>
          <w:color w:val="auto"/>
          <w:sz w:val="28"/>
          <w:szCs w:val="28"/>
          <w:highlight w:val="none"/>
          <w:u w:val="single"/>
          <w:lang w:val="en-US" w:eastAsia="zh-CN"/>
        </w:rPr>
        <w:t>5</w:t>
      </w:r>
      <w:r>
        <w:rPr>
          <w:rFonts w:hint="eastAsia" w:asciiTheme="majorEastAsia" w:hAnsiTheme="majorEastAsia" w:eastAsiaTheme="majorEastAsia" w:cstheme="majorEastAsia"/>
          <w:b w:val="0"/>
          <w:bCs/>
          <w:color w:val="auto"/>
          <w:sz w:val="28"/>
          <w:szCs w:val="28"/>
          <w:highlight w:val="none"/>
          <w:u w:val="single"/>
        </w:rPr>
        <w:t>年</w:t>
      </w:r>
      <w:r>
        <w:rPr>
          <w:rFonts w:hint="eastAsia" w:asciiTheme="majorEastAsia" w:hAnsiTheme="majorEastAsia" w:eastAsiaTheme="majorEastAsia" w:cstheme="majorEastAsia"/>
          <w:b w:val="0"/>
          <w:bCs/>
          <w:color w:val="auto"/>
          <w:sz w:val="28"/>
          <w:szCs w:val="28"/>
          <w:highlight w:val="none"/>
          <w:u w:val="single"/>
          <w:lang w:val="en-US" w:eastAsia="zh-CN"/>
        </w:rPr>
        <w:t>9</w:t>
      </w:r>
      <w:r>
        <w:rPr>
          <w:rFonts w:hint="eastAsia" w:asciiTheme="majorEastAsia" w:hAnsiTheme="majorEastAsia" w:eastAsiaTheme="majorEastAsia" w:cstheme="majorEastAsia"/>
          <w:b w:val="0"/>
          <w:bCs/>
          <w:color w:val="auto"/>
          <w:sz w:val="28"/>
          <w:szCs w:val="28"/>
          <w:highlight w:val="none"/>
          <w:u w:val="single"/>
        </w:rPr>
        <w:t xml:space="preserve">月                   </w:t>
      </w:r>
      <w:r>
        <w:rPr>
          <w:rFonts w:hint="eastAsia" w:asciiTheme="majorEastAsia" w:hAnsiTheme="majorEastAsia" w:eastAsiaTheme="majorEastAsia" w:cstheme="majorEastAsia"/>
          <w:b/>
          <w:color w:val="auto"/>
          <w:spacing w:val="-20"/>
          <w:sz w:val="28"/>
          <w:szCs w:val="28"/>
          <w:highlight w:val="none"/>
          <w:u w:val="single"/>
        </w:rPr>
        <w:t xml:space="preserve"> </w:t>
      </w:r>
    </w:p>
    <w:p w14:paraId="29C5263B">
      <w:pPr>
        <w:pStyle w:val="28"/>
        <w:pageBreakBefore w:val="0"/>
        <w:kinsoku/>
        <w:topLinePunct w:val="0"/>
        <w:bidi w:val="0"/>
        <w:ind w:left="0" w:leftChars="0" w:right="0" w:rightChars="0" w:firstLine="560" w:firstLineChars="200"/>
        <w:rPr>
          <w:rFonts w:hint="eastAsia" w:asciiTheme="majorEastAsia" w:hAnsiTheme="majorEastAsia" w:eastAsiaTheme="majorEastAsia" w:cstheme="majorEastAsia"/>
          <w:color w:val="auto"/>
          <w:sz w:val="28"/>
          <w:szCs w:val="28"/>
          <w:highlight w:val="none"/>
        </w:rPr>
      </w:pPr>
    </w:p>
    <w:p w14:paraId="7AC4B998">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p>
    <w:p w14:paraId="2C7356CF">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p>
    <w:p w14:paraId="459496B7">
      <w:pPr>
        <w:pStyle w:val="28"/>
        <w:rPr>
          <w:rFonts w:hint="eastAsia" w:ascii="宋体" w:hAnsi="宋体" w:eastAsia="宋体"/>
          <w:b/>
          <w:color w:val="auto"/>
          <w:sz w:val="28"/>
          <w:highlight w:val="none"/>
        </w:rPr>
      </w:pPr>
    </w:p>
    <w:p w14:paraId="64F6EBCB">
      <w:pPr>
        <w:rPr>
          <w:rFonts w:hint="eastAsia"/>
          <w:color w:val="auto"/>
          <w:highlight w:val="none"/>
        </w:rPr>
      </w:pPr>
    </w:p>
    <w:p w14:paraId="558A60A1">
      <w:pPr>
        <w:rPr>
          <w:rFonts w:hint="eastAsia"/>
          <w:color w:val="auto"/>
          <w:highlight w:val="none"/>
        </w:rPr>
      </w:pPr>
    </w:p>
    <w:p w14:paraId="1DA538E9">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69DE8FD2">
      <w:pPr>
        <w:pStyle w:val="22"/>
        <w:tabs>
          <w:tab w:val="right" w:leader="dot" w:pos="8279"/>
        </w:tabs>
        <w:rPr>
          <w:color w:val="auto"/>
          <w:highlight w:val="none"/>
        </w:rPr>
      </w:pPr>
      <w:r>
        <w:rPr>
          <w:rFonts w:asciiTheme="minorEastAsia" w:hAnsiTheme="minorEastAsia"/>
          <w:b/>
          <w:bCs/>
          <w:color w:val="auto"/>
          <w:sz w:val="24"/>
          <w:szCs w:val="24"/>
          <w:highlight w:val="none"/>
        </w:rPr>
        <w:fldChar w:fldCharType="begin"/>
      </w:r>
      <w:r>
        <w:rPr>
          <w:rFonts w:asciiTheme="minorEastAsia" w:hAnsiTheme="minorEastAsia"/>
          <w:b/>
          <w:bCs/>
          <w:color w:val="auto"/>
          <w:sz w:val="24"/>
          <w:szCs w:val="24"/>
          <w:highlight w:val="none"/>
        </w:rPr>
        <w:instrText xml:space="preserve"> </w:instrText>
      </w:r>
      <w:r>
        <w:rPr>
          <w:rFonts w:hint="eastAsia" w:asciiTheme="minorEastAsia" w:hAnsiTheme="minorEastAsia"/>
          <w:b/>
          <w:bCs/>
          <w:color w:val="auto"/>
          <w:sz w:val="24"/>
          <w:szCs w:val="24"/>
          <w:highlight w:val="none"/>
        </w:rPr>
        <w:instrText xml:space="preserve">TOC \o "1-2" \h \z \u</w:instrText>
      </w:r>
      <w:r>
        <w:rPr>
          <w:rFonts w:asciiTheme="minorEastAsia" w:hAnsiTheme="minorEastAsia"/>
          <w:b/>
          <w:bCs/>
          <w:color w:val="auto"/>
          <w:sz w:val="24"/>
          <w:szCs w:val="24"/>
          <w:highlight w:val="none"/>
        </w:rPr>
        <w:instrText xml:space="preserve"> </w:instrText>
      </w:r>
      <w:r>
        <w:rPr>
          <w:rFonts w:asciiTheme="minorEastAsia" w:hAnsiTheme="minorEastAsia"/>
          <w:b/>
          <w:bCs/>
          <w:color w:val="auto"/>
          <w:sz w:val="24"/>
          <w:szCs w:val="24"/>
          <w:highlight w:val="none"/>
        </w:rPr>
        <w:fldChar w:fldCharType="separate"/>
      </w: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_Toc21914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 xml:space="preserve">第一章 </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谈判邀请</w:t>
      </w:r>
      <w:r>
        <w:rPr>
          <w:color w:val="auto"/>
          <w:highlight w:val="none"/>
        </w:rPr>
        <w:tab/>
      </w:r>
      <w:r>
        <w:rPr>
          <w:rFonts w:hint="eastAsia"/>
          <w:color w:val="auto"/>
          <w:highlight w:val="none"/>
          <w:lang w:val="en-US" w:eastAsia="zh-CN"/>
        </w:rPr>
        <w:t>3</w:t>
      </w:r>
      <w:r>
        <w:rPr>
          <w:rFonts w:asciiTheme="minorEastAsia" w:hAnsiTheme="minorEastAsia"/>
          <w:bCs/>
          <w:color w:val="auto"/>
          <w:szCs w:val="24"/>
          <w:highlight w:val="none"/>
        </w:rPr>
        <w:fldChar w:fldCharType="end"/>
      </w:r>
    </w:p>
    <w:p w14:paraId="1F0A2F4E">
      <w:pPr>
        <w:pStyle w:val="22"/>
        <w:tabs>
          <w:tab w:val="right" w:leader="dot" w:pos="8279"/>
        </w:tabs>
        <w:rPr>
          <w:color w:val="auto"/>
          <w:highlight w:val="none"/>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_Toc5721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第二章</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 xml:space="preserve"> 供应商</w:t>
      </w:r>
      <w:r>
        <w:rPr>
          <w:rFonts w:asciiTheme="minorEastAsia" w:hAnsiTheme="minorEastAsia" w:eastAsiaTheme="minorEastAsia"/>
          <w:color w:val="auto"/>
          <w:highlight w:val="none"/>
        </w:rPr>
        <w:t>须知</w:t>
      </w:r>
      <w:r>
        <w:rPr>
          <w:color w:val="auto"/>
          <w:highlight w:val="none"/>
        </w:rPr>
        <w:tab/>
      </w:r>
      <w:r>
        <w:rPr>
          <w:rFonts w:hint="eastAsia"/>
          <w:color w:val="auto"/>
          <w:highlight w:val="none"/>
          <w:lang w:val="en-US" w:eastAsia="zh-CN"/>
        </w:rPr>
        <w:t>6</w:t>
      </w:r>
      <w:r>
        <w:rPr>
          <w:rFonts w:asciiTheme="minorEastAsia" w:hAnsiTheme="minorEastAsia"/>
          <w:bCs/>
          <w:color w:val="auto"/>
          <w:szCs w:val="24"/>
          <w:highlight w:val="none"/>
        </w:rPr>
        <w:fldChar w:fldCharType="end"/>
      </w:r>
    </w:p>
    <w:p w14:paraId="625DD243">
      <w:pPr>
        <w:pStyle w:val="22"/>
        <w:tabs>
          <w:tab w:val="right" w:leader="dot" w:pos="8279"/>
        </w:tabs>
        <w:rPr>
          <w:color w:val="auto"/>
          <w:highlight w:val="none"/>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_Toc12846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_Toc12846 \h </w:instrText>
      </w:r>
      <w:r>
        <w:rPr>
          <w:color w:val="auto"/>
          <w:highlight w:val="none"/>
        </w:rPr>
        <w:fldChar w:fldCharType="separate"/>
      </w:r>
      <w:r>
        <w:rPr>
          <w:rFonts w:hint="eastAsia"/>
          <w:color w:val="auto"/>
          <w:highlight w:val="none"/>
          <w:lang w:val="en-US" w:eastAsia="zh-CN"/>
        </w:rPr>
        <w:t>18</w:t>
      </w:r>
      <w:r>
        <w:rPr>
          <w:color w:val="auto"/>
          <w:highlight w:val="none"/>
        </w:rPr>
        <w:fldChar w:fldCharType="end"/>
      </w:r>
      <w:r>
        <w:rPr>
          <w:rFonts w:asciiTheme="minorEastAsia" w:hAnsiTheme="minorEastAsia"/>
          <w:bCs/>
          <w:color w:val="auto"/>
          <w:szCs w:val="24"/>
          <w:highlight w:val="none"/>
        </w:rPr>
        <w:fldChar w:fldCharType="end"/>
      </w:r>
    </w:p>
    <w:p w14:paraId="6636BFD1">
      <w:pPr>
        <w:pStyle w:val="22"/>
        <w:tabs>
          <w:tab w:val="right" w:leader="dot" w:pos="8279"/>
        </w:tabs>
        <w:rPr>
          <w:rFonts w:hint="eastAsia" w:eastAsiaTheme="minorEastAsia"/>
          <w:color w:val="auto"/>
          <w:highlight w:val="none"/>
          <w:lang w:val="en-US" w:eastAsia="zh-CN"/>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_Toc23236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第四章  评审方法和标准</w:t>
      </w:r>
      <w:r>
        <w:rPr>
          <w:color w:val="auto"/>
          <w:highlight w:val="none"/>
        </w:rPr>
        <w:tab/>
      </w:r>
      <w:r>
        <w:rPr>
          <w:rFonts w:hint="eastAsia"/>
          <w:color w:val="auto"/>
          <w:highlight w:val="none"/>
          <w:lang w:val="en-US" w:eastAsia="zh-CN"/>
        </w:rPr>
        <w:t>2</w:t>
      </w:r>
      <w:r>
        <w:rPr>
          <w:rFonts w:asciiTheme="minorEastAsia" w:hAnsiTheme="minorEastAsia"/>
          <w:bCs/>
          <w:color w:val="auto"/>
          <w:szCs w:val="24"/>
          <w:highlight w:val="none"/>
        </w:rPr>
        <w:fldChar w:fldCharType="end"/>
      </w:r>
      <w:r>
        <w:rPr>
          <w:rFonts w:hint="eastAsia" w:asciiTheme="minorEastAsia" w:hAnsiTheme="minorEastAsia"/>
          <w:bCs/>
          <w:color w:val="auto"/>
          <w:szCs w:val="24"/>
          <w:highlight w:val="none"/>
          <w:lang w:val="en-US" w:eastAsia="zh-CN"/>
        </w:rPr>
        <w:t>0</w:t>
      </w:r>
    </w:p>
    <w:p w14:paraId="3A07B96F">
      <w:pPr>
        <w:pStyle w:val="22"/>
        <w:tabs>
          <w:tab w:val="right" w:leader="dot" w:pos="8279"/>
        </w:tabs>
        <w:rPr>
          <w:rFonts w:hint="eastAsia" w:eastAsiaTheme="minorEastAsia"/>
          <w:color w:val="auto"/>
          <w:highlight w:val="none"/>
          <w:lang w:val="en-US" w:eastAsia="zh-CN"/>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_Toc27310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 xml:space="preserve">第五章  </w:t>
      </w:r>
      <w:r>
        <w:rPr>
          <w:rFonts w:asciiTheme="minorEastAsia" w:hAnsiTheme="minorEastAsia" w:eastAsiaTheme="minorEastAsia"/>
          <w:color w:val="auto"/>
          <w:highlight w:val="none"/>
        </w:rPr>
        <w:t>政府采购合同</w:t>
      </w:r>
      <w:r>
        <w:rPr>
          <w:color w:val="auto"/>
          <w:highlight w:val="none"/>
        </w:rPr>
        <w:tab/>
      </w:r>
      <w:r>
        <w:rPr>
          <w:rFonts w:hint="eastAsia"/>
          <w:color w:val="auto"/>
          <w:highlight w:val="none"/>
          <w:lang w:val="en-US" w:eastAsia="zh-CN"/>
        </w:rPr>
        <w:t>2</w:t>
      </w:r>
      <w:r>
        <w:rPr>
          <w:rFonts w:asciiTheme="minorEastAsia" w:hAnsiTheme="minorEastAsia"/>
          <w:bCs/>
          <w:color w:val="auto"/>
          <w:szCs w:val="24"/>
          <w:highlight w:val="none"/>
        </w:rPr>
        <w:fldChar w:fldCharType="end"/>
      </w:r>
      <w:r>
        <w:rPr>
          <w:rFonts w:hint="eastAsia" w:asciiTheme="minorEastAsia" w:hAnsiTheme="minorEastAsia"/>
          <w:bCs/>
          <w:color w:val="auto"/>
          <w:szCs w:val="24"/>
          <w:highlight w:val="none"/>
          <w:lang w:val="en-US" w:eastAsia="zh-CN"/>
        </w:rPr>
        <w:t>4</w:t>
      </w:r>
    </w:p>
    <w:p w14:paraId="4A5E42A8">
      <w:pPr>
        <w:pStyle w:val="22"/>
        <w:tabs>
          <w:tab w:val="right" w:leader="dot" w:pos="8279"/>
        </w:tabs>
        <w:rPr>
          <w:rFonts w:hint="eastAsia" w:eastAsiaTheme="minorEastAsia"/>
          <w:color w:val="auto"/>
          <w:highlight w:val="none"/>
          <w:lang w:val="en-US" w:eastAsia="zh-CN"/>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_Toc29374 </w:instrText>
      </w:r>
      <w:r>
        <w:rPr>
          <w:rFonts w:asciiTheme="minorEastAsia" w:hAnsiTheme="minorEastAsia"/>
          <w:bCs/>
          <w:color w:val="auto"/>
          <w:szCs w:val="24"/>
          <w:highlight w:val="none"/>
        </w:rPr>
        <w:fldChar w:fldCharType="separate"/>
      </w:r>
      <w:r>
        <w:rPr>
          <w:rFonts w:hint="eastAsia" w:asciiTheme="minorEastAsia" w:hAnsiTheme="minorEastAsia" w:eastAsiaTheme="minorEastAsia"/>
          <w:color w:val="auto"/>
          <w:highlight w:val="none"/>
        </w:rPr>
        <w:t>第六章  响应文件格式</w:t>
      </w:r>
      <w:r>
        <w:rPr>
          <w:color w:val="auto"/>
          <w:highlight w:val="none"/>
        </w:rPr>
        <w:tab/>
      </w:r>
      <w:r>
        <w:rPr>
          <w:rFonts w:hint="eastAsia"/>
          <w:color w:val="auto"/>
          <w:highlight w:val="none"/>
          <w:lang w:val="en-US" w:eastAsia="zh-CN"/>
        </w:rPr>
        <w:t>3</w:t>
      </w:r>
      <w:r>
        <w:rPr>
          <w:rFonts w:asciiTheme="minorEastAsia" w:hAnsiTheme="minorEastAsia"/>
          <w:bCs/>
          <w:color w:val="auto"/>
          <w:szCs w:val="24"/>
          <w:highlight w:val="none"/>
        </w:rPr>
        <w:fldChar w:fldCharType="end"/>
      </w:r>
      <w:r>
        <w:rPr>
          <w:rFonts w:hint="eastAsia" w:asciiTheme="minorEastAsia" w:hAnsiTheme="minorEastAsia"/>
          <w:bCs/>
          <w:color w:val="auto"/>
          <w:szCs w:val="24"/>
          <w:highlight w:val="none"/>
          <w:lang w:val="en-US" w:eastAsia="zh-CN"/>
        </w:rPr>
        <w:t>3</w:t>
      </w:r>
    </w:p>
    <w:p w14:paraId="1F3BF413">
      <w:pPr>
        <w:pStyle w:val="22"/>
        <w:tabs>
          <w:tab w:val="right" w:leader="dot" w:pos="8279"/>
        </w:tabs>
        <w:rPr>
          <w:rFonts w:hint="eastAsia" w:eastAsiaTheme="minorEastAsia"/>
          <w:color w:val="auto"/>
          <w:highlight w:val="none"/>
          <w:lang w:val="en-US" w:eastAsia="zh-CN"/>
        </w:rPr>
      </w:pPr>
      <w:r>
        <w:rPr>
          <w:rFonts w:asciiTheme="minorEastAsia" w:hAnsiTheme="minorEastAsia"/>
          <w:bCs/>
          <w:color w:val="auto"/>
          <w:szCs w:val="24"/>
          <w:highlight w:val="none"/>
        </w:rPr>
        <w:fldChar w:fldCharType="begin"/>
      </w:r>
      <w:r>
        <w:rPr>
          <w:rFonts w:asciiTheme="minorEastAsia" w:hAnsiTheme="minorEastAsia"/>
          <w:bCs/>
          <w:color w:val="auto"/>
          <w:szCs w:val="24"/>
          <w:highlight w:val="none"/>
        </w:rPr>
        <w:instrText xml:space="preserve"> HYPERLINK \l _Toc19945 </w:instrText>
      </w:r>
      <w:r>
        <w:rPr>
          <w:rFonts w:asciiTheme="minorEastAsia" w:hAnsiTheme="minorEastAsia"/>
          <w:bCs/>
          <w:color w:val="auto"/>
          <w:szCs w:val="24"/>
          <w:highlight w:val="none"/>
        </w:rPr>
        <w:fldChar w:fldCharType="separate"/>
      </w:r>
      <w:r>
        <w:rPr>
          <w:rFonts w:hint="eastAsia" w:ascii="宋体" w:hAnsi="宋体" w:eastAsia="宋体"/>
          <w:bCs/>
          <w:color w:val="auto"/>
          <w:highlight w:val="none"/>
        </w:rPr>
        <w:t>第</w:t>
      </w:r>
      <w:r>
        <w:rPr>
          <w:rFonts w:hint="eastAsia" w:ascii="宋体" w:hAnsi="宋体" w:eastAsia="宋体"/>
          <w:bCs/>
          <w:color w:val="auto"/>
          <w:highlight w:val="none"/>
          <w:lang w:val="en-US" w:eastAsia="zh-CN"/>
        </w:rPr>
        <w:t>七</w:t>
      </w:r>
      <w:r>
        <w:rPr>
          <w:rFonts w:hint="eastAsia" w:ascii="宋体" w:hAnsi="宋体" w:eastAsia="宋体"/>
          <w:bCs/>
          <w:color w:val="auto"/>
          <w:highlight w:val="none"/>
        </w:rPr>
        <w:t xml:space="preserve">章 </w:t>
      </w:r>
      <w:r>
        <w:rPr>
          <w:rFonts w:hint="eastAsia"/>
          <w:bCs/>
          <w:color w:val="auto"/>
          <w:highlight w:val="none"/>
        </w:rPr>
        <w:t xml:space="preserve"> </w:t>
      </w:r>
      <w:r>
        <w:rPr>
          <w:rFonts w:hint="eastAsia" w:ascii="宋体" w:hAnsi="宋体" w:eastAsia="宋体"/>
          <w:bCs/>
          <w:color w:val="auto"/>
          <w:highlight w:val="none"/>
        </w:rPr>
        <w:t>政府采购</w:t>
      </w:r>
      <w:r>
        <w:rPr>
          <w:rFonts w:hint="eastAsia" w:asciiTheme="minorEastAsia" w:hAnsiTheme="minorEastAsia" w:eastAsiaTheme="minorEastAsia"/>
          <w:color w:val="auto"/>
          <w:highlight w:val="none"/>
        </w:rPr>
        <w:t>供应</w:t>
      </w:r>
      <w:r>
        <w:rPr>
          <w:rFonts w:hint="eastAsia" w:ascii="宋体" w:hAnsi="宋体" w:eastAsia="宋体"/>
          <w:bCs/>
          <w:color w:val="auto"/>
          <w:highlight w:val="none"/>
        </w:rPr>
        <w:t>商询问函和质疑函范本</w:t>
      </w:r>
      <w:r>
        <w:rPr>
          <w:color w:val="auto"/>
          <w:highlight w:val="none"/>
        </w:rPr>
        <w:tab/>
      </w:r>
      <w:r>
        <w:rPr>
          <w:rFonts w:hint="eastAsia"/>
          <w:color w:val="auto"/>
          <w:highlight w:val="none"/>
          <w:lang w:val="en-US" w:eastAsia="zh-CN"/>
        </w:rPr>
        <w:t>4</w:t>
      </w:r>
      <w:r>
        <w:rPr>
          <w:rFonts w:asciiTheme="minorEastAsia" w:hAnsiTheme="minorEastAsia"/>
          <w:bCs/>
          <w:color w:val="auto"/>
          <w:szCs w:val="24"/>
          <w:highlight w:val="none"/>
        </w:rPr>
        <w:fldChar w:fldCharType="end"/>
      </w:r>
      <w:r>
        <w:rPr>
          <w:rFonts w:hint="eastAsia" w:asciiTheme="minorEastAsia" w:hAnsiTheme="minorEastAsia"/>
          <w:bCs/>
          <w:color w:val="auto"/>
          <w:szCs w:val="24"/>
          <w:highlight w:val="none"/>
          <w:lang w:val="en-US" w:eastAsia="zh-CN"/>
        </w:rPr>
        <w:t>4</w:t>
      </w:r>
    </w:p>
    <w:p w14:paraId="2BD706B4">
      <w:pPr>
        <w:pStyle w:val="23"/>
        <w:tabs>
          <w:tab w:val="right" w:leader="dot" w:pos="8296"/>
        </w:tabs>
        <w:rPr>
          <w:rFonts w:asciiTheme="minorEastAsia" w:hAnsiTheme="minorEastAsia"/>
          <w:b/>
          <w:color w:val="auto"/>
          <w:sz w:val="32"/>
          <w:highlight w:val="none"/>
        </w:rPr>
      </w:pPr>
      <w:r>
        <w:rPr>
          <w:rFonts w:asciiTheme="minorEastAsia" w:hAnsiTheme="minorEastAsia"/>
          <w:bCs/>
          <w:color w:val="auto"/>
          <w:szCs w:val="24"/>
          <w:highlight w:val="none"/>
        </w:rPr>
        <w:fldChar w:fldCharType="end"/>
      </w:r>
    </w:p>
    <w:p w14:paraId="62B83D16">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78BF970C">
      <w:pPr>
        <w:spacing w:line="360" w:lineRule="auto"/>
        <w:jc w:val="center"/>
        <w:outlineLvl w:val="0"/>
        <w:rPr>
          <w:rFonts w:asciiTheme="minorEastAsia" w:hAnsiTheme="minorEastAsia" w:eastAsiaTheme="minorEastAsia"/>
          <w:b/>
          <w:color w:val="auto"/>
          <w:sz w:val="28"/>
          <w:highlight w:val="none"/>
        </w:rPr>
      </w:pPr>
      <w:bookmarkStart w:id="0" w:name="_Toc21914"/>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谈判邀请</w:t>
      </w:r>
      <w:bookmarkEnd w:id="0"/>
    </w:p>
    <w:p w14:paraId="4DA47029">
      <w:pPr>
        <w:autoSpaceDE w:val="0"/>
        <w:autoSpaceDN w:val="0"/>
        <w:adjustRightInd w:val="0"/>
        <w:spacing w:line="480" w:lineRule="exact"/>
        <w:ind w:firstLine="439" w:firstLineChars="182"/>
        <w:jc w:val="left"/>
        <w:rPr>
          <w:rFonts w:ascii="宋体" w:hAnsi="宋体" w:eastAsia="宋体"/>
          <w:b/>
          <w:bCs/>
          <w:color w:val="auto"/>
          <w:sz w:val="24"/>
          <w:szCs w:val="18"/>
          <w:highlight w:val="none"/>
        </w:rPr>
      </w:pPr>
      <w:bookmarkStart w:id="1" w:name="_Toc7340"/>
      <w:bookmarkStart w:id="2" w:name="_Toc21967"/>
      <w:r>
        <w:rPr>
          <w:rFonts w:hint="eastAsia" w:ascii="宋体" w:hAnsi="宋体" w:eastAsia="宋体"/>
          <w:b/>
          <w:bCs/>
          <w:color w:val="auto"/>
          <w:sz w:val="24"/>
          <w:szCs w:val="18"/>
          <w:highlight w:val="none"/>
        </w:rPr>
        <w:t>项目概况</w:t>
      </w:r>
    </w:p>
    <w:p w14:paraId="35A61024">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r>
        <w:rPr>
          <w:rFonts w:hint="eastAsia" w:ascii="宋体" w:hAnsi="宋体" w:eastAsia="宋体"/>
          <w:color w:val="auto"/>
          <w:sz w:val="24"/>
          <w:szCs w:val="18"/>
          <w:highlight w:val="none"/>
          <w:u w:val="single"/>
          <w:lang w:val="en-US" w:eastAsia="zh-CN"/>
        </w:rPr>
        <w:t>滁州市公安局4G执法记录仪流量服务（二次）</w:t>
      </w:r>
      <w:r>
        <w:rPr>
          <w:rFonts w:hint="eastAsia" w:ascii="宋体" w:hAnsi="宋体" w:eastAsia="宋体"/>
          <w:color w:val="auto"/>
          <w:sz w:val="24"/>
          <w:szCs w:val="18"/>
          <w:highlight w:val="none"/>
        </w:rPr>
        <w:t>的潜在供应商应在</w:t>
      </w:r>
      <w:r>
        <w:rPr>
          <w:rFonts w:hint="eastAsia" w:ascii="宋体" w:hAnsi="宋体" w:eastAsia="宋体"/>
          <w:color w:val="auto"/>
          <w:sz w:val="24"/>
          <w:szCs w:val="18"/>
          <w:highlight w:val="none"/>
          <w:u w:val="single"/>
          <w:lang w:val="en-US" w:eastAsia="zh-CN"/>
        </w:rPr>
        <w:t>滁州市城投工程咨询管理有限公司官网（https://www.czctgczx.com/）</w:t>
      </w:r>
      <w:r>
        <w:rPr>
          <w:rFonts w:hint="eastAsia" w:ascii="宋体" w:hAnsi="宋体" w:eastAsia="宋体"/>
          <w:color w:val="auto"/>
          <w:sz w:val="24"/>
          <w:szCs w:val="18"/>
          <w:highlight w:val="none"/>
        </w:rPr>
        <w:t>获取采购文件，并于202</w:t>
      </w:r>
      <w:r>
        <w:rPr>
          <w:rFonts w:hint="eastAsia" w:ascii="宋体" w:hAnsi="宋体" w:eastAsia="宋体"/>
          <w:color w:val="auto"/>
          <w:sz w:val="24"/>
          <w:szCs w:val="18"/>
          <w:highlight w:val="none"/>
          <w:lang w:val="en-US" w:eastAsia="zh-CN"/>
        </w:rPr>
        <w:t>5</w:t>
      </w:r>
      <w:r>
        <w:rPr>
          <w:rFonts w:hint="eastAsia" w:ascii="宋体" w:hAnsi="宋体" w:eastAsia="宋体"/>
          <w:color w:val="auto"/>
          <w:sz w:val="24"/>
          <w:szCs w:val="18"/>
          <w:highlight w:val="none"/>
        </w:rPr>
        <w:t>年</w:t>
      </w:r>
      <w:r>
        <w:rPr>
          <w:rFonts w:hint="eastAsia" w:ascii="宋体" w:hAnsi="宋体" w:eastAsia="宋体"/>
          <w:color w:val="auto"/>
          <w:sz w:val="24"/>
          <w:szCs w:val="18"/>
          <w:highlight w:val="none"/>
          <w:lang w:val="en-US" w:eastAsia="zh-CN"/>
        </w:rPr>
        <w:t>9</w:t>
      </w:r>
      <w:r>
        <w:rPr>
          <w:rFonts w:hint="eastAsia" w:ascii="宋体" w:hAnsi="宋体" w:eastAsia="宋体"/>
          <w:color w:val="auto"/>
          <w:sz w:val="24"/>
          <w:szCs w:val="18"/>
          <w:highlight w:val="none"/>
        </w:rPr>
        <w:t>月</w:t>
      </w:r>
      <w:r>
        <w:rPr>
          <w:rFonts w:hint="eastAsia" w:ascii="宋体" w:hAnsi="宋体" w:eastAsia="宋体"/>
          <w:color w:val="auto"/>
          <w:sz w:val="24"/>
          <w:szCs w:val="18"/>
          <w:highlight w:val="none"/>
          <w:lang w:val="en-US" w:eastAsia="zh-CN"/>
        </w:rPr>
        <w:t>8</w:t>
      </w:r>
      <w:r>
        <w:rPr>
          <w:rFonts w:hint="eastAsia" w:ascii="宋体" w:hAnsi="宋体" w:eastAsia="宋体"/>
          <w:color w:val="auto"/>
          <w:sz w:val="24"/>
          <w:szCs w:val="18"/>
          <w:highlight w:val="none"/>
        </w:rPr>
        <w:t>日</w:t>
      </w:r>
      <w:r>
        <w:rPr>
          <w:rFonts w:hint="eastAsia" w:ascii="宋体" w:hAnsi="宋体" w:eastAsia="宋体"/>
          <w:color w:val="auto"/>
          <w:sz w:val="24"/>
          <w:szCs w:val="18"/>
          <w:highlight w:val="none"/>
          <w:lang w:val="en-US" w:eastAsia="zh-CN"/>
        </w:rPr>
        <w:t>15</w:t>
      </w:r>
      <w:r>
        <w:rPr>
          <w:rFonts w:hint="eastAsia" w:ascii="宋体" w:hAnsi="宋体" w:eastAsia="宋体"/>
          <w:color w:val="auto"/>
          <w:sz w:val="24"/>
          <w:szCs w:val="18"/>
          <w:highlight w:val="none"/>
        </w:rPr>
        <w:t>点00分（北京时间）前递交响应文件。</w:t>
      </w:r>
    </w:p>
    <w:p w14:paraId="33CEDFAD">
      <w:pPr>
        <w:spacing w:line="360" w:lineRule="auto"/>
        <w:ind w:firstLine="435"/>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一、项目名称及内容</w:t>
      </w:r>
      <w:bookmarkEnd w:id="1"/>
      <w:bookmarkEnd w:id="2"/>
    </w:p>
    <w:p w14:paraId="1EA65D3E">
      <w:pPr>
        <w:spacing w:line="480" w:lineRule="exact"/>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项目编号：HXJY1110001042232001001</w:t>
      </w:r>
      <w:r>
        <w:rPr>
          <w:rFonts w:hint="eastAsia" w:asciiTheme="minorEastAsia" w:hAnsiTheme="minorEastAsia" w:eastAsiaTheme="minorEastAsia"/>
          <w:color w:val="auto"/>
          <w:sz w:val="24"/>
          <w:highlight w:val="none"/>
          <w:lang w:val="en-US" w:eastAsia="zh-CN"/>
        </w:rPr>
        <w:t xml:space="preserve">  </w:t>
      </w:r>
    </w:p>
    <w:p w14:paraId="3C31C8FB">
      <w:pPr>
        <w:autoSpaceDE w:val="0"/>
        <w:autoSpaceDN w:val="0"/>
        <w:adjustRightInd w:val="0"/>
        <w:spacing w:line="480" w:lineRule="exact"/>
        <w:ind w:firstLine="436" w:firstLineChars="182"/>
        <w:jc w:val="left"/>
        <w:rPr>
          <w:rFonts w:hint="eastAsia" w:ascii="宋体" w:hAnsi="宋体" w:eastAsia="宋体"/>
          <w:color w:val="auto"/>
          <w:sz w:val="24"/>
          <w:szCs w:val="18"/>
          <w:highlight w:val="none"/>
          <w:lang w:eastAsia="zh-CN"/>
        </w:rPr>
      </w:pPr>
      <w:r>
        <w:rPr>
          <w:rFonts w:hint="eastAsia" w:asciiTheme="minorEastAsia" w:hAnsiTheme="minorEastAsia" w:eastAsiaTheme="minorEastAsia"/>
          <w:color w:val="auto"/>
          <w:sz w:val="24"/>
          <w:highlight w:val="none"/>
        </w:rPr>
        <w:t>项目名称：</w:t>
      </w:r>
      <w:r>
        <w:rPr>
          <w:rFonts w:hint="eastAsia" w:ascii="宋体" w:hAnsi="宋体" w:eastAsia="宋体"/>
          <w:color w:val="auto"/>
          <w:sz w:val="24"/>
          <w:szCs w:val="18"/>
          <w:highlight w:val="none"/>
          <w:u w:val="none"/>
          <w:lang w:val="en-US" w:eastAsia="zh-CN"/>
        </w:rPr>
        <w:t>滁州市公安局4G执法记录仪流量服务</w:t>
      </w:r>
    </w:p>
    <w:p w14:paraId="39087830">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采购方式：竞争性谈判</w:t>
      </w:r>
    </w:p>
    <w:p w14:paraId="1A3F5257">
      <w:pPr>
        <w:spacing w:line="480" w:lineRule="exact"/>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万元</w:t>
      </w:r>
    </w:p>
    <w:p w14:paraId="2AD6B17C">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最高限价：</w:t>
      </w:r>
      <w:r>
        <w:rPr>
          <w:rFonts w:hint="eastAsia" w:ascii="宋体" w:hAnsi="宋体" w:eastAsia="宋体"/>
          <w:color w:val="auto"/>
          <w:sz w:val="24"/>
          <w:szCs w:val="18"/>
          <w:highlight w:val="none"/>
          <w:lang w:val="en-US" w:eastAsia="zh-CN"/>
        </w:rPr>
        <w:t>本项目设置单价最高限价0.5元/G</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lang w:val="en-US" w:eastAsia="zh-CN"/>
        </w:rPr>
        <w:t>响应</w:t>
      </w:r>
      <w:r>
        <w:rPr>
          <w:rFonts w:hint="eastAsia" w:ascii="宋体" w:hAnsi="宋体" w:eastAsia="宋体"/>
          <w:color w:val="auto"/>
          <w:sz w:val="24"/>
          <w:szCs w:val="18"/>
          <w:highlight w:val="none"/>
        </w:rPr>
        <w:t>报价不得高于最高限价，否则按无效响应处理。</w:t>
      </w:r>
    </w:p>
    <w:p w14:paraId="2E65DEC8">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采购需求：</w:t>
      </w:r>
      <w:r>
        <w:rPr>
          <w:rFonts w:hint="eastAsia" w:asciiTheme="minorEastAsia" w:hAnsiTheme="minorEastAsia" w:eastAsiaTheme="minorEastAsia"/>
          <w:color w:val="auto"/>
          <w:sz w:val="24"/>
          <w:highlight w:val="none"/>
          <w:lang w:val="en-US" w:eastAsia="zh-CN"/>
        </w:rPr>
        <w:t>见采购需求。</w:t>
      </w:r>
    </w:p>
    <w:p w14:paraId="5EDF987E">
      <w:pPr>
        <w:spacing w:line="480" w:lineRule="exact"/>
        <w:ind w:firstLine="435"/>
        <w:rPr>
          <w:rFonts w:eastAsia="宋体" w:asciiTheme="minorEastAsia" w:hAnsiTheme="minorEastAsia"/>
          <w:color w:val="auto"/>
          <w:sz w:val="24"/>
          <w:highlight w:val="none"/>
        </w:rPr>
      </w:pPr>
      <w:r>
        <w:rPr>
          <w:rFonts w:hint="eastAsia" w:asciiTheme="minorEastAsia" w:hAnsiTheme="minorEastAsia" w:eastAsiaTheme="minorEastAsia"/>
          <w:color w:val="auto"/>
          <w:sz w:val="24"/>
          <w:highlight w:val="none"/>
        </w:rPr>
        <w:t>合同履行期限：</w:t>
      </w:r>
      <w:r>
        <w:rPr>
          <w:rFonts w:hint="eastAsia" w:asciiTheme="minorEastAsia" w:hAnsiTheme="minorEastAsia" w:eastAsiaTheme="minorEastAsia"/>
          <w:color w:val="auto"/>
          <w:sz w:val="24"/>
          <w:highlight w:val="none"/>
          <w:lang w:val="en-US" w:eastAsia="zh-CN"/>
        </w:rPr>
        <w:t>一年</w:t>
      </w:r>
      <w:r>
        <w:rPr>
          <w:rFonts w:hint="eastAsia" w:ascii="宋体" w:hAnsi="宋体" w:eastAsia="宋体" w:cs="宋体"/>
          <w:color w:val="auto"/>
          <w:sz w:val="24"/>
          <w:szCs w:val="24"/>
          <w:highlight w:val="none"/>
        </w:rPr>
        <w:t>。</w:t>
      </w:r>
    </w:p>
    <w:p w14:paraId="37204915">
      <w:pPr>
        <w:autoSpaceDE w:val="0"/>
        <w:autoSpaceDN w:val="0"/>
        <w:adjustRightInd w:val="0"/>
        <w:spacing w:line="360" w:lineRule="auto"/>
        <w:ind w:firstLine="436" w:firstLineChars="182"/>
        <w:jc w:val="left"/>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本项目不接受联合体。</w:t>
      </w:r>
    </w:p>
    <w:p w14:paraId="10AB0910">
      <w:pPr>
        <w:spacing w:line="360" w:lineRule="auto"/>
        <w:ind w:firstLine="435"/>
        <w:outlineLvl w:val="1"/>
        <w:rPr>
          <w:rFonts w:ascii="宋体" w:hAnsi="宋体" w:eastAsia="宋体"/>
          <w:b/>
          <w:bCs/>
          <w:color w:val="auto"/>
          <w:sz w:val="24"/>
          <w:szCs w:val="18"/>
          <w:highlight w:val="none"/>
        </w:rPr>
      </w:pPr>
      <w:bookmarkStart w:id="3" w:name="_Toc10226"/>
      <w:bookmarkStart w:id="4" w:name="_Toc9766"/>
      <w:r>
        <w:rPr>
          <w:rFonts w:hint="eastAsia" w:ascii="宋体" w:hAnsi="宋体" w:eastAsia="宋体"/>
          <w:b/>
          <w:bCs/>
          <w:color w:val="auto"/>
          <w:sz w:val="24"/>
          <w:szCs w:val="18"/>
          <w:highlight w:val="none"/>
        </w:rPr>
        <w:t>二</w:t>
      </w:r>
      <w:r>
        <w:rPr>
          <w:rFonts w:hint="eastAsia" w:asciiTheme="minorEastAsia" w:hAnsiTheme="minorEastAsia" w:eastAsiaTheme="minorEastAsia"/>
          <w:b/>
          <w:color w:val="auto"/>
          <w:sz w:val="24"/>
          <w:highlight w:val="none"/>
        </w:rPr>
        <w:t>、</w:t>
      </w:r>
      <w:bookmarkEnd w:id="3"/>
      <w:r>
        <w:rPr>
          <w:rFonts w:hint="eastAsia" w:ascii="宋体" w:hAnsi="宋体" w:eastAsia="宋体"/>
          <w:b/>
          <w:bCs/>
          <w:color w:val="auto"/>
          <w:sz w:val="24"/>
          <w:szCs w:val="18"/>
          <w:highlight w:val="none"/>
        </w:rPr>
        <w:t>申请人的资格要求</w:t>
      </w:r>
      <w:bookmarkEnd w:id="4"/>
    </w:p>
    <w:p w14:paraId="67403BA6">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1.满足《中华人民共和国政府采购法》第二十二条规定；</w:t>
      </w:r>
    </w:p>
    <w:p w14:paraId="5ACFADBF">
      <w:pPr>
        <w:spacing w:line="360" w:lineRule="auto"/>
        <w:ind w:firstLine="435"/>
        <w:rPr>
          <w:rFonts w:hint="eastAsia"/>
          <w:color w:val="auto"/>
          <w:highlight w:val="none"/>
          <w:lang w:eastAsia="zh-CN"/>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须具有《中华人民共和国增值电信业务经营许可证》；</w:t>
      </w:r>
    </w:p>
    <w:p w14:paraId="736A3F05">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bookmarkStart w:id="5" w:name="_Toc4607"/>
      <w:bookmarkStart w:id="6" w:name="_Toc31469"/>
      <w:r>
        <w:rPr>
          <w:rFonts w:hint="eastAsia" w:asciiTheme="minorEastAsia" w:hAnsiTheme="minorEastAsia" w:eastAsiaTheme="minorEastAsia"/>
          <w:color w:val="auto"/>
          <w:sz w:val="24"/>
          <w:highlight w:val="none"/>
        </w:rPr>
        <w:t>信誉要求：供应商不得存在以下情形：</w:t>
      </w:r>
    </w:p>
    <w:p w14:paraId="02CCF858">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①供应商被人民法院列入失信被执行人的；</w:t>
      </w:r>
    </w:p>
    <w:p w14:paraId="23568135">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②供应商或其法定代表人或拟派项目</w:t>
      </w:r>
      <w:r>
        <w:rPr>
          <w:rFonts w:hint="eastAsia" w:asciiTheme="minorEastAsia" w:hAnsiTheme="minorEastAsia" w:eastAsiaTheme="minorEastAsia"/>
          <w:color w:val="auto"/>
          <w:sz w:val="24"/>
          <w:highlight w:val="none"/>
          <w:lang w:val="en-US" w:eastAsia="zh-CN"/>
        </w:rPr>
        <w:t>负责人</w:t>
      </w:r>
      <w:r>
        <w:rPr>
          <w:rFonts w:hint="eastAsia" w:asciiTheme="minorEastAsia" w:hAnsiTheme="minorEastAsia" w:eastAsiaTheme="minorEastAsia"/>
          <w:color w:val="auto"/>
          <w:sz w:val="24"/>
          <w:highlight w:val="none"/>
        </w:rPr>
        <w:t>前三年有行贿犯罪行为的；</w:t>
      </w:r>
    </w:p>
    <w:p w14:paraId="7F38988C">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③供应商被市场监督管理部门列入经营异常名录或者严重违法企业名单，且未被移除的；</w:t>
      </w:r>
    </w:p>
    <w:p w14:paraId="32A48BD6">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④供应商被税务部门列入重大税收违法案件当事人的；</w:t>
      </w:r>
    </w:p>
    <w:p w14:paraId="4224E98C">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⑤供应商被政府采购监管部门列入政府采购严重违法失信行为记录名单的；</w:t>
      </w:r>
    </w:p>
    <w:p w14:paraId="0F6EEA6E">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⑥在“信用中国”网站上披露仍在公示期的严重失信行为的。</w:t>
      </w:r>
    </w:p>
    <w:p w14:paraId="46B7A291">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.供应商所属分公司、办事处等分支机构存在第</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款信誉要求①-⑥项情形之一的，接受供应商参加本项目。</w:t>
      </w:r>
    </w:p>
    <w:p w14:paraId="317E634B">
      <w:pPr>
        <w:spacing w:line="360" w:lineRule="auto"/>
        <w:ind w:firstLine="435"/>
        <w:outlineLvl w:val="1"/>
        <w:rPr>
          <w:rFonts w:hint="eastAsia" w:ascii="宋体" w:hAnsi="宋体" w:eastAsiaTheme="minorEastAsia"/>
          <w:b/>
          <w:bCs/>
          <w:color w:val="auto"/>
          <w:sz w:val="24"/>
          <w:szCs w:val="18"/>
          <w:highlight w:val="none"/>
          <w:lang w:eastAsia="zh-CN"/>
        </w:rPr>
      </w:pPr>
      <w:r>
        <w:rPr>
          <w:rFonts w:hint="eastAsia" w:asciiTheme="minorEastAsia" w:hAnsiTheme="minorEastAsia" w:eastAsiaTheme="minorEastAsia"/>
          <w:color w:val="auto"/>
          <w:sz w:val="24"/>
          <w:highlight w:val="none"/>
        </w:rPr>
        <w:t>备注：第</w:t>
      </w:r>
      <w:r>
        <w:rPr>
          <w:rFonts w:hint="eastAsia" w:asciiTheme="minorEastAsia" w:hAnsiTheme="minorEastAsia" w:eastAsiaTheme="minorEastAsia"/>
          <w:color w:val="auto"/>
          <w:sz w:val="24"/>
          <w:highlight w:val="none"/>
          <w:lang w:val="en-US" w:eastAsia="zh-CN"/>
        </w:rPr>
        <w:t>3、4</w:t>
      </w:r>
      <w:r>
        <w:rPr>
          <w:rFonts w:hint="eastAsia" w:asciiTheme="minorEastAsia" w:hAnsiTheme="minorEastAsia" w:eastAsiaTheme="minorEastAsia"/>
          <w:color w:val="auto"/>
          <w:sz w:val="24"/>
          <w:highlight w:val="none"/>
        </w:rPr>
        <w:t>条按照“关于联合惩戒失信行为加强信用查询管理的通知”查询或承诺</w:t>
      </w:r>
      <w:r>
        <w:rPr>
          <w:rFonts w:hint="eastAsia" w:asciiTheme="minorEastAsia" w:hAnsiTheme="minorEastAsia" w:eastAsiaTheme="minorEastAsia"/>
          <w:color w:val="auto"/>
          <w:sz w:val="24"/>
          <w:highlight w:val="none"/>
          <w:lang w:eastAsia="zh-CN"/>
        </w:rPr>
        <w:t>。</w:t>
      </w:r>
    </w:p>
    <w:p w14:paraId="551F470A">
      <w:pPr>
        <w:spacing w:line="360" w:lineRule="auto"/>
        <w:ind w:firstLine="435"/>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三</w:t>
      </w:r>
      <w:r>
        <w:rPr>
          <w:rFonts w:hint="eastAsia" w:asciiTheme="minorEastAsia" w:hAnsiTheme="minorEastAsia" w:eastAsiaTheme="minorEastAsia"/>
          <w:b/>
          <w:color w:val="auto"/>
          <w:sz w:val="24"/>
          <w:highlight w:val="none"/>
        </w:rPr>
        <w:t>、</w:t>
      </w:r>
      <w:bookmarkEnd w:id="5"/>
      <w:r>
        <w:rPr>
          <w:rFonts w:hint="eastAsia" w:asciiTheme="minorEastAsia" w:hAnsiTheme="minorEastAsia" w:eastAsiaTheme="minorEastAsia"/>
          <w:b/>
          <w:color w:val="auto"/>
          <w:sz w:val="24"/>
          <w:highlight w:val="none"/>
        </w:rPr>
        <w:t>获取采购文件</w:t>
      </w:r>
      <w:bookmarkEnd w:id="6"/>
    </w:p>
    <w:p w14:paraId="7181F4A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u w:val="single"/>
          <w:lang w:val="en-US" w:eastAsia="zh-CN"/>
        </w:rPr>
        <w:t>2025</w:t>
      </w:r>
      <w:r>
        <w:rPr>
          <w:rFonts w:hint="eastAsia" w:asciiTheme="minorEastAsia" w:hAnsiTheme="minorEastAsia" w:eastAsiaTheme="minorEastAsia" w:cstheme="minorEastAsia"/>
          <w:color w:val="auto"/>
          <w:sz w:val="24"/>
          <w:szCs w:val="24"/>
          <w:highlight w:val="none"/>
          <w:u w:val="none"/>
        </w:rPr>
        <w:t>年</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single"/>
          <w:lang w:val="en-US" w:eastAsia="zh-CN"/>
        </w:rPr>
        <w:t>3</w:t>
      </w:r>
      <w:r>
        <w:rPr>
          <w:rFonts w:hint="eastAsia" w:asciiTheme="minorEastAsia" w:hAnsiTheme="minorEastAsia" w:eastAsiaTheme="minorEastAsia" w:cstheme="minorEastAsia"/>
          <w:color w:val="auto"/>
          <w:sz w:val="24"/>
          <w:szCs w:val="24"/>
          <w:highlight w:val="none"/>
          <w:u w:val="none"/>
        </w:rPr>
        <w:t>日</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val="en-US" w:eastAsia="zh-CN"/>
        </w:rPr>
        <w:t>2025</w:t>
      </w:r>
      <w:r>
        <w:rPr>
          <w:rFonts w:hint="eastAsia" w:asciiTheme="minorEastAsia" w:hAnsiTheme="minorEastAsia" w:eastAsiaTheme="minorEastAsia" w:cstheme="minorEastAsia"/>
          <w:color w:val="auto"/>
          <w:sz w:val="24"/>
          <w:szCs w:val="24"/>
          <w:highlight w:val="none"/>
          <w:u w:val="none"/>
        </w:rPr>
        <w:t>年</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single"/>
          <w:lang w:val="en-US" w:eastAsia="zh-CN"/>
        </w:rPr>
        <w:t>8</w:t>
      </w:r>
      <w:r>
        <w:rPr>
          <w:rFonts w:hint="eastAsia" w:asciiTheme="minorEastAsia" w:hAnsiTheme="minorEastAsia" w:eastAsiaTheme="minorEastAsia" w:cstheme="minorEastAsia"/>
          <w:color w:val="auto"/>
          <w:sz w:val="24"/>
          <w:szCs w:val="24"/>
          <w:highlight w:val="none"/>
          <w:u w:val="none"/>
        </w:rPr>
        <w:t>日</w:t>
      </w:r>
    </w:p>
    <w:p w14:paraId="100BCE8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color w:val="auto"/>
          <w:sz w:val="24"/>
          <w:szCs w:val="24"/>
          <w:highlight w:val="none"/>
          <w:lang w:val="en-US" w:eastAsia="zh-CN"/>
        </w:rPr>
        <w:t>滁州市城投工程咨询管理有限公司官网（https://www.czctgczx.com/）</w:t>
      </w:r>
    </w:p>
    <w:p w14:paraId="7F09462E">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式：（1）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081F6FDE">
      <w:pPr>
        <w:keepNext w:val="0"/>
        <w:keepLines w:val="0"/>
        <w:pageBreakBefore w:val="0"/>
        <w:widowControl w:val="0"/>
        <w:numPr>
          <w:ilvl w:val="0"/>
          <w:numId w:val="2"/>
        </w:numPr>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供应商登录新点电子交易平台【滁州专区】获取采购文件及其它资料（含澄清和补充说明等）。如在采购文件获取过程中遇到系统问题，请拨打技术支持服务热线4009280095或者网站首页在线客服。</w:t>
      </w:r>
    </w:p>
    <w:p w14:paraId="6B0A7D0B">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售价：0元</w:t>
      </w:r>
    </w:p>
    <w:p w14:paraId="3BDE39B2">
      <w:pPr>
        <w:spacing w:line="360" w:lineRule="auto"/>
        <w:ind w:firstLine="435"/>
        <w:outlineLvl w:val="1"/>
        <w:rPr>
          <w:rFonts w:ascii="宋体" w:hAnsi="宋体" w:eastAsia="宋体"/>
          <w:b/>
          <w:bCs/>
          <w:color w:val="auto"/>
          <w:sz w:val="24"/>
          <w:szCs w:val="18"/>
          <w:highlight w:val="none"/>
        </w:rPr>
      </w:pPr>
      <w:bookmarkStart w:id="7" w:name="_Toc19753"/>
      <w:bookmarkStart w:id="8" w:name="_Toc16674"/>
      <w:r>
        <w:rPr>
          <w:rFonts w:hint="eastAsia" w:ascii="宋体" w:hAnsi="宋体" w:eastAsia="宋体"/>
          <w:b/>
          <w:bCs/>
          <w:color w:val="auto"/>
          <w:sz w:val="24"/>
          <w:szCs w:val="18"/>
          <w:highlight w:val="none"/>
        </w:rPr>
        <w:t>四</w:t>
      </w:r>
      <w:r>
        <w:rPr>
          <w:rFonts w:hint="eastAsia" w:asciiTheme="minorEastAsia" w:hAnsiTheme="minorEastAsia" w:eastAsiaTheme="minorEastAsia"/>
          <w:b/>
          <w:color w:val="auto"/>
          <w:sz w:val="24"/>
          <w:highlight w:val="none"/>
        </w:rPr>
        <w:t>、</w:t>
      </w:r>
      <w:bookmarkEnd w:id="7"/>
      <w:r>
        <w:rPr>
          <w:rFonts w:hint="eastAsia" w:ascii="宋体" w:hAnsi="宋体" w:eastAsia="宋体"/>
          <w:b/>
          <w:bCs/>
          <w:color w:val="auto"/>
          <w:sz w:val="24"/>
          <w:highlight w:val="none"/>
        </w:rPr>
        <w:t>响应文件提交</w:t>
      </w:r>
      <w:bookmarkEnd w:id="8"/>
    </w:p>
    <w:p w14:paraId="445FE3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u w:val="none"/>
        </w:rPr>
      </w:pPr>
      <w:r>
        <w:rPr>
          <w:rFonts w:hint="eastAsia" w:asciiTheme="minorEastAsia" w:hAnsiTheme="minorEastAsia" w:eastAsiaTheme="minorEastAsia" w:cstheme="minorEastAsia"/>
          <w:bCs/>
          <w:color w:val="auto"/>
          <w:sz w:val="24"/>
          <w:szCs w:val="24"/>
          <w:highlight w:val="none"/>
          <w:u w:val="none"/>
        </w:rPr>
        <w:t>截止时间：</w:t>
      </w:r>
      <w:r>
        <w:rPr>
          <w:rFonts w:hint="eastAsia" w:asciiTheme="minorEastAsia" w:hAnsiTheme="minorEastAsia" w:eastAsiaTheme="minorEastAsia" w:cstheme="minorEastAsia"/>
          <w:b/>
          <w:bCs w:val="0"/>
          <w:color w:val="auto"/>
          <w:sz w:val="24"/>
          <w:szCs w:val="24"/>
          <w:highlight w:val="none"/>
          <w:u w:val="single"/>
          <w:lang w:val="en-US" w:eastAsia="zh-CN"/>
        </w:rPr>
        <w:t>2025</w:t>
      </w:r>
      <w:r>
        <w:rPr>
          <w:rFonts w:hint="eastAsia" w:asciiTheme="minorEastAsia" w:hAnsiTheme="minorEastAsia" w:eastAsiaTheme="minorEastAsia" w:cstheme="minorEastAsia"/>
          <w:b/>
          <w:bCs w:val="0"/>
          <w:color w:val="auto"/>
          <w:sz w:val="24"/>
          <w:szCs w:val="24"/>
          <w:highlight w:val="none"/>
          <w:u w:val="none"/>
        </w:rPr>
        <w:t>年</w:t>
      </w:r>
      <w:r>
        <w:rPr>
          <w:rFonts w:hint="eastAsia" w:asciiTheme="minorEastAsia" w:hAnsiTheme="minorEastAsia" w:eastAsiaTheme="minorEastAsia" w:cstheme="minorEastAsia"/>
          <w:b/>
          <w:bCs w:val="0"/>
          <w:color w:val="auto"/>
          <w:sz w:val="24"/>
          <w:szCs w:val="24"/>
          <w:highlight w:val="none"/>
          <w:u w:val="single"/>
          <w:lang w:val="en-US" w:eastAsia="zh-CN"/>
        </w:rPr>
        <w:t>9</w:t>
      </w:r>
      <w:r>
        <w:rPr>
          <w:rFonts w:hint="eastAsia" w:asciiTheme="minorEastAsia" w:hAnsiTheme="minorEastAsia" w:eastAsiaTheme="minorEastAsia" w:cstheme="minorEastAsia"/>
          <w:b/>
          <w:bCs w:val="0"/>
          <w:color w:val="auto"/>
          <w:sz w:val="24"/>
          <w:szCs w:val="24"/>
          <w:highlight w:val="none"/>
          <w:u w:val="none"/>
        </w:rPr>
        <w:t>月</w:t>
      </w:r>
      <w:r>
        <w:rPr>
          <w:rFonts w:hint="eastAsia" w:asciiTheme="minorEastAsia" w:hAnsiTheme="minorEastAsia" w:eastAsiaTheme="minorEastAsia" w:cstheme="minorEastAsia"/>
          <w:b/>
          <w:bCs w:val="0"/>
          <w:color w:val="auto"/>
          <w:sz w:val="24"/>
          <w:szCs w:val="24"/>
          <w:highlight w:val="none"/>
          <w:u w:val="single"/>
          <w:lang w:val="en-US" w:eastAsia="zh-CN"/>
        </w:rPr>
        <w:t>8</w:t>
      </w:r>
      <w:r>
        <w:rPr>
          <w:rFonts w:hint="eastAsia" w:asciiTheme="minorEastAsia" w:hAnsiTheme="minorEastAsia" w:eastAsiaTheme="minorEastAsia" w:cstheme="minorEastAsia"/>
          <w:b/>
          <w:bCs w:val="0"/>
          <w:color w:val="auto"/>
          <w:sz w:val="24"/>
          <w:szCs w:val="24"/>
          <w:highlight w:val="none"/>
          <w:u w:val="none"/>
        </w:rPr>
        <w:t>日</w:t>
      </w:r>
      <w:r>
        <w:rPr>
          <w:rFonts w:hint="eastAsia" w:asciiTheme="minorEastAsia" w:hAnsiTheme="minorEastAsia" w:eastAsiaTheme="minorEastAsia" w:cstheme="minorEastAsia"/>
          <w:b/>
          <w:bCs w:val="0"/>
          <w:color w:val="auto"/>
          <w:sz w:val="24"/>
          <w:szCs w:val="24"/>
          <w:highlight w:val="none"/>
          <w:u w:val="single"/>
          <w:lang w:val="en-US" w:eastAsia="zh-CN"/>
        </w:rPr>
        <w:t>15</w:t>
      </w:r>
      <w:r>
        <w:rPr>
          <w:rFonts w:hint="eastAsia" w:asciiTheme="minorEastAsia" w:hAnsiTheme="minorEastAsia" w:eastAsiaTheme="minorEastAsia" w:cstheme="minorEastAsia"/>
          <w:b/>
          <w:bCs w:val="0"/>
          <w:color w:val="auto"/>
          <w:sz w:val="24"/>
          <w:szCs w:val="24"/>
          <w:highlight w:val="none"/>
          <w:u w:val="none"/>
        </w:rPr>
        <w:t>点</w:t>
      </w:r>
      <w:r>
        <w:rPr>
          <w:rFonts w:hint="eastAsia" w:asciiTheme="minorEastAsia" w:hAnsiTheme="minorEastAsia" w:eastAsiaTheme="minorEastAsia" w:cstheme="minorEastAsia"/>
          <w:b/>
          <w:bCs w:val="0"/>
          <w:color w:val="auto"/>
          <w:sz w:val="24"/>
          <w:szCs w:val="24"/>
          <w:highlight w:val="none"/>
          <w:u w:val="single"/>
          <w:lang w:val="en-US" w:eastAsia="zh-CN"/>
        </w:rPr>
        <w:t>00</w:t>
      </w:r>
      <w:r>
        <w:rPr>
          <w:rFonts w:hint="eastAsia" w:asciiTheme="minorEastAsia" w:hAnsiTheme="minorEastAsia" w:eastAsiaTheme="minorEastAsia" w:cstheme="minorEastAsia"/>
          <w:b/>
          <w:bCs w:val="0"/>
          <w:color w:val="auto"/>
          <w:sz w:val="24"/>
          <w:szCs w:val="24"/>
          <w:highlight w:val="none"/>
          <w:u w:val="none"/>
        </w:rPr>
        <w:t>分</w:t>
      </w:r>
      <w:r>
        <w:rPr>
          <w:rFonts w:hint="eastAsia" w:asciiTheme="minorEastAsia" w:hAnsiTheme="minorEastAsia" w:eastAsiaTheme="minorEastAsia" w:cstheme="minorEastAsia"/>
          <w:bCs/>
          <w:color w:val="auto"/>
          <w:sz w:val="24"/>
          <w:szCs w:val="24"/>
          <w:highlight w:val="none"/>
        </w:rPr>
        <w:t>（北京时间）</w:t>
      </w:r>
      <w:r>
        <w:rPr>
          <w:rFonts w:hint="eastAsia" w:asciiTheme="minorEastAsia" w:hAnsiTheme="minorEastAsia" w:eastAsiaTheme="minorEastAsia" w:cstheme="minorEastAsia"/>
          <w:iCs/>
          <w:color w:val="auto"/>
          <w:sz w:val="24"/>
          <w:szCs w:val="24"/>
          <w:highlight w:val="none"/>
          <w:u w:val="none"/>
        </w:rPr>
        <w:t>（</w:t>
      </w:r>
      <w:r>
        <w:rPr>
          <w:rFonts w:hint="eastAsia" w:asciiTheme="minorEastAsia" w:hAnsiTheme="minorEastAsia" w:eastAsiaTheme="minorEastAsia" w:cstheme="minorEastAsia"/>
          <w:i/>
          <w:color w:val="auto"/>
          <w:sz w:val="24"/>
          <w:szCs w:val="24"/>
          <w:highlight w:val="none"/>
          <w:u w:val="none"/>
        </w:rPr>
        <w:t>从谈判文件开始发出之日起至供应商提交首次响应文件截止之日止不得少于3个工作日</w:t>
      </w:r>
      <w:r>
        <w:rPr>
          <w:rFonts w:hint="eastAsia" w:asciiTheme="minorEastAsia" w:hAnsiTheme="minorEastAsia" w:eastAsiaTheme="minorEastAsia" w:cstheme="minorEastAsia"/>
          <w:iCs/>
          <w:color w:val="auto"/>
          <w:sz w:val="24"/>
          <w:szCs w:val="24"/>
          <w:highlight w:val="none"/>
          <w:u w:val="none"/>
        </w:rPr>
        <w:t>）</w:t>
      </w:r>
    </w:p>
    <w:p w14:paraId="33DC184D">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default" w:ascii="宋体" w:hAnsi="宋体" w:eastAsiaTheme="minorEastAsia"/>
          <w:color w:val="auto"/>
          <w:sz w:val="24"/>
          <w:szCs w:val="18"/>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递交方式</w:t>
      </w:r>
      <w:r>
        <w:rPr>
          <w:rFonts w:hint="eastAsia" w:asciiTheme="minorEastAsia" w:hAnsiTheme="minorEastAsia" w:eastAsiaTheme="minorEastAsia" w:cstheme="minorEastAsia"/>
          <w:color w:val="auto"/>
          <w:sz w:val="24"/>
          <w:szCs w:val="24"/>
          <w:highlight w:val="none"/>
        </w:rPr>
        <w:t>：本项目仅接受供应商提交首次响应文件截止之日前登录新点电子交易平台【滁州专区】（https://www.etrading.cn/BREpointSSO/login/oauth2login?regioncode=DQ_ChuZhou）交易系统递交的加密电子响应文件</w:t>
      </w:r>
    </w:p>
    <w:p w14:paraId="3062808E">
      <w:pPr>
        <w:spacing w:line="360" w:lineRule="auto"/>
        <w:ind w:firstLine="435"/>
        <w:outlineLvl w:val="1"/>
        <w:rPr>
          <w:rFonts w:ascii="宋体" w:hAnsi="宋体" w:eastAsia="宋体"/>
          <w:b/>
          <w:bCs/>
          <w:color w:val="auto"/>
          <w:sz w:val="24"/>
          <w:szCs w:val="18"/>
          <w:highlight w:val="none"/>
        </w:rPr>
      </w:pPr>
      <w:bookmarkStart w:id="9" w:name="_Toc8953"/>
      <w:bookmarkStart w:id="10" w:name="_Toc7959"/>
      <w:r>
        <w:rPr>
          <w:rFonts w:hint="eastAsia" w:ascii="宋体" w:hAnsi="宋体" w:eastAsia="宋体"/>
          <w:b/>
          <w:bCs/>
          <w:color w:val="auto"/>
          <w:sz w:val="24"/>
          <w:szCs w:val="18"/>
          <w:highlight w:val="none"/>
        </w:rPr>
        <w:t>五</w:t>
      </w:r>
      <w:r>
        <w:rPr>
          <w:rFonts w:hint="eastAsia" w:asciiTheme="minorEastAsia" w:hAnsiTheme="minorEastAsia" w:eastAsiaTheme="minorEastAsia"/>
          <w:b/>
          <w:color w:val="auto"/>
          <w:sz w:val="24"/>
          <w:highlight w:val="none"/>
        </w:rPr>
        <w:t>、</w:t>
      </w:r>
      <w:bookmarkEnd w:id="9"/>
      <w:r>
        <w:rPr>
          <w:rFonts w:hint="eastAsia" w:ascii="宋体" w:hAnsi="宋体" w:eastAsia="宋体"/>
          <w:b/>
          <w:bCs/>
          <w:color w:val="auto"/>
          <w:sz w:val="24"/>
          <w:highlight w:val="none"/>
        </w:rPr>
        <w:t>开启</w:t>
      </w:r>
      <w:bookmarkEnd w:id="10"/>
    </w:p>
    <w:p w14:paraId="52752B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u w:val="none"/>
        </w:rPr>
        <w:t>时间：</w:t>
      </w:r>
      <w:r>
        <w:rPr>
          <w:rFonts w:hint="eastAsia" w:asciiTheme="minorEastAsia" w:hAnsiTheme="minorEastAsia" w:eastAsiaTheme="minorEastAsia" w:cstheme="minorEastAsia"/>
          <w:b/>
          <w:bCs w:val="0"/>
          <w:color w:val="auto"/>
          <w:sz w:val="24"/>
          <w:szCs w:val="24"/>
          <w:highlight w:val="none"/>
          <w:u w:val="single"/>
          <w:lang w:val="en-US" w:eastAsia="zh-CN"/>
        </w:rPr>
        <w:t>2025</w:t>
      </w:r>
      <w:r>
        <w:rPr>
          <w:rFonts w:hint="eastAsia" w:asciiTheme="minorEastAsia" w:hAnsiTheme="minorEastAsia" w:eastAsiaTheme="minorEastAsia" w:cstheme="minorEastAsia"/>
          <w:b/>
          <w:bCs w:val="0"/>
          <w:color w:val="auto"/>
          <w:sz w:val="24"/>
          <w:szCs w:val="24"/>
          <w:highlight w:val="none"/>
          <w:u w:val="none"/>
        </w:rPr>
        <w:t>年</w:t>
      </w:r>
      <w:r>
        <w:rPr>
          <w:rFonts w:hint="eastAsia" w:asciiTheme="minorEastAsia" w:hAnsiTheme="minorEastAsia" w:eastAsiaTheme="minorEastAsia" w:cstheme="minorEastAsia"/>
          <w:b/>
          <w:bCs w:val="0"/>
          <w:color w:val="auto"/>
          <w:sz w:val="24"/>
          <w:szCs w:val="24"/>
          <w:highlight w:val="none"/>
          <w:u w:val="single"/>
          <w:lang w:val="en-US" w:eastAsia="zh-CN"/>
        </w:rPr>
        <w:t>9</w:t>
      </w:r>
      <w:r>
        <w:rPr>
          <w:rFonts w:hint="eastAsia" w:asciiTheme="minorEastAsia" w:hAnsiTheme="minorEastAsia" w:eastAsiaTheme="minorEastAsia" w:cstheme="minorEastAsia"/>
          <w:b/>
          <w:bCs w:val="0"/>
          <w:color w:val="auto"/>
          <w:sz w:val="24"/>
          <w:szCs w:val="24"/>
          <w:highlight w:val="none"/>
          <w:u w:val="none"/>
        </w:rPr>
        <w:t>月</w:t>
      </w:r>
      <w:r>
        <w:rPr>
          <w:rFonts w:hint="eastAsia" w:asciiTheme="minorEastAsia" w:hAnsiTheme="minorEastAsia" w:eastAsiaTheme="minorEastAsia" w:cstheme="minorEastAsia"/>
          <w:b/>
          <w:bCs w:val="0"/>
          <w:color w:val="auto"/>
          <w:sz w:val="24"/>
          <w:szCs w:val="24"/>
          <w:highlight w:val="none"/>
          <w:u w:val="single"/>
          <w:lang w:val="en-US" w:eastAsia="zh-CN"/>
        </w:rPr>
        <w:t>8</w:t>
      </w:r>
      <w:r>
        <w:rPr>
          <w:rFonts w:hint="eastAsia" w:asciiTheme="minorEastAsia" w:hAnsiTheme="minorEastAsia" w:eastAsiaTheme="minorEastAsia" w:cstheme="minorEastAsia"/>
          <w:b/>
          <w:bCs w:val="0"/>
          <w:color w:val="auto"/>
          <w:sz w:val="24"/>
          <w:szCs w:val="24"/>
          <w:highlight w:val="none"/>
          <w:u w:val="none"/>
        </w:rPr>
        <w:t>日</w:t>
      </w:r>
      <w:r>
        <w:rPr>
          <w:rFonts w:hint="eastAsia" w:asciiTheme="minorEastAsia" w:hAnsiTheme="minorEastAsia" w:eastAsiaTheme="minorEastAsia" w:cstheme="minorEastAsia"/>
          <w:b/>
          <w:bCs w:val="0"/>
          <w:color w:val="auto"/>
          <w:sz w:val="24"/>
          <w:szCs w:val="24"/>
          <w:highlight w:val="none"/>
          <w:u w:val="single"/>
          <w:lang w:val="en-US" w:eastAsia="zh-CN"/>
        </w:rPr>
        <w:t>15</w:t>
      </w:r>
      <w:r>
        <w:rPr>
          <w:rFonts w:hint="eastAsia" w:asciiTheme="minorEastAsia" w:hAnsiTheme="minorEastAsia" w:eastAsiaTheme="minorEastAsia" w:cstheme="minorEastAsia"/>
          <w:b/>
          <w:bCs w:val="0"/>
          <w:color w:val="auto"/>
          <w:sz w:val="24"/>
          <w:szCs w:val="24"/>
          <w:highlight w:val="none"/>
          <w:u w:val="none"/>
        </w:rPr>
        <w:t>点</w:t>
      </w:r>
      <w:r>
        <w:rPr>
          <w:rFonts w:hint="eastAsia" w:asciiTheme="minorEastAsia" w:hAnsiTheme="minorEastAsia" w:eastAsiaTheme="minorEastAsia" w:cstheme="minorEastAsia"/>
          <w:b/>
          <w:bCs w:val="0"/>
          <w:color w:val="auto"/>
          <w:sz w:val="24"/>
          <w:szCs w:val="24"/>
          <w:highlight w:val="none"/>
          <w:u w:val="single"/>
          <w:lang w:val="en-US" w:eastAsia="zh-CN"/>
        </w:rPr>
        <w:t>00</w:t>
      </w:r>
      <w:r>
        <w:rPr>
          <w:rFonts w:hint="eastAsia" w:asciiTheme="minorEastAsia" w:hAnsiTheme="minorEastAsia" w:eastAsiaTheme="minorEastAsia" w:cstheme="minorEastAsia"/>
          <w:b/>
          <w:bCs w:val="0"/>
          <w:color w:val="auto"/>
          <w:sz w:val="24"/>
          <w:szCs w:val="24"/>
          <w:highlight w:val="none"/>
          <w:u w:val="none"/>
        </w:rPr>
        <w:t>分</w:t>
      </w:r>
      <w:r>
        <w:rPr>
          <w:rFonts w:hint="eastAsia" w:asciiTheme="minorEastAsia" w:hAnsiTheme="minorEastAsia" w:eastAsiaTheme="minorEastAsia" w:cstheme="minorEastAsia"/>
          <w:bCs/>
          <w:color w:val="auto"/>
          <w:sz w:val="24"/>
          <w:szCs w:val="24"/>
          <w:highlight w:val="none"/>
        </w:rPr>
        <w:t>（北京时间）</w:t>
      </w:r>
    </w:p>
    <w:p w14:paraId="41640CA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宋体" w:hAnsi="宋体" w:eastAsia="宋体"/>
          <w:color w:val="auto"/>
          <w:sz w:val="24"/>
          <w:szCs w:val="18"/>
          <w:highlight w:val="none"/>
        </w:rPr>
      </w:pPr>
      <w:r>
        <w:rPr>
          <w:rFonts w:hint="eastAsia" w:asciiTheme="minorEastAsia" w:hAnsiTheme="minorEastAsia" w:eastAsiaTheme="minorEastAsia" w:cstheme="minorEastAsia"/>
          <w:color w:val="auto"/>
          <w:sz w:val="24"/>
          <w:szCs w:val="24"/>
          <w:highlight w:val="none"/>
        </w:rPr>
        <w:t>地点：采用不见面开启，供应商登录滁州市城投工程咨询有限公司不见面开标系统参与网上开标（网址：</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"http://js.etrading.cn/EpointBidOpening/bidopeninghallaction/hall/login）。"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http://js.etrading.cn/EpointBidOpening/bidopeninghallaction/hall/login）。</w:t>
      </w:r>
      <w:r>
        <w:rPr>
          <w:rFonts w:hint="eastAsia" w:asciiTheme="minorEastAsia" w:hAnsiTheme="minorEastAsia" w:eastAsiaTheme="minorEastAsia" w:cstheme="minorEastAsia"/>
          <w:color w:val="auto"/>
          <w:sz w:val="24"/>
          <w:szCs w:val="24"/>
          <w:highlight w:val="none"/>
        </w:rPr>
        <w:fldChar w:fldCharType="end"/>
      </w:r>
    </w:p>
    <w:p w14:paraId="5E97229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1" w:name="_Toc14575"/>
      <w:bookmarkStart w:id="12" w:name="_Toc16203"/>
      <w:r>
        <w:rPr>
          <w:rFonts w:hint="eastAsia" w:ascii="宋体" w:hAnsi="宋体" w:eastAsia="宋体"/>
          <w:b/>
          <w:bCs/>
          <w:color w:val="auto"/>
          <w:sz w:val="24"/>
          <w:szCs w:val="18"/>
          <w:highlight w:val="none"/>
          <w:lang w:val="en-US" w:eastAsia="zh-CN"/>
        </w:rPr>
        <w:t>六</w:t>
      </w:r>
      <w:r>
        <w:rPr>
          <w:rFonts w:hint="eastAsia" w:ascii="宋体" w:hAnsi="宋体" w:eastAsia="宋体"/>
          <w:b/>
          <w:bCs/>
          <w:color w:val="auto"/>
          <w:sz w:val="24"/>
          <w:szCs w:val="18"/>
          <w:highlight w:val="none"/>
        </w:rPr>
        <w:t>、公告期限</w:t>
      </w:r>
      <w:bookmarkEnd w:id="11"/>
    </w:p>
    <w:p w14:paraId="7B75C6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u w:val="none"/>
        </w:rPr>
      </w:pPr>
      <w:r>
        <w:rPr>
          <w:rFonts w:hint="eastAsia" w:asciiTheme="minorEastAsia" w:hAnsiTheme="minorEastAsia" w:eastAsiaTheme="minorEastAsia" w:cstheme="minorEastAsia"/>
          <w:bCs/>
          <w:color w:val="auto"/>
          <w:sz w:val="24"/>
          <w:szCs w:val="24"/>
          <w:highlight w:val="none"/>
          <w:u w:val="none"/>
        </w:rPr>
        <w:t>自本公告发布之日起3个工作日。</w:t>
      </w:r>
    </w:p>
    <w:p w14:paraId="03749FBE">
      <w:pPr>
        <w:spacing w:line="480" w:lineRule="exact"/>
        <w:ind w:firstLine="437"/>
        <w:outlineLvl w:val="1"/>
        <w:rPr>
          <w:rFonts w:ascii="宋体" w:hAnsi="宋体" w:eastAsia="宋体"/>
          <w:b/>
          <w:bCs/>
          <w:color w:val="auto"/>
          <w:sz w:val="24"/>
          <w:szCs w:val="18"/>
          <w:highlight w:val="none"/>
        </w:rPr>
      </w:pPr>
      <w:bookmarkStart w:id="13" w:name="_Toc35393626"/>
      <w:bookmarkStart w:id="14" w:name="_Toc10195"/>
      <w:bookmarkStart w:id="15" w:name="_Toc35393795"/>
      <w:bookmarkStart w:id="16" w:name="_Toc7755"/>
      <w:r>
        <w:rPr>
          <w:rFonts w:hint="eastAsia" w:ascii="宋体" w:hAnsi="宋体" w:eastAsia="宋体"/>
          <w:b/>
          <w:bCs/>
          <w:color w:val="auto"/>
          <w:sz w:val="24"/>
          <w:szCs w:val="18"/>
          <w:highlight w:val="none"/>
        </w:rPr>
        <w:t>七、保证金金额及缴纳账户</w:t>
      </w:r>
    </w:p>
    <w:p w14:paraId="43B9E2D5">
      <w:pPr>
        <w:adjustRightInd w:val="0"/>
        <w:snapToGrid w:val="0"/>
        <w:spacing w:line="480" w:lineRule="exact"/>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是否要求供应商提交保证金：不要求。</w:t>
      </w:r>
    </w:p>
    <w:p w14:paraId="7F0F6DFF">
      <w:pPr>
        <w:spacing w:line="360" w:lineRule="auto"/>
        <w:ind w:firstLine="435"/>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八</w:t>
      </w:r>
      <w:bookmarkEnd w:id="13"/>
      <w:bookmarkEnd w:id="14"/>
      <w:bookmarkEnd w:id="15"/>
      <w:r>
        <w:rPr>
          <w:rFonts w:hint="eastAsia" w:ascii="宋体" w:hAnsi="宋体" w:eastAsia="宋体"/>
          <w:b/>
          <w:bCs/>
          <w:color w:val="auto"/>
          <w:sz w:val="24"/>
          <w:szCs w:val="18"/>
          <w:highlight w:val="none"/>
          <w:lang w:val="en-US" w:eastAsia="zh-CN"/>
        </w:rPr>
        <w:t>、</w:t>
      </w:r>
      <w:bookmarkEnd w:id="12"/>
      <w:r>
        <w:rPr>
          <w:rFonts w:hint="eastAsia" w:ascii="宋体" w:hAnsi="宋体" w:eastAsia="宋体"/>
          <w:b/>
          <w:bCs/>
          <w:color w:val="auto"/>
          <w:sz w:val="24"/>
          <w:szCs w:val="18"/>
          <w:highlight w:val="none"/>
          <w:lang w:val="en-US" w:eastAsia="zh-CN"/>
        </w:rPr>
        <w:t>凡对本次采购提出询问，请按以下方式联系</w:t>
      </w:r>
      <w:bookmarkEnd w:id="16"/>
    </w:p>
    <w:p w14:paraId="24B295BC">
      <w:pPr>
        <w:spacing w:line="360" w:lineRule="auto"/>
        <w:ind w:firstLine="435"/>
        <w:outlineLvl w:val="2"/>
        <w:rPr>
          <w:rFonts w:ascii="宋体" w:hAnsi="宋体" w:eastAsia="宋体"/>
          <w:color w:val="auto"/>
          <w:sz w:val="24"/>
          <w:szCs w:val="18"/>
          <w:highlight w:val="none"/>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7D1F8213">
      <w:pPr>
        <w:spacing w:line="360" w:lineRule="auto"/>
        <w:ind w:firstLine="435"/>
        <w:rPr>
          <w:rFonts w:hint="default" w:ascii="宋体" w:hAnsi="宋体" w:eastAsia="宋体"/>
          <w:color w:val="auto"/>
          <w:sz w:val="24"/>
          <w:szCs w:val="18"/>
          <w:highlight w:val="none"/>
          <w:lang w:val="en-US" w:eastAsia="zh-CN"/>
        </w:rPr>
      </w:pPr>
      <w:r>
        <w:rPr>
          <w:rFonts w:hint="eastAsia" w:ascii="宋体" w:hAnsi="宋体" w:eastAsia="宋体" w:cs="宋体"/>
          <w:color w:val="auto"/>
          <w:sz w:val="24"/>
          <w:szCs w:val="24"/>
          <w:highlight w:val="none"/>
          <w:lang w:val="en-US" w:eastAsia="zh-CN"/>
        </w:rPr>
        <w:t>名称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lang w:val="en-US" w:eastAsia="zh-CN"/>
        </w:rPr>
        <w:t>滁州市公安局</w:t>
      </w:r>
    </w:p>
    <w:p w14:paraId="55336586">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rPr>
        <w:t>地址：</w:t>
      </w:r>
      <w:r>
        <w:rPr>
          <w:rFonts w:hint="eastAsia" w:ascii="宋体" w:hAnsi="宋体" w:eastAsia="宋体"/>
          <w:color w:val="auto"/>
          <w:sz w:val="24"/>
          <w:szCs w:val="18"/>
          <w:highlight w:val="none"/>
          <w:u w:val="none"/>
          <w:lang w:val="en-US" w:eastAsia="zh-CN"/>
        </w:rPr>
        <w:t>滁州市</w:t>
      </w:r>
      <w:r>
        <w:rPr>
          <w:rFonts w:hint="eastAsia" w:ascii="宋体" w:hAnsi="宋体" w:eastAsia="宋体"/>
          <w:color w:val="auto"/>
          <w:sz w:val="24"/>
          <w:szCs w:val="18"/>
          <w:highlight w:val="none"/>
          <w:u w:val="none"/>
        </w:rPr>
        <w:t>龙蟠大道</w:t>
      </w:r>
      <w:r>
        <w:rPr>
          <w:rFonts w:hint="eastAsia" w:ascii="宋体" w:hAnsi="宋体" w:eastAsia="宋体"/>
          <w:color w:val="auto"/>
          <w:sz w:val="24"/>
          <w:szCs w:val="18"/>
          <w:highlight w:val="none"/>
          <w:u w:val="none"/>
          <w:lang w:val="en-US" w:eastAsia="zh-CN"/>
        </w:rPr>
        <w:t>111</w:t>
      </w:r>
      <w:r>
        <w:rPr>
          <w:rFonts w:hint="eastAsia" w:ascii="宋体" w:hAnsi="宋体" w:eastAsia="宋体"/>
          <w:color w:val="auto"/>
          <w:sz w:val="24"/>
          <w:szCs w:val="18"/>
          <w:highlight w:val="none"/>
          <w:u w:val="none"/>
        </w:rPr>
        <w:t>号</w:t>
      </w:r>
    </w:p>
    <w:p w14:paraId="4B39E4F3">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u w:val="none"/>
          <w:lang w:val="en-US" w:eastAsia="zh-CN"/>
        </w:rPr>
        <w:t>联系人：张从明</w:t>
      </w:r>
    </w:p>
    <w:p w14:paraId="6E7444DC">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：13615506155</w:t>
      </w:r>
    </w:p>
    <w:p w14:paraId="1DC58682">
      <w:pPr>
        <w:spacing w:line="360" w:lineRule="auto"/>
        <w:ind w:firstLine="437"/>
        <w:outlineLvl w:val="9"/>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2.代理机构</w:t>
      </w:r>
      <w:r>
        <w:rPr>
          <w:rFonts w:hint="eastAsia" w:ascii="宋体" w:hAnsi="宋体" w:eastAsia="宋体"/>
          <w:color w:val="auto"/>
          <w:sz w:val="24"/>
          <w:szCs w:val="18"/>
          <w:highlight w:val="none"/>
          <w:lang w:val="en-US" w:eastAsia="zh-CN"/>
        </w:rPr>
        <w:t>信息</w:t>
      </w:r>
    </w:p>
    <w:p w14:paraId="001D1F7C">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lang w:val="en-US" w:eastAsia="zh-CN"/>
        </w:rPr>
        <w:t>滁州市城投工程咨询管理有限公司</w:t>
      </w:r>
    </w:p>
    <w:p w14:paraId="7BD98F0B">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址：</w:t>
      </w:r>
      <w:r>
        <w:rPr>
          <w:rFonts w:hint="eastAsia" w:ascii="宋体" w:hAnsi="宋体" w:eastAsia="宋体"/>
          <w:color w:val="auto"/>
          <w:sz w:val="24"/>
          <w:szCs w:val="18"/>
          <w:highlight w:val="none"/>
          <w:u w:val="none"/>
        </w:rPr>
        <w:t>滁州市龙蟠大道109号房产大厦6楼</w:t>
      </w:r>
      <w:r>
        <w:rPr>
          <w:rFonts w:hint="eastAsia" w:ascii="宋体" w:hAnsi="宋体" w:eastAsia="宋体"/>
          <w:color w:val="auto"/>
          <w:sz w:val="24"/>
          <w:szCs w:val="18"/>
          <w:highlight w:val="none"/>
          <w:u w:val="none"/>
          <w:lang w:val="en-US" w:eastAsia="zh-CN"/>
        </w:rPr>
        <w:t>620</w:t>
      </w:r>
      <w:r>
        <w:rPr>
          <w:rFonts w:hint="eastAsia" w:ascii="宋体" w:hAnsi="宋体" w:eastAsia="宋体"/>
          <w:color w:val="auto"/>
          <w:sz w:val="24"/>
          <w:szCs w:val="18"/>
          <w:highlight w:val="none"/>
          <w:u w:val="none"/>
        </w:rPr>
        <w:t>室</w:t>
      </w:r>
    </w:p>
    <w:p w14:paraId="4C3A3344">
      <w:pPr>
        <w:spacing w:line="360" w:lineRule="auto"/>
        <w:ind w:firstLine="435"/>
        <w:rPr>
          <w:rFonts w:hint="eastAsia" w:eastAsia="宋体"/>
          <w:color w:val="auto"/>
          <w:highlight w:val="none"/>
          <w:u w:val="none"/>
          <w:lang w:eastAsia="zh-CN"/>
        </w:rPr>
      </w:pPr>
      <w:r>
        <w:rPr>
          <w:rFonts w:hint="eastAsia" w:ascii="宋体" w:hAnsi="宋体" w:eastAsia="宋体"/>
          <w:color w:val="auto"/>
          <w:sz w:val="24"/>
          <w:szCs w:val="18"/>
          <w:highlight w:val="none"/>
          <w:lang w:val="en-US" w:eastAsia="zh-CN"/>
        </w:rPr>
        <w:t>联系人：</w:t>
      </w:r>
      <w:r>
        <w:rPr>
          <w:rFonts w:hint="eastAsia" w:ascii="宋体" w:hAnsi="宋体" w:eastAsia="宋体"/>
          <w:color w:val="auto"/>
          <w:sz w:val="24"/>
          <w:szCs w:val="18"/>
          <w:highlight w:val="none"/>
          <w:u w:val="none"/>
          <w:lang w:val="en-US" w:eastAsia="zh-CN"/>
        </w:rPr>
        <w:t>关勤勤</w:t>
      </w:r>
    </w:p>
    <w:p w14:paraId="4E814982">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u w:val="none"/>
        </w:rPr>
        <w:t>联系</w:t>
      </w:r>
      <w:r>
        <w:rPr>
          <w:rFonts w:hint="eastAsia" w:ascii="宋体" w:hAnsi="宋体" w:eastAsia="宋体"/>
          <w:color w:val="auto"/>
          <w:sz w:val="24"/>
          <w:szCs w:val="18"/>
          <w:highlight w:val="none"/>
          <w:u w:val="none"/>
          <w:lang w:val="en-US" w:eastAsia="zh-CN"/>
        </w:rPr>
        <w:t>方式</w:t>
      </w:r>
      <w:r>
        <w:rPr>
          <w:rFonts w:hint="eastAsia" w:ascii="宋体" w:hAnsi="宋体" w:eastAsia="宋体"/>
          <w:color w:val="auto"/>
          <w:sz w:val="24"/>
          <w:szCs w:val="18"/>
          <w:highlight w:val="none"/>
          <w:u w:val="none"/>
        </w:rPr>
        <w:t>：</w:t>
      </w:r>
      <w:r>
        <w:rPr>
          <w:rFonts w:hint="eastAsia" w:ascii="宋体" w:hAnsi="宋体" w:eastAsia="宋体"/>
          <w:color w:val="auto"/>
          <w:sz w:val="24"/>
          <w:szCs w:val="18"/>
          <w:highlight w:val="none"/>
          <w:u w:val="none"/>
          <w:lang w:val="en-US" w:eastAsia="zh-CN"/>
        </w:rPr>
        <w:t>18909605753</w:t>
      </w:r>
    </w:p>
    <w:p w14:paraId="311C3B5F">
      <w:pPr>
        <w:spacing w:line="360" w:lineRule="auto"/>
        <w:ind w:firstLine="435"/>
        <w:rPr>
          <w:rFonts w:ascii="宋体" w:hAnsi="宋体" w:eastAsia="宋体"/>
          <w:color w:val="auto"/>
          <w:sz w:val="24"/>
          <w:szCs w:val="18"/>
          <w:highlight w:val="none"/>
        </w:rPr>
      </w:pPr>
    </w:p>
    <w:p w14:paraId="75C32FB8">
      <w:pPr>
        <w:pStyle w:val="18"/>
        <w:rPr>
          <w:rFonts w:ascii="宋体" w:hAnsi="宋体" w:eastAsia="宋体"/>
          <w:color w:val="auto"/>
          <w:sz w:val="24"/>
          <w:szCs w:val="18"/>
          <w:highlight w:val="none"/>
        </w:rPr>
      </w:pPr>
    </w:p>
    <w:p w14:paraId="4072DB7C">
      <w:pPr>
        <w:rPr>
          <w:rFonts w:ascii="宋体" w:hAnsi="宋体" w:eastAsia="宋体"/>
          <w:color w:val="auto"/>
          <w:sz w:val="24"/>
          <w:szCs w:val="18"/>
          <w:highlight w:val="none"/>
        </w:rPr>
      </w:pPr>
    </w:p>
    <w:p w14:paraId="46E3FA7E">
      <w:pPr>
        <w:pStyle w:val="18"/>
        <w:rPr>
          <w:rFonts w:ascii="宋体" w:hAnsi="宋体" w:eastAsia="宋体"/>
          <w:color w:val="auto"/>
          <w:sz w:val="24"/>
          <w:szCs w:val="18"/>
          <w:highlight w:val="none"/>
        </w:rPr>
      </w:pPr>
    </w:p>
    <w:p w14:paraId="0E5E865C">
      <w:pPr>
        <w:rPr>
          <w:rFonts w:ascii="宋体" w:hAnsi="宋体" w:eastAsia="宋体"/>
          <w:color w:val="auto"/>
          <w:sz w:val="24"/>
          <w:szCs w:val="18"/>
          <w:highlight w:val="none"/>
        </w:rPr>
      </w:pPr>
    </w:p>
    <w:p w14:paraId="4F7449D6">
      <w:pPr>
        <w:pStyle w:val="18"/>
        <w:rPr>
          <w:rFonts w:ascii="宋体" w:hAnsi="宋体" w:eastAsia="宋体"/>
          <w:color w:val="auto"/>
          <w:sz w:val="24"/>
          <w:szCs w:val="18"/>
          <w:highlight w:val="none"/>
        </w:rPr>
      </w:pPr>
    </w:p>
    <w:p w14:paraId="2B1AFABE">
      <w:pPr>
        <w:rPr>
          <w:rFonts w:ascii="宋体" w:hAnsi="宋体" w:eastAsia="宋体"/>
          <w:color w:val="auto"/>
          <w:sz w:val="24"/>
          <w:szCs w:val="18"/>
          <w:highlight w:val="none"/>
        </w:rPr>
      </w:pPr>
    </w:p>
    <w:p w14:paraId="7D9124C9">
      <w:pPr>
        <w:pStyle w:val="18"/>
        <w:rPr>
          <w:rFonts w:ascii="宋体" w:hAnsi="宋体" w:eastAsia="宋体"/>
          <w:color w:val="auto"/>
          <w:sz w:val="24"/>
          <w:szCs w:val="18"/>
          <w:highlight w:val="none"/>
        </w:rPr>
      </w:pPr>
    </w:p>
    <w:p w14:paraId="41AB6733">
      <w:pPr>
        <w:rPr>
          <w:rFonts w:ascii="宋体" w:hAnsi="宋体" w:eastAsia="宋体"/>
          <w:color w:val="auto"/>
          <w:sz w:val="24"/>
          <w:szCs w:val="18"/>
          <w:highlight w:val="none"/>
        </w:rPr>
      </w:pPr>
    </w:p>
    <w:p w14:paraId="56C61501">
      <w:pPr>
        <w:pStyle w:val="18"/>
        <w:rPr>
          <w:rFonts w:ascii="宋体" w:hAnsi="宋体" w:eastAsia="宋体"/>
          <w:color w:val="auto"/>
          <w:sz w:val="24"/>
          <w:szCs w:val="18"/>
          <w:highlight w:val="none"/>
        </w:rPr>
      </w:pPr>
    </w:p>
    <w:p w14:paraId="7166AD5E">
      <w:pPr>
        <w:rPr>
          <w:rFonts w:ascii="宋体" w:hAnsi="宋体" w:eastAsia="宋体"/>
          <w:color w:val="auto"/>
          <w:sz w:val="24"/>
          <w:szCs w:val="18"/>
          <w:highlight w:val="none"/>
        </w:rPr>
      </w:pPr>
    </w:p>
    <w:p w14:paraId="629D3987">
      <w:pPr>
        <w:pStyle w:val="18"/>
        <w:rPr>
          <w:rFonts w:ascii="宋体" w:hAnsi="宋体" w:eastAsia="宋体"/>
          <w:color w:val="auto"/>
          <w:sz w:val="24"/>
          <w:szCs w:val="18"/>
          <w:highlight w:val="none"/>
        </w:rPr>
      </w:pPr>
    </w:p>
    <w:p w14:paraId="5E14CC61">
      <w:pPr>
        <w:rPr>
          <w:rFonts w:ascii="宋体" w:hAnsi="宋体" w:eastAsia="宋体"/>
          <w:color w:val="auto"/>
          <w:sz w:val="24"/>
          <w:szCs w:val="18"/>
          <w:highlight w:val="none"/>
        </w:rPr>
      </w:pPr>
    </w:p>
    <w:p w14:paraId="1DC49ABE">
      <w:pPr>
        <w:pStyle w:val="18"/>
        <w:rPr>
          <w:rFonts w:ascii="宋体" w:hAnsi="宋体" w:eastAsia="宋体"/>
          <w:color w:val="auto"/>
          <w:sz w:val="24"/>
          <w:szCs w:val="18"/>
          <w:highlight w:val="none"/>
        </w:rPr>
      </w:pPr>
    </w:p>
    <w:p w14:paraId="1788D582">
      <w:pPr>
        <w:rPr>
          <w:rFonts w:ascii="宋体" w:hAnsi="宋体" w:eastAsia="宋体"/>
          <w:color w:val="auto"/>
          <w:sz w:val="24"/>
          <w:szCs w:val="18"/>
          <w:highlight w:val="none"/>
        </w:rPr>
      </w:pPr>
    </w:p>
    <w:p w14:paraId="145EA6F6">
      <w:pPr>
        <w:pStyle w:val="18"/>
        <w:rPr>
          <w:rFonts w:ascii="宋体" w:hAnsi="宋体" w:eastAsia="宋体"/>
          <w:color w:val="auto"/>
          <w:sz w:val="24"/>
          <w:szCs w:val="18"/>
          <w:highlight w:val="none"/>
        </w:rPr>
      </w:pPr>
    </w:p>
    <w:p w14:paraId="419F4981">
      <w:pPr>
        <w:rPr>
          <w:rFonts w:ascii="宋体" w:hAnsi="宋体" w:eastAsia="宋体"/>
          <w:color w:val="auto"/>
          <w:sz w:val="24"/>
          <w:szCs w:val="18"/>
          <w:highlight w:val="none"/>
        </w:rPr>
      </w:pPr>
    </w:p>
    <w:p w14:paraId="13202534">
      <w:pPr>
        <w:pStyle w:val="18"/>
        <w:rPr>
          <w:rFonts w:ascii="宋体" w:hAnsi="宋体" w:eastAsia="宋体"/>
          <w:color w:val="auto"/>
          <w:sz w:val="24"/>
          <w:szCs w:val="18"/>
          <w:highlight w:val="none"/>
        </w:rPr>
      </w:pPr>
    </w:p>
    <w:p w14:paraId="0E7E09C7">
      <w:pPr>
        <w:rPr>
          <w:rFonts w:ascii="宋体" w:hAnsi="宋体" w:eastAsia="宋体"/>
          <w:color w:val="auto"/>
          <w:sz w:val="24"/>
          <w:szCs w:val="18"/>
          <w:highlight w:val="none"/>
        </w:rPr>
      </w:pPr>
    </w:p>
    <w:p w14:paraId="0BF2B0AC">
      <w:pPr>
        <w:pStyle w:val="18"/>
        <w:rPr>
          <w:rFonts w:ascii="宋体" w:hAnsi="宋体" w:eastAsia="宋体"/>
          <w:color w:val="auto"/>
          <w:sz w:val="24"/>
          <w:szCs w:val="18"/>
          <w:highlight w:val="none"/>
        </w:rPr>
      </w:pPr>
    </w:p>
    <w:p w14:paraId="1825A62D">
      <w:pPr>
        <w:rPr>
          <w:rFonts w:ascii="宋体" w:hAnsi="宋体" w:eastAsia="宋体"/>
          <w:color w:val="auto"/>
          <w:sz w:val="24"/>
          <w:szCs w:val="18"/>
          <w:highlight w:val="none"/>
        </w:rPr>
      </w:pPr>
    </w:p>
    <w:p w14:paraId="499B4AE1">
      <w:pPr>
        <w:pStyle w:val="18"/>
        <w:rPr>
          <w:rFonts w:ascii="宋体" w:hAnsi="宋体" w:eastAsia="宋体"/>
          <w:color w:val="auto"/>
          <w:sz w:val="24"/>
          <w:szCs w:val="18"/>
          <w:highlight w:val="none"/>
        </w:rPr>
      </w:pPr>
    </w:p>
    <w:p w14:paraId="55279F6D">
      <w:pPr>
        <w:rPr>
          <w:rFonts w:ascii="宋体" w:hAnsi="宋体" w:eastAsia="宋体"/>
          <w:color w:val="auto"/>
          <w:sz w:val="24"/>
          <w:szCs w:val="18"/>
          <w:highlight w:val="none"/>
        </w:rPr>
      </w:pPr>
    </w:p>
    <w:p w14:paraId="5E92818F">
      <w:pPr>
        <w:pStyle w:val="18"/>
        <w:rPr>
          <w:rFonts w:ascii="宋体" w:hAnsi="宋体" w:eastAsia="宋体"/>
          <w:color w:val="auto"/>
          <w:sz w:val="24"/>
          <w:szCs w:val="18"/>
          <w:highlight w:val="none"/>
        </w:rPr>
      </w:pPr>
    </w:p>
    <w:p w14:paraId="35532326">
      <w:pPr>
        <w:rPr>
          <w:rFonts w:ascii="宋体" w:hAnsi="宋体" w:eastAsia="宋体"/>
          <w:color w:val="auto"/>
          <w:sz w:val="24"/>
          <w:szCs w:val="18"/>
          <w:highlight w:val="none"/>
        </w:rPr>
      </w:pPr>
    </w:p>
    <w:p w14:paraId="393D2E39">
      <w:pPr>
        <w:pStyle w:val="18"/>
        <w:rPr>
          <w:rFonts w:ascii="宋体" w:hAnsi="宋体" w:eastAsia="宋体"/>
          <w:color w:val="auto"/>
          <w:sz w:val="24"/>
          <w:szCs w:val="18"/>
          <w:highlight w:val="none"/>
        </w:rPr>
      </w:pPr>
    </w:p>
    <w:p w14:paraId="6AA88BBD">
      <w:pPr>
        <w:rPr>
          <w:rFonts w:ascii="宋体" w:hAnsi="宋体" w:eastAsia="宋体"/>
          <w:color w:val="auto"/>
          <w:sz w:val="24"/>
          <w:szCs w:val="18"/>
          <w:highlight w:val="none"/>
        </w:rPr>
      </w:pPr>
    </w:p>
    <w:p w14:paraId="27E0D9C4">
      <w:pPr>
        <w:pStyle w:val="18"/>
        <w:rPr>
          <w:rFonts w:ascii="宋体" w:hAnsi="宋体" w:eastAsia="宋体"/>
          <w:color w:val="auto"/>
          <w:sz w:val="24"/>
          <w:szCs w:val="18"/>
          <w:highlight w:val="none"/>
        </w:rPr>
      </w:pPr>
    </w:p>
    <w:p w14:paraId="2C8F4C62">
      <w:pPr>
        <w:rPr>
          <w:rFonts w:ascii="宋体" w:hAnsi="宋体" w:eastAsia="宋体"/>
          <w:color w:val="auto"/>
          <w:sz w:val="24"/>
          <w:szCs w:val="18"/>
          <w:highlight w:val="none"/>
        </w:rPr>
      </w:pPr>
    </w:p>
    <w:p w14:paraId="478C8FCC">
      <w:pPr>
        <w:pStyle w:val="18"/>
        <w:rPr>
          <w:color w:val="auto"/>
          <w:highlight w:val="none"/>
        </w:rPr>
      </w:pPr>
    </w:p>
    <w:p w14:paraId="4A32344E">
      <w:pPr>
        <w:spacing w:line="360" w:lineRule="auto"/>
        <w:jc w:val="center"/>
        <w:outlineLvl w:val="0"/>
        <w:rPr>
          <w:rFonts w:asciiTheme="minorEastAsia" w:hAnsiTheme="minorEastAsia" w:eastAsiaTheme="minorEastAsia"/>
          <w:b/>
          <w:color w:val="auto"/>
          <w:sz w:val="28"/>
          <w:highlight w:val="none"/>
        </w:rPr>
      </w:pPr>
      <w:bookmarkStart w:id="17" w:name="_Toc5721"/>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17"/>
    </w:p>
    <w:p w14:paraId="11DD15B5">
      <w:pPr>
        <w:spacing w:line="360" w:lineRule="auto"/>
        <w:jc w:val="center"/>
        <w:outlineLvl w:val="1"/>
        <w:rPr>
          <w:rFonts w:asciiTheme="minorEastAsia" w:hAnsiTheme="minorEastAsia" w:eastAsiaTheme="minorEastAsia"/>
          <w:b/>
          <w:color w:val="auto"/>
          <w:sz w:val="24"/>
          <w:highlight w:val="none"/>
        </w:rPr>
      </w:pPr>
      <w:bookmarkStart w:id="18" w:name="_Toc16645"/>
      <w:bookmarkStart w:id="19" w:name="_Toc27956"/>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18"/>
      <w:bookmarkEnd w:id="19"/>
    </w:p>
    <w:p w14:paraId="06E62344">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本表是本项目的具体要求，是对供应商须知的具体补充和修改，如有不一致，以本表为准。</w:t>
      </w:r>
    </w:p>
    <w:tbl>
      <w:tblPr>
        <w:tblStyle w:val="29"/>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030"/>
        <w:gridCol w:w="5725"/>
      </w:tblGrid>
      <w:tr w14:paraId="7E60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24D4F2AD">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textAlignment w:val="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59" w:type="pct"/>
            <w:vAlign w:val="center"/>
          </w:tcPr>
          <w:p w14:paraId="7CFE8F7C">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textAlignment w:val="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68" w:type="pct"/>
            <w:vAlign w:val="center"/>
          </w:tcPr>
          <w:p w14:paraId="2F9B67AB">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textAlignment w:val="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225C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3571D08">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hint="default" w:ascii="宋体" w:hAnsi="宋体" w:eastAsia="宋体" w:cs="@仿宋_GB2312"/>
                <w:bCs/>
                <w:color w:val="auto"/>
                <w:kern w:val="2"/>
                <w:sz w:val="24"/>
                <w:szCs w:val="20"/>
                <w:highlight w:val="none"/>
                <w:lang w:val="en-US" w:eastAsia="zh-CN" w:bidi="ar-SA"/>
              </w:rPr>
            </w:pPr>
            <w:r>
              <w:rPr>
                <w:rFonts w:hint="eastAsia"/>
                <w:bCs/>
                <w:color w:val="auto"/>
                <w:kern w:val="2"/>
                <w:highlight w:val="none"/>
                <w:lang w:val="en-US" w:eastAsia="zh-CN"/>
              </w:rPr>
              <w:t>5</w:t>
            </w:r>
            <w:r>
              <w:rPr>
                <w:bCs/>
                <w:color w:val="auto"/>
                <w:kern w:val="2"/>
                <w:highlight w:val="none"/>
              </w:rPr>
              <w:t>.</w:t>
            </w:r>
            <w:r>
              <w:rPr>
                <w:rFonts w:hint="eastAsia"/>
                <w:bCs/>
                <w:color w:val="auto"/>
                <w:kern w:val="2"/>
                <w:highlight w:val="none"/>
                <w:lang w:val="en-US" w:eastAsia="zh-CN"/>
              </w:rPr>
              <w:t>2</w:t>
            </w:r>
          </w:p>
        </w:tc>
        <w:tc>
          <w:tcPr>
            <w:tcW w:w="1159" w:type="pct"/>
            <w:vAlign w:val="center"/>
          </w:tcPr>
          <w:p w14:paraId="1A6242A7">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left"/>
              <w:textAlignment w:val="auto"/>
              <w:rPr>
                <w:rFonts w:ascii="宋体" w:hAnsi="宋体" w:eastAsia="宋体"/>
                <w:b w:val="0"/>
                <w:color w:val="auto"/>
                <w:sz w:val="24"/>
                <w:highlight w:val="none"/>
              </w:rPr>
            </w:pPr>
            <w:r>
              <w:rPr>
                <w:rFonts w:hint="eastAsia" w:ascii="宋体" w:hAnsi="宋体" w:eastAsia="宋体" w:cs="@仿宋_GB2312"/>
                <w:b w:val="0"/>
                <w:bCs/>
                <w:color w:val="auto"/>
                <w:kern w:val="2"/>
                <w:sz w:val="24"/>
                <w:szCs w:val="22"/>
                <w:highlight w:val="none"/>
                <w:lang w:val="en-US" w:eastAsia="zh-CN" w:bidi="ar-SA"/>
              </w:rPr>
              <w:t>现场考察或标前答疑会</w:t>
            </w:r>
          </w:p>
        </w:tc>
        <w:tc>
          <w:tcPr>
            <w:tcW w:w="3268" w:type="pct"/>
            <w:vAlign w:val="center"/>
          </w:tcPr>
          <w:p w14:paraId="065BDEE9">
            <w:pPr>
              <w:keepNext w:val="0"/>
              <w:keepLines w:val="0"/>
              <w:pageBreakBefore w:val="0"/>
              <w:widowControl w:val="0"/>
              <w:kinsoku/>
              <w:overflowPunct/>
              <w:topLinePunct w:val="0"/>
              <w:autoSpaceDE/>
              <w:autoSpaceDN/>
              <w:bidi w:val="0"/>
              <w:adjustRightInd/>
              <w:snapToGrid/>
              <w:spacing w:line="440" w:lineRule="exact"/>
              <w:textAlignment w:val="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35292C12">
            <w:pPr>
              <w:keepNext w:val="0"/>
              <w:keepLines w:val="0"/>
              <w:pageBreakBefore w:val="0"/>
              <w:widowControl w:val="0"/>
              <w:kinsoku/>
              <w:overflowPunct/>
              <w:topLinePunct w:val="0"/>
              <w:autoSpaceDE/>
              <w:autoSpaceDN/>
              <w:bidi w:val="0"/>
              <w:adjustRightInd/>
              <w:snapToGrid/>
              <w:spacing w:line="440" w:lineRule="exact"/>
              <w:textAlignment w:val="auto"/>
              <w:rPr>
                <w:rFonts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p>
          <w:p w14:paraId="381D0767">
            <w:pPr>
              <w:keepNext w:val="0"/>
              <w:keepLines w:val="0"/>
              <w:pageBreakBefore w:val="0"/>
              <w:widowControl w:val="0"/>
              <w:kinsoku/>
              <w:overflowPunct/>
              <w:topLinePunct w:val="0"/>
              <w:autoSpaceDE/>
              <w:autoSpaceDN/>
              <w:bidi w:val="0"/>
              <w:adjustRightInd/>
              <w:snapToGrid/>
              <w:spacing w:line="440" w:lineRule="exact"/>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5EB117C7">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bCs/>
                <w:color w:val="auto"/>
                <w:sz w:val="24"/>
                <w:highlight w:val="none"/>
                <w:u w:val="single"/>
                <w:lang w:eastAsia="zh-CN"/>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lang w:val="en-US" w:eastAsia="zh-CN"/>
              </w:rPr>
              <w:t>/</w:t>
            </w:r>
          </w:p>
          <w:p w14:paraId="773C0C29">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bCs/>
                <w:color w:val="auto"/>
                <w:sz w:val="24"/>
                <w:highlight w:val="none"/>
                <w:u w:val="single"/>
                <w:lang w:eastAsia="zh-CN"/>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lang w:val="en-US" w:eastAsia="zh-CN"/>
              </w:rPr>
              <w:t>/</w:t>
            </w:r>
          </w:p>
          <w:p w14:paraId="65DD78E7">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如供应商未参加采购人统一组织的现场考察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，由此引起的一切责任由供应商自行承担。</w:t>
            </w:r>
          </w:p>
        </w:tc>
      </w:tr>
      <w:tr w14:paraId="113C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0B0F661B">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hint="default"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6.1</w:t>
            </w:r>
          </w:p>
        </w:tc>
        <w:tc>
          <w:tcPr>
            <w:tcW w:w="1159" w:type="pct"/>
            <w:vAlign w:val="center"/>
          </w:tcPr>
          <w:p w14:paraId="2E44F299">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left"/>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68" w:type="pct"/>
            <w:vAlign w:val="center"/>
          </w:tcPr>
          <w:p w14:paraId="2AD70EAE">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bCs w:val="0"/>
                <w:color w:val="auto"/>
                <w:sz w:val="24"/>
                <w:highlight w:val="none"/>
                <w:u w:val="single"/>
                <w:lang w:val="en-US" w:eastAsia="zh-CN"/>
              </w:rPr>
              <w:t>2025</w:t>
            </w:r>
            <w:r>
              <w:rPr>
                <w:rFonts w:ascii="宋体" w:hAnsi="宋体" w:eastAsia="宋体"/>
                <w:b/>
                <w:bCs w:val="0"/>
                <w:color w:val="auto"/>
                <w:sz w:val="24"/>
                <w:highlight w:val="none"/>
              </w:rPr>
              <w:t>年</w:t>
            </w:r>
            <w:r>
              <w:rPr>
                <w:rFonts w:hint="eastAsia" w:ascii="宋体" w:hAnsi="宋体" w:eastAsia="宋体"/>
                <w:b/>
                <w:bCs w:val="0"/>
                <w:color w:val="auto"/>
                <w:sz w:val="24"/>
                <w:highlight w:val="none"/>
                <w:u w:val="single"/>
                <w:lang w:val="en-US" w:eastAsia="zh-CN"/>
              </w:rPr>
              <w:t>9</w:t>
            </w:r>
            <w:r>
              <w:rPr>
                <w:rFonts w:ascii="宋体" w:hAnsi="宋体" w:eastAsia="宋体"/>
                <w:b/>
                <w:bCs w:val="0"/>
                <w:color w:val="auto"/>
                <w:sz w:val="24"/>
                <w:highlight w:val="none"/>
              </w:rPr>
              <w:t>月</w:t>
            </w:r>
            <w:r>
              <w:rPr>
                <w:rFonts w:hint="eastAsia" w:ascii="宋体" w:hAnsi="宋体" w:eastAsia="宋体"/>
                <w:b/>
                <w:bCs w:val="0"/>
                <w:color w:val="auto"/>
                <w:sz w:val="24"/>
                <w:highlight w:val="none"/>
                <w:u w:val="single"/>
                <w:lang w:val="en-US" w:eastAsia="zh-CN"/>
              </w:rPr>
              <w:t>5</w:t>
            </w:r>
            <w:r>
              <w:rPr>
                <w:rFonts w:ascii="宋体" w:hAnsi="宋体" w:eastAsia="宋体"/>
                <w:b/>
                <w:bCs w:val="0"/>
                <w:color w:val="auto"/>
                <w:sz w:val="24"/>
                <w:highlight w:val="none"/>
              </w:rPr>
              <w:t>日</w:t>
            </w:r>
            <w:r>
              <w:rPr>
                <w:rFonts w:hint="eastAsia" w:ascii="宋体" w:hAnsi="宋体" w:eastAsia="宋体"/>
                <w:b/>
                <w:bCs w:val="0"/>
                <w:color w:val="auto"/>
                <w:sz w:val="24"/>
                <w:highlight w:val="none"/>
                <w:u w:val="single"/>
                <w:lang w:val="en-US" w:eastAsia="zh-CN"/>
              </w:rPr>
              <w:t>8</w:t>
            </w:r>
            <w:r>
              <w:rPr>
                <w:rFonts w:ascii="宋体" w:hAnsi="宋体" w:eastAsia="宋体"/>
                <w:b/>
                <w:bCs w:val="0"/>
                <w:color w:val="auto"/>
                <w:sz w:val="24"/>
                <w:highlight w:val="none"/>
              </w:rPr>
              <w:t>时</w:t>
            </w:r>
            <w:r>
              <w:rPr>
                <w:rFonts w:hint="eastAsia" w:ascii="宋体" w:hAnsi="宋体" w:eastAsia="宋体"/>
                <w:b/>
                <w:bCs w:val="0"/>
                <w:color w:val="auto"/>
                <w:sz w:val="24"/>
                <w:highlight w:val="none"/>
                <w:u w:val="single"/>
                <w:lang w:val="en-US" w:eastAsia="zh-CN"/>
              </w:rPr>
              <w:t>00</w:t>
            </w:r>
            <w:r>
              <w:rPr>
                <w:rFonts w:hint="eastAsia" w:ascii="宋体" w:hAnsi="宋体" w:eastAsia="宋体"/>
                <w:b/>
                <w:bCs w:val="0"/>
                <w:color w:val="auto"/>
                <w:sz w:val="24"/>
                <w:highlight w:val="none"/>
              </w:rPr>
              <w:t>分</w:t>
            </w:r>
          </w:p>
        </w:tc>
      </w:tr>
      <w:tr w14:paraId="0356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72" w:type="pct"/>
            <w:vAlign w:val="center"/>
          </w:tcPr>
          <w:p w14:paraId="6E2BC835">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159" w:type="pct"/>
            <w:vAlign w:val="center"/>
          </w:tcPr>
          <w:p w14:paraId="769F075D">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left"/>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68" w:type="pct"/>
            <w:vAlign w:val="center"/>
          </w:tcPr>
          <w:p w14:paraId="0B791D4E">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 xml:space="preserve">不分包     </w:t>
            </w:r>
            <w:r>
              <w:rPr>
                <w:rFonts w:hint="eastAsia" w:ascii="宋体" w:hAnsi="宋体" w:eastAsia="宋体"/>
                <w:b w:val="0"/>
                <w:color w:val="auto"/>
                <w:sz w:val="24"/>
                <w:highlight w:val="none"/>
                <w:lang w:eastAsia="zh-CN"/>
              </w:rPr>
              <w:t>□</w:t>
            </w:r>
            <w:r>
              <w:rPr>
                <w:rFonts w:ascii="宋体" w:hAnsi="宋体" w:eastAsia="宋体"/>
                <w:b w:val="0"/>
                <w:color w:val="auto"/>
                <w:sz w:val="24"/>
                <w:highlight w:val="none"/>
              </w:rPr>
              <w:t>分为</w:t>
            </w:r>
            <w:r>
              <w:rPr>
                <w:rFonts w:hint="eastAsia" w:ascii="宋体" w:hAnsi="宋体" w:eastAsia="宋体"/>
                <w:b w:val="0"/>
                <w:color w:val="auto"/>
                <w:sz w:val="24"/>
                <w:highlight w:val="none"/>
                <w:lang w:val="en-US" w:eastAsia="zh-CN"/>
              </w:rPr>
              <w:t xml:space="preserve">  </w:t>
            </w:r>
            <w:r>
              <w:rPr>
                <w:rFonts w:ascii="宋体" w:hAnsi="宋体" w:eastAsia="宋体"/>
                <w:b w:val="0"/>
                <w:color w:val="auto"/>
                <w:sz w:val="24"/>
                <w:highlight w:val="none"/>
              </w:rPr>
              <w:t>个包</w:t>
            </w:r>
          </w:p>
          <w:p w14:paraId="3DD99DAE">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供应商</w:t>
            </w:r>
            <w:r>
              <w:rPr>
                <w:rFonts w:hint="eastAsia" w:ascii="宋体" w:hAnsi="宋体" w:eastAsia="宋体"/>
                <w:b w:val="0"/>
                <w:bCs w:val="0"/>
                <w:color w:val="auto"/>
                <w:sz w:val="24"/>
                <w:szCs w:val="24"/>
                <w:highlight w:val="none"/>
              </w:rPr>
              <w:t>参加</w:t>
            </w:r>
            <w:r>
              <w:rPr>
                <w:rFonts w:hint="eastAsia" w:ascii="宋体" w:hAnsi="宋体" w:eastAsia="宋体"/>
                <w:b w:val="0"/>
                <w:color w:val="auto"/>
                <w:sz w:val="24"/>
                <w:highlight w:val="none"/>
              </w:rPr>
              <w:t>多个包谈判的成交</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bCs w:val="0"/>
                <w:color w:val="auto"/>
                <w:sz w:val="24"/>
                <w:highlight w:val="none"/>
                <w:u w:val="single"/>
                <w:lang w:val="en-US" w:eastAsia="zh-CN"/>
              </w:rPr>
              <w:t>/</w:t>
            </w:r>
          </w:p>
        </w:tc>
      </w:tr>
      <w:tr w14:paraId="43AB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2" w:type="pct"/>
            <w:vAlign w:val="center"/>
          </w:tcPr>
          <w:p w14:paraId="598ED81A">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10</w:t>
            </w:r>
            <w:r>
              <w:rPr>
                <w:rFonts w:ascii="宋体" w:hAnsi="宋体" w:eastAsia="宋体"/>
                <w:bCs/>
                <w:color w:val="auto"/>
                <w:kern w:val="2"/>
                <w:highlight w:val="none"/>
              </w:rPr>
              <w:t>.1</w:t>
            </w:r>
          </w:p>
        </w:tc>
        <w:tc>
          <w:tcPr>
            <w:tcW w:w="1159" w:type="pct"/>
            <w:vAlign w:val="center"/>
          </w:tcPr>
          <w:p w14:paraId="71CD4336">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left"/>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谈判保证金</w:t>
            </w:r>
          </w:p>
        </w:tc>
        <w:tc>
          <w:tcPr>
            <w:tcW w:w="3268" w:type="pct"/>
            <w:vAlign w:val="center"/>
          </w:tcPr>
          <w:p w14:paraId="65074E04">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不收取</w:t>
            </w:r>
          </w:p>
        </w:tc>
      </w:tr>
      <w:tr w14:paraId="6DE3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146D747D">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11</w:t>
            </w:r>
            <w:r>
              <w:rPr>
                <w:rFonts w:ascii="宋体" w:hAnsi="宋体" w:eastAsia="宋体"/>
                <w:bCs/>
                <w:color w:val="auto"/>
                <w:kern w:val="2"/>
                <w:highlight w:val="none"/>
              </w:rPr>
              <w:t>.1</w:t>
            </w:r>
          </w:p>
        </w:tc>
        <w:tc>
          <w:tcPr>
            <w:tcW w:w="1159" w:type="pct"/>
            <w:vAlign w:val="center"/>
          </w:tcPr>
          <w:p w14:paraId="4D7A7E41">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谈判有效期</w:t>
            </w:r>
          </w:p>
        </w:tc>
        <w:tc>
          <w:tcPr>
            <w:tcW w:w="3268" w:type="pct"/>
            <w:vAlign w:val="center"/>
          </w:tcPr>
          <w:p w14:paraId="12D0BFE1">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90</w:t>
            </w:r>
            <w:r>
              <w:rPr>
                <w:rFonts w:hint="eastAsia" w:ascii="宋体" w:hAnsi="宋体" w:eastAsia="宋体"/>
                <w:b w:val="0"/>
                <w:color w:val="auto"/>
                <w:sz w:val="24"/>
                <w:highlight w:val="none"/>
              </w:rPr>
              <w:t>日历日</w:t>
            </w:r>
          </w:p>
        </w:tc>
      </w:tr>
      <w:tr w14:paraId="1FD7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B198A2C">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p>
        </w:tc>
        <w:tc>
          <w:tcPr>
            <w:tcW w:w="1159" w:type="pct"/>
            <w:vAlign w:val="center"/>
          </w:tcPr>
          <w:p w14:paraId="47C241FD">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响应文件解密时间</w:t>
            </w:r>
          </w:p>
        </w:tc>
        <w:tc>
          <w:tcPr>
            <w:tcW w:w="3268" w:type="pct"/>
            <w:vAlign w:val="center"/>
          </w:tcPr>
          <w:p w14:paraId="29B7BCB4">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u w:val="single"/>
              </w:rPr>
            </w:pPr>
            <w:r>
              <w:rPr>
                <w:rFonts w:hint="eastAsia" w:ascii="宋体" w:hAnsi="宋体" w:eastAsia="宋体"/>
                <w:b w:val="0"/>
                <w:color w:val="auto"/>
                <w:sz w:val="24"/>
                <w:highlight w:val="none"/>
              </w:rPr>
              <w:t>响应文件提交截止时间后</w:t>
            </w:r>
            <w:r>
              <w:rPr>
                <w:rFonts w:hint="eastAsia" w:ascii="宋体" w:hAnsi="宋体" w:eastAsia="宋体"/>
                <w:b/>
                <w:bCs w:val="0"/>
                <w:color w:val="auto"/>
                <w:sz w:val="36"/>
                <w:szCs w:val="36"/>
                <w:highlight w:val="none"/>
                <w:u w:val="single"/>
                <w:lang w:val="en-US" w:eastAsia="zh-CN"/>
              </w:rPr>
              <w:t>30</w:t>
            </w:r>
            <w:r>
              <w:rPr>
                <w:rFonts w:hint="eastAsia" w:ascii="宋体" w:hAnsi="宋体" w:eastAsia="宋体"/>
                <w:b w:val="0"/>
                <w:color w:val="auto"/>
                <w:sz w:val="24"/>
                <w:highlight w:val="none"/>
              </w:rPr>
              <w:t>分钟内</w:t>
            </w:r>
            <w:r>
              <w:rPr>
                <w:rFonts w:hint="eastAsia" w:ascii="宋体" w:hAnsi="宋体" w:eastAsia="宋体"/>
                <w:color w:val="auto"/>
                <w:sz w:val="24"/>
                <w:highlight w:val="none"/>
              </w:rPr>
              <w:t>（以本项目网上招投标系统解密倒计时为准）</w:t>
            </w:r>
          </w:p>
        </w:tc>
      </w:tr>
      <w:tr w14:paraId="7E73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6ED70F3">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14</w:t>
            </w:r>
            <w:r>
              <w:rPr>
                <w:rFonts w:hint="eastAsia" w:ascii="宋体" w:hAnsi="宋体" w:eastAsia="宋体"/>
                <w:bCs/>
                <w:color w:val="auto"/>
                <w:kern w:val="2"/>
                <w:highlight w:val="none"/>
              </w:rPr>
              <w:t>.3</w:t>
            </w:r>
          </w:p>
        </w:tc>
        <w:tc>
          <w:tcPr>
            <w:tcW w:w="1159" w:type="pct"/>
            <w:vAlign w:val="center"/>
          </w:tcPr>
          <w:p w14:paraId="530FA6CD">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评审方法</w:t>
            </w:r>
          </w:p>
        </w:tc>
        <w:tc>
          <w:tcPr>
            <w:tcW w:w="3268" w:type="pct"/>
            <w:vAlign w:val="center"/>
          </w:tcPr>
          <w:p w14:paraId="32726157">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u w:val="none"/>
              </w:rPr>
              <w:t>最低价法</w:t>
            </w:r>
          </w:p>
        </w:tc>
      </w:tr>
      <w:tr w14:paraId="100D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restart"/>
            <w:vAlign w:val="center"/>
          </w:tcPr>
          <w:p w14:paraId="4BC6456F">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19</w:t>
            </w:r>
            <w:r>
              <w:rPr>
                <w:rFonts w:ascii="宋体" w:hAnsi="宋体" w:eastAsia="宋体"/>
                <w:bCs/>
                <w:color w:val="auto"/>
                <w:kern w:val="2"/>
                <w:highlight w:val="none"/>
              </w:rPr>
              <w:t>.</w:t>
            </w:r>
            <w:r>
              <w:rPr>
                <w:rFonts w:hint="eastAsia" w:ascii="宋体" w:hAnsi="宋体" w:eastAsia="宋体"/>
                <w:bCs/>
                <w:color w:val="auto"/>
                <w:kern w:val="2"/>
                <w:highlight w:val="none"/>
              </w:rPr>
              <w:t>1</w:t>
            </w:r>
          </w:p>
          <w:p w14:paraId="6A3132CE">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bCs/>
                <w:color w:val="auto"/>
                <w:kern w:val="2"/>
                <w:highlight w:val="none"/>
              </w:rPr>
            </w:pPr>
          </w:p>
        </w:tc>
        <w:tc>
          <w:tcPr>
            <w:tcW w:w="1159" w:type="pct"/>
            <w:vMerge w:val="restart"/>
            <w:vAlign w:val="center"/>
          </w:tcPr>
          <w:p w14:paraId="7882D0F9">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确定成交候选人和成交供应商</w:t>
            </w:r>
          </w:p>
        </w:tc>
        <w:tc>
          <w:tcPr>
            <w:tcW w:w="3268" w:type="pct"/>
            <w:vAlign w:val="center"/>
          </w:tcPr>
          <w:p w14:paraId="3A223639">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rPr>
              <w:t>谈判小组推荐成交候选人的</w:t>
            </w:r>
            <w:r>
              <w:rPr>
                <w:rFonts w:ascii="宋体" w:hAnsi="宋体" w:eastAsia="宋体"/>
                <w:b w:val="0"/>
                <w:color w:val="auto"/>
                <w:sz w:val="24"/>
                <w:highlight w:val="none"/>
              </w:rPr>
              <w:t>数量</w:t>
            </w:r>
            <w:r>
              <w:rPr>
                <w:rFonts w:hint="eastAsia" w:ascii="宋体" w:hAnsi="宋体" w:eastAsia="宋体"/>
                <w:b w:val="0"/>
                <w:color w:val="auto"/>
                <w:sz w:val="24"/>
                <w:highlight w:val="none"/>
              </w:rPr>
              <w:t>：</w:t>
            </w:r>
            <w:r>
              <w:rPr>
                <w:rFonts w:hint="eastAsia" w:ascii="宋体" w:hAnsi="宋体" w:eastAsia="宋体"/>
                <w:b w:val="0"/>
                <w:color w:val="auto"/>
                <w:sz w:val="24"/>
                <w:highlight w:val="none"/>
                <w:lang w:val="en-US" w:eastAsia="zh-CN"/>
              </w:rPr>
              <w:t xml:space="preserve"> </w:t>
            </w:r>
            <w:r>
              <w:rPr>
                <w:rFonts w:hint="eastAsia" w:ascii="宋体" w:hAnsi="宋体" w:eastAsia="宋体"/>
                <w:b w:val="0"/>
                <w:color w:val="auto"/>
                <w:sz w:val="24"/>
                <w:highlight w:val="none"/>
              </w:rPr>
              <w:t>3家</w:t>
            </w:r>
          </w:p>
          <w:p w14:paraId="20B15733">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u w:val="single"/>
              </w:rPr>
            </w:pPr>
            <w:r>
              <w:rPr>
                <w:rFonts w:hint="eastAsia" w:ascii="宋体" w:hAnsi="宋体" w:eastAsia="宋体"/>
                <w:b w:val="0"/>
                <w:color w:val="auto"/>
                <w:sz w:val="24"/>
                <w:highlight w:val="none"/>
                <w:lang w:val="en-US" w:eastAsia="zh-CN"/>
              </w:rPr>
              <w:t>注：法律、法规另有规定的，从其规定。</w:t>
            </w:r>
          </w:p>
        </w:tc>
      </w:tr>
      <w:tr w14:paraId="0892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continue"/>
            <w:vAlign w:val="center"/>
          </w:tcPr>
          <w:p w14:paraId="29726A84">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bCs/>
                <w:color w:val="auto"/>
                <w:kern w:val="2"/>
                <w:highlight w:val="none"/>
              </w:rPr>
            </w:pPr>
          </w:p>
        </w:tc>
        <w:tc>
          <w:tcPr>
            <w:tcW w:w="1159" w:type="pct"/>
            <w:vMerge w:val="continue"/>
            <w:vAlign w:val="center"/>
          </w:tcPr>
          <w:p w14:paraId="6E06244F">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p>
        </w:tc>
        <w:tc>
          <w:tcPr>
            <w:tcW w:w="3268" w:type="pct"/>
            <w:vAlign w:val="center"/>
          </w:tcPr>
          <w:p w14:paraId="7915C89F">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确定成交供应商：</w:t>
            </w:r>
          </w:p>
          <w:p w14:paraId="7CDD0E22">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 xml:space="preserve">□采购人委托谈判小组确定 </w:t>
            </w:r>
            <w:r>
              <w:rPr>
                <w:rFonts w:ascii="宋体" w:hAnsi="宋体" w:eastAsia="宋体"/>
                <w:b w:val="0"/>
                <w:color w:val="auto"/>
                <w:sz w:val="24"/>
                <w:highlight w:val="none"/>
              </w:rPr>
              <w:t xml:space="preserve">   </w:t>
            </w:r>
            <w:r>
              <w:rPr>
                <w:rFonts w:hint="eastAsia" w:ascii="宋体" w:hAnsi="宋体" w:eastAsia="宋体"/>
                <w:b w:val="0"/>
                <w:color w:val="auto"/>
                <w:sz w:val="24"/>
                <w:highlight w:val="none"/>
              </w:rPr>
              <w:t xml:space="preserve"> </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采购人确定</w:t>
            </w:r>
          </w:p>
        </w:tc>
      </w:tr>
      <w:tr w14:paraId="3449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5C0980B">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23</w:t>
            </w:r>
            <w:r>
              <w:rPr>
                <w:rFonts w:ascii="宋体" w:hAnsi="宋体" w:eastAsia="宋体"/>
                <w:bCs/>
                <w:color w:val="auto"/>
                <w:kern w:val="2"/>
                <w:highlight w:val="none"/>
              </w:rPr>
              <w:t>.1</w:t>
            </w:r>
          </w:p>
        </w:tc>
        <w:tc>
          <w:tcPr>
            <w:tcW w:w="1159" w:type="pct"/>
            <w:vAlign w:val="center"/>
          </w:tcPr>
          <w:p w14:paraId="4BC18719">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成交通知书发出的形式</w:t>
            </w:r>
          </w:p>
        </w:tc>
        <w:tc>
          <w:tcPr>
            <w:tcW w:w="3268" w:type="pct"/>
            <w:vAlign w:val="center"/>
          </w:tcPr>
          <w:p w14:paraId="7A5E2404">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 xml:space="preserve">书面 </w:t>
            </w:r>
            <w:r>
              <w:rPr>
                <w:rFonts w:ascii="宋体" w:hAnsi="宋体" w:eastAsia="宋体"/>
                <w:b w:val="0"/>
                <w:color w:val="auto"/>
                <w:sz w:val="24"/>
                <w:highlight w:val="none"/>
              </w:rPr>
              <w:t xml:space="preserve">    </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数据电文</w:t>
            </w:r>
          </w:p>
        </w:tc>
      </w:tr>
      <w:tr w14:paraId="2A89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2F7D0B8">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hint="eastAsia" w:ascii="宋体" w:hAnsi="宋体" w:eastAsia="宋体" w:cs="@仿宋_GB2312"/>
                <w:bCs/>
                <w:color w:val="auto"/>
                <w:kern w:val="2"/>
                <w:sz w:val="24"/>
                <w:szCs w:val="20"/>
                <w:highlight w:val="none"/>
                <w:lang w:val="en-US" w:eastAsia="zh-CN" w:bidi="ar-SA"/>
              </w:rPr>
            </w:pPr>
            <w:r>
              <w:rPr>
                <w:rFonts w:hint="eastAsia" w:ascii="宋体" w:hAnsi="宋体" w:eastAsia="宋体" w:cs="宋体"/>
                <w:b w:val="0"/>
                <w:bCs/>
                <w:color w:val="auto"/>
                <w:sz w:val="24"/>
                <w:szCs w:val="24"/>
                <w:highlight w:val="none"/>
                <w:lang w:val="en-US" w:eastAsia="zh-CN"/>
              </w:rPr>
              <w:t>24.1</w:t>
            </w:r>
          </w:p>
        </w:tc>
        <w:tc>
          <w:tcPr>
            <w:tcW w:w="1159" w:type="pct"/>
            <w:vAlign w:val="center"/>
          </w:tcPr>
          <w:p w14:paraId="0D5533CC">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color w:val="auto"/>
                <w:sz w:val="24"/>
                <w:szCs w:val="24"/>
                <w:highlight w:val="none"/>
                <w:lang w:val="en-US" w:eastAsia="zh-CN"/>
              </w:rPr>
              <w:t>告知谈判结果的形式</w:t>
            </w:r>
          </w:p>
        </w:tc>
        <w:tc>
          <w:tcPr>
            <w:tcW w:w="3268" w:type="pct"/>
            <w:vAlign w:val="center"/>
          </w:tcPr>
          <w:p w14:paraId="090298B3">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☑供应商自行登录滁州市城投工程咨询管理有限公司官网（https://www.czctgczx.com/）查看</w:t>
            </w:r>
          </w:p>
          <w:p w14:paraId="14297F25">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color w:val="auto"/>
                <w:sz w:val="24"/>
                <w:szCs w:val="24"/>
                <w:highlight w:val="none"/>
                <w:lang w:val="en-US" w:eastAsia="zh-CN"/>
              </w:rPr>
              <w:t>□</w:t>
            </w:r>
            <w:r>
              <w:rPr>
                <w:rFonts w:hint="eastAsia" w:ascii="宋体" w:hAnsi="宋体" w:eastAsia="宋体"/>
                <w:b w:val="0"/>
                <w:color w:val="auto"/>
                <w:sz w:val="24"/>
                <w:highlight w:val="none"/>
                <w:lang w:val="en-US" w:eastAsia="zh-CN"/>
              </w:rPr>
              <w:t>谈判现场告知</w:t>
            </w:r>
          </w:p>
        </w:tc>
      </w:tr>
      <w:tr w14:paraId="18DC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CE8752C">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159" w:type="pct"/>
            <w:vAlign w:val="center"/>
          </w:tcPr>
          <w:p w14:paraId="65C50368">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68" w:type="pct"/>
          </w:tcPr>
          <w:p w14:paraId="714F2DE9">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bCs/>
                <w:color w:val="auto"/>
                <w:sz w:val="24"/>
                <w:szCs w:val="24"/>
                <w:highlight w:val="none"/>
              </w:rPr>
              <w:t>是否收取履约担保：□收取，☑不收取 。</w:t>
            </w:r>
          </w:p>
        </w:tc>
      </w:tr>
      <w:tr w14:paraId="341A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AFD40F8">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159" w:type="pct"/>
            <w:vAlign w:val="center"/>
          </w:tcPr>
          <w:p w14:paraId="11484AF8">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代理费用及专家评审费</w:t>
            </w:r>
          </w:p>
        </w:tc>
        <w:tc>
          <w:tcPr>
            <w:tcW w:w="3268" w:type="pct"/>
            <w:vAlign w:val="center"/>
          </w:tcPr>
          <w:p w14:paraId="6E6DD2F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color w:val="auto"/>
                <w:sz w:val="24"/>
                <w:szCs w:val="24"/>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lang w:val="en-US" w:eastAsia="zh-CN"/>
              </w:rPr>
              <w:t>成交</w:t>
            </w:r>
            <w:r>
              <w:rPr>
                <w:rFonts w:hint="eastAsia" w:ascii="宋体" w:hAnsi="宋体" w:eastAsia="宋体" w:cs="宋体"/>
                <w:color w:val="auto"/>
                <w:spacing w:val="14"/>
                <w:sz w:val="24"/>
                <w:szCs w:val="24"/>
                <w:highlight w:val="none"/>
                <w:lang w:val="en-US" w:eastAsia="zh-CN"/>
              </w:rPr>
              <w:t>供应商</w:t>
            </w:r>
          </w:p>
          <w:p w14:paraId="6059FDC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成交供应商</w:t>
            </w:r>
            <w:r>
              <w:rPr>
                <w:rFonts w:hint="eastAsia" w:ascii="宋体" w:hAnsi="宋体" w:eastAsia="宋体" w:cs="宋体"/>
                <w:color w:val="auto"/>
                <w:sz w:val="24"/>
                <w:szCs w:val="24"/>
                <w:highlight w:val="none"/>
                <w:u w:val="single"/>
              </w:rPr>
              <w:t>在获取成交通知书时一次性支付给代理机构</w:t>
            </w:r>
          </w:p>
          <w:p w14:paraId="7613C013">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b w:val="0"/>
                <w:bCs w:val="0"/>
                <w:color w:val="auto"/>
                <w:kern w:val="2"/>
                <w:sz w:val="24"/>
                <w:szCs w:val="24"/>
                <w:highlight w:val="none"/>
                <w:u w:val="single"/>
                <w:lang w:val="en-US" w:eastAsia="zh-CN"/>
              </w:rPr>
              <w:t>本项目代理费为1500元，专家评审费另计（以实际发生为准）。</w:t>
            </w:r>
          </w:p>
        </w:tc>
      </w:tr>
      <w:tr w14:paraId="7919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89C59C4">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hint="eastAsia"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27.1</w:t>
            </w:r>
          </w:p>
        </w:tc>
        <w:tc>
          <w:tcPr>
            <w:tcW w:w="1159" w:type="pct"/>
            <w:vAlign w:val="center"/>
          </w:tcPr>
          <w:p w14:paraId="02905B4B">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w:t>
            </w:r>
          </w:p>
        </w:tc>
        <w:tc>
          <w:tcPr>
            <w:tcW w:w="3268" w:type="pct"/>
            <w:vAlign w:val="center"/>
          </w:tcPr>
          <w:p w14:paraId="4850BDDA">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bCs w:val="0"/>
                <w:color w:val="auto"/>
                <w:sz w:val="24"/>
                <w:highlight w:val="none"/>
                <w:lang w:val="en-US" w:eastAsia="zh-CN"/>
              </w:rPr>
              <w:t>采购人与成交供应商应当自发出成交通知书之日起10日内签订合同。</w:t>
            </w:r>
          </w:p>
        </w:tc>
      </w:tr>
      <w:tr w14:paraId="302C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50B20C72">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29</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59" w:type="pct"/>
            <w:vAlign w:val="center"/>
          </w:tcPr>
          <w:p w14:paraId="523AA2BD">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质疑函递交方式、接收部门、联系电话和通讯地址</w:t>
            </w:r>
          </w:p>
        </w:tc>
        <w:tc>
          <w:tcPr>
            <w:tcW w:w="3268" w:type="pct"/>
            <w:vAlign w:val="center"/>
          </w:tcPr>
          <w:p w14:paraId="627F78AF">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递交方式：</w:t>
            </w:r>
            <w:r>
              <w:rPr>
                <w:rFonts w:hint="eastAsia" w:ascii="宋体" w:hAnsi="宋体" w:eastAsia="宋体" w:cs="宋体"/>
                <w:b w:val="0"/>
                <w:color w:val="auto"/>
                <w:sz w:val="24"/>
                <w:szCs w:val="24"/>
                <w:highlight w:val="none"/>
                <w:u w:val="single"/>
                <w:lang w:val="en-US" w:eastAsia="zh-CN"/>
              </w:rPr>
              <w:t>如供应商对谈判文件有质疑，依据中华人民共和国财政部令第94号《政府采购质疑和投诉办法》规定提出质疑；</w:t>
            </w:r>
            <w:r>
              <w:rPr>
                <w:rFonts w:hint="eastAsia" w:ascii="宋体" w:hAnsi="宋体" w:eastAsia="宋体" w:cs="宋体"/>
                <w:b w:val="0"/>
                <w:bCs w:val="0"/>
                <w:color w:val="auto"/>
                <w:sz w:val="24"/>
                <w:szCs w:val="24"/>
                <w:highlight w:val="none"/>
                <w:u w:val="single"/>
                <w:lang w:val="en-US" w:eastAsia="zh-CN"/>
              </w:rPr>
              <w:t xml:space="preserve">以书面形式提出。一份质疑函只能针对一个项目提出质疑，且针对同一采购程序环节的质疑应当一次性提出。 </w:t>
            </w:r>
          </w:p>
          <w:p w14:paraId="66035E77">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rPr>
              <w:t>接收部门：</w:t>
            </w:r>
            <w:r>
              <w:rPr>
                <w:rFonts w:hint="eastAsia" w:ascii="宋体" w:hAnsi="宋体" w:eastAsia="宋体" w:cs="宋体"/>
                <w:b w:val="0"/>
                <w:color w:val="auto"/>
                <w:sz w:val="24"/>
                <w:szCs w:val="24"/>
                <w:highlight w:val="none"/>
                <w:u w:val="single"/>
                <w:lang w:val="en-US" w:eastAsia="zh-CN"/>
              </w:rPr>
              <w:t>滁州市公安局</w:t>
            </w:r>
            <w:r>
              <w:rPr>
                <w:rFonts w:hint="eastAsia" w:ascii="宋体" w:hAnsi="宋体" w:eastAsia="宋体" w:cs="宋体"/>
                <w:b w:val="0"/>
                <w:bCs w:val="0"/>
                <w:color w:val="auto"/>
                <w:sz w:val="24"/>
                <w:szCs w:val="24"/>
                <w:highlight w:val="none"/>
                <w:u w:val="single"/>
                <w:lang w:val="en-US" w:eastAsia="zh-CN"/>
              </w:rPr>
              <w:t>、滁州市城投工程咨询管理有限公司</w:t>
            </w:r>
          </w:p>
          <w:p w14:paraId="469CD112">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color w:val="auto"/>
                <w:sz w:val="24"/>
                <w:szCs w:val="24"/>
                <w:highlight w:val="none"/>
              </w:rPr>
              <w:t>联系电话</w:t>
            </w:r>
            <w:r>
              <w:rPr>
                <w:rFonts w:hint="eastAsia" w:ascii="宋体" w:hAnsi="宋体" w:eastAsia="宋体" w:cs="宋体"/>
                <w:b w:val="0"/>
                <w:bCs/>
                <w:color w:val="auto"/>
                <w:sz w:val="24"/>
                <w:szCs w:val="24"/>
                <w:highlight w:val="none"/>
              </w:rPr>
              <w:t>：</w:t>
            </w:r>
            <w:r>
              <w:rPr>
                <w:rFonts w:hint="eastAsia" w:ascii="宋体" w:hAnsi="宋体" w:eastAsia="宋体" w:cs="宋体"/>
                <w:b w:val="0"/>
                <w:color w:val="auto"/>
                <w:sz w:val="24"/>
                <w:szCs w:val="24"/>
                <w:highlight w:val="none"/>
                <w:u w:val="single"/>
              </w:rPr>
              <w:t>0550- 3064711-2158</w:t>
            </w:r>
            <w:r>
              <w:rPr>
                <w:rFonts w:hint="eastAsia" w:ascii="宋体" w:hAnsi="宋体" w:eastAsia="宋体" w:cs="宋体"/>
                <w:b w:val="0"/>
                <w:bCs/>
                <w:color w:val="auto"/>
                <w:kern w:val="0"/>
                <w:sz w:val="24"/>
                <w:szCs w:val="24"/>
                <w:highlight w:val="none"/>
                <w:u w:val="single"/>
                <w:lang w:val="en-US" w:eastAsia="zh-CN"/>
              </w:rPr>
              <w:t>、18909605753</w:t>
            </w:r>
            <w:r>
              <w:rPr>
                <w:rFonts w:hint="eastAsia" w:ascii="宋体" w:hAnsi="宋体" w:eastAsia="宋体" w:cs="宋体"/>
                <w:b w:val="0"/>
                <w:bCs/>
                <w:color w:val="auto"/>
                <w:kern w:val="0"/>
                <w:sz w:val="24"/>
                <w:szCs w:val="24"/>
                <w:highlight w:val="none"/>
                <w:u w:val="single"/>
              </w:rPr>
              <w:t xml:space="preserve"> </w:t>
            </w:r>
          </w:p>
          <w:p w14:paraId="09ED8327">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color w:val="auto"/>
                <w:sz w:val="24"/>
                <w:szCs w:val="24"/>
                <w:highlight w:val="none"/>
              </w:rPr>
              <w:t>通讯地址：</w:t>
            </w:r>
            <w:r>
              <w:rPr>
                <w:rFonts w:hint="eastAsia" w:ascii="宋体" w:hAnsi="宋体" w:eastAsia="宋体" w:cs="宋体"/>
                <w:b w:val="0"/>
                <w:bCs/>
                <w:color w:val="auto"/>
                <w:kern w:val="0"/>
                <w:sz w:val="24"/>
                <w:szCs w:val="24"/>
                <w:highlight w:val="none"/>
                <w:u w:val="single"/>
                <w:lang w:eastAsia="zh-CN"/>
              </w:rPr>
              <w:t>滁州市龙蟠大道</w:t>
            </w:r>
            <w:r>
              <w:rPr>
                <w:rFonts w:hint="eastAsia" w:ascii="宋体" w:hAnsi="宋体" w:eastAsia="宋体" w:cs="宋体"/>
                <w:b w:val="0"/>
                <w:bCs/>
                <w:color w:val="auto"/>
                <w:kern w:val="0"/>
                <w:sz w:val="24"/>
                <w:szCs w:val="24"/>
                <w:highlight w:val="none"/>
                <w:u w:val="single"/>
                <w:lang w:val="en-US" w:eastAsia="zh-CN"/>
              </w:rPr>
              <w:t>111</w:t>
            </w:r>
            <w:r>
              <w:rPr>
                <w:rFonts w:hint="eastAsia" w:ascii="宋体" w:hAnsi="宋体" w:eastAsia="宋体" w:cs="宋体"/>
                <w:b w:val="0"/>
                <w:bCs/>
                <w:color w:val="auto"/>
                <w:kern w:val="0"/>
                <w:sz w:val="24"/>
                <w:szCs w:val="24"/>
                <w:highlight w:val="none"/>
                <w:u w:val="single"/>
                <w:lang w:eastAsia="zh-CN"/>
              </w:rPr>
              <w:t>号、滁州市龙蟠大道109号房产大厦6楼</w:t>
            </w:r>
          </w:p>
        </w:tc>
      </w:tr>
      <w:tr w14:paraId="3212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25FC02EB">
            <w:pPr>
              <w:pStyle w:val="47"/>
              <w:keepNext w:val="0"/>
              <w:keepLines w:val="0"/>
              <w:pageBreakBefore w:val="0"/>
              <w:widowControl w:val="0"/>
              <w:pBdr>
                <w:bottom w:val="none" w:color="auto" w:sz="0" w:space="0"/>
              </w:pBdr>
              <w:tabs>
                <w:tab w:val="clear" w:pos="4153"/>
                <w:tab w:val="clear" w:pos="8306"/>
              </w:tabs>
              <w:kinsoku/>
              <w:overflowPunct/>
              <w:topLinePunct w:val="0"/>
              <w:autoSpaceDE/>
              <w:autoSpaceDN/>
              <w:bidi w:val="0"/>
              <w:adjustRightInd/>
              <w:snapToGrid/>
              <w:spacing w:line="440" w:lineRule="exact"/>
              <w:textAlignment w:val="auto"/>
              <w:rPr>
                <w:rFonts w:hint="default"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30</w:t>
            </w:r>
          </w:p>
        </w:tc>
        <w:tc>
          <w:tcPr>
            <w:tcW w:w="1159" w:type="pct"/>
            <w:vAlign w:val="center"/>
          </w:tcPr>
          <w:p w14:paraId="08394BD7">
            <w:pPr>
              <w:pStyle w:val="46"/>
              <w:keepNext w:val="0"/>
              <w:keepLines w:val="0"/>
              <w:pageBreakBefore w:val="0"/>
              <w:widowControl w:val="0"/>
              <w:kinsoku/>
              <w:overflowPunct/>
              <w:topLinePunct w:val="0"/>
              <w:autoSpaceDE/>
              <w:autoSpaceDN/>
              <w:bidi w:val="0"/>
              <w:adjustRightInd/>
              <w:snapToGrid/>
              <w:spacing w:before="0" w:beforeAutospacing="0" w:after="0" w:afterAutospacing="0" w:line="440" w:lineRule="exact"/>
              <w:jc w:val="both"/>
              <w:textAlignment w:val="auto"/>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其他内容</w:t>
            </w:r>
          </w:p>
        </w:tc>
        <w:tc>
          <w:tcPr>
            <w:tcW w:w="3268" w:type="pct"/>
            <w:vAlign w:val="center"/>
          </w:tcPr>
          <w:p w14:paraId="0CCFBD36">
            <w:pPr>
              <w:pStyle w:val="46"/>
              <w:keepNext w:val="0"/>
              <w:keepLines w:val="0"/>
              <w:pageBreakBefore w:val="0"/>
              <w:widowControl w:val="0"/>
              <w:numPr>
                <w:ilvl w:val="0"/>
                <w:numId w:val="0"/>
              </w:numPr>
              <w:kinsoku/>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0E92143B">
            <w:pPr>
              <w:keepNext w:val="0"/>
              <w:keepLines w:val="0"/>
              <w:pageBreakBefore w:val="0"/>
              <w:widowControl w:val="0"/>
              <w:kinsoku/>
              <w:overflowPunct/>
              <w:topLinePunct w:val="0"/>
              <w:autoSpaceDE/>
              <w:autoSpaceDN/>
              <w:bidi w:val="0"/>
              <w:adjustRightInd/>
              <w:snapToGrid/>
              <w:spacing w:line="440" w:lineRule="exact"/>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lang w:val="en-US" w:eastAsia="zh-CN"/>
              </w:rPr>
              <w:t>谈判</w:t>
            </w:r>
            <w:r>
              <w:rPr>
                <w:rFonts w:asciiTheme="minorEastAsia" w:hAnsiTheme="minorEastAsia" w:eastAsiaTheme="minorEastAsia"/>
                <w:bCs/>
                <w:color w:val="auto"/>
                <w:sz w:val="24"/>
                <w:szCs w:val="24"/>
                <w:highlight w:val="none"/>
              </w:rPr>
              <w:t>文件的各个组成文件应互为解释，互为说明；</w:t>
            </w:r>
          </w:p>
          <w:p w14:paraId="7F5A2B33">
            <w:pPr>
              <w:keepNext w:val="0"/>
              <w:keepLines w:val="0"/>
              <w:pageBreakBefore w:val="0"/>
              <w:widowControl w:val="0"/>
              <w:kinsoku/>
              <w:overflowPunct/>
              <w:topLinePunct w:val="0"/>
              <w:autoSpaceDE/>
              <w:autoSpaceDN/>
              <w:bidi w:val="0"/>
              <w:adjustRightInd/>
              <w:snapToGrid/>
              <w:spacing w:line="440" w:lineRule="exact"/>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1F28B022">
            <w:pPr>
              <w:keepNext w:val="0"/>
              <w:keepLines w:val="0"/>
              <w:pageBreakBefore w:val="0"/>
              <w:widowControl w:val="0"/>
              <w:kinsoku/>
              <w:overflowPunct/>
              <w:topLinePunct w:val="0"/>
              <w:autoSpaceDE/>
              <w:autoSpaceDN/>
              <w:bidi w:val="0"/>
              <w:adjustRightInd/>
              <w:snapToGrid/>
              <w:spacing w:line="440" w:lineRule="exact"/>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39D2CEAF">
            <w:pPr>
              <w:keepNext w:val="0"/>
              <w:keepLines w:val="0"/>
              <w:pageBreakBefore w:val="0"/>
              <w:widowControl w:val="0"/>
              <w:kinsoku/>
              <w:overflowPunct/>
              <w:topLinePunct w:val="0"/>
              <w:autoSpaceDE/>
              <w:autoSpaceDN/>
              <w:bidi w:val="0"/>
              <w:adjustRightInd/>
              <w:snapToGrid/>
              <w:spacing w:line="440" w:lineRule="exact"/>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谈判</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谈判及响应文件提交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竞争性谈判</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谈判邀请、供应商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21CB5C83">
            <w:pPr>
              <w:pStyle w:val="46"/>
              <w:keepNext w:val="0"/>
              <w:keepLines w:val="0"/>
              <w:pageBreakBefore w:val="0"/>
              <w:widowControl w:val="0"/>
              <w:numPr>
                <w:ilvl w:val="0"/>
                <w:numId w:val="0"/>
              </w:numPr>
              <w:kinsoku/>
              <w:overflowPunct/>
              <w:topLinePunct w:val="0"/>
              <w:autoSpaceDE/>
              <w:autoSpaceDN/>
              <w:bidi w:val="0"/>
              <w:adjustRightInd/>
              <w:snapToGrid/>
              <w:spacing w:before="0" w:beforeAutospacing="0" w:after="0" w:afterAutospacing="0" w:line="440" w:lineRule="exact"/>
              <w:jc w:val="both"/>
              <w:textAlignment w:val="auto"/>
              <w:rPr>
                <w:rFonts w:hint="default"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w:t>
            </w:r>
            <w:r>
              <w:rPr>
                <w:rFonts w:cs="@仿宋_GB2312" w:asciiTheme="minorEastAsia" w:hAnsiTheme="minorEastAsia" w:eastAsiaTheme="minorEastAsia"/>
                <w:b w:val="0"/>
                <w:bCs/>
                <w:color w:val="auto"/>
                <w:kern w:val="2"/>
                <w:sz w:val="24"/>
                <w:szCs w:val="24"/>
                <w:highlight w:val="none"/>
                <w:lang w:val="en-US" w:eastAsia="zh-CN" w:bidi="ar-SA"/>
              </w:rPr>
              <w:t>按本款前述规定仍不能形成结论的，由</w:t>
            </w:r>
            <w:r>
              <w:rPr>
                <w:rFonts w:hint="eastAsia" w:cs="@仿宋_GB2312" w:asciiTheme="minorEastAsia" w:hAnsiTheme="minorEastAsia" w:eastAsiaTheme="minorEastAsia"/>
                <w:b w:val="0"/>
                <w:bCs/>
                <w:color w:val="auto"/>
                <w:kern w:val="2"/>
                <w:sz w:val="24"/>
                <w:szCs w:val="24"/>
                <w:highlight w:val="none"/>
                <w:lang w:val="en-US" w:eastAsia="zh-CN" w:bidi="ar-SA"/>
              </w:rPr>
              <w:t>采购</w:t>
            </w:r>
            <w:r>
              <w:rPr>
                <w:rFonts w:cs="@仿宋_GB2312" w:asciiTheme="minorEastAsia" w:hAnsiTheme="minorEastAsia" w:eastAsiaTheme="minorEastAsia"/>
                <w:b w:val="0"/>
                <w:bCs/>
                <w:color w:val="auto"/>
                <w:kern w:val="2"/>
                <w:sz w:val="24"/>
                <w:szCs w:val="24"/>
                <w:highlight w:val="none"/>
                <w:lang w:val="en-US" w:eastAsia="zh-CN" w:bidi="ar-SA"/>
              </w:rPr>
              <w:t>人负责解释。</w:t>
            </w:r>
          </w:p>
        </w:tc>
      </w:tr>
      <w:tr w14:paraId="0BC8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3"/>
            <w:vAlign w:val="center"/>
          </w:tcPr>
          <w:p w14:paraId="0DCF03E7">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cs="@仿宋_GB2312" w:asciiTheme="minorEastAsia" w:hAnsiTheme="minorEastAsia" w:eastAsiaTheme="minorEastAsia"/>
                <w:b/>
                <w:bCs w:val="0"/>
                <w:color w:val="auto"/>
                <w:kern w:val="2"/>
                <w:sz w:val="24"/>
                <w:szCs w:val="24"/>
                <w:highlight w:val="none"/>
                <w:lang w:val="en-US" w:eastAsia="zh-CN" w:bidi="ar-SA"/>
              </w:rPr>
            </w:pPr>
            <w:r>
              <w:rPr>
                <w:rFonts w:hint="eastAsia" w:cs="@仿宋_GB2312" w:asciiTheme="minorEastAsia" w:hAnsiTheme="minorEastAsia" w:eastAsiaTheme="minorEastAsia"/>
                <w:b/>
                <w:bCs w:val="0"/>
                <w:color w:val="auto"/>
                <w:kern w:val="2"/>
                <w:sz w:val="24"/>
                <w:szCs w:val="24"/>
                <w:highlight w:val="none"/>
                <w:lang w:val="en-US" w:eastAsia="zh-CN" w:bidi="ar-SA"/>
              </w:rPr>
              <w:t>（1）供应商若为银行、保险、石油化工、电力、电信、邮政等有行业特殊情况的企业，接受总公司或其分支机构（分公司）参加谈判；</w:t>
            </w:r>
          </w:p>
          <w:p w14:paraId="53AB3170">
            <w:pPr>
              <w:pStyle w:val="16"/>
              <w:keepNext w:val="0"/>
              <w:keepLines w:val="0"/>
              <w:pageBreakBefore w:val="0"/>
              <w:widowControl w:val="0"/>
              <w:kinsoku/>
              <w:overflowPunct/>
              <w:topLinePunct w:val="0"/>
              <w:autoSpaceDE/>
              <w:autoSpaceDN/>
              <w:bidi w:val="0"/>
              <w:adjustRightInd/>
              <w:snapToGrid/>
              <w:spacing w:line="360" w:lineRule="exact"/>
              <w:textAlignment w:val="auto"/>
              <w:rPr>
                <w:rFonts w:hint="eastAsia" w:cs="@仿宋_GB2312" w:asciiTheme="minorEastAsia" w:hAnsiTheme="minorEastAsia" w:eastAsiaTheme="minorEastAsia"/>
                <w:b/>
                <w:bCs w:val="0"/>
                <w:color w:val="auto"/>
                <w:kern w:val="2"/>
                <w:sz w:val="24"/>
                <w:szCs w:val="24"/>
                <w:highlight w:val="none"/>
                <w:lang w:val="en-US" w:eastAsia="zh-CN" w:bidi="ar-SA"/>
              </w:rPr>
            </w:pPr>
            <w:r>
              <w:rPr>
                <w:rFonts w:hint="eastAsia" w:cs="@仿宋_GB2312" w:asciiTheme="minorEastAsia" w:hAnsiTheme="minorEastAsia" w:eastAsiaTheme="minorEastAsia"/>
                <w:b/>
                <w:bCs w:val="0"/>
                <w:color w:val="auto"/>
                <w:kern w:val="2"/>
                <w:sz w:val="24"/>
                <w:szCs w:val="24"/>
                <w:highlight w:val="none"/>
                <w:lang w:val="en-US" w:eastAsia="zh-CN" w:bidi="ar-SA"/>
              </w:rPr>
              <w:t>（2）若供应商为分支机构，</w:t>
            </w:r>
            <w:r>
              <w:rPr>
                <w:rFonts w:hint="eastAsia" w:cs="@仿宋_GB2312" w:asciiTheme="minorEastAsia" w:hAnsiTheme="minorEastAsia"/>
                <w:b/>
                <w:bCs w:val="0"/>
                <w:color w:val="auto"/>
                <w:kern w:val="2"/>
                <w:sz w:val="24"/>
                <w:szCs w:val="24"/>
                <w:highlight w:val="none"/>
                <w:lang w:val="en-US" w:eastAsia="zh-CN" w:bidi="ar-SA"/>
              </w:rPr>
              <w:t>谈判</w:t>
            </w:r>
            <w:r>
              <w:rPr>
                <w:rFonts w:hint="eastAsia" w:cs="@仿宋_GB2312" w:asciiTheme="minorEastAsia" w:hAnsiTheme="minorEastAsia" w:eastAsiaTheme="minorEastAsia"/>
                <w:b/>
                <w:bCs w:val="0"/>
                <w:color w:val="auto"/>
                <w:kern w:val="2"/>
                <w:sz w:val="24"/>
                <w:szCs w:val="24"/>
                <w:highlight w:val="none"/>
                <w:lang w:val="en-US" w:eastAsia="zh-CN" w:bidi="ar-SA"/>
              </w:rPr>
              <w:t>文件中对法定代表人的相关要求、材料及签字或盖章对应的为该分支机构负责人的相关要求、材料及签字或盖章。</w:t>
            </w:r>
          </w:p>
          <w:p w14:paraId="43AC4AD2">
            <w:pPr>
              <w:pStyle w:val="16"/>
              <w:keepNext w:val="0"/>
              <w:keepLines w:val="0"/>
              <w:pageBreakBefore w:val="0"/>
              <w:widowControl w:val="0"/>
              <w:kinsoku/>
              <w:overflowPunct/>
              <w:topLinePunct w:val="0"/>
              <w:autoSpaceDE/>
              <w:autoSpaceDN/>
              <w:bidi w:val="0"/>
              <w:adjustRightInd/>
              <w:snapToGrid/>
              <w:spacing w:line="360" w:lineRule="exact"/>
              <w:textAlignment w:val="auto"/>
              <w:rPr>
                <w:rFonts w:hint="eastAsia" w:cs="@仿宋_GB2312" w:asciiTheme="minorEastAsia" w:hAnsiTheme="minorEastAsia" w:eastAsiaTheme="minorEastAsia"/>
                <w:b/>
                <w:bCs w:val="0"/>
                <w:color w:val="auto"/>
                <w:kern w:val="2"/>
                <w:sz w:val="24"/>
                <w:szCs w:val="24"/>
                <w:highlight w:val="none"/>
                <w:lang w:val="en-US" w:eastAsia="zh-CN" w:bidi="ar-SA"/>
              </w:rPr>
            </w:pPr>
            <w:r>
              <w:rPr>
                <w:rFonts w:hint="eastAsia" w:cs="@仿宋_GB2312" w:asciiTheme="minorEastAsia" w:hAnsiTheme="minorEastAsia" w:eastAsiaTheme="minorEastAsia"/>
                <w:b/>
                <w:bCs w:val="0"/>
                <w:color w:val="auto"/>
                <w:kern w:val="2"/>
                <w:sz w:val="24"/>
                <w:szCs w:val="24"/>
                <w:highlight w:val="none"/>
                <w:lang w:val="en-US" w:eastAsia="zh-CN" w:bidi="ar-SA"/>
              </w:rPr>
              <w:t>（3）若供应商为分支机构，其提供的总公司与其各分公司的人员、证书均认可为供应商提供。</w:t>
            </w:r>
          </w:p>
          <w:p w14:paraId="4698849F">
            <w:pPr>
              <w:pStyle w:val="46"/>
              <w:keepNext w:val="0"/>
              <w:keepLines w:val="0"/>
              <w:pageBreakBefore w:val="0"/>
              <w:widowControl w:val="0"/>
              <w:numPr>
                <w:ilvl w:val="0"/>
                <w:numId w:val="0"/>
              </w:numPr>
              <w:kinsoku/>
              <w:overflowPunct/>
              <w:topLinePunct w:val="0"/>
              <w:autoSpaceDE/>
              <w:autoSpaceDN/>
              <w:bidi w:val="0"/>
              <w:adjustRightInd/>
              <w:snapToGrid/>
              <w:spacing w:before="0" w:beforeAutospacing="0" w:after="0" w:afterAutospacing="0" w:line="36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bCs w:val="0"/>
                <w:color w:val="auto"/>
                <w:kern w:val="2"/>
                <w:sz w:val="24"/>
                <w:szCs w:val="24"/>
                <w:highlight w:val="none"/>
                <w:lang w:val="en-US" w:eastAsia="zh-CN" w:bidi="ar-SA"/>
              </w:rPr>
              <w:t>（4）若供应商为分支机构，其总公司与其各分公司被认定为一个供应商。</w:t>
            </w:r>
          </w:p>
        </w:tc>
      </w:tr>
      <w:tr w14:paraId="1D75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3"/>
            <w:vAlign w:val="center"/>
          </w:tcPr>
          <w:p w14:paraId="7AA964C8">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cs="@仿宋_GB2312" w:asciiTheme="minorEastAsia" w:hAnsiTheme="minorEastAsia" w:eastAsiaTheme="minorEastAsia"/>
                <w:b/>
                <w:bCs w:val="0"/>
                <w:color w:val="auto"/>
                <w:kern w:val="2"/>
                <w:sz w:val="24"/>
                <w:szCs w:val="24"/>
                <w:highlight w:val="none"/>
                <w:lang w:val="en-US" w:eastAsia="zh-CN" w:bidi="ar-SA"/>
              </w:rPr>
            </w:pPr>
            <w:r>
              <w:rPr>
                <w:rFonts w:hint="eastAsia" w:cs="@仿宋_GB2312" w:asciiTheme="minorEastAsia" w:hAnsiTheme="minorEastAsia" w:eastAsiaTheme="minorEastAsia"/>
                <w:b/>
                <w:bCs w:val="0"/>
                <w:color w:val="auto"/>
                <w:kern w:val="2"/>
                <w:sz w:val="24"/>
                <w:szCs w:val="24"/>
                <w:highlight w:val="none"/>
                <w:lang w:val="en-US" w:eastAsia="zh-CN" w:bidi="ar-SA"/>
              </w:rPr>
              <w:t>重要说明：</w:t>
            </w:r>
          </w:p>
          <w:p w14:paraId="4F31D32D">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cs="@仿宋_GB2312" w:asciiTheme="minorEastAsia" w:hAnsiTheme="minorEastAsia" w:eastAsiaTheme="minorEastAsia"/>
                <w:b/>
                <w:bCs w:val="0"/>
                <w:color w:val="auto"/>
                <w:kern w:val="2"/>
                <w:sz w:val="24"/>
                <w:szCs w:val="24"/>
                <w:highlight w:val="none"/>
                <w:lang w:val="en-US" w:eastAsia="zh-CN" w:bidi="ar-SA"/>
              </w:rPr>
            </w:pPr>
            <w:r>
              <w:rPr>
                <w:rFonts w:hint="eastAsia" w:cs="@仿宋_GB2312" w:asciiTheme="minorEastAsia" w:hAnsiTheme="minorEastAsia" w:eastAsiaTheme="minorEastAsia"/>
                <w:b/>
                <w:bCs w:val="0"/>
                <w:color w:val="auto"/>
                <w:kern w:val="2"/>
                <w:sz w:val="24"/>
                <w:szCs w:val="24"/>
                <w:highlight w:val="none"/>
                <w:lang w:val="en-US" w:eastAsia="zh-CN" w:bidi="ar-SA"/>
              </w:rPr>
              <w:t>响应文件递交截止时间止提交响应文件的供应商少于3家者经评审符合采购文件要求的供应商不足3家的，经采购人和合格供应商同意后可在合格供应商中继续按照评审办法确定成交候选人。</w:t>
            </w:r>
          </w:p>
        </w:tc>
      </w:tr>
      <w:tr w14:paraId="397A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3"/>
            <w:vAlign w:val="center"/>
          </w:tcPr>
          <w:p w14:paraId="6BC375CC">
            <w:pPr>
              <w:pStyle w:val="4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exact"/>
              <w:jc w:val="both"/>
              <w:textAlignment w:val="auto"/>
              <w:rPr>
                <w:rFonts w:hint="eastAsia" w:cs="@仿宋_GB2312" w:asciiTheme="minorEastAsia" w:hAnsiTheme="minorEastAsia" w:eastAsiaTheme="minorEastAsia"/>
                <w:b/>
                <w:bCs w:val="0"/>
                <w:color w:val="auto"/>
                <w:kern w:val="2"/>
                <w:sz w:val="24"/>
                <w:szCs w:val="24"/>
                <w:highlight w:val="none"/>
                <w:lang w:val="en-US" w:eastAsia="zh-CN" w:bidi="ar-SA"/>
              </w:rPr>
            </w:pPr>
            <w:r>
              <w:rPr>
                <w:rFonts w:hint="eastAsia" w:cs="@仿宋_GB2312" w:asciiTheme="minorEastAsia" w:hAnsiTheme="minorEastAsia" w:eastAsiaTheme="minorEastAsia"/>
                <w:b/>
                <w:bCs w:val="0"/>
                <w:color w:val="auto"/>
                <w:kern w:val="2"/>
                <w:sz w:val="24"/>
                <w:szCs w:val="24"/>
                <w:highlight w:val="none"/>
                <w:lang w:val="en-US" w:eastAsia="zh-CN" w:bidi="ar-SA"/>
              </w:rPr>
              <w:t>重要提醒</w:t>
            </w:r>
          </w:p>
          <w:p w14:paraId="726D0FD4">
            <w:pPr>
              <w:pStyle w:val="4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2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1.请于公告发布之日起从滁州市城投工程咨询管理有限公司官网（https://www.czctgczx.com/），点击项目招标公告下方【我要投标】，登录新点电子交易平台后在【滁州专区】（https://www.etrading.cn/BREpointSSO/login/oauth2login?regioncode=DQ_ChuZhou）下载本项目采购文件。供应商自行承担因未按要求获取采购文件导致无法上传电子响应文件的风险。</w:t>
            </w:r>
          </w:p>
          <w:p w14:paraId="66C2AE83">
            <w:pPr>
              <w:pStyle w:val="4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2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2.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4A9461BE">
            <w:pPr>
              <w:pStyle w:val="4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2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3.供应商登录新点电子交易平台【滁州专区】获取招标文件及其它资料（含澄清和补充说明等）。如在采购文件获取过程中遇到系统问题，请拨打技术支持服务热线4009280095或者网站首页在线客服。</w:t>
            </w:r>
          </w:p>
          <w:p w14:paraId="012AFF19">
            <w:pPr>
              <w:pStyle w:val="4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2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4.本项目采用不见面开标，投标人登录滁州市城投工程咨询有限公司不见面开标系统参与网上开标（网址：http://js.etrading.cn/EpointBidOpening/bidopeninghallaction/hall/login）。</w:t>
            </w:r>
          </w:p>
          <w:p w14:paraId="23DACBA7">
            <w:pPr>
              <w:pStyle w:val="4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2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5.供应商应在投标截止时间之前，登录新点电子交易平台【滁州专区】上传响应文件。供应商逾期上传响应文件的，电子系统不予受理。</w:t>
            </w:r>
          </w:p>
          <w:p w14:paraId="6E63E71E">
            <w:pPr>
              <w:pStyle w:val="4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2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6.供应商的联系人电话(手机)、电子邮箱等通讯方式在谈判过程中必须保持畅通，否则因上述原因造成的后果，责任自负。</w:t>
            </w:r>
          </w:p>
          <w:p w14:paraId="582A3E91">
            <w:pPr>
              <w:pStyle w:val="4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2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7.本项目采用电子招投标方式，请供应商在“新点电子交易平台”常用下载专区下载“新点电子交易平台专用投标文件制作软件”，仔细阅读采购文件要求和相关操作手册，以免影响投标文件编制，因供应商未及时关注相关信息对投标造成的不利后果由其自行承担。投标软件制作工具下载：</w:t>
            </w:r>
            <w:r>
              <w:rPr>
                <w:rFonts w:hint="eastAsia" w:cs="@仿宋_GB2312" w:asciiTheme="minorEastAsia" w:hAnsiTheme="minorEastAsia" w:eastAsiaTheme="minorEastAsia"/>
                <w:b w:val="0"/>
                <w:bCs/>
                <w:color w:val="auto"/>
                <w:kern w:val="2"/>
                <w:sz w:val="24"/>
                <w:szCs w:val="24"/>
                <w:highlight w:val="none"/>
                <w:lang w:val="en-US" w:eastAsia="zh-CN" w:bidi="ar-SA"/>
              </w:rPr>
              <w:fldChar w:fldCharType="begin"/>
            </w:r>
            <w:r>
              <w:rPr>
                <w:rFonts w:hint="eastAsia" w:cs="@仿宋_GB2312" w:asciiTheme="minorEastAsia" w:hAnsiTheme="minorEastAsia" w:eastAsiaTheme="minorEastAsia"/>
                <w:b w:val="0"/>
                <w:bCs/>
                <w:color w:val="auto"/>
                <w:kern w:val="2"/>
                <w:sz w:val="24"/>
                <w:szCs w:val="24"/>
                <w:highlight w:val="none"/>
                <w:lang w:val="en-US" w:eastAsia="zh-CN" w:bidi="ar-SA"/>
              </w:rPr>
              <w:instrText xml:space="preserve"> HYPERLINK "https://download.bqpoint.com/download/downloaddetail.html?SourceFrom=Ztb&amp;ZtbSoftXiaQuCode=0128&amp;ZtbSoftType=tballinclusive。" </w:instrText>
            </w:r>
            <w:r>
              <w:rPr>
                <w:rFonts w:hint="eastAsia" w:cs="@仿宋_GB2312" w:asciiTheme="minorEastAsia" w:hAnsiTheme="minorEastAsia" w:eastAsiaTheme="minorEastAsia"/>
                <w:b w:val="0"/>
                <w:bCs/>
                <w:color w:val="auto"/>
                <w:kern w:val="2"/>
                <w:sz w:val="24"/>
                <w:szCs w:val="24"/>
                <w:highlight w:val="none"/>
                <w:lang w:val="en-US" w:eastAsia="zh-CN" w:bidi="ar-SA"/>
              </w:rPr>
              <w:fldChar w:fldCharType="separate"/>
            </w:r>
            <w:r>
              <w:rPr>
                <w:rFonts w:hint="eastAsia" w:cs="@仿宋_GB2312" w:asciiTheme="minorEastAsia" w:hAnsiTheme="minorEastAsia" w:eastAsiaTheme="minorEastAsia"/>
                <w:b w:val="0"/>
                <w:bCs/>
                <w:color w:val="auto"/>
                <w:kern w:val="2"/>
                <w:sz w:val="24"/>
                <w:szCs w:val="24"/>
                <w:highlight w:val="none"/>
                <w:lang w:val="en-US" w:eastAsia="zh-CN" w:bidi="ar-SA"/>
              </w:rPr>
              <w:t>https://download.bqpoint.com/download/downloaddetail.html?SourceFrom=Ztb&amp;ZtbSoftXiaQuCode=0128&amp;ZtbSoftType=tballinclusive。</w:t>
            </w:r>
            <w:r>
              <w:rPr>
                <w:rFonts w:hint="eastAsia" w:cs="@仿宋_GB2312" w:asciiTheme="minorEastAsia" w:hAnsiTheme="minorEastAsia" w:eastAsiaTheme="minorEastAsia"/>
                <w:b w:val="0"/>
                <w:bCs/>
                <w:color w:val="auto"/>
                <w:kern w:val="2"/>
                <w:sz w:val="24"/>
                <w:szCs w:val="24"/>
                <w:highlight w:val="none"/>
                <w:lang w:val="en-US" w:eastAsia="zh-CN" w:bidi="ar-SA"/>
              </w:rPr>
              <w:fldChar w:fldCharType="end"/>
            </w:r>
          </w:p>
          <w:p w14:paraId="589E8B14">
            <w:pPr>
              <w:pStyle w:val="4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20" w:lineRule="exact"/>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8.本项目开评标实行全流程电子化，在线完成开评标活动。开启时供应商无需到达开标现场，不接受现场解密，实行远程解密和在线询标。各供应商认真学习《新点电子交易平台投标人操作手册》，务必掌握远程解密方法和在线回复询标方法。</w:t>
            </w:r>
          </w:p>
        </w:tc>
      </w:tr>
    </w:tbl>
    <w:p w14:paraId="492CE85C">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0" w:name="_Toc577"/>
      <w:bookmarkStart w:id="21" w:name="_Toc6109"/>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20"/>
      <w:bookmarkEnd w:id="21"/>
    </w:p>
    <w:p w14:paraId="3B8D821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574C589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w:t>
      </w:r>
      <w:r>
        <w:rPr>
          <w:rFonts w:hint="eastAsia" w:ascii="宋体" w:hAnsi="宋体" w:eastAsia="宋体"/>
          <w:color w:val="auto"/>
          <w:sz w:val="24"/>
          <w:highlight w:val="none"/>
          <w:lang w:val="en-US" w:eastAsia="zh-CN"/>
        </w:rPr>
        <w:t>滁州市公安局</w:t>
      </w:r>
      <w:r>
        <w:rPr>
          <w:rFonts w:ascii="宋体" w:hAnsi="宋体" w:eastAsia="宋体"/>
          <w:color w:val="auto"/>
          <w:sz w:val="24"/>
          <w:highlight w:val="none"/>
        </w:rPr>
        <w:t>。</w:t>
      </w:r>
    </w:p>
    <w:p w14:paraId="49B4469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w:t>
      </w:r>
      <w:r>
        <w:rPr>
          <w:rFonts w:hint="eastAsia" w:asciiTheme="minorEastAsia" w:hAnsiTheme="minorEastAsia" w:eastAsiaTheme="minorEastAsia" w:cstheme="minorEastAsia"/>
          <w:color w:val="auto"/>
          <w:sz w:val="24"/>
          <w:szCs w:val="24"/>
          <w:highlight w:val="none"/>
          <w:lang w:val="en-US" w:eastAsia="zh-CN"/>
        </w:rPr>
        <w:t>滁州市城投工程咨询管理有限公司</w:t>
      </w:r>
      <w:r>
        <w:rPr>
          <w:rFonts w:ascii="宋体" w:hAnsi="宋体" w:eastAsia="宋体"/>
          <w:color w:val="auto"/>
          <w:sz w:val="24"/>
          <w:highlight w:val="none"/>
        </w:rPr>
        <w:t>。</w:t>
      </w:r>
    </w:p>
    <w:p w14:paraId="66323B9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lang w:val="en-US" w:eastAsia="zh-CN"/>
        </w:rPr>
        <w:t>滁州市公安局同级纪检或监督部门</w:t>
      </w:r>
      <w:r>
        <w:rPr>
          <w:rFonts w:hint="eastAsia" w:ascii="宋体" w:hAnsi="宋体" w:eastAsia="宋体"/>
          <w:color w:val="auto"/>
          <w:sz w:val="24"/>
          <w:highlight w:val="none"/>
        </w:rPr>
        <w:t>。</w:t>
      </w:r>
    </w:p>
    <w:p w14:paraId="4737F10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w:t>
      </w:r>
      <w:r>
        <w:rPr>
          <w:rFonts w:hint="eastAsia" w:ascii="宋体" w:hAnsi="宋体" w:eastAsia="宋体"/>
          <w:color w:val="auto"/>
          <w:sz w:val="24"/>
          <w:highlight w:val="none"/>
        </w:rPr>
        <w:t>供应商</w:t>
      </w:r>
      <w:r>
        <w:rPr>
          <w:rFonts w:ascii="宋体" w:hAnsi="宋体" w:eastAsia="宋体"/>
          <w:color w:val="auto"/>
          <w:sz w:val="24"/>
          <w:highlight w:val="none"/>
        </w:rPr>
        <w:t>：是指向采购人提供服务的法人、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bookmarkStart w:id="22" w:name="_Hlk60610946"/>
      <w:r>
        <w:rPr>
          <w:rFonts w:ascii="宋体" w:hAnsi="宋体" w:eastAsia="宋体"/>
          <w:color w:val="auto"/>
          <w:sz w:val="24"/>
          <w:highlight w:val="none"/>
        </w:rPr>
        <w:t>本项目的</w:t>
      </w:r>
      <w:r>
        <w:rPr>
          <w:rFonts w:hint="eastAsia" w:ascii="宋体" w:hAnsi="宋体" w:eastAsia="宋体"/>
          <w:color w:val="auto"/>
          <w:sz w:val="24"/>
          <w:highlight w:val="none"/>
          <w:lang w:val="en-US" w:eastAsia="zh-CN"/>
        </w:rPr>
        <w:t>供应商</w:t>
      </w:r>
      <w:r>
        <w:rPr>
          <w:rFonts w:ascii="宋体" w:hAnsi="宋体" w:eastAsia="宋体"/>
          <w:color w:val="auto"/>
          <w:sz w:val="24"/>
          <w:highlight w:val="none"/>
        </w:rPr>
        <w:t>须满足以下条件：</w:t>
      </w:r>
    </w:p>
    <w:p w14:paraId="240A096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79637E1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w:t>
      </w:r>
      <w:r>
        <w:rPr>
          <w:rFonts w:hint="eastAsia" w:ascii="宋体" w:hAnsi="宋体" w:eastAsia="宋体"/>
          <w:color w:val="auto"/>
          <w:sz w:val="24"/>
          <w:highlight w:val="none"/>
          <w:lang w:val="en-US" w:eastAsia="zh-CN"/>
        </w:rPr>
        <w:t>谈判</w:t>
      </w:r>
      <w:r>
        <w:rPr>
          <w:rFonts w:ascii="宋体" w:hAnsi="宋体" w:eastAsia="宋体"/>
          <w:color w:val="auto"/>
          <w:sz w:val="24"/>
          <w:highlight w:val="none"/>
        </w:rPr>
        <w:t>文件。</w:t>
      </w:r>
    </w:p>
    <w:bookmarkEnd w:id="22"/>
    <w:p w14:paraId="63901C79">
      <w:pPr>
        <w:spacing w:line="360" w:lineRule="auto"/>
        <w:ind w:firstLine="435"/>
        <w:rPr>
          <w:rFonts w:hint="eastAsia" w:ascii="宋体" w:hAnsi="宋体" w:eastAsia="宋体"/>
          <w:b/>
          <w:bCs w:val="0"/>
          <w:color w:val="auto"/>
          <w:sz w:val="24"/>
          <w:highlight w:val="none"/>
          <w:lang w:val="en-US" w:eastAsia="zh-CN"/>
        </w:rPr>
      </w:pPr>
      <w:r>
        <w:rPr>
          <w:rFonts w:hint="eastAsia" w:ascii="宋体" w:hAnsi="宋体" w:eastAsia="宋体"/>
          <w:bCs/>
          <w:color w:val="auto"/>
          <w:kern w:val="0"/>
          <w:sz w:val="24"/>
          <w:szCs w:val="28"/>
          <w:highlight w:val="none"/>
          <w:lang w:val="en-US" w:eastAsia="zh-CN"/>
        </w:rPr>
        <w:t>1</w:t>
      </w:r>
      <w:r>
        <w:rPr>
          <w:rFonts w:ascii="宋体" w:hAnsi="宋体" w:eastAsia="宋体"/>
          <w:bCs/>
          <w:color w:val="auto"/>
          <w:kern w:val="0"/>
          <w:sz w:val="24"/>
          <w:szCs w:val="28"/>
          <w:highlight w:val="none"/>
        </w:rPr>
        <w:t>.5</w:t>
      </w:r>
      <w:r>
        <w:rPr>
          <w:rFonts w:hint="eastAsia" w:ascii="宋体" w:hAnsi="宋体" w:eastAsia="宋体"/>
          <w:bCs/>
          <w:color w:val="auto"/>
          <w:kern w:val="0"/>
          <w:sz w:val="24"/>
          <w:szCs w:val="28"/>
          <w:highlight w:val="none"/>
        </w:rPr>
        <w:t>若竞争性谈判公告</w:t>
      </w:r>
      <w:r>
        <w:rPr>
          <w:rFonts w:ascii="宋体" w:hAnsi="宋体" w:eastAsia="宋体"/>
          <w:bCs/>
          <w:color w:val="auto"/>
          <w:kern w:val="0"/>
          <w:sz w:val="24"/>
          <w:szCs w:val="28"/>
          <w:highlight w:val="none"/>
        </w:rPr>
        <w:t>中允许联合体</w:t>
      </w:r>
      <w:r>
        <w:rPr>
          <w:rFonts w:hint="eastAsia" w:ascii="宋体" w:hAnsi="宋体" w:eastAsia="宋体"/>
          <w:bCs/>
          <w:color w:val="auto"/>
          <w:kern w:val="0"/>
          <w:sz w:val="24"/>
          <w:szCs w:val="28"/>
          <w:highlight w:val="none"/>
        </w:rPr>
        <w:t>参加谈判</w:t>
      </w:r>
      <w:r>
        <w:rPr>
          <w:rFonts w:ascii="宋体" w:hAnsi="宋体" w:eastAsia="宋体"/>
          <w:bCs/>
          <w:color w:val="auto"/>
          <w:kern w:val="0"/>
          <w:sz w:val="24"/>
          <w:szCs w:val="28"/>
          <w:highlight w:val="none"/>
        </w:rPr>
        <w:t>，对联合体规定如下：</w:t>
      </w:r>
      <w:r>
        <w:rPr>
          <w:rFonts w:hint="eastAsia" w:ascii="宋体" w:hAnsi="宋体" w:eastAsia="宋体"/>
          <w:b/>
          <w:bCs w:val="0"/>
          <w:color w:val="auto"/>
          <w:kern w:val="0"/>
          <w:sz w:val="24"/>
          <w:szCs w:val="28"/>
          <w:highlight w:val="none"/>
          <w:lang w:eastAsia="zh-CN"/>
        </w:rPr>
        <w:t>（</w:t>
      </w:r>
      <w:r>
        <w:rPr>
          <w:rFonts w:hint="eastAsia" w:ascii="宋体" w:hAnsi="宋体" w:eastAsia="宋体"/>
          <w:b/>
          <w:bCs w:val="0"/>
          <w:color w:val="auto"/>
          <w:kern w:val="0"/>
          <w:sz w:val="24"/>
          <w:szCs w:val="28"/>
          <w:highlight w:val="none"/>
          <w:lang w:val="en-US" w:eastAsia="zh-CN"/>
        </w:rPr>
        <w:t>本项目不接受联合体</w:t>
      </w:r>
      <w:r>
        <w:rPr>
          <w:rFonts w:hint="eastAsia" w:ascii="宋体" w:hAnsi="宋体" w:eastAsia="宋体"/>
          <w:b/>
          <w:bCs w:val="0"/>
          <w:color w:val="auto"/>
          <w:kern w:val="0"/>
          <w:sz w:val="24"/>
          <w:szCs w:val="28"/>
          <w:highlight w:val="none"/>
          <w:lang w:eastAsia="zh-CN"/>
        </w:rPr>
        <w:t>）</w:t>
      </w:r>
    </w:p>
    <w:p w14:paraId="3F050487">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42B9D3F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本项目的采购人已获得足以支付本次谈判后所签订的合同项下的资金。</w:t>
      </w:r>
    </w:p>
    <w:p w14:paraId="3768DFC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谈判费用</w:t>
      </w:r>
    </w:p>
    <w:p w14:paraId="6DA6A37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不论谈判的结果如何，供应商应承担其所有与准备和参加谈判有关的费用。</w:t>
      </w:r>
    </w:p>
    <w:p w14:paraId="0FA52E3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671FC369">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14:paraId="441A859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谈判文件构成</w:t>
      </w:r>
    </w:p>
    <w:p w14:paraId="1739D8D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.1谈判文件包括下列内容：</w:t>
      </w:r>
    </w:p>
    <w:p w14:paraId="31B35B52">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谈判邀请</w:t>
      </w:r>
    </w:p>
    <w:p w14:paraId="5089CBD0">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187F8DF3">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4F160423">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19B2898A">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1EF7F854">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519C6E28">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5E60403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踏勘</w:t>
      </w:r>
      <w:r>
        <w:rPr>
          <w:rFonts w:hint="eastAsia" w:asciiTheme="minorEastAsia" w:hAnsiTheme="minorEastAsia" w:eastAsiaTheme="minorEastAsia"/>
          <w:color w:val="auto"/>
          <w:sz w:val="24"/>
          <w:highlight w:val="none"/>
          <w:lang w:eastAsia="zh-CN"/>
        </w:rPr>
        <w:t>（</w:t>
      </w:r>
      <w:r>
        <w:rPr>
          <w:rFonts w:hint="eastAsia" w:ascii="宋体" w:hAnsi="宋体" w:eastAsia="宋体" w:cs="@仿宋_GB2312"/>
          <w:b w:val="0"/>
          <w:bCs/>
          <w:color w:val="auto"/>
          <w:kern w:val="2"/>
          <w:sz w:val="24"/>
          <w:szCs w:val="22"/>
          <w:highlight w:val="none"/>
          <w:lang w:val="en-US" w:eastAsia="zh-CN" w:bidi="ar-SA"/>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12F1E86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文件所有的事项、格式、条款和技术规范等。</w:t>
      </w:r>
    </w:p>
    <w:p w14:paraId="2AABEFC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谈判文件的澄清与修改</w:t>
      </w:r>
    </w:p>
    <w:p w14:paraId="6E9D6F7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文件内容有疑问，必须在</w:t>
      </w:r>
      <w:r>
        <w:rPr>
          <w:rFonts w:ascii="宋体" w:hAnsi="宋体" w:eastAsia="宋体"/>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截止时间前提交给采购代理机构。</w:t>
      </w:r>
    </w:p>
    <w:p w14:paraId="4F71AABF">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lang w:val="en-US" w:eastAsia="zh-CN"/>
        </w:rPr>
        <w:t>滁州市城投工程咨询管理有限公司官网（https://www.czctgczx.com/）</w:t>
      </w:r>
      <w:r>
        <w:rPr>
          <w:rFonts w:hint="eastAsia" w:asciiTheme="minorEastAsia" w:hAnsiTheme="minorEastAsia" w:eastAsiaTheme="minorEastAsia"/>
          <w:color w:val="auto"/>
          <w:sz w:val="24"/>
          <w:highlight w:val="none"/>
        </w:rPr>
        <w:t>以发布更正公告的方式澄清或者修改谈判文件，更正公告的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128FD76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供应商提供的任何书面或口头资料，未经采购代理机构在网上发布或书面通知，均作无效处理，不得作为谈判文件的组成部分。采购代理机构对供应商由此而做出的推论、理解和结论概不负责。</w:t>
      </w:r>
    </w:p>
    <w:p w14:paraId="07147A07">
      <w:pPr>
        <w:spacing w:line="360" w:lineRule="auto"/>
        <w:ind w:firstLine="435"/>
        <w:rPr>
          <w:rFonts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本谈判</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val="0"/>
          <w:iCs/>
          <w:color w:val="auto"/>
          <w:sz w:val="24"/>
          <w:highlight w:val="none"/>
        </w:rPr>
        <w:t>。</w:t>
      </w:r>
    </w:p>
    <w:p w14:paraId="1B2008C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谈判范围及响应文件中标准和计量单位的使用</w:t>
      </w:r>
    </w:p>
    <w:p w14:paraId="3A9379A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谈判，</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187A0E8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7.2供应商</w:t>
      </w:r>
      <w:r>
        <w:rPr>
          <w:rFonts w:asciiTheme="minorEastAsia" w:hAnsiTheme="minorEastAsia" w:eastAsiaTheme="minorEastAsia"/>
          <w:color w:val="auto"/>
          <w:sz w:val="24"/>
          <w:highlight w:val="none"/>
        </w:rPr>
        <w:t>应当对所投分包</w:t>
      </w:r>
      <w:r>
        <w:rPr>
          <w:rFonts w:hint="eastAsia" w:asciiTheme="minorEastAsia" w:hAnsiTheme="minorEastAsia" w:eastAsiaTheme="minorEastAsia"/>
          <w:color w:val="auto"/>
          <w:sz w:val="24"/>
          <w:highlight w:val="none"/>
          <w:lang w:val="en-US" w:eastAsia="zh-CN"/>
        </w:rPr>
        <w:t>谈判</w:t>
      </w:r>
      <w:r>
        <w:rPr>
          <w:rFonts w:asciiTheme="minorEastAsia" w:hAnsiTheme="minorEastAsia" w:eastAsiaTheme="minorEastAsia"/>
          <w:color w:val="auto"/>
          <w:sz w:val="24"/>
          <w:highlight w:val="none"/>
        </w:rPr>
        <w:t>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lang w:val="en-US" w:eastAsia="zh-CN"/>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1B9E80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无论谈判文件中是否要求，供应商所投</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及伴随的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和工程均应符合国家强制性标准。</w:t>
      </w:r>
    </w:p>
    <w:p w14:paraId="217F8B3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w:t>
      </w:r>
    </w:p>
    <w:p w14:paraId="20F716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除谈判文件中有特殊要求外，响应文件中所使用的计量单位，应采用中华人民共和国法定计量单位。</w:t>
      </w:r>
    </w:p>
    <w:p w14:paraId="53DD4C2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795F75E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w:t>
      </w:r>
      <w:r>
        <w:rPr>
          <w:rFonts w:ascii="宋体" w:hAnsi="宋体" w:eastAsia="宋体"/>
          <w:color w:val="auto"/>
          <w:sz w:val="24"/>
          <w:highlight w:val="none"/>
        </w:rPr>
        <w:t>.1供应商应完整地按谈判文件提供的响应文件格式及要求编写响应文件，具体内容详见</w:t>
      </w:r>
      <w:r>
        <w:rPr>
          <w:rFonts w:hint="eastAsia" w:ascii="宋体" w:hAnsi="宋体" w:eastAsia="宋体"/>
          <w:color w:val="auto"/>
          <w:sz w:val="24"/>
          <w:highlight w:val="none"/>
          <w:lang w:val="en-US" w:eastAsia="zh-CN"/>
        </w:rPr>
        <w:t>本项目</w:t>
      </w:r>
      <w:r>
        <w:rPr>
          <w:rFonts w:ascii="宋体" w:hAnsi="宋体" w:eastAsia="宋体"/>
          <w:color w:val="auto"/>
          <w:sz w:val="24"/>
          <w:highlight w:val="none"/>
        </w:rPr>
        <w:t>响应文件格式的相关内容。</w:t>
      </w:r>
    </w:p>
    <w:p w14:paraId="7DC3B96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8.2</w:t>
      </w:r>
      <w:r>
        <w:rPr>
          <w:rFonts w:hint="eastAsia" w:ascii="宋体" w:hAnsi="宋体" w:eastAsia="宋体"/>
          <w:color w:val="auto"/>
          <w:sz w:val="24"/>
          <w:highlight w:val="none"/>
        </w:rPr>
        <w:t>供应商应提交谈判文件要求的证明文件，证明其响应内容符合谈判文件规定。该证明文件是响应文件的一部分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23" w:name="_Hlk11703583"/>
      <w:r>
        <w:rPr>
          <w:rFonts w:hint="eastAsia" w:asciiTheme="minorEastAsia" w:hAnsiTheme="minorEastAsia" w:eastAsiaTheme="minorEastAsia"/>
          <w:color w:val="auto"/>
          <w:sz w:val="24"/>
          <w:highlight w:val="none"/>
        </w:rPr>
        <w:t>。</w:t>
      </w:r>
    </w:p>
    <w:bookmarkEnd w:id="23"/>
    <w:p w14:paraId="376837B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公正，除非谈判文件另有规定或说明，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备选谈判</w:t>
      </w:r>
      <w:r>
        <w:rPr>
          <w:rFonts w:asciiTheme="minorEastAsia" w:hAnsiTheme="minorEastAsia" w:eastAsiaTheme="minorEastAsia"/>
          <w:color w:val="auto"/>
          <w:sz w:val="24"/>
          <w:highlight w:val="none"/>
        </w:rPr>
        <w:t>方案。</w:t>
      </w:r>
    </w:p>
    <w:p w14:paraId="545065F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190BB0E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除谈判文件另有规定外，</w:t>
      </w:r>
      <w:r>
        <w:rPr>
          <w:rFonts w:hint="eastAsia" w:asciiTheme="minorEastAsia" w:hAnsiTheme="minorEastAsia" w:eastAsiaTheme="minorEastAsia"/>
          <w:color w:val="auto"/>
          <w:sz w:val="24"/>
          <w:highlight w:val="none"/>
        </w:rPr>
        <w:t>所有内容均应以人民币报价，供应商的谈判报价应遵守《中华人民共和国价格法》。</w:t>
      </w:r>
    </w:p>
    <w:p w14:paraId="281FB9D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.2供应商应</w:t>
      </w:r>
      <w:r>
        <w:rPr>
          <w:rFonts w:hint="eastAsia" w:asciiTheme="minorEastAsia" w:hAnsiTheme="minorEastAsia" w:eastAsiaTheme="minorEastAsia"/>
          <w:color w:val="auto"/>
          <w:sz w:val="24"/>
          <w:highlight w:val="none"/>
        </w:rPr>
        <w:t>在分项报价表上标明分项服务、伴随的货物和工程的价格（如适用）和总价，未标明的视同包含在谈判报价中。</w:t>
      </w:r>
    </w:p>
    <w:p w14:paraId="6ADBC0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除非谈判文件另有规定或经采购人同意支付的，最后报价均不得高于谈判文件（公告）列明的项目预算，否则其响应文件将被认定为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20A745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6C073F3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采购人不接受具有附加条件的报价。</w:t>
      </w:r>
    </w:p>
    <w:p w14:paraId="7E15474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谈判保证金</w:t>
      </w:r>
    </w:p>
    <w:p w14:paraId="3745CD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.1本项目不收取谈判保证金。</w:t>
      </w:r>
    </w:p>
    <w:p w14:paraId="3596244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谈判有效期</w:t>
      </w:r>
    </w:p>
    <w:p w14:paraId="63C6AB9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.1谈判有效期为从响应文件提交截止之日算起的日历天数，谈判有效期详见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2DE539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.2在谈判有效期内，供应商的谈判保持有效，供应商不得要求撤销或修改其响应文件。谈判有效期不满足要求的响应，其响应文件将被认定为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4E5D47B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3为保证有充分时间签订合同，采购人或采购代理机构可根据实际情况，在原谈判有效期截止之前，要求供应商延长谈判有效期。接受该要求的供应商将不会被要求和允许修正其响应文件。供应商可以拒绝延长谈判有效期的要求，且不承担任何责任。上述要求和答复都应以书面形式提交。</w:t>
      </w:r>
    </w:p>
    <w:p w14:paraId="230A8BB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31ED8C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.1供应商应当在</w:t>
      </w:r>
      <w:r>
        <w:rPr>
          <w:rFonts w:hint="eastAsia" w:asciiTheme="minorEastAsia" w:hAnsiTheme="minorEastAsia" w:eastAsiaTheme="minorEastAsia"/>
          <w:color w:val="auto"/>
          <w:sz w:val="24"/>
          <w:highlight w:val="none"/>
          <w:u w:val="none"/>
          <w:lang w:val="en-US" w:eastAsia="zh-CN"/>
        </w:rPr>
        <w:t>竞争性谈判公告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38DB468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.2供应商应当在响应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提交截止时间前完成响应文件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r>
        <w:rPr>
          <w:rFonts w:asciiTheme="minorEastAsia" w:hAnsiTheme="minorEastAsia" w:eastAsiaTheme="minorEastAsia"/>
          <w:color w:val="auto"/>
          <w:sz w:val="24"/>
          <w:highlight w:val="none"/>
        </w:rPr>
        <w:t>。</w:t>
      </w:r>
    </w:p>
    <w:p w14:paraId="26778F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val="en-US" w:eastAsia="zh-CN"/>
        </w:rPr>
        <w:t>未在规定时间内进行解密的，</w:t>
      </w:r>
      <w:r>
        <w:rPr>
          <w:rFonts w:hint="eastAsia" w:asciiTheme="minorEastAsia" w:hAnsiTheme="minorEastAsia" w:eastAsiaTheme="minorEastAsia"/>
          <w:b/>
          <w:bCs/>
          <w:color w:val="auto"/>
          <w:sz w:val="24"/>
          <w:highlight w:val="none"/>
          <w:lang w:val="en-US" w:eastAsia="zh-CN"/>
        </w:rPr>
        <w:t>响应无效</w:t>
      </w:r>
      <w:r>
        <w:rPr>
          <w:rFonts w:hint="eastAsia" w:asciiTheme="minorEastAsia" w:hAnsiTheme="minorEastAsia" w:eastAsiaTheme="minorEastAsia"/>
          <w:color w:val="auto"/>
          <w:sz w:val="24"/>
          <w:highlight w:val="none"/>
          <w:lang w:val="en-US" w:eastAsia="zh-CN"/>
        </w:rPr>
        <w:t>。</w:t>
      </w:r>
    </w:p>
    <w:p w14:paraId="59A3AAE8">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.4在响应文件提交截止时间之后，供应商不得对其响应文件做任何修改。</w:t>
      </w:r>
      <w:r>
        <w:rPr>
          <w:rFonts w:hint="eastAsia" w:ascii="宋体" w:hAnsi="宋体" w:eastAsia="宋体"/>
          <w:color w:val="auto"/>
          <w:sz w:val="24"/>
          <w:highlight w:val="none"/>
        </w:rPr>
        <w:t>但属于谈判小组在评审中发现的计算错误并进行核实的修改、按照谈判文件的变动情况和谈判小组的要求重新提交响应文件的，不在此列。</w:t>
      </w:r>
    </w:p>
    <w:p w14:paraId="62FDFB5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谈判小组</w:t>
      </w:r>
    </w:p>
    <w:p w14:paraId="1BBB0F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.1本项目将依法组建谈判小组，谈判小组成员由3人以上单数组成，谈判小组及其成员应当依照政府采购的有关规定履行相关职责和义务。</w:t>
      </w:r>
    </w:p>
    <w:p w14:paraId="46832BA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.2谈判小组依法对响应文件进行评审，并根据谈判文件规定的程序、评定成交的标准等事项与实质性响应谈判文件要求的供应商进行谈判。</w:t>
      </w:r>
    </w:p>
    <w:p w14:paraId="6A633E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.3谈判小组应当从质量和服务均能满足谈判文件实质性响应要求的供应商中，按照</w:t>
      </w:r>
      <w:r>
        <w:rPr>
          <w:rFonts w:hint="eastAsia" w:asciiTheme="minorEastAsia" w:hAnsiTheme="minorEastAsia" w:eastAsiaTheme="minorEastAsia"/>
          <w:color w:val="auto"/>
          <w:sz w:val="24"/>
          <w:highlight w:val="none"/>
        </w:rPr>
        <w:t>评审方法和标准推荐</w:t>
      </w:r>
      <w:r>
        <w:rPr>
          <w:rFonts w:asciiTheme="minorEastAsia" w:hAnsiTheme="minorEastAsia" w:eastAsiaTheme="minorEastAsia"/>
          <w:color w:val="auto"/>
          <w:sz w:val="24"/>
          <w:highlight w:val="none"/>
        </w:rPr>
        <w:t>成交候选人，并编写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45BE5787">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.响应文件的评审与谈判</w:t>
      </w:r>
    </w:p>
    <w:p w14:paraId="66423E2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w:t>
      </w:r>
      <w:r>
        <w:rPr>
          <w:rFonts w:hint="eastAsia" w:asciiTheme="minorEastAsia" w:hAnsiTheme="minorEastAsia" w:eastAsiaTheme="minorEastAsia"/>
          <w:color w:val="auto"/>
          <w:sz w:val="24"/>
          <w:highlight w:val="none"/>
          <w:u w:val="none"/>
          <w:lang w:val="en-US" w:eastAsia="zh-CN"/>
        </w:rPr>
        <w:t>竞争性谈判公告</w:t>
      </w:r>
      <w:r>
        <w:rPr>
          <w:rFonts w:hint="eastAsia" w:asciiTheme="minorEastAsia" w:hAnsiTheme="minorEastAsia" w:eastAsiaTheme="minorEastAsia"/>
          <w:color w:val="auto"/>
          <w:sz w:val="24"/>
          <w:highlight w:val="none"/>
        </w:rPr>
        <w:t>规定的时间和地点组织谈判。</w:t>
      </w:r>
    </w:p>
    <w:p w14:paraId="56FB8C1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 竞争性谈判采用最低评标价法评审。</w:t>
      </w:r>
    </w:p>
    <w:p w14:paraId="7776C97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最低评标价法，是指响应文件满足谈判文件全部实质性要求且最后报价最低的供应商为成交候选人的评标方法。</w:t>
      </w:r>
    </w:p>
    <w:p w14:paraId="56C5A4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.3谈判小组将按照谈判文件规定的评审方法和标准对供应商独立进行评审。评审程序如下：</w:t>
      </w:r>
    </w:p>
    <w:p w14:paraId="61B8B60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.3.1初审。谈判小组对供应商必须满足和实质性响应的内容进行评审，供应商未实质性响应谈判文件要求导致响应无效的，谈判小组将以书面询标的方式告知有关供应商。</w:t>
      </w:r>
    </w:p>
    <w:p w14:paraId="48B08C51">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6E00D3D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.3.2谈判。初审合格后，谈判小组将按网上加密电子响应文件提交顺序集中与单一供应商分别进行谈判，并给予所有参加谈判的供应商平等的谈判机会。</w:t>
      </w:r>
    </w:p>
    <w:p w14:paraId="0CC550E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.3.3</w:t>
      </w:r>
      <w:r>
        <w:rPr>
          <w:rFonts w:asciiTheme="minorEastAsia" w:hAnsiTheme="minorEastAsia" w:eastAsiaTheme="minorEastAsia"/>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谈判结束后，谈判小组应当要求所有</w:t>
      </w:r>
      <w:r>
        <w:rPr>
          <w:rFonts w:hint="eastAsia" w:asciiTheme="minorEastAsia" w:hAnsiTheme="minorEastAsia" w:eastAsiaTheme="minorEastAsia"/>
          <w:color w:val="auto"/>
          <w:sz w:val="24"/>
          <w:highlight w:val="none"/>
        </w:rPr>
        <w:t>继续参加谈判</w:t>
      </w:r>
      <w:r>
        <w:rPr>
          <w:rFonts w:asciiTheme="minorEastAsia" w:hAnsiTheme="minorEastAsia" w:eastAsiaTheme="minorEastAsia"/>
          <w:color w:val="auto"/>
          <w:sz w:val="24"/>
          <w:highlight w:val="none"/>
        </w:rPr>
        <w:t>的供应商在规定时间内提交最后报价</w:t>
      </w:r>
      <w:r>
        <w:rPr>
          <w:rFonts w:hint="eastAsia" w:ascii="宋体" w:hAnsi="宋体" w:eastAsia="宋体"/>
          <w:color w:val="auto"/>
          <w:sz w:val="24"/>
          <w:highlight w:val="none"/>
        </w:rPr>
        <w:t>。</w:t>
      </w:r>
    </w:p>
    <w:p w14:paraId="30D6B07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.4相关说明。</w:t>
      </w:r>
    </w:p>
    <w:p w14:paraId="68E4EE0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.4.1为保证谈判活动顺利进行，供应商可派相关技术人员进行网上答疑；</w:t>
      </w:r>
    </w:p>
    <w:p w14:paraId="37AB19C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.4.2谈判</w:t>
      </w:r>
      <w:r>
        <w:rPr>
          <w:rFonts w:asciiTheme="minorEastAsia" w:hAnsiTheme="minorEastAsia" w:eastAsiaTheme="minorEastAsia"/>
          <w:color w:val="auto"/>
          <w:sz w:val="24"/>
          <w:highlight w:val="none"/>
        </w:rPr>
        <w:t>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谈判情况可能实质性变动</w:t>
      </w:r>
      <w:r>
        <w:rPr>
          <w:rFonts w:hint="eastAsia" w:asciiTheme="minorEastAsia" w:hAnsiTheme="minorEastAsia" w:eastAsiaTheme="minorEastAsia"/>
          <w:color w:val="auto"/>
          <w:sz w:val="24"/>
          <w:highlight w:val="none"/>
        </w:rPr>
        <w:t>谈判文件</w:t>
      </w:r>
      <w:r>
        <w:rPr>
          <w:rFonts w:asciiTheme="minorEastAsia" w:hAnsiTheme="minorEastAsia" w:eastAsiaTheme="minorEastAsia"/>
          <w:color w:val="auto"/>
          <w:sz w:val="24"/>
          <w:highlight w:val="none"/>
        </w:rPr>
        <w:t>的内容，包括采购需求中的技术、服务要求以及合同草案条款。谈判文件有实质性变动的，</w:t>
      </w:r>
      <w:r>
        <w:rPr>
          <w:rFonts w:hint="eastAsia" w:asciiTheme="minorEastAsia" w:hAnsiTheme="minorEastAsia" w:eastAsiaTheme="minorEastAsia"/>
          <w:color w:val="auto"/>
          <w:sz w:val="24"/>
          <w:highlight w:val="none"/>
        </w:rPr>
        <w:t>经采购人代表确认作为谈判文件的有效组成部分，</w:t>
      </w:r>
      <w:r>
        <w:rPr>
          <w:rFonts w:asciiTheme="minorEastAsia" w:hAnsiTheme="minorEastAsia" w:eastAsiaTheme="minorEastAsia"/>
          <w:color w:val="auto"/>
          <w:sz w:val="24"/>
          <w:highlight w:val="none"/>
        </w:rPr>
        <w:t>谈判小组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以书面形式通知所有参加谈判的供应商。</w:t>
      </w:r>
    </w:p>
    <w:p w14:paraId="51B4B8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4.3谈判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color w:val="auto"/>
          <w:sz w:val="24"/>
          <w:highlight w:val="none"/>
        </w:rPr>
        <w:t>。</w:t>
      </w:r>
    </w:p>
    <w:p w14:paraId="2F5DD38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小组可以视同其未提供。</w:t>
      </w:r>
    </w:p>
    <w:p w14:paraId="7D37149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.4.5谈判</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649504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谈判过程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2C6704D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.终止竞争性谈判</w:t>
      </w:r>
    </w:p>
    <w:p w14:paraId="40FB8EF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.1出现下列情况之一时，采购人和采购代理机构有权宣布终止竞争性谈判采购，并将理由通知所有供应商：</w:t>
      </w:r>
    </w:p>
    <w:p w14:paraId="1144404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（1）有效供应商数量不足，导致本次谈判缺乏竞争的；</w:t>
      </w:r>
    </w:p>
    <w:p w14:paraId="2000F95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28788A1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7AAE3A0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3BBE4E9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6E8522F6">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1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006ECB6C">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.2谈判小组要求供应商澄清、说明或者更正响应文件应当以书面形式（询标）作出。供应商的澄清、说明或者更正应当由法定代表人或其授权代表签字或者加盖公章</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电子签章</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w:t>
      </w:r>
    </w:p>
    <w:p w14:paraId="09437EE2">
      <w:pPr>
        <w:spacing w:line="360" w:lineRule="auto"/>
        <w:ind w:firstLine="435"/>
        <w:rPr>
          <w:rFonts w:ascii="宋体" w:hAnsi="宋体" w:eastAsia="宋体"/>
          <w:color w:val="auto"/>
          <w:sz w:val="24"/>
          <w:highlight w:val="none"/>
        </w:rPr>
      </w:pPr>
      <w:r>
        <w:rPr>
          <w:rFonts w:hint="eastAsia" w:ascii="宋体" w:hAnsi="宋体" w:eastAsia="宋体"/>
          <w:b/>
          <w:color w:val="auto"/>
          <w:sz w:val="24"/>
          <w:highlight w:val="none"/>
        </w:rPr>
        <w:t>如有询标，授权代表（或法定代表人）可通过远程登录的方式接受网上询标，也可凭本人有效身份证明参加询标。因授权代表联系不上</w:t>
      </w:r>
      <w:r>
        <w:rPr>
          <w:rFonts w:hint="eastAsia" w:ascii="宋体" w:hAnsi="宋体" w:eastAsia="宋体"/>
          <w:b/>
          <w:bCs/>
          <w:color w:val="auto"/>
          <w:sz w:val="24"/>
          <w:highlight w:val="none"/>
        </w:rPr>
        <w:t>、没有及时登录系统等情形</w:t>
      </w:r>
      <w:r>
        <w:rPr>
          <w:rFonts w:hint="eastAsia" w:ascii="宋体" w:hAnsi="宋体" w:eastAsia="宋体"/>
          <w:b/>
          <w:color w:val="auto"/>
          <w:sz w:val="24"/>
          <w:highlight w:val="none"/>
        </w:rPr>
        <w:t>而无法接受谈判小组询标的，供应商自行承担相关风险。</w:t>
      </w:r>
    </w:p>
    <w:p w14:paraId="02BB087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.最后报价</w:t>
      </w:r>
    </w:p>
    <w:p w14:paraId="4693759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谈判并不限定只进行二轮报价，如果谈判小组认为有必要，可以要求供应商进行多轮报价。</w:t>
      </w:r>
      <w:r>
        <w:rPr>
          <w:rFonts w:hint="eastAsia" w:asciiTheme="minorEastAsia" w:hAnsiTheme="minorEastAsia" w:eastAsiaTheme="minorEastAsia"/>
          <w:b/>
          <w:bCs/>
          <w:color w:val="auto"/>
          <w:sz w:val="24"/>
          <w:highlight w:val="none"/>
        </w:rPr>
        <w:t>（本项目约定为二轮报价</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第二次报价即为最后报价</w:t>
      </w:r>
      <w:r>
        <w:rPr>
          <w:rFonts w:hint="eastAsia" w:asciiTheme="minorEastAsia" w:hAnsiTheme="minorEastAsia" w:eastAsiaTheme="minorEastAsia"/>
          <w:b/>
          <w:bCs/>
          <w:color w:val="auto"/>
          <w:sz w:val="24"/>
          <w:highlight w:val="none"/>
        </w:rPr>
        <w:t>）</w:t>
      </w:r>
    </w:p>
    <w:p w14:paraId="217C22B2">
      <w:pPr>
        <w:spacing w:line="360" w:lineRule="auto"/>
        <w:ind w:firstLine="435"/>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第一轮报价为供应商在响应文件中填报的报价，第二轮报价在响应文件通过评审后，由谈判小组通过评标系统以询标方式，向响应文件评审有效的各供应商进行询标，各供应商应在评标系统询标规定的时间内，通过“评标澄清回复”进行第二轮报价。各供应商应及时查看系统质询问题并及时进行第二轮报价，第二轮报价即为最后报价，若供应商未在系统询标规定的时间内进行第二轮报价（最后报价）或第二轮报价被谈判小组认为不符合要求的，谈判小组默认其响应文件中填报的价格为供应商的最后报价，谈判价格以供应商的最后报价为准。望各供应商务必全程在线，及时进行回复，否则，因此给其造成相关后果，自行承担。</w:t>
      </w:r>
    </w:p>
    <w:p w14:paraId="146D69E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在谈判内容不做实质性变更或重大调整的前提下，供应商下轮报价不得高于上一轮报价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107F8FD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最后报价是供应商响应文件的有效组成部分，最后报价也是签订合同的依据。</w:t>
      </w:r>
    </w:p>
    <w:p w14:paraId="0D26944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成交候选人的推荐原则及标准</w:t>
      </w:r>
    </w:p>
    <w:p w14:paraId="6C3F67C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.1谈判小组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按照最后报价由低到高的顺序依次推荐成交候选人。最后报价相同的，</w:t>
      </w:r>
      <w:r>
        <w:rPr>
          <w:rFonts w:asciiTheme="minorEastAsia" w:hAnsiTheme="minorEastAsia" w:eastAsiaTheme="minorEastAsia"/>
          <w:color w:val="auto"/>
          <w:sz w:val="24"/>
          <w:highlight w:val="none"/>
        </w:rPr>
        <w:t>则</w:t>
      </w:r>
      <w:r>
        <w:rPr>
          <w:rFonts w:hint="eastAsia" w:asciiTheme="minorEastAsia" w:hAnsiTheme="minorEastAsia" w:eastAsiaTheme="minorEastAsia"/>
          <w:color w:val="auto"/>
          <w:sz w:val="24"/>
          <w:highlight w:val="none"/>
        </w:rPr>
        <w:t>由谈判小组采取随机抽取方式确定。</w:t>
      </w:r>
    </w:p>
    <w:p w14:paraId="10AB78B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确定成交候选人和成交供应商</w:t>
      </w:r>
    </w:p>
    <w:p w14:paraId="678AFFCB">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19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 xml:space="preserve">1 </w:t>
      </w:r>
      <w:r>
        <w:rPr>
          <w:rFonts w:hint="eastAsia" w:ascii="宋体" w:hAnsi="宋体" w:eastAsia="宋体"/>
          <w:color w:val="auto"/>
          <w:sz w:val="24"/>
          <w:highlight w:val="none"/>
        </w:rPr>
        <w:t>谈判小组按照最后报价由低到高的顺序和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ascii="宋体" w:hAnsi="宋体" w:eastAsia="宋体"/>
          <w:color w:val="auto"/>
          <w:sz w:val="24"/>
          <w:highlight w:val="none"/>
        </w:rPr>
        <w:t>确定成交候选人，并标明排列顺序。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谈判小组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6DD4CC7A">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asciiTheme="minorEastAsia" w:hAnsiTheme="minorEastAsia" w:eastAsiaTheme="minorEastAsia"/>
          <w:b/>
          <w:color w:val="auto"/>
          <w:sz w:val="24"/>
          <w:highlight w:val="none"/>
        </w:rPr>
        <w:t>.编写评审报告</w:t>
      </w:r>
    </w:p>
    <w:p w14:paraId="60D346A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1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14:paraId="1F6643E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6F80D53E">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.1评审将在严格保密的情况下进行。</w:t>
      </w:r>
    </w:p>
    <w:p w14:paraId="5C95AE9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w:t>
      </w:r>
      <w:r>
        <w:rPr>
          <w:rFonts w:hint="eastAsia" w:ascii="宋体" w:hAnsi="宋体" w:eastAsia="宋体"/>
          <w:color w:val="auto"/>
          <w:sz w:val="24"/>
          <w:highlight w:val="none"/>
        </w:rPr>
        <w:t>评审</w:t>
      </w:r>
      <w:r>
        <w:rPr>
          <w:rFonts w:ascii="宋体" w:hAnsi="宋体" w:eastAsia="宋体"/>
          <w:color w:val="auto"/>
          <w:sz w:val="24"/>
          <w:highlight w:val="none"/>
        </w:rPr>
        <w:t>工作纪律，不得</w:t>
      </w:r>
      <w:r>
        <w:rPr>
          <w:rFonts w:hint="eastAsia" w:ascii="宋体" w:hAnsi="宋体" w:eastAsia="宋体"/>
          <w:color w:val="auto"/>
          <w:sz w:val="24"/>
          <w:highlight w:val="none"/>
        </w:rPr>
        <w:t>泄露评审文件</w:t>
      </w:r>
      <w:r>
        <w:rPr>
          <w:rFonts w:ascii="宋体" w:hAnsi="宋体" w:eastAsia="宋体"/>
          <w:color w:val="auto"/>
          <w:sz w:val="24"/>
          <w:highlight w:val="none"/>
        </w:rPr>
        <w:t>、</w:t>
      </w:r>
      <w:r>
        <w:rPr>
          <w:rFonts w:hint="eastAsia" w:ascii="宋体" w:hAnsi="宋体" w:eastAsia="宋体"/>
          <w:color w:val="auto"/>
          <w:sz w:val="24"/>
          <w:highlight w:val="none"/>
        </w:rPr>
        <w:t>评审</w:t>
      </w:r>
      <w:r>
        <w:rPr>
          <w:rFonts w:ascii="宋体" w:hAnsi="宋体" w:eastAsia="宋体"/>
          <w:color w:val="auto"/>
          <w:sz w:val="24"/>
          <w:highlight w:val="none"/>
        </w:rPr>
        <w:t>情况和</w:t>
      </w:r>
      <w:r>
        <w:rPr>
          <w:rFonts w:hint="eastAsia" w:ascii="宋体" w:hAnsi="宋体" w:eastAsia="宋体"/>
          <w:color w:val="auto"/>
          <w:sz w:val="24"/>
          <w:highlight w:val="none"/>
        </w:rPr>
        <w:t>评审</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4F22A2E5">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7</w:t>
      </w:r>
      <w:r>
        <w:rPr>
          <w:rFonts w:asciiTheme="minorEastAsia" w:hAnsiTheme="minorEastAsia" w:eastAsiaTheme="minorEastAsia"/>
          <w:b/>
          <w:color w:val="auto"/>
          <w:sz w:val="24"/>
          <w:highlight w:val="none"/>
        </w:rPr>
        <w:t>.成交结果公告</w:t>
      </w:r>
    </w:p>
    <w:p w14:paraId="21BCBBF2">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.1为体现“公开、公平、公正”的原则，谈判结束后，</w:t>
      </w:r>
      <w:r>
        <w:rPr>
          <w:rFonts w:hint="eastAsia" w:asciiTheme="minorEastAsia" w:hAnsiTheme="minorEastAsia" w:eastAsiaTheme="minorEastAsia"/>
          <w:color w:val="auto"/>
          <w:sz w:val="24"/>
          <w:highlight w:val="none"/>
        </w:rPr>
        <w:t>采购代理机构将</w:t>
      </w:r>
      <w:r>
        <w:rPr>
          <w:rFonts w:hint="eastAsia" w:ascii="宋体" w:hAnsi="宋体" w:eastAsia="宋体"/>
          <w:color w:val="auto"/>
          <w:sz w:val="24"/>
          <w:szCs w:val="18"/>
          <w:highlight w:val="none"/>
        </w:rPr>
        <w:t>在</w:t>
      </w:r>
      <w:r>
        <w:rPr>
          <w:rFonts w:hint="eastAsia" w:ascii="宋体" w:hAnsi="宋体" w:eastAsia="宋体"/>
          <w:color w:val="auto"/>
          <w:sz w:val="24"/>
          <w:szCs w:val="18"/>
          <w:highlight w:val="none"/>
          <w:lang w:val="en-US" w:eastAsia="zh-CN"/>
        </w:rPr>
        <w:t>滁州市城投工程咨询管理有限公司（https://www.czctgczx.com/）</w:t>
      </w:r>
      <w:r>
        <w:rPr>
          <w:rFonts w:hint="eastAsia" w:ascii="宋体" w:hAnsi="宋体" w:eastAsia="宋体"/>
          <w:color w:val="auto"/>
          <w:sz w:val="24"/>
          <w:szCs w:val="18"/>
          <w:highlight w:val="none"/>
        </w:rPr>
        <w:t>上</w:t>
      </w:r>
      <w:r>
        <w:rPr>
          <w:rFonts w:asciiTheme="minorEastAsia" w:hAnsiTheme="minorEastAsia" w:eastAsiaTheme="minorEastAsia"/>
          <w:color w:val="auto"/>
          <w:sz w:val="24"/>
          <w:highlight w:val="none"/>
        </w:rPr>
        <w:t>发布成交结果公告。</w:t>
      </w:r>
    </w:p>
    <w:p w14:paraId="64BBAFC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服务要求，成交结果公告期限以及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44D49A21">
      <w:pPr>
        <w:spacing w:line="360" w:lineRule="auto"/>
        <w:ind w:firstLine="437"/>
        <w:outlineLvl w:val="2"/>
        <w:rPr>
          <w:rFonts w:ascii="宋体" w:hAnsi="宋体" w:eastAsia="宋体"/>
          <w:b/>
          <w:color w:val="auto"/>
          <w:sz w:val="24"/>
          <w:highlight w:val="none"/>
        </w:rPr>
      </w:pPr>
      <w:r>
        <w:rPr>
          <w:rFonts w:ascii="宋体" w:hAnsi="宋体" w:eastAsia="宋体"/>
          <w:b/>
          <w:color w:val="auto"/>
          <w:sz w:val="24"/>
          <w:highlight w:val="none"/>
        </w:rPr>
        <w:t>2</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.成交通知书</w:t>
      </w:r>
    </w:p>
    <w:p w14:paraId="716DCF98">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3</w:t>
      </w:r>
      <w:r>
        <w:rPr>
          <w:rFonts w:ascii="宋体" w:hAnsi="宋体" w:eastAsia="宋体"/>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ascii="宋体" w:hAnsi="宋体" w:eastAsia="宋体"/>
          <w:color w:val="auto"/>
          <w:sz w:val="24"/>
          <w:highlight w:val="none"/>
        </w:rPr>
        <w:t>向成交供应商发出成交通知书。</w:t>
      </w:r>
      <w:r>
        <w:rPr>
          <w:rFonts w:hint="eastAsia" w:asciiTheme="minorEastAsia" w:hAnsiTheme="minorEastAsia" w:eastAsiaTheme="minorEastAsia"/>
          <w:color w:val="auto"/>
          <w:sz w:val="24"/>
          <w:highlight w:val="none"/>
        </w:rPr>
        <w:t>成交通知书须加盖采购人、采购代理机构公章后，方可发出。</w:t>
      </w:r>
    </w:p>
    <w:p w14:paraId="627D1732">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3</w:t>
      </w:r>
      <w:r>
        <w:rPr>
          <w:rFonts w:ascii="宋体" w:hAnsi="宋体" w:eastAsia="宋体"/>
          <w:color w:val="auto"/>
          <w:sz w:val="24"/>
          <w:highlight w:val="none"/>
        </w:rPr>
        <w:t>.2成交通知书对采购人和成交供应商具有同等法律效力。成交通知书发出以后，采购人改变成交结果或者成交供应商放弃成交资格，应当承担相应的法律责任。</w:t>
      </w:r>
    </w:p>
    <w:p w14:paraId="5262B679">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3</w:t>
      </w:r>
      <w:r>
        <w:rPr>
          <w:rFonts w:ascii="宋体" w:hAnsi="宋体" w:eastAsia="宋体"/>
          <w:color w:val="auto"/>
          <w:sz w:val="24"/>
          <w:highlight w:val="none"/>
        </w:rPr>
        <w:t>.3成交通知书是合同的组成部分。</w:t>
      </w:r>
    </w:p>
    <w:p w14:paraId="2DAB3F60">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.告知</w:t>
      </w:r>
      <w:r>
        <w:rPr>
          <w:rFonts w:hint="eastAsia" w:ascii="宋体" w:hAnsi="宋体" w:eastAsia="宋体"/>
          <w:b/>
          <w:color w:val="auto"/>
          <w:sz w:val="24"/>
          <w:highlight w:val="none"/>
        </w:rPr>
        <w:t>谈判</w:t>
      </w:r>
      <w:r>
        <w:rPr>
          <w:rFonts w:ascii="宋体" w:hAnsi="宋体" w:eastAsia="宋体"/>
          <w:b/>
          <w:color w:val="auto"/>
          <w:sz w:val="24"/>
          <w:highlight w:val="none"/>
        </w:rPr>
        <w:t>结果</w:t>
      </w:r>
    </w:p>
    <w:p w14:paraId="67EA52F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.1在公告成交结果的同时，采购代理机构同时以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规定的形式告知未成交供应商本人的排序。</w:t>
      </w:r>
    </w:p>
    <w:p w14:paraId="6DEACD8B">
      <w:pPr>
        <w:spacing w:line="360" w:lineRule="auto"/>
        <w:ind w:firstLine="435"/>
        <w:rPr>
          <w:rFonts w:ascii="宋体" w:hAnsi="宋体" w:eastAsia="宋体"/>
          <w:color w:val="auto"/>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采购代理机构对未成交的供应商不做未成交原因的解释。</w:t>
      </w:r>
    </w:p>
    <w:p w14:paraId="4354F1E2">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25</w:t>
      </w:r>
      <w:r>
        <w:rPr>
          <w:rFonts w:ascii="宋体" w:hAnsi="宋体" w:eastAsia="宋体"/>
          <w:b/>
          <w:color w:val="auto"/>
          <w:sz w:val="24"/>
          <w:highlight w:val="none"/>
        </w:rPr>
        <w:t>.履约</w:t>
      </w:r>
      <w:r>
        <w:rPr>
          <w:rFonts w:asciiTheme="minorEastAsia" w:hAnsiTheme="minorEastAsia" w:eastAsiaTheme="minorEastAsia"/>
          <w:b/>
          <w:color w:val="auto"/>
          <w:sz w:val="24"/>
          <w:highlight w:val="none"/>
        </w:rPr>
        <w:t>保证金</w:t>
      </w:r>
    </w:p>
    <w:p w14:paraId="6A601FD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.1成交供应商应按照</w:t>
      </w:r>
      <w:r>
        <w:rPr>
          <w:rFonts w:ascii="宋体" w:hAnsi="宋体" w:eastAsia="宋体"/>
          <w:color w:val="auto"/>
          <w:sz w:val="24"/>
          <w:highlight w:val="none"/>
          <w:u w:val="single"/>
        </w:rPr>
        <w:t>供应商须知前附表</w:t>
      </w:r>
      <w:r>
        <w:rPr>
          <w:rFonts w:ascii="宋体" w:hAnsi="宋体" w:eastAsia="宋体"/>
          <w:color w:val="auto"/>
          <w:sz w:val="24"/>
          <w:highlight w:val="none"/>
        </w:rPr>
        <w:t>规定</w:t>
      </w:r>
      <w:r>
        <w:rPr>
          <w:rFonts w:hint="eastAsia" w:ascii="宋体" w:hAnsi="宋体" w:eastAsia="宋体"/>
          <w:color w:val="auto"/>
          <w:sz w:val="24"/>
          <w:highlight w:val="none"/>
        </w:rPr>
        <w:t>缴纳</w:t>
      </w:r>
      <w:r>
        <w:rPr>
          <w:rFonts w:ascii="宋体" w:hAnsi="宋体" w:eastAsia="宋体"/>
          <w:color w:val="auto"/>
          <w:sz w:val="24"/>
          <w:highlight w:val="none"/>
        </w:rPr>
        <w:t>履约保证金。</w:t>
      </w:r>
    </w:p>
    <w:p w14:paraId="158A974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.2如果成交供应商没有按照上述履约保证金的规定执行，将视为放弃成交资格。在此情况下，采购人可确定下一成交候选人为成交供应商，也可以重新开展采购活动。</w:t>
      </w:r>
    </w:p>
    <w:p w14:paraId="19D69AB0">
      <w:pPr>
        <w:spacing w:line="360" w:lineRule="auto"/>
        <w:ind w:firstLine="437"/>
        <w:outlineLvl w:val="2"/>
        <w:rPr>
          <w:rFonts w:hint="eastAsia" w:ascii="宋体" w:hAnsi="宋体" w:eastAsia="宋体"/>
          <w:b/>
          <w:color w:val="auto"/>
          <w:sz w:val="24"/>
          <w:highlight w:val="none"/>
          <w:lang w:eastAsia="zh-CN"/>
        </w:rPr>
      </w:pPr>
      <w:r>
        <w:rPr>
          <w:rFonts w:hint="eastAsia" w:ascii="宋体" w:hAnsi="宋体" w:eastAsia="宋体"/>
          <w:b/>
          <w:color w:val="auto"/>
          <w:sz w:val="24"/>
          <w:highlight w:val="none"/>
          <w:lang w:val="en-US" w:eastAsia="zh-CN"/>
        </w:rPr>
        <w:t>26</w:t>
      </w:r>
      <w:r>
        <w:rPr>
          <w:rFonts w:ascii="宋体" w:hAnsi="宋体" w:eastAsia="宋体"/>
          <w:b/>
          <w:color w:val="auto"/>
          <w:sz w:val="24"/>
          <w:highlight w:val="none"/>
        </w:rPr>
        <w:t>.</w:t>
      </w:r>
      <w:r>
        <w:rPr>
          <w:rFonts w:hint="eastAsia" w:ascii="宋体" w:hAnsi="宋体" w:eastAsia="宋体"/>
          <w:b/>
          <w:color w:val="auto"/>
          <w:sz w:val="24"/>
          <w:highlight w:val="none"/>
          <w:lang w:val="en-US" w:eastAsia="zh-CN"/>
        </w:rPr>
        <w:t>代理费用</w:t>
      </w:r>
    </w:p>
    <w:p w14:paraId="2664CDF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26</w:t>
      </w:r>
      <w:r>
        <w:rPr>
          <w:rFonts w:ascii="宋体" w:hAnsi="宋体" w:eastAsia="宋体"/>
          <w:color w:val="auto"/>
          <w:sz w:val="24"/>
          <w:highlight w:val="none"/>
        </w:rPr>
        <w:t>.1本项目</w:t>
      </w:r>
      <w:r>
        <w:rPr>
          <w:rFonts w:hint="eastAsia" w:ascii="宋体" w:hAnsi="宋体" w:eastAsia="宋体"/>
          <w:color w:val="auto"/>
          <w:sz w:val="24"/>
          <w:highlight w:val="none"/>
          <w:lang w:val="en-US" w:eastAsia="zh-CN"/>
        </w:rPr>
        <w:t>代理费用</w:t>
      </w:r>
      <w:r>
        <w:rPr>
          <w:rFonts w:ascii="宋体" w:hAnsi="宋体" w:eastAsia="宋体"/>
          <w:color w:val="auto"/>
          <w:sz w:val="24"/>
          <w:highlight w:val="none"/>
        </w:rPr>
        <w:t>的收取按</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的规定执行。</w:t>
      </w:r>
    </w:p>
    <w:p w14:paraId="6C560AF5">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27</w:t>
      </w:r>
      <w:r>
        <w:rPr>
          <w:rFonts w:ascii="宋体" w:hAnsi="宋体" w:eastAsia="宋体"/>
          <w:b/>
          <w:color w:val="auto"/>
          <w:sz w:val="24"/>
          <w:highlight w:val="none"/>
        </w:rPr>
        <w:t>.签订合同</w:t>
      </w:r>
    </w:p>
    <w:p w14:paraId="2C1D0401">
      <w:pPr>
        <w:spacing w:line="360" w:lineRule="auto"/>
        <w:ind w:firstLine="435"/>
        <w:rPr>
          <w:rFonts w:ascii="宋体" w:hAnsi="宋体" w:eastAsia="宋体"/>
          <w:color w:val="auto"/>
          <w:sz w:val="24"/>
          <w:highlight w:val="none"/>
        </w:rPr>
      </w:pPr>
      <w:bookmarkStart w:id="24" w:name="_Hlk60264926"/>
      <w:r>
        <w:rPr>
          <w:rFonts w:hint="eastAsia" w:ascii="宋体" w:hAnsi="宋体" w:eastAsia="宋体"/>
          <w:color w:val="auto"/>
          <w:sz w:val="24"/>
          <w:highlight w:val="none"/>
        </w:rPr>
        <w:t>27</w:t>
      </w:r>
      <w:r>
        <w:rPr>
          <w:rFonts w:ascii="宋体" w:hAnsi="宋体" w:eastAsia="宋体"/>
          <w:color w:val="auto"/>
          <w:sz w:val="24"/>
          <w:highlight w:val="none"/>
        </w:rPr>
        <w:t>.1</w:t>
      </w:r>
      <w:r>
        <w:rPr>
          <w:rFonts w:hint="eastAsia" w:ascii="宋体" w:hAnsi="宋体" w:eastAsia="宋体" w:cs="宋体"/>
          <w:color w:val="auto"/>
          <w:sz w:val="24"/>
          <w:szCs w:val="24"/>
          <w:highlight w:val="none"/>
        </w:rPr>
        <w:t>采购人与成交供应商应当按照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规定的时间内完成政府采购合同签订及合同公告。</w:t>
      </w:r>
    </w:p>
    <w:p w14:paraId="32D97B6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.2谈判文件、成交供应商的响应文件及其澄清文件等，均为签订合同的依据。</w:t>
      </w:r>
    </w:p>
    <w:p w14:paraId="7619D32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.3 成交供应商拒绝与采购人签订合同的，采购人可以按照评审报告推荐的成交候选人名单排序，确定下一成交候选人为成交供应商，也可以重新开展采购活动。</w:t>
      </w:r>
      <w:r>
        <w:rPr>
          <w:rFonts w:hint="eastAsia" w:ascii="宋体" w:hAnsi="宋体" w:eastAsia="宋体"/>
          <w:color w:val="auto"/>
          <w:sz w:val="24"/>
          <w:highlight w:val="none"/>
        </w:rPr>
        <w:t>成交供应商拒绝签订政府采购合同的</w:t>
      </w:r>
      <w:r>
        <w:rPr>
          <w:rFonts w:hint="eastAsia" w:ascii="宋体" w:hAnsi="宋体" w:eastAsia="宋体"/>
          <w:color w:val="auto"/>
          <w:sz w:val="24"/>
          <w:highlight w:val="none"/>
          <w:lang w:val="en-US" w:eastAsia="zh-CN"/>
        </w:rPr>
        <w:t>采购人有权上报监管部门，并保留追责权</w:t>
      </w:r>
      <w:r>
        <w:rPr>
          <w:rFonts w:hint="eastAsia" w:ascii="宋体" w:hAnsi="宋体" w:eastAsia="宋体"/>
          <w:color w:val="auto"/>
          <w:sz w:val="24"/>
          <w:highlight w:val="none"/>
        </w:rPr>
        <w:t>。</w:t>
      </w:r>
    </w:p>
    <w:bookmarkEnd w:id="24"/>
    <w:p w14:paraId="27EB49B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28</w:t>
      </w:r>
      <w:r>
        <w:rPr>
          <w:rFonts w:ascii="宋体" w:hAnsi="宋体" w:eastAsia="宋体"/>
          <w:b/>
          <w:color w:val="auto"/>
          <w:sz w:val="24"/>
          <w:highlight w:val="none"/>
        </w:rPr>
        <w:t>.廉洁自律规定</w:t>
      </w:r>
    </w:p>
    <w:p w14:paraId="1BEB9E4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.1采购代理机构工作人员不得以不正当手段获取政府采购代理业务，不得与采购人、供应商恶意串通。</w:t>
      </w:r>
    </w:p>
    <w:p w14:paraId="4F0BCA5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3B23E61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29</w:t>
      </w:r>
      <w:r>
        <w:rPr>
          <w:rFonts w:ascii="宋体" w:hAnsi="宋体" w:eastAsia="宋体"/>
          <w:b/>
          <w:color w:val="auto"/>
          <w:sz w:val="24"/>
          <w:highlight w:val="none"/>
        </w:rPr>
        <w:t>.质疑的提出与接收</w:t>
      </w:r>
    </w:p>
    <w:p w14:paraId="5035530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29.1供应商认为谈判文件、采购过程和成交结果使自己的权益受到损害的，可以在知道或者应知其权益受到损害之日起七个工作日内，以书面形式向采购人或其委托的采购代理机构提出质疑。</w:t>
      </w:r>
    </w:p>
    <w:p w14:paraId="4B382FB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29.2质疑供应商应按照财政部制定的《政府采购质疑函范本》格式和《政府采购质疑和投诉办法》的要求，在法定质疑期内以书面形式提出质疑，超出法定质疑期提交的质疑将被拒绝。针对同一采购程序环节的质疑应一次性提出。</w:t>
      </w:r>
    </w:p>
    <w:p w14:paraId="7FBBFFD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29.3采购代理机构质疑函接收部门、联系电话和通讯地址，见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14B3D180">
      <w:pPr>
        <w:spacing w:line="440" w:lineRule="exact"/>
        <w:ind w:firstLine="435"/>
        <w:rPr>
          <w:rFonts w:ascii="宋体" w:hAnsi="宋体" w:eastAsia="宋体"/>
          <w:color w:val="auto"/>
          <w:sz w:val="24"/>
          <w:highlight w:val="none"/>
        </w:rPr>
      </w:pPr>
      <w:r>
        <w:rPr>
          <w:rFonts w:hint="eastAsia" w:ascii="宋体" w:hAnsi="宋体" w:eastAsia="宋体"/>
          <w:color w:val="auto"/>
          <w:sz w:val="24"/>
          <w:highlight w:val="none"/>
        </w:rPr>
        <w:t>29.4采购人或采购代理机构在收到供应商的质疑函后，将审查质疑函的格式、内容以及所附的证明文件是否符合要求。如不符合，说明原因退回供应商；如符合要求，则接受该质疑函。供应商对评审过程、成交结果提出质疑的，采购人、采购代理机构可以组织原谈判小组协助答复质疑。处理质疑的时间，从实际接受供应商质疑函的时间开始计算。</w:t>
      </w:r>
    </w:p>
    <w:p w14:paraId="1AD68B0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注：上述条款中所要求的书面形式包含通过电子交易系统递交方式</w:t>
      </w:r>
      <w:r>
        <w:rPr>
          <w:rFonts w:hint="eastAsia" w:ascii="宋体" w:hAnsi="宋体" w:eastAsia="宋体"/>
          <w:color w:val="auto"/>
          <w:sz w:val="24"/>
          <w:highlight w:val="none"/>
          <w:lang w:val="en-US" w:eastAsia="zh-CN"/>
        </w:rPr>
        <w:t>。</w:t>
      </w:r>
    </w:p>
    <w:p w14:paraId="35535D63">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30</w:t>
      </w:r>
      <w:r>
        <w:rPr>
          <w:rFonts w:ascii="宋体" w:hAnsi="宋体" w:eastAsia="宋体"/>
          <w:b/>
          <w:color w:val="auto"/>
          <w:sz w:val="24"/>
          <w:highlight w:val="none"/>
        </w:rPr>
        <w:t>.</w:t>
      </w:r>
      <w:r>
        <w:rPr>
          <w:rFonts w:hint="eastAsia" w:ascii="宋体" w:hAnsi="宋体" w:eastAsia="宋体"/>
          <w:b/>
          <w:color w:val="auto"/>
          <w:sz w:val="24"/>
          <w:highlight w:val="none"/>
        </w:rPr>
        <w:t>投诉</w:t>
      </w:r>
    </w:p>
    <w:p w14:paraId="2E21DD4C">
      <w:pPr>
        <w:wordWrap w:val="0"/>
        <w:spacing w:line="360" w:lineRule="auto"/>
        <w:ind w:firstLine="437"/>
        <w:outlineLvl w:val="2"/>
        <w:rPr>
          <w:rFonts w:ascii="宋体" w:hAnsi="宋体" w:eastAsia="宋体"/>
          <w:bCs/>
          <w:color w:val="auto"/>
          <w:sz w:val="24"/>
          <w:highlight w:val="none"/>
        </w:rPr>
      </w:pPr>
      <w:r>
        <w:rPr>
          <w:rFonts w:hint="eastAsia" w:ascii="宋体" w:hAnsi="宋体" w:eastAsia="宋体"/>
          <w:bCs/>
          <w:color w:val="auto"/>
          <w:sz w:val="24"/>
          <w:highlight w:val="none"/>
        </w:rPr>
        <w:t>30.1质疑投标人对采购人、采购代理机构的答复不满意，或者采购人、采购代理机构未在规定的时间内答复的，可以在答复期满后十五个工作日内按有关规定，以书面形式向同级政府采购监督管理部门提出投诉。</w:t>
      </w:r>
    </w:p>
    <w:p w14:paraId="3637604F">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31</w:t>
      </w:r>
      <w:r>
        <w:rPr>
          <w:rFonts w:ascii="宋体" w:hAnsi="宋体" w:eastAsia="宋体"/>
          <w:b/>
          <w:color w:val="auto"/>
          <w:sz w:val="24"/>
          <w:highlight w:val="none"/>
        </w:rPr>
        <w:t>.需要补充的其他内容</w:t>
      </w:r>
    </w:p>
    <w:p w14:paraId="6F1573E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需要补充的其他内容，见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340FA7FA">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5F0C5A6B">
      <w:pPr>
        <w:spacing w:line="360" w:lineRule="auto"/>
        <w:jc w:val="center"/>
        <w:outlineLvl w:val="0"/>
        <w:rPr>
          <w:rFonts w:asciiTheme="minorEastAsia" w:hAnsiTheme="minorEastAsia" w:eastAsiaTheme="minorEastAsia"/>
          <w:b/>
          <w:color w:val="auto"/>
          <w:sz w:val="28"/>
          <w:highlight w:val="none"/>
        </w:rPr>
      </w:pPr>
      <w:bookmarkStart w:id="25" w:name="_Toc12846"/>
      <w:r>
        <w:rPr>
          <w:rFonts w:hint="eastAsia" w:asciiTheme="minorEastAsia" w:hAnsiTheme="minorEastAsia" w:eastAsiaTheme="minorEastAsia"/>
          <w:b/>
          <w:color w:val="auto"/>
          <w:sz w:val="28"/>
          <w:highlight w:val="none"/>
        </w:rPr>
        <w:t>第三章  采购需求</w:t>
      </w:r>
      <w:bookmarkEnd w:id="25"/>
    </w:p>
    <w:p w14:paraId="42590815">
      <w:pPr>
        <w:spacing w:line="360" w:lineRule="auto"/>
        <w:ind w:firstLine="482" w:firstLineChars="200"/>
        <w:rPr>
          <w:rFonts w:hint="eastAsia" w:asciiTheme="minorEastAsia" w:hAnsiTheme="minorEastAsia" w:eastAsiaTheme="minorEastAsia"/>
          <w:b/>
          <w:bCs/>
          <w:color w:val="auto"/>
          <w:sz w:val="24"/>
          <w:highlight w:val="none"/>
          <w:lang w:val="en-US" w:eastAsia="zh-CN"/>
        </w:rPr>
      </w:pPr>
      <w:bookmarkStart w:id="26" w:name="_Toc15927"/>
      <w:bookmarkStart w:id="27" w:name="_Toc30537"/>
      <w:bookmarkStart w:id="28" w:name="_Hlk16461016"/>
      <w:r>
        <w:rPr>
          <w:rFonts w:hint="eastAsia" w:asciiTheme="minorEastAsia" w:hAnsiTheme="minorEastAsia" w:eastAsiaTheme="minorEastAsia"/>
          <w:b/>
          <w:bCs/>
          <w:color w:val="auto"/>
          <w:sz w:val="24"/>
          <w:highlight w:val="none"/>
          <w:lang w:val="en-US" w:eastAsia="zh-CN"/>
        </w:rPr>
        <w:t>一、服务内容</w:t>
      </w:r>
    </w:p>
    <w:p w14:paraId="1B8914F8">
      <w:pPr>
        <w:spacing w:line="360" w:lineRule="auto"/>
        <w:ind w:firstLine="480" w:firstLineChars="200"/>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为了高标准的保障4G执法记录仪实时回传功能，进一步提高4G执法记录仪流量服务质量，供应商负责对采购人的518台4G执法记录仪（品牌科达、鼎桥）提供实时流量服务（信号全覆盖、无盲区），服务期限为：从签订合同时开始计算，为期一年。</w:t>
      </w:r>
    </w:p>
    <w:p w14:paraId="6942607F">
      <w:pPr>
        <w:spacing w:line="360" w:lineRule="auto"/>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二、相关要求</w:t>
      </w:r>
    </w:p>
    <w:p w14:paraId="1015AF96">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1、网络制式：必须全面支持4G网络（LTE Cat 1/Cat 4），并向下兼容3G/2G网络以确保在信号薄弱区域的连通性。优先支持5G网络，为未来设备升级预留空间。</w:t>
      </w:r>
    </w:p>
    <w:p w14:paraId="19A238E8">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2、流量套餐：</w:t>
      </w:r>
    </w:p>
    <w:p w14:paraId="4EA79434">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套餐模式：</w:t>
      </w:r>
      <w:r>
        <w:rPr>
          <w:rFonts w:hint="eastAsia" w:asciiTheme="minorEastAsia" w:hAnsiTheme="minorEastAsia" w:eastAsiaTheme="minorEastAsia"/>
          <w:color w:val="auto"/>
          <w:sz w:val="24"/>
          <w:highlight w:val="none"/>
        </w:rPr>
        <w:t>采用“流量池共享模式”。供应商需提供一个总流量池，所有卡共享使用，按月结算</w:t>
      </w:r>
      <w:r>
        <w:rPr>
          <w:rFonts w:hint="eastAsia" w:asciiTheme="minorEastAsia" w:hAnsiTheme="minorEastAsia" w:eastAsiaTheme="minorEastAsia"/>
          <w:color w:val="auto"/>
          <w:sz w:val="24"/>
          <w:highlight w:val="none"/>
          <w:lang w:val="en-US" w:eastAsia="zh-CN"/>
        </w:rPr>
        <w:t>。</w:t>
      </w:r>
    </w:p>
    <w:p w14:paraId="69645A16">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3、覆盖范围：网络覆盖必须包括滁州市全境（含各县、区、乡镇、农村及主要高速公路、山区等），并确保在全国范围内（民警跨省办案、追逃时）无漫游附加费用。</w:t>
      </w:r>
    </w:p>
    <w:p w14:paraId="008E51ED">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4、网络质量要求：</w:t>
      </w:r>
    </w:p>
    <w:p w14:paraId="3F4D05F8">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稳定性：网络连接稳定，图传延迟低，语音通话清晰，无断连。</w:t>
      </w:r>
    </w:p>
    <w:p w14:paraId="0510EE32">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优先级：建议提供APN专用网络通道，保障警务数据传输的优先性和带宽。</w:t>
      </w:r>
    </w:p>
    <w:p w14:paraId="7400B741">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上传速度：鉴于执法记录仪以视频上传为主要应用，需保证足够的上行带宽，平均上行速率需满足高清视频实时传输的要求。</w:t>
      </w:r>
    </w:p>
    <w:p w14:paraId="44C8A1C3">
      <w:pPr>
        <w:spacing w:line="360" w:lineRule="auto"/>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三、 功能与服务要求</w:t>
      </w:r>
    </w:p>
    <w:p w14:paraId="61E176B7">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1、管理平台要求：</w:t>
      </w:r>
    </w:p>
    <w:p w14:paraId="7CE59402">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供应商必须提供功能完善的物联网卡管理平台，支持Web端在线操作。</w:t>
      </w:r>
    </w:p>
    <w:p w14:paraId="7C502628">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核心功能需包括：</w:t>
      </w:r>
    </w:p>
    <w:p w14:paraId="20F7C80B">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卡状态管理：实时查看每张SIM卡的在线状态、信号强度、当前位置（基于基站定位）。</w:t>
      </w:r>
    </w:p>
    <w:p w14:paraId="732D4E7C">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费用管理：清晰展示账户余额、月度消费明细。</w:t>
      </w:r>
    </w:p>
    <w:p w14:paraId="1A13EB2B">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远程操作：支持对单张或批量SIM卡进行“激活/停机/复机/流量充值/套餐变更”等操作。</w:t>
      </w:r>
    </w:p>
    <w:p w14:paraId="51412448">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API接口：具备开放API接口，支持与我局现有的警务云平台或执法记录仪管理平台进行数据对接。</w:t>
      </w:r>
    </w:p>
    <w:p w14:paraId="4A0F7403">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2、安全性与可靠性：</w:t>
      </w:r>
    </w:p>
    <w:p w14:paraId="28D847C5">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数据安全：采用运营商级VPN或APN专网技术，实现终端与公安内网之间的加密数据传输，防止数据泄露。</w:t>
      </w:r>
    </w:p>
    <w:p w14:paraId="7CB9E4E3">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卡的安全性：物联网卡需具备机卡绑定功能，防止被盗用。支持IMEI号白名单校验。</w:t>
      </w:r>
    </w:p>
    <w:p w14:paraId="13E138F6">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冗余备份：供应商需有网络故障应急方案，确保服务高可用性。</w:t>
      </w:r>
    </w:p>
    <w:p w14:paraId="7FA23500">
      <w:pPr>
        <w:spacing w:line="360" w:lineRule="auto"/>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四、售后响应服务</w:t>
      </w:r>
    </w:p>
    <w:p w14:paraId="745F8ABF">
      <w:pPr>
        <w:spacing w:line="360" w:lineRule="auto"/>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1、在接到基层反馈故障报修（信号、流量等问题）通知后1小时之内作出响应，并在12小时之内完成初步技术接触，24小时内完成修复，确保4G执法记录仪正常使用。</w:t>
      </w:r>
    </w:p>
    <w:p w14:paraId="35A97276">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2、定期报告：每月提供详细的流量使用报告和服务质量报告。</w:t>
      </w:r>
    </w:p>
    <w:p w14:paraId="2E3CA2F8">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3、供应商负责前期4G执法记录仪所有信息录入工作，并负责对接到市公安局所需对接的全部系统，确保4G执法记录仪能够正常使用，市公安局不再支付任何费用；</w:t>
      </w:r>
    </w:p>
    <w:p w14:paraId="0231FF2A">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4、在当年新增加4G执法记录仪时，由供应商完成所有信息录入工作和系统对接工作，确保4G执法记录仪正常使用。</w:t>
      </w:r>
    </w:p>
    <w:p w14:paraId="5A6C3185">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5、当4G执法记录仪出现故障时，如因确定不了是设备或流量（信号）问题时，供应商要主动和4G执法记录仪售后对接，合作解决相关故障，不得推诿扯皮。</w:t>
      </w:r>
    </w:p>
    <w:p w14:paraId="7CDC306C">
      <w:pPr>
        <w:spacing w:line="360" w:lineRule="auto"/>
        <w:ind w:firstLine="482"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四、</w:t>
      </w:r>
      <w:r>
        <w:rPr>
          <w:rFonts w:hint="eastAsia" w:ascii="宋体" w:hAnsi="宋体" w:eastAsia="宋体"/>
          <w:b/>
          <w:color w:val="auto"/>
          <w:sz w:val="24"/>
          <w:szCs w:val="18"/>
          <w:highlight w:val="none"/>
        </w:rPr>
        <w:t>报价要求</w:t>
      </w:r>
    </w:p>
    <w:p w14:paraId="7CFD1582">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报价应包含：所有流量费用、技术服务费等全部费用。</w:t>
      </w:r>
    </w:p>
    <w:p w14:paraId="487CFEBC">
      <w:pPr>
        <w:spacing w:line="360" w:lineRule="auto"/>
        <w:ind w:firstLine="482"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五、付款方式：按月据实支付，甲方收到乙方流量使用明细并审核后，通知乙方开具发票，甲方按流程进行支付。</w:t>
      </w:r>
    </w:p>
    <w:bookmarkEnd w:id="26"/>
    <w:bookmarkEnd w:id="27"/>
    <w:bookmarkEnd w:id="28"/>
    <w:p w14:paraId="1482EF0A">
      <w:pPr>
        <w:spacing w:line="360" w:lineRule="auto"/>
        <w:jc w:val="center"/>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bookmarkStart w:id="29" w:name="_Toc23236"/>
      <w:r>
        <w:rPr>
          <w:rFonts w:hint="eastAsia" w:asciiTheme="minorEastAsia" w:hAnsiTheme="minorEastAsia" w:eastAsiaTheme="minorEastAsia"/>
          <w:b/>
          <w:color w:val="auto"/>
          <w:sz w:val="28"/>
          <w:highlight w:val="none"/>
        </w:rPr>
        <w:t>第四章  评审方法和标准</w:t>
      </w:r>
      <w:bookmarkEnd w:id="29"/>
    </w:p>
    <w:p w14:paraId="7340748B">
      <w:pPr>
        <w:spacing w:line="360" w:lineRule="auto"/>
        <w:ind w:firstLine="437"/>
        <w:outlineLvl w:val="1"/>
        <w:rPr>
          <w:rFonts w:asciiTheme="minorEastAsia" w:hAnsiTheme="minorEastAsia" w:eastAsiaTheme="minorEastAsia"/>
          <w:b/>
          <w:color w:val="auto"/>
          <w:sz w:val="24"/>
          <w:highlight w:val="none"/>
        </w:rPr>
      </w:pPr>
      <w:bookmarkStart w:id="30" w:name="_Toc16905"/>
      <w:bookmarkStart w:id="31" w:name="_Toc20577"/>
      <w:r>
        <w:rPr>
          <w:rFonts w:hint="eastAsia" w:asciiTheme="minorEastAsia" w:hAnsiTheme="minorEastAsia" w:eastAsiaTheme="minorEastAsia"/>
          <w:b/>
          <w:color w:val="auto"/>
          <w:sz w:val="24"/>
          <w:highlight w:val="none"/>
        </w:rPr>
        <w:t>一、总则</w:t>
      </w:r>
      <w:bookmarkEnd w:id="30"/>
      <w:bookmarkEnd w:id="31"/>
    </w:p>
    <w:p w14:paraId="4F10593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本项目将按照谈判文件第二章 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144D5D08">
      <w:pPr>
        <w:spacing w:line="360" w:lineRule="auto"/>
        <w:ind w:firstLine="437"/>
        <w:outlineLvl w:val="1"/>
        <w:rPr>
          <w:rFonts w:asciiTheme="minorEastAsia" w:hAnsiTheme="minorEastAsia" w:eastAsiaTheme="minorEastAsia"/>
          <w:b/>
          <w:color w:val="auto"/>
          <w:sz w:val="24"/>
          <w:highlight w:val="none"/>
        </w:rPr>
      </w:pPr>
      <w:bookmarkStart w:id="32" w:name="_Toc28634"/>
      <w:bookmarkStart w:id="33" w:name="_Toc14705"/>
      <w:r>
        <w:rPr>
          <w:rFonts w:hint="eastAsia" w:asciiTheme="minorEastAsia" w:hAnsiTheme="minorEastAsia" w:eastAsiaTheme="minorEastAsia"/>
          <w:b/>
          <w:color w:val="auto"/>
          <w:sz w:val="24"/>
          <w:highlight w:val="none"/>
        </w:rPr>
        <w:t>二、评审方法</w:t>
      </w:r>
      <w:bookmarkEnd w:id="32"/>
      <w:bookmarkEnd w:id="33"/>
    </w:p>
    <w:p w14:paraId="32C325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谈判小组对供应商的响应文件进行初审，以确定其是否满足谈判文件的实质性要求。初审表如下：</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367"/>
        <w:gridCol w:w="4379"/>
        <w:gridCol w:w="2083"/>
      </w:tblGrid>
      <w:tr w14:paraId="5AE5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5C660574">
            <w:pPr>
              <w:adjustRightInd w:val="0"/>
              <w:snapToGrid w:val="0"/>
              <w:spacing w:line="360" w:lineRule="auto"/>
              <w:ind w:right="-10"/>
              <w:jc w:val="center"/>
              <w:rPr>
                <w:rFonts w:ascii="宋体" w:hAnsi="宋体" w:eastAsia="宋体"/>
                <w:color w:val="auto"/>
                <w:sz w:val="24"/>
                <w:highlight w:val="none"/>
              </w:rPr>
            </w:pPr>
            <w:bookmarkStart w:id="34" w:name="_Hlk60612144"/>
            <w:r>
              <w:rPr>
                <w:rFonts w:hint="eastAsia" w:ascii="宋体" w:hAnsi="宋体" w:eastAsia="宋体"/>
                <w:b/>
                <w:color w:val="auto"/>
                <w:sz w:val="24"/>
                <w:szCs w:val="22"/>
                <w:highlight w:val="none"/>
              </w:rPr>
              <w:t>初审表</w:t>
            </w:r>
          </w:p>
        </w:tc>
      </w:tr>
      <w:tr w14:paraId="1B29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bottom w:val="single" w:color="auto" w:sz="4" w:space="0"/>
            </w:tcBorders>
            <w:vAlign w:val="center"/>
          </w:tcPr>
          <w:p w14:paraId="45308D3F">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802" w:type="pct"/>
            <w:tcBorders>
              <w:bottom w:val="single" w:color="auto" w:sz="4" w:space="0"/>
            </w:tcBorders>
            <w:vAlign w:val="center"/>
          </w:tcPr>
          <w:p w14:paraId="4EEAFAFF">
            <w:pPr>
              <w:pStyle w:val="47"/>
              <w:pBdr>
                <w:bottom w:val="none" w:color="auto" w:sz="0" w:space="0"/>
              </w:pBdr>
              <w:tabs>
                <w:tab w:val="clear" w:pos="4153"/>
                <w:tab w:val="clear" w:pos="8306"/>
              </w:tabs>
              <w:snapToGrid w:val="0"/>
              <w:spacing w:line="360" w:lineRule="auto"/>
              <w:ind w:right="-10"/>
              <w:textAlignment w:val="auto"/>
              <w:rPr>
                <w:rFonts w:ascii="宋体" w:hAnsi="宋体" w:eastAsia="宋体"/>
                <w:color w:val="auto"/>
                <w:kern w:val="2"/>
                <w:szCs w:val="24"/>
                <w:highlight w:val="none"/>
              </w:rPr>
            </w:pPr>
            <w:r>
              <w:rPr>
                <w:rFonts w:hint="eastAsia" w:ascii="宋体" w:hAnsi="宋体" w:eastAsia="宋体"/>
                <w:color w:val="auto"/>
                <w:kern w:val="2"/>
                <w:szCs w:val="24"/>
                <w:highlight w:val="none"/>
                <w:lang w:val="en-US" w:eastAsia="zh-CN"/>
              </w:rPr>
              <w:t>审查</w:t>
            </w:r>
            <w:r>
              <w:rPr>
                <w:rFonts w:hint="eastAsia" w:ascii="宋体" w:hAnsi="宋体" w:eastAsia="宋体"/>
                <w:color w:val="auto"/>
                <w:kern w:val="2"/>
                <w:szCs w:val="24"/>
                <w:highlight w:val="none"/>
              </w:rPr>
              <w:t>指标</w:t>
            </w:r>
          </w:p>
        </w:tc>
        <w:tc>
          <w:tcPr>
            <w:tcW w:w="2569" w:type="pct"/>
            <w:tcBorders>
              <w:bottom w:val="single" w:color="auto" w:sz="4" w:space="0"/>
            </w:tcBorders>
            <w:vAlign w:val="center"/>
          </w:tcPr>
          <w:p w14:paraId="60A03AA3">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lang w:val="en-US" w:eastAsia="zh-CN"/>
              </w:rPr>
              <w:t>审查</w:t>
            </w:r>
            <w:r>
              <w:rPr>
                <w:rFonts w:hint="eastAsia" w:ascii="宋体" w:hAnsi="宋体" w:eastAsia="宋体"/>
                <w:color w:val="auto"/>
                <w:sz w:val="24"/>
                <w:highlight w:val="none"/>
              </w:rPr>
              <w:t>标准</w:t>
            </w:r>
          </w:p>
        </w:tc>
        <w:tc>
          <w:tcPr>
            <w:tcW w:w="1220" w:type="pct"/>
            <w:tcBorders>
              <w:bottom w:val="single" w:color="auto" w:sz="4" w:space="0"/>
            </w:tcBorders>
            <w:vAlign w:val="center"/>
          </w:tcPr>
          <w:p w14:paraId="3298F7B3">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6611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07" w:type="pct"/>
            <w:tcBorders>
              <w:bottom w:val="single" w:color="auto" w:sz="4" w:space="0"/>
            </w:tcBorders>
            <w:vAlign w:val="center"/>
          </w:tcPr>
          <w:p w14:paraId="7DE76299">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802" w:type="pct"/>
            <w:tcBorders>
              <w:bottom w:val="single" w:color="auto" w:sz="4" w:space="0"/>
            </w:tcBorders>
            <w:vAlign w:val="center"/>
          </w:tcPr>
          <w:p w14:paraId="0BDD2905">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569" w:type="pct"/>
            <w:tcBorders>
              <w:bottom w:val="single" w:color="auto" w:sz="4" w:space="0"/>
            </w:tcBorders>
            <w:vAlign w:val="center"/>
          </w:tcPr>
          <w:p w14:paraId="0EE54BDE">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37FF43C6">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04D49E3B">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p w14:paraId="53E11C42">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是个体工商户的，应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供有效的个体工商户营业执照；</w:t>
            </w:r>
          </w:p>
          <w:p w14:paraId="188544FB">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是自然人的，应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供有效的自然人身份证明</w:t>
            </w:r>
            <w:r>
              <w:rPr>
                <w:rFonts w:hint="eastAsia" w:ascii="宋体" w:hAnsi="宋体" w:eastAsia="宋体" w:cs="宋体"/>
                <w:color w:val="auto"/>
                <w:sz w:val="24"/>
                <w:szCs w:val="24"/>
                <w:highlight w:val="none"/>
                <w:lang w:eastAsia="zh-CN"/>
              </w:rPr>
              <w:t>；</w:t>
            </w:r>
          </w:p>
        </w:tc>
        <w:tc>
          <w:tcPr>
            <w:tcW w:w="1220" w:type="pct"/>
            <w:vAlign w:val="center"/>
          </w:tcPr>
          <w:p w14:paraId="1F22FBEC">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olor w:val="auto"/>
                <w:sz w:val="24"/>
                <w:highlight w:val="none"/>
              </w:rPr>
              <w:t>参加</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lang w:val="en-US" w:eastAsia="zh-CN"/>
              </w:rPr>
              <w:t>的</w:t>
            </w:r>
            <w:r>
              <w:rPr>
                <w:rFonts w:hint="eastAsia" w:ascii="宋体" w:hAnsi="宋体" w:eastAsia="宋体" w:cs="宋体"/>
                <w:b w:val="0"/>
                <w:bCs w:val="0"/>
                <w:color w:val="auto"/>
                <w:sz w:val="24"/>
                <w:szCs w:val="24"/>
                <w:highlight w:val="none"/>
              </w:rPr>
              <w:t>联合体各方均须提供。</w:t>
            </w:r>
          </w:p>
        </w:tc>
      </w:tr>
      <w:tr w14:paraId="5B8F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bottom w:val="single" w:color="auto" w:sz="4" w:space="0"/>
            </w:tcBorders>
            <w:vAlign w:val="center"/>
          </w:tcPr>
          <w:p w14:paraId="61B93CF7">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802" w:type="pct"/>
            <w:tcBorders>
              <w:bottom w:val="single" w:color="auto" w:sz="4" w:space="0"/>
            </w:tcBorders>
            <w:vAlign w:val="center"/>
          </w:tcPr>
          <w:p w14:paraId="0D88B71A">
            <w:pPr>
              <w:spacing w:after="50" w:line="360" w:lineRule="auto"/>
              <w:ind w:right="-10" w:rightChars="0"/>
              <w:jc w:val="center"/>
              <w:rPr>
                <w:rFonts w:hint="default" w:ascii="宋体" w:hAnsi="宋体" w:eastAsia="宋体" w:cs="@仿宋_GB2312"/>
                <w:color w:val="auto"/>
                <w:kern w:val="2"/>
                <w:sz w:val="24"/>
                <w:szCs w:val="28"/>
                <w:highlight w:val="none"/>
                <w:lang w:val="en-US" w:eastAsia="zh-CN" w:bidi="ar-SA"/>
              </w:rPr>
            </w:pPr>
            <w:r>
              <w:rPr>
                <w:rFonts w:hint="eastAsia" w:ascii="宋体" w:hAnsi="宋体" w:eastAsia="宋体"/>
                <w:color w:val="auto"/>
                <w:sz w:val="24"/>
                <w:szCs w:val="18"/>
                <w:highlight w:val="none"/>
                <w:lang w:val="en-US" w:eastAsia="zh-CN"/>
              </w:rPr>
              <w:t>供应商资格声明书</w:t>
            </w:r>
          </w:p>
        </w:tc>
        <w:tc>
          <w:tcPr>
            <w:tcW w:w="2569" w:type="pct"/>
            <w:tcBorders>
              <w:bottom w:val="single" w:color="auto" w:sz="4" w:space="0"/>
            </w:tcBorders>
            <w:vAlign w:val="center"/>
          </w:tcPr>
          <w:p w14:paraId="261B1409">
            <w:pPr>
              <w:spacing w:after="50" w:line="360" w:lineRule="auto"/>
              <w:ind w:right="-10" w:rightChars="0"/>
              <w:jc w:val="left"/>
              <w:rPr>
                <w:rFonts w:hint="eastAsia"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w:t>
            </w:r>
            <w:r>
              <w:rPr>
                <w:rFonts w:hint="eastAsia" w:ascii="宋体" w:hAnsi="宋体" w:eastAsia="宋体" w:cs="宋体"/>
                <w:color w:val="auto"/>
                <w:sz w:val="24"/>
                <w:szCs w:val="24"/>
                <w:highlight w:val="none"/>
                <w:lang w:val="en-US" w:eastAsia="zh-CN"/>
              </w:rPr>
              <w:t>谈判</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220" w:type="pct"/>
            <w:tcBorders>
              <w:bottom w:val="single" w:color="auto" w:sz="4" w:space="0"/>
            </w:tcBorders>
            <w:vAlign w:val="center"/>
          </w:tcPr>
          <w:p w14:paraId="022A5EC0">
            <w:pPr>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079C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bottom w:val="single" w:color="auto" w:sz="4" w:space="0"/>
            </w:tcBorders>
            <w:vAlign w:val="center"/>
          </w:tcPr>
          <w:p w14:paraId="4307C2C0">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3</w:t>
            </w:r>
          </w:p>
        </w:tc>
        <w:tc>
          <w:tcPr>
            <w:tcW w:w="802" w:type="pct"/>
            <w:tcBorders>
              <w:bottom w:val="single" w:color="auto" w:sz="4" w:space="0"/>
            </w:tcBorders>
            <w:vAlign w:val="center"/>
          </w:tcPr>
          <w:p w14:paraId="6FFDE6EC">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569" w:type="pct"/>
            <w:tcBorders>
              <w:bottom w:val="single" w:color="auto" w:sz="4" w:space="0"/>
            </w:tcBorders>
            <w:vAlign w:val="center"/>
          </w:tcPr>
          <w:p w14:paraId="3BABE716">
            <w:pPr>
              <w:keepNext w:val="0"/>
              <w:keepLines w:val="0"/>
              <w:pageBreakBefore w:val="0"/>
              <w:widowControl w:val="0"/>
              <w:kinsoku/>
              <w:wordWrap w:val="0"/>
              <w:overflowPunct/>
              <w:topLinePunct w:val="0"/>
              <w:autoSpaceDE/>
              <w:autoSpaceDN/>
              <w:bidi w:val="0"/>
              <w:adjustRightInd/>
              <w:snapToGrid/>
              <w:spacing w:after="50" w:line="360" w:lineRule="auto"/>
              <w:ind w:right="-11" w:rightChars="0"/>
              <w:jc w:val="left"/>
              <w:textAlignment w:val="auto"/>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ascii="宋体" w:hAnsi="宋体" w:eastAsia="宋体" w:cs="宋体"/>
                <w:color w:val="auto"/>
                <w:sz w:val="24"/>
                <w:szCs w:val="24"/>
                <w:highlight w:val="none"/>
                <w:lang w:val="en-US" w:eastAsia="zh-CN"/>
              </w:rPr>
              <w:t>第一章谈判邀请中申请人资格要求中的</w:t>
            </w:r>
            <w:r>
              <w:rPr>
                <w:rFonts w:hint="eastAsia" w:ascii="宋体" w:hAnsi="宋体" w:eastAsia="宋体"/>
                <w:color w:val="auto"/>
                <w:sz w:val="24"/>
                <w:szCs w:val="18"/>
                <w:highlight w:val="none"/>
              </w:rPr>
              <w:t>不良信用记录情形</w:t>
            </w:r>
          </w:p>
        </w:tc>
        <w:tc>
          <w:tcPr>
            <w:tcW w:w="1220" w:type="pct"/>
            <w:tcBorders>
              <w:bottom w:val="single" w:color="auto" w:sz="4" w:space="0"/>
            </w:tcBorders>
            <w:vAlign w:val="center"/>
          </w:tcPr>
          <w:p w14:paraId="7620D26D">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475E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18FABB30">
            <w:pPr>
              <w:adjustRightInd w:val="0"/>
              <w:snapToGrid w:val="0"/>
              <w:spacing w:line="360" w:lineRule="auto"/>
              <w:ind w:right="-10" w:rightChars="0"/>
              <w:jc w:val="center"/>
              <w:rPr>
                <w:rFonts w:hint="eastAsia" w:cs="@仿宋_GB2312" w:asciiTheme="majorEastAsia" w:hAnsiTheme="majorEastAsia" w:eastAsiaTheme="majorEastAsia"/>
                <w:color w:val="auto"/>
                <w:kern w:val="2"/>
                <w:sz w:val="24"/>
                <w:highlight w:val="none"/>
                <w:lang w:val="en-US" w:eastAsia="zh-CN" w:bidi="ar-SA"/>
              </w:rPr>
            </w:pPr>
            <w:r>
              <w:rPr>
                <w:rFonts w:hint="eastAsia" w:asciiTheme="majorEastAsia" w:hAnsiTheme="majorEastAsia" w:eastAsiaTheme="majorEastAsia"/>
                <w:color w:val="auto"/>
                <w:sz w:val="24"/>
                <w:highlight w:val="none"/>
                <w:lang w:val="en-US" w:eastAsia="zh-CN"/>
              </w:rPr>
              <w:t>4</w:t>
            </w:r>
          </w:p>
        </w:tc>
        <w:tc>
          <w:tcPr>
            <w:tcW w:w="802" w:type="pct"/>
            <w:vAlign w:val="center"/>
          </w:tcPr>
          <w:p w14:paraId="49874CC2">
            <w:pPr>
              <w:spacing w:after="50" w:line="360" w:lineRule="auto"/>
              <w:ind w:right="-10" w:rightChars="0"/>
              <w:jc w:val="both"/>
              <w:rPr>
                <w:rFonts w:ascii="宋体" w:hAnsi="宋体" w:eastAsia="宋体" w:cs="宋体"/>
                <w:color w:val="auto"/>
                <w:spacing w:val="10"/>
                <w:kern w:val="2"/>
                <w:sz w:val="24"/>
                <w:szCs w:val="24"/>
                <w:highlight w:val="none"/>
                <w:lang w:val="en-US" w:eastAsia="zh-CN" w:bidi="ar-SA"/>
              </w:rPr>
            </w:pPr>
            <w:r>
              <w:rPr>
                <w:rFonts w:ascii="宋体" w:hAnsi="宋体" w:eastAsia="宋体" w:cs="宋体"/>
                <w:color w:val="auto"/>
                <w:spacing w:val="10"/>
                <w:sz w:val="24"/>
                <w:szCs w:val="24"/>
                <w:highlight w:val="none"/>
              </w:rPr>
              <w:t>其他资格要求</w:t>
            </w:r>
          </w:p>
        </w:tc>
        <w:tc>
          <w:tcPr>
            <w:tcW w:w="2569" w:type="pct"/>
            <w:vAlign w:val="center"/>
          </w:tcPr>
          <w:p w14:paraId="31B2B534">
            <w:pPr>
              <w:spacing w:after="50" w:line="360" w:lineRule="auto"/>
              <w:ind w:right="-10" w:rightChars="0"/>
              <w:jc w:val="both"/>
              <w:rPr>
                <w:rFonts w:ascii="宋体" w:hAnsi="宋体" w:eastAsia="宋体" w:cs="宋体"/>
                <w:color w:val="auto"/>
                <w:spacing w:val="10"/>
                <w:kern w:val="2"/>
                <w:sz w:val="24"/>
                <w:szCs w:val="24"/>
                <w:highlight w:val="none"/>
                <w:lang w:val="en-US" w:eastAsia="zh-CN" w:bidi="ar-SA"/>
              </w:rPr>
            </w:pPr>
            <w:r>
              <w:rPr>
                <w:rFonts w:hint="eastAsia" w:ascii="宋体" w:hAnsi="宋体" w:eastAsia="宋体" w:cs="宋体"/>
                <w:color w:val="auto"/>
                <w:spacing w:val="10"/>
                <w:kern w:val="2"/>
                <w:sz w:val="24"/>
                <w:szCs w:val="24"/>
                <w:highlight w:val="none"/>
                <w:lang w:val="en-US" w:eastAsia="zh-CN" w:bidi="ar-SA"/>
              </w:rPr>
              <w:t>《中华人民共和国增值电信业务经营许可证》</w:t>
            </w:r>
          </w:p>
        </w:tc>
        <w:tc>
          <w:tcPr>
            <w:tcW w:w="1220" w:type="pct"/>
            <w:vAlign w:val="center"/>
          </w:tcPr>
          <w:p w14:paraId="70E45834">
            <w:pPr>
              <w:spacing w:after="50" w:line="360" w:lineRule="auto"/>
              <w:ind w:right="-10" w:rightChars="0"/>
              <w:jc w:val="both"/>
              <w:rPr>
                <w:rFonts w:ascii="宋体" w:hAnsi="宋体" w:eastAsia="宋体" w:cs="宋体"/>
                <w:color w:val="auto"/>
                <w:spacing w:val="10"/>
                <w:kern w:val="2"/>
                <w:sz w:val="24"/>
                <w:szCs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0CE6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2FB7EE27">
            <w:pPr>
              <w:adjustRightInd w:val="0"/>
              <w:snapToGrid w:val="0"/>
              <w:spacing w:line="360" w:lineRule="auto"/>
              <w:ind w:right="-10" w:rightChars="0"/>
              <w:jc w:val="center"/>
              <w:rPr>
                <w:rFonts w:hint="eastAsia" w:cs="@仿宋_GB2312" w:asciiTheme="majorEastAsia" w:hAnsiTheme="majorEastAsia" w:eastAsiaTheme="majorEastAsia"/>
                <w:color w:val="auto"/>
                <w:kern w:val="2"/>
                <w:sz w:val="24"/>
                <w:highlight w:val="none"/>
                <w:lang w:val="en-US" w:eastAsia="zh-CN" w:bidi="ar-SA"/>
              </w:rPr>
            </w:pPr>
            <w:r>
              <w:rPr>
                <w:rFonts w:hint="eastAsia" w:asciiTheme="majorEastAsia" w:hAnsiTheme="majorEastAsia" w:eastAsiaTheme="majorEastAsia"/>
                <w:color w:val="auto"/>
                <w:sz w:val="24"/>
                <w:highlight w:val="none"/>
                <w:lang w:val="en-US" w:eastAsia="zh-CN"/>
              </w:rPr>
              <w:t>5</w:t>
            </w:r>
          </w:p>
        </w:tc>
        <w:tc>
          <w:tcPr>
            <w:tcW w:w="802" w:type="pct"/>
            <w:vAlign w:val="center"/>
          </w:tcPr>
          <w:p w14:paraId="76F97625">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lang w:val="en-US" w:eastAsia="zh-CN"/>
              </w:rPr>
              <w:t>谈判响应</w:t>
            </w:r>
            <w:r>
              <w:rPr>
                <w:rFonts w:hint="eastAsia" w:asciiTheme="minorEastAsia" w:hAnsiTheme="minorEastAsia" w:eastAsiaTheme="minorEastAsia"/>
                <w:color w:val="auto"/>
                <w:sz w:val="24"/>
                <w:szCs w:val="28"/>
                <w:highlight w:val="none"/>
              </w:rPr>
              <w:t>函</w:t>
            </w:r>
          </w:p>
        </w:tc>
        <w:tc>
          <w:tcPr>
            <w:tcW w:w="2569" w:type="pct"/>
            <w:vAlign w:val="center"/>
          </w:tcPr>
          <w:p w14:paraId="23E6C1C5">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谈判</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电子签章</w:t>
            </w:r>
          </w:p>
        </w:tc>
        <w:tc>
          <w:tcPr>
            <w:tcW w:w="1220" w:type="pct"/>
            <w:vAlign w:val="center"/>
          </w:tcPr>
          <w:p w14:paraId="3A5B75D8">
            <w:pPr>
              <w:adjustRightInd w:val="0"/>
              <w:snapToGrid w:val="0"/>
              <w:spacing w:line="360" w:lineRule="auto"/>
              <w:ind w:right="-10" w:rightChars="0"/>
              <w:jc w:val="center"/>
              <w:rPr>
                <w:rFonts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6949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2C876926">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6</w:t>
            </w:r>
          </w:p>
        </w:tc>
        <w:tc>
          <w:tcPr>
            <w:tcW w:w="802" w:type="pct"/>
            <w:vAlign w:val="center"/>
          </w:tcPr>
          <w:p w14:paraId="0D34806E">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授权书</w:t>
            </w:r>
          </w:p>
        </w:tc>
        <w:tc>
          <w:tcPr>
            <w:tcW w:w="2569" w:type="pct"/>
            <w:vAlign w:val="center"/>
          </w:tcPr>
          <w:p w14:paraId="5405A495">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谈判</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电子签章</w:t>
            </w:r>
          </w:p>
        </w:tc>
        <w:tc>
          <w:tcPr>
            <w:tcW w:w="1220" w:type="pct"/>
            <w:vAlign w:val="center"/>
          </w:tcPr>
          <w:p w14:paraId="7884B484">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rPr>
              <w:t>法定代表人参加</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的无需此件，提供身份证明即可。</w:t>
            </w: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2DFC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23D073A8">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7</w:t>
            </w:r>
          </w:p>
        </w:tc>
        <w:tc>
          <w:tcPr>
            <w:tcW w:w="802" w:type="pct"/>
            <w:vAlign w:val="center"/>
          </w:tcPr>
          <w:p w14:paraId="5F4ED450">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lang w:val="en-US" w:eastAsia="zh-CN"/>
              </w:rPr>
              <w:t>谈判</w:t>
            </w:r>
            <w:r>
              <w:rPr>
                <w:rFonts w:hint="eastAsia" w:asciiTheme="minorEastAsia" w:hAnsiTheme="minorEastAsia" w:eastAsiaTheme="minorEastAsia"/>
                <w:color w:val="auto"/>
                <w:sz w:val="24"/>
                <w:szCs w:val="28"/>
                <w:highlight w:val="none"/>
              </w:rPr>
              <w:t>报价</w:t>
            </w:r>
          </w:p>
        </w:tc>
        <w:tc>
          <w:tcPr>
            <w:tcW w:w="2569" w:type="pct"/>
            <w:vAlign w:val="center"/>
          </w:tcPr>
          <w:p w14:paraId="2246D79C">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220" w:type="pct"/>
            <w:vAlign w:val="center"/>
          </w:tcPr>
          <w:p w14:paraId="2151BADA">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09DA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4456986C">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8</w:t>
            </w:r>
          </w:p>
        </w:tc>
        <w:tc>
          <w:tcPr>
            <w:tcW w:w="802" w:type="pct"/>
            <w:vAlign w:val="center"/>
          </w:tcPr>
          <w:p w14:paraId="49F5B321">
            <w:pPr>
              <w:spacing w:after="50" w:line="480" w:lineRule="exact"/>
              <w:ind w:right="-10" w:rightChars="0"/>
              <w:jc w:val="center"/>
              <w:rPr>
                <w:rFonts w:hint="eastAsia"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rPr>
              <w:t>商务响应情况</w:t>
            </w:r>
          </w:p>
        </w:tc>
        <w:tc>
          <w:tcPr>
            <w:tcW w:w="2569" w:type="pct"/>
            <w:vAlign w:val="center"/>
          </w:tcPr>
          <w:p w14:paraId="39FD1F80">
            <w:pPr>
              <w:spacing w:after="50" w:line="480" w:lineRule="exact"/>
              <w:ind w:right="-10" w:rightChars="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谈判</w:t>
            </w:r>
            <w:r>
              <w:rPr>
                <w:rFonts w:hint="eastAsia" w:asciiTheme="minorEastAsia" w:hAnsiTheme="minorEastAsia" w:eastAsiaTheme="minorEastAsia"/>
                <w:color w:val="auto"/>
                <w:sz w:val="24"/>
                <w:szCs w:val="28"/>
                <w:highlight w:val="none"/>
              </w:rPr>
              <w:t>文件采购需求中对付款方式、</w:t>
            </w:r>
            <w:r>
              <w:rPr>
                <w:rFonts w:hint="eastAsia" w:asciiTheme="minorEastAsia" w:hAnsiTheme="minorEastAsia" w:eastAsiaTheme="minorEastAsia"/>
                <w:color w:val="auto"/>
                <w:sz w:val="24"/>
                <w:szCs w:val="28"/>
                <w:highlight w:val="none"/>
                <w:lang w:eastAsia="zh-CN"/>
              </w:rPr>
              <w:t>服务期</w:t>
            </w:r>
            <w:r>
              <w:rPr>
                <w:rFonts w:hint="eastAsia" w:asciiTheme="minorEastAsia" w:hAnsiTheme="minorEastAsia" w:eastAsiaTheme="minorEastAsia"/>
                <w:color w:val="auto"/>
                <w:sz w:val="24"/>
                <w:szCs w:val="28"/>
                <w:highlight w:val="none"/>
              </w:rPr>
              <w:t>、</w:t>
            </w:r>
            <w:r>
              <w:rPr>
                <w:rFonts w:hint="eastAsia" w:asciiTheme="minorEastAsia" w:hAnsiTheme="minorEastAsia" w:eastAsiaTheme="minorEastAsia"/>
                <w:color w:val="auto"/>
                <w:sz w:val="24"/>
                <w:szCs w:val="28"/>
                <w:highlight w:val="none"/>
                <w:lang w:eastAsia="zh-CN"/>
              </w:rPr>
              <w:t>服务地点</w:t>
            </w:r>
            <w:r>
              <w:rPr>
                <w:rFonts w:hint="eastAsia" w:asciiTheme="minorEastAsia" w:hAnsiTheme="minorEastAsia" w:eastAsiaTheme="minorEastAsia"/>
                <w:color w:val="auto"/>
                <w:sz w:val="24"/>
                <w:szCs w:val="28"/>
                <w:highlight w:val="none"/>
              </w:rPr>
              <w:t>等实质性要求</w:t>
            </w:r>
          </w:p>
        </w:tc>
        <w:tc>
          <w:tcPr>
            <w:tcW w:w="1220" w:type="pct"/>
            <w:vAlign w:val="center"/>
          </w:tcPr>
          <w:p w14:paraId="4B43F5C1">
            <w:pPr>
              <w:adjustRightInd w:val="0"/>
              <w:snapToGrid w:val="0"/>
              <w:spacing w:line="480" w:lineRule="exact"/>
              <w:ind w:right="-10" w:rightChars="0"/>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详见第六章响应文件格式。</w:t>
            </w:r>
          </w:p>
        </w:tc>
      </w:tr>
      <w:bookmarkEnd w:id="34"/>
    </w:tbl>
    <w:p w14:paraId="64C2FB9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649505BB">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7BF1FCEA">
      <w:pPr>
        <w:spacing w:line="360" w:lineRule="auto"/>
        <w:ind w:firstLine="437"/>
        <w:outlineLvl w:val="1"/>
        <w:rPr>
          <w:rFonts w:asciiTheme="minorEastAsia" w:hAnsiTheme="minorEastAsia" w:eastAsiaTheme="minorEastAsia"/>
          <w:b/>
          <w:color w:val="auto"/>
          <w:sz w:val="24"/>
          <w:highlight w:val="none"/>
        </w:rPr>
      </w:pPr>
      <w:bookmarkStart w:id="35" w:name="_Toc27310"/>
      <w:bookmarkStart w:id="36" w:name="_Toc35526206"/>
      <w:r>
        <w:rPr>
          <w:rFonts w:hint="eastAsia" w:asciiTheme="minorEastAsia" w:hAnsiTheme="minorEastAsia" w:eastAsiaTheme="minorEastAsia"/>
          <w:b/>
          <w:color w:val="auto"/>
          <w:sz w:val="24"/>
          <w:highlight w:val="none"/>
        </w:rPr>
        <w:t>三、无效响应条款</w:t>
      </w:r>
    </w:p>
    <w:p w14:paraId="186222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3.1响应文件有下列情形之一的,其响应文件拒收:</w:t>
      </w:r>
    </w:p>
    <w:p w14:paraId="62F0560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(1)未在响应文件递交截止时间前通过网上招标投标系统递交有效电子响应文件的，系统不予接收，其将被拒绝。</w:t>
      </w:r>
    </w:p>
    <w:p w14:paraId="08E1EA6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(2)供应商接到远程解密指令后，须在规定时间内解密。因供应商自身原因导致响应文件在规定时间内未能解密、解密失败或解密超时，响应文件无效。</w:t>
      </w:r>
    </w:p>
    <w:p w14:paraId="7433155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3.2供应商有下列情形之一的,资格审查后其作无效响应处理：</w:t>
      </w:r>
    </w:p>
    <w:p w14:paraId="62786A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（1）供应商为本项目提供采购代理服务的；</w:t>
      </w:r>
    </w:p>
    <w:p w14:paraId="3479F9A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（2）供应商与在本项目代理机构存在相互任职或工作的；</w:t>
      </w:r>
    </w:p>
    <w:p w14:paraId="0A90182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（3）与采购人存在利害关系可能影响采购公正性的法人、其他组织或者个人；</w:t>
      </w:r>
    </w:p>
    <w:p w14:paraId="66BC8BE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（4）无法查看并检验电子响应文件中相关资料的；</w:t>
      </w:r>
    </w:p>
    <w:p w14:paraId="7F09B8B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）责令停产停业的；</w:t>
      </w:r>
    </w:p>
    <w:p w14:paraId="11DBE37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）暂停或者取消参与政府采购项目资格的；</w:t>
      </w:r>
    </w:p>
    <w:p w14:paraId="28CEFF1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）单位负责人为同一人或者存在直接控股、管理关系的不同单位的；</w:t>
      </w:r>
    </w:p>
    <w:p w14:paraId="430E184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）供应商基本资格条件和特定资格条件中有一项及以上不符合要求的；</w:t>
      </w:r>
    </w:p>
    <w:p w14:paraId="0F49F64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谈判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w:t>
      </w:r>
    </w:p>
    <w:p w14:paraId="613B5C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）其它情形按无效响应处理；</w:t>
      </w:r>
    </w:p>
    <w:p w14:paraId="19CBDE0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）供应商响应MAC地址或供应商联系人或联系电话相同的，由谈判小组否决其响应，并报告监管部门作不良行为处理和进一步调查；</w:t>
      </w:r>
    </w:p>
    <w:p w14:paraId="04E2257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）供应商单方面出现其他供应商材料的；</w:t>
      </w:r>
    </w:p>
    <w:p w14:paraId="05B34C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）谈判文件规定的其它无效情形。</w:t>
      </w:r>
    </w:p>
    <w:p w14:paraId="3418062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 供应商有下列情形之一的,符合性审查后其按无效响应处理：</w:t>
      </w:r>
    </w:p>
    <w:p w14:paraId="60D7DB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（1）响应文件签章不全，经谈判小组一致认定对响应内容有实质性影响；</w:t>
      </w:r>
    </w:p>
    <w:p w14:paraId="48B160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w:t>
      </w:r>
    </w:p>
    <w:p w14:paraId="40CC29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（3）同一供应商提交两个或以上不同的响应文件或者报价，但谈判文件规定提交备选方案的除外；</w:t>
      </w:r>
    </w:p>
    <w:p w14:paraId="6583710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（4）响应文件没有对谈判文件的实质性要求和条件作出响应；</w:t>
      </w:r>
    </w:p>
    <w:p w14:paraId="5A7469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（5）报价超出规定的最高限价或公布的采购预算的或供应商的报价各项单价高于谈判文件给定的单价最高限价；</w:t>
      </w:r>
    </w:p>
    <w:p w14:paraId="18E009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（6）不按谈判小组要求澄清、说明或补正的，或者谈判小组根据谈判文件的规定对谈判文件的计算错误进行修正后，供应商不接受修正的报价的。</w:t>
      </w:r>
    </w:p>
    <w:p w14:paraId="486FE0E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（7）其它情形，经谈判小组提出按无效响应处理；</w:t>
      </w:r>
    </w:p>
    <w:p w14:paraId="488F8B8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（8）响应文件含有采购人不能接受的附加条件的；</w:t>
      </w:r>
    </w:p>
    <w:p w14:paraId="13FD14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（9）谈判文件规定的其它无效响应情形。</w:t>
      </w:r>
    </w:p>
    <w:p w14:paraId="7B65B16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 供应商有下列情形之一的, 详细评审后其按无效响应处理：</w:t>
      </w:r>
    </w:p>
    <w:p w14:paraId="01544A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（1）产品不符合必须强制执行的国家标准的；</w:t>
      </w:r>
    </w:p>
    <w:p w14:paraId="1D586D2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（2）供应商有串通、弄虚作假、行贿等违法行为；</w:t>
      </w:r>
    </w:p>
    <w:p w14:paraId="71A0A4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（3）响应文件含有违反国家法律、法规的内容，或附有采购人不能接受的条件的；</w:t>
      </w:r>
    </w:p>
    <w:p w14:paraId="29E1C3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（4）报价明显低于其他供应商，且不能证明报价合理性的响应无效；</w:t>
      </w:r>
    </w:p>
    <w:p w14:paraId="6C1E176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（5）拒不确认谈判小组评审修正的响应无效；</w:t>
      </w:r>
    </w:p>
    <w:p w14:paraId="3CF08C3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（6）其它情形，经谈判小组提出按无效响应处理；</w:t>
      </w:r>
    </w:p>
    <w:p w14:paraId="6266226D">
      <w:pPr>
        <w:spacing w:line="360" w:lineRule="auto"/>
        <w:ind w:firstLine="480" w:firstLineChars="200"/>
        <w:jc w:val="left"/>
        <w:outlineLvl w:val="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（7）谈判文件规定的其它无效响应情形</w:t>
      </w:r>
      <w:r>
        <w:rPr>
          <w:rFonts w:hint="eastAsia" w:asciiTheme="minorEastAsia" w:hAnsiTheme="minorEastAsia" w:eastAsiaTheme="minorEastAsia"/>
          <w:color w:val="auto"/>
          <w:sz w:val="24"/>
          <w:highlight w:val="none"/>
          <w:lang w:eastAsia="zh-CN"/>
        </w:rPr>
        <w:t>。</w:t>
      </w:r>
    </w:p>
    <w:p w14:paraId="3D043DDE">
      <w:pPr>
        <w:spacing w:line="360" w:lineRule="auto"/>
        <w:jc w:val="center"/>
        <w:outlineLvl w:val="0"/>
        <w:rPr>
          <w:rFonts w:hint="eastAsia" w:asciiTheme="minorEastAsia" w:hAnsiTheme="minorEastAsia" w:eastAsiaTheme="minorEastAsia"/>
          <w:color w:val="auto"/>
          <w:sz w:val="24"/>
          <w:highlight w:val="none"/>
          <w:lang w:eastAsia="zh-CN"/>
        </w:rPr>
      </w:pPr>
    </w:p>
    <w:p w14:paraId="130EF251">
      <w:pPr>
        <w:spacing w:line="360" w:lineRule="auto"/>
        <w:jc w:val="center"/>
        <w:outlineLvl w:val="0"/>
        <w:rPr>
          <w:rFonts w:hint="eastAsia" w:asciiTheme="minorEastAsia" w:hAnsiTheme="minorEastAsia" w:eastAsiaTheme="minorEastAsia"/>
          <w:color w:val="auto"/>
          <w:sz w:val="24"/>
          <w:highlight w:val="none"/>
          <w:lang w:eastAsia="zh-CN"/>
        </w:rPr>
      </w:pPr>
    </w:p>
    <w:p w14:paraId="6BB830E9">
      <w:pPr>
        <w:spacing w:line="360" w:lineRule="auto"/>
        <w:jc w:val="center"/>
        <w:outlineLvl w:val="0"/>
        <w:rPr>
          <w:rFonts w:hint="eastAsia" w:asciiTheme="minorEastAsia" w:hAnsiTheme="minorEastAsia" w:eastAsiaTheme="minorEastAsia"/>
          <w:color w:val="auto"/>
          <w:sz w:val="24"/>
          <w:highlight w:val="none"/>
          <w:lang w:eastAsia="zh-CN"/>
        </w:rPr>
      </w:pPr>
    </w:p>
    <w:p w14:paraId="5B350ABE">
      <w:pPr>
        <w:spacing w:line="360" w:lineRule="auto"/>
        <w:jc w:val="center"/>
        <w:outlineLvl w:val="0"/>
        <w:rPr>
          <w:rFonts w:hint="eastAsia" w:asciiTheme="minorEastAsia" w:hAnsiTheme="minorEastAsia" w:eastAsiaTheme="minorEastAsia"/>
          <w:color w:val="auto"/>
          <w:sz w:val="24"/>
          <w:highlight w:val="none"/>
          <w:lang w:eastAsia="zh-CN"/>
        </w:rPr>
      </w:pPr>
    </w:p>
    <w:p w14:paraId="5D4E78EC">
      <w:pPr>
        <w:spacing w:line="360" w:lineRule="auto"/>
        <w:jc w:val="center"/>
        <w:outlineLvl w:val="0"/>
        <w:rPr>
          <w:rFonts w:hint="eastAsia" w:asciiTheme="minorEastAsia" w:hAnsiTheme="minorEastAsia" w:eastAsiaTheme="minorEastAsia"/>
          <w:b/>
          <w:color w:val="auto"/>
          <w:sz w:val="28"/>
          <w:highlight w:val="none"/>
        </w:rPr>
      </w:pPr>
    </w:p>
    <w:p w14:paraId="3B7B5610">
      <w:pPr>
        <w:spacing w:line="360" w:lineRule="auto"/>
        <w:jc w:val="center"/>
        <w:outlineLvl w:val="0"/>
        <w:rPr>
          <w:rFonts w:hint="eastAsia" w:asciiTheme="minorEastAsia" w:hAnsiTheme="minorEastAsia" w:eastAsiaTheme="minorEastAsia"/>
          <w:b/>
          <w:color w:val="auto"/>
          <w:sz w:val="28"/>
          <w:highlight w:val="none"/>
        </w:rPr>
      </w:pPr>
    </w:p>
    <w:p w14:paraId="765CA1AC">
      <w:pPr>
        <w:spacing w:line="360" w:lineRule="auto"/>
        <w:jc w:val="center"/>
        <w:outlineLvl w:val="0"/>
        <w:rPr>
          <w:rFonts w:hint="eastAsia" w:asciiTheme="minorEastAsia" w:hAnsiTheme="minorEastAsia" w:eastAsiaTheme="minorEastAsia"/>
          <w:b/>
          <w:color w:val="auto"/>
          <w:sz w:val="28"/>
          <w:highlight w:val="none"/>
        </w:rPr>
      </w:pPr>
    </w:p>
    <w:p w14:paraId="0FFCD9FE">
      <w:pPr>
        <w:spacing w:line="360" w:lineRule="auto"/>
        <w:jc w:val="center"/>
        <w:outlineLvl w:val="0"/>
        <w:rPr>
          <w:rFonts w:hint="eastAsia" w:asciiTheme="minorEastAsia" w:hAnsiTheme="minorEastAsia" w:eastAsiaTheme="minorEastAsia"/>
          <w:b/>
          <w:color w:val="auto"/>
          <w:sz w:val="28"/>
          <w:highlight w:val="none"/>
        </w:rPr>
      </w:pPr>
    </w:p>
    <w:p w14:paraId="39710A91">
      <w:pPr>
        <w:spacing w:line="360" w:lineRule="auto"/>
        <w:jc w:val="center"/>
        <w:outlineLvl w:val="0"/>
        <w:rPr>
          <w:rFonts w:hint="eastAsia" w:asciiTheme="minorEastAsia" w:hAnsiTheme="minorEastAsia" w:eastAsiaTheme="minorEastAsia"/>
          <w:b/>
          <w:color w:val="auto"/>
          <w:sz w:val="28"/>
          <w:highlight w:val="none"/>
        </w:rPr>
      </w:pPr>
    </w:p>
    <w:p w14:paraId="5864AAFA">
      <w:pPr>
        <w:spacing w:line="360" w:lineRule="auto"/>
        <w:jc w:val="center"/>
        <w:outlineLvl w:val="0"/>
        <w:rPr>
          <w:rFonts w:hint="eastAsia" w:asciiTheme="minorEastAsia" w:hAnsiTheme="minorEastAsia" w:eastAsiaTheme="minorEastAsia"/>
          <w:b/>
          <w:color w:val="auto"/>
          <w:sz w:val="28"/>
          <w:highlight w:val="none"/>
        </w:rPr>
      </w:pPr>
    </w:p>
    <w:p w14:paraId="4391A57C">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35"/>
      <w:bookmarkEnd w:id="36"/>
    </w:p>
    <w:p w14:paraId="44EA432B">
      <w:pPr>
        <w:snapToGrid w:val="0"/>
        <w:spacing w:line="348" w:lineRule="auto"/>
        <w:jc w:val="center"/>
        <w:rPr>
          <w:rFonts w:hint="eastAsia" w:asciiTheme="majorEastAsia" w:hAnsiTheme="majorEastAsia" w:eastAsiaTheme="majorEastAsia" w:cstheme="majorEastAsia"/>
          <w:bCs/>
          <w:color w:val="auto"/>
          <w:sz w:val="24"/>
          <w:szCs w:val="24"/>
          <w:highlight w:val="none"/>
        </w:rPr>
      </w:pPr>
      <w:bookmarkStart w:id="37" w:name="_Toc29374"/>
    </w:p>
    <w:p w14:paraId="394EEF8B">
      <w:pPr>
        <w:snapToGrid w:val="0"/>
        <w:spacing w:line="348" w:lineRule="auto"/>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（签订合同时，仅以此文本为基准，补充条款双方协定）</w:t>
      </w:r>
    </w:p>
    <w:p w14:paraId="594D69F2">
      <w:pPr>
        <w:spacing w:line="480" w:lineRule="auto"/>
        <w:jc w:val="center"/>
        <w:rPr>
          <w:rFonts w:hint="eastAsia" w:asciiTheme="majorEastAsia" w:hAnsiTheme="majorEastAsia" w:eastAsiaTheme="majorEastAsia" w:cstheme="majorEastAsia"/>
          <w:b/>
          <w:color w:val="auto"/>
          <w:sz w:val="24"/>
          <w:szCs w:val="24"/>
          <w:highlight w:val="none"/>
        </w:rPr>
      </w:pPr>
    </w:p>
    <w:p w14:paraId="37E70E4C">
      <w:pPr>
        <w:spacing w:line="480" w:lineRule="auto"/>
        <w:jc w:val="center"/>
        <w:outlineLvl w:val="1"/>
        <w:rPr>
          <w:rFonts w:ascii="宋体" w:hAnsi="宋体"/>
          <w:b/>
          <w:color w:val="auto"/>
          <w:sz w:val="32"/>
          <w:szCs w:val="32"/>
          <w:highlight w:val="none"/>
        </w:rPr>
      </w:pPr>
      <w:bookmarkStart w:id="38" w:name="_Toc9456"/>
      <w:r>
        <w:rPr>
          <w:rFonts w:ascii="宋体" w:hAnsi="宋体"/>
          <w:b/>
          <w:color w:val="auto"/>
          <w:sz w:val="32"/>
          <w:szCs w:val="32"/>
          <w:highlight w:val="none"/>
        </w:rPr>
        <w:t>政府采购合同</w:t>
      </w:r>
      <w:r>
        <w:rPr>
          <w:rFonts w:hint="eastAsia" w:ascii="宋体" w:hAnsi="宋体"/>
          <w:b/>
          <w:color w:val="auto"/>
          <w:sz w:val="32"/>
          <w:szCs w:val="32"/>
          <w:highlight w:val="none"/>
        </w:rPr>
        <w:t>参考范本</w:t>
      </w:r>
      <w:bookmarkEnd w:id="38"/>
    </w:p>
    <w:p w14:paraId="284A5E71">
      <w:pPr>
        <w:spacing w:line="480" w:lineRule="auto"/>
        <w:jc w:val="center"/>
        <w:outlineLvl w:val="1"/>
        <w:rPr>
          <w:rFonts w:ascii="宋体" w:hAnsi="宋体"/>
          <w:b/>
          <w:color w:val="auto"/>
          <w:sz w:val="32"/>
          <w:szCs w:val="32"/>
          <w:highlight w:val="none"/>
        </w:rPr>
      </w:pPr>
      <w:bookmarkStart w:id="39" w:name="_Toc26618"/>
      <w:r>
        <w:rPr>
          <w:rFonts w:hint="eastAsia" w:ascii="宋体" w:hAnsi="宋体"/>
          <w:b/>
          <w:color w:val="auto"/>
          <w:sz w:val="32"/>
          <w:szCs w:val="32"/>
          <w:highlight w:val="none"/>
        </w:rPr>
        <w:t>（服务类）</w:t>
      </w:r>
      <w:bookmarkEnd w:id="39"/>
    </w:p>
    <w:p w14:paraId="31EF80A8">
      <w:pPr>
        <w:spacing w:line="480" w:lineRule="auto"/>
        <w:jc w:val="center"/>
        <w:rPr>
          <w:rFonts w:ascii="宋体" w:hAnsi="宋体"/>
          <w:b/>
          <w:color w:val="auto"/>
          <w:sz w:val="24"/>
          <w:highlight w:val="none"/>
        </w:rPr>
      </w:pPr>
    </w:p>
    <w:p w14:paraId="6B88F705">
      <w:pPr>
        <w:spacing w:line="480" w:lineRule="auto"/>
        <w:jc w:val="center"/>
        <w:rPr>
          <w:rFonts w:ascii="宋体" w:hAnsi="宋体"/>
          <w:b/>
          <w:color w:val="auto"/>
          <w:sz w:val="24"/>
          <w:highlight w:val="none"/>
        </w:rPr>
      </w:pPr>
    </w:p>
    <w:p w14:paraId="2051DF87">
      <w:pPr>
        <w:spacing w:line="480" w:lineRule="auto"/>
        <w:jc w:val="center"/>
        <w:rPr>
          <w:rFonts w:ascii="宋体" w:hAnsi="宋体"/>
          <w:b/>
          <w:color w:val="auto"/>
          <w:sz w:val="24"/>
          <w:highlight w:val="none"/>
        </w:rPr>
      </w:pPr>
    </w:p>
    <w:p w14:paraId="79010D69">
      <w:pPr>
        <w:spacing w:line="480" w:lineRule="auto"/>
        <w:jc w:val="center"/>
        <w:outlineLvl w:val="1"/>
        <w:rPr>
          <w:rFonts w:ascii="宋体" w:hAnsi="宋体"/>
          <w:b/>
          <w:color w:val="auto"/>
          <w:sz w:val="32"/>
          <w:szCs w:val="32"/>
          <w:highlight w:val="none"/>
        </w:rPr>
      </w:pPr>
      <w:bookmarkStart w:id="40" w:name="_Toc18055"/>
      <w:r>
        <w:rPr>
          <w:rFonts w:hint="eastAsia" w:ascii="宋体" w:hAnsi="宋体"/>
          <w:b/>
          <w:color w:val="auto"/>
          <w:sz w:val="32"/>
          <w:szCs w:val="32"/>
          <w:highlight w:val="none"/>
        </w:rPr>
        <w:t>第一部分 合同书</w:t>
      </w:r>
      <w:bookmarkEnd w:id="40"/>
    </w:p>
    <w:p w14:paraId="71302577">
      <w:pPr>
        <w:spacing w:line="480" w:lineRule="auto"/>
        <w:jc w:val="center"/>
        <w:rPr>
          <w:rFonts w:ascii="宋体" w:hAnsi="宋体"/>
          <w:b/>
          <w:color w:val="auto"/>
          <w:sz w:val="24"/>
          <w:highlight w:val="none"/>
        </w:rPr>
      </w:pPr>
    </w:p>
    <w:p w14:paraId="1B297039">
      <w:pPr>
        <w:spacing w:line="480" w:lineRule="auto"/>
        <w:jc w:val="center"/>
        <w:rPr>
          <w:rFonts w:ascii="宋体" w:hAnsi="宋体"/>
          <w:b/>
          <w:color w:val="auto"/>
          <w:sz w:val="24"/>
          <w:highlight w:val="none"/>
        </w:rPr>
      </w:pPr>
    </w:p>
    <w:p w14:paraId="0388C7A4">
      <w:pPr>
        <w:spacing w:line="480" w:lineRule="auto"/>
        <w:jc w:val="center"/>
        <w:rPr>
          <w:rFonts w:hint="eastAsia" w:asciiTheme="minorEastAsia" w:hAnsiTheme="minorEastAsia" w:eastAsiaTheme="minorEastAsia" w:cstheme="minorEastAsia"/>
          <w:b/>
          <w:color w:val="auto"/>
          <w:sz w:val="24"/>
          <w:highlight w:val="none"/>
        </w:rPr>
      </w:pPr>
    </w:p>
    <w:p w14:paraId="7E64A1DE">
      <w:pPr>
        <w:spacing w:before="120" w:line="480" w:lineRule="auto"/>
        <w:ind w:left="96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8AEDCF0">
      <w:pPr>
        <w:spacing w:before="120" w:line="480" w:lineRule="auto"/>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甲方（采购人）：</w:t>
      </w:r>
      <w:r>
        <w:rPr>
          <w:rFonts w:hint="eastAsia" w:asciiTheme="minorEastAsia" w:hAnsiTheme="minorEastAsia" w:eastAsiaTheme="minorEastAsia" w:cstheme="minorEastAsia"/>
          <w:color w:val="auto"/>
          <w:sz w:val="24"/>
          <w:szCs w:val="24"/>
          <w:highlight w:val="none"/>
          <w:u w:val="single"/>
        </w:rPr>
        <w:t xml:space="preserve">                                 </w:t>
      </w:r>
    </w:p>
    <w:p w14:paraId="4DBE1FFA">
      <w:pPr>
        <w:spacing w:before="120" w:line="480" w:lineRule="auto"/>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乙方（成交供应商）：</w:t>
      </w:r>
      <w:r>
        <w:rPr>
          <w:rFonts w:hint="eastAsia" w:asciiTheme="minorEastAsia" w:hAnsiTheme="minorEastAsia" w:eastAsiaTheme="minorEastAsia" w:cstheme="minorEastAsia"/>
          <w:color w:val="auto"/>
          <w:sz w:val="24"/>
          <w:highlight w:val="none"/>
          <w:u w:val="single"/>
        </w:rPr>
        <w:t xml:space="preserve">                          </w:t>
      </w:r>
    </w:p>
    <w:p w14:paraId="4C099B1A">
      <w:pPr>
        <w:spacing w:before="120" w:line="480" w:lineRule="auto"/>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szCs w:val="24"/>
          <w:highlight w:val="none"/>
          <w:u w:val="single"/>
        </w:rPr>
        <w:t xml:space="preserve">                                  </w:t>
      </w:r>
    </w:p>
    <w:p w14:paraId="15C18978">
      <w:pPr>
        <w:spacing w:before="120" w:line="48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30D81350">
      <w:pPr>
        <w:widowControl/>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42AD883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以下简称：甲方</w:t>
      </w:r>
      <w:r>
        <w:rPr>
          <w:rFonts w:hint="eastAsia" w:ascii="宋体" w:hAnsi="宋体" w:eastAsia="宋体" w:cs="宋体"/>
          <w:color w:val="auto"/>
          <w:sz w:val="24"/>
          <w:highlight w:val="none"/>
        </w:rPr>
        <w:t xml:space="preserve">）通过 </w:t>
      </w:r>
      <w:r>
        <w:rPr>
          <w:rFonts w:hint="eastAsia" w:ascii="宋体" w:hAnsi="宋体" w:eastAsia="宋体" w:cs="宋体"/>
          <w:color w:val="auto"/>
          <w:sz w:val="24"/>
          <w:highlight w:val="none"/>
          <w:u w:val="single"/>
        </w:rPr>
        <w:t>滁州市城投工程咨询管理有限公司</w:t>
      </w:r>
      <w:r>
        <w:rPr>
          <w:rFonts w:hint="eastAsia" w:ascii="宋体" w:hAnsi="宋体" w:eastAsia="宋体" w:cs="宋体"/>
          <w:color w:val="auto"/>
          <w:sz w:val="24"/>
          <w:highlight w:val="none"/>
        </w:rPr>
        <w:t>组织的竞争性</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方式采购活动，经</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小组评定，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以下简称：乙方</w:t>
      </w:r>
      <w:r>
        <w:rPr>
          <w:rFonts w:hint="eastAsia" w:ascii="宋体" w:hAnsi="宋体" w:eastAsia="宋体" w:cs="宋体"/>
          <w:color w:val="auto"/>
          <w:sz w:val="24"/>
          <w:highlight w:val="none"/>
        </w:rPr>
        <w:t>）为本项目成交供应商，现按照采购文件确定的事项签订本合同。</w:t>
      </w:r>
    </w:p>
    <w:p w14:paraId="2EBDD0A5">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参照《中华人民共和国民法典》、《中华人民共和国政府采购法》等相关法律法规之规定，按照平等、自愿、公平和诚实信用的原则，经甲方和乙方协商一致，约定以下合同条款，以兹共同遵守、全面履行。</w:t>
      </w:r>
    </w:p>
    <w:p w14:paraId="7895C7AB">
      <w:pPr>
        <w:spacing w:line="360" w:lineRule="auto"/>
        <w:ind w:firstLine="437"/>
        <w:outlineLvl w:val="2"/>
        <w:rPr>
          <w:rFonts w:hint="eastAsia" w:ascii="宋体" w:hAnsi="宋体" w:eastAsia="宋体" w:cs="宋体"/>
          <w:b/>
          <w:bCs/>
          <w:color w:val="auto"/>
          <w:sz w:val="24"/>
          <w:highlight w:val="none"/>
          <w:lang w:val="zh-CN"/>
        </w:rPr>
      </w:pPr>
      <w:bookmarkStart w:id="41" w:name="_Toc2232"/>
      <w:bookmarkStart w:id="42" w:name="_Toc24059"/>
      <w:bookmarkStart w:id="43" w:name="_Toc3029"/>
      <w:r>
        <w:rPr>
          <w:rFonts w:hint="eastAsia" w:ascii="宋体" w:hAnsi="宋体" w:eastAsia="宋体" w:cs="宋体"/>
          <w:b/>
          <w:bCs/>
          <w:color w:val="auto"/>
          <w:sz w:val="24"/>
          <w:highlight w:val="none"/>
          <w:lang w:val="zh-CN"/>
        </w:rPr>
        <w:t>1.1 合同组成部分</w:t>
      </w:r>
      <w:bookmarkEnd w:id="41"/>
      <w:bookmarkEnd w:id="42"/>
      <w:bookmarkEnd w:id="43"/>
    </w:p>
    <w:p w14:paraId="0BC330B5">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5AA72932">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1.1.1本合同及其补充合同、变更协议；</w:t>
      </w:r>
    </w:p>
    <w:p w14:paraId="00CCBC8F">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1.1.2成交通知书；</w:t>
      </w:r>
    </w:p>
    <w:p w14:paraId="0A168FD6">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1.1.3响应文件（含澄清或者说明文件）；</w:t>
      </w:r>
    </w:p>
    <w:p w14:paraId="2E3892A8">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1.1.4</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lang w:val="zh-CN"/>
        </w:rPr>
        <w:t>文件（含澄清或者修改文件）；</w:t>
      </w:r>
    </w:p>
    <w:p w14:paraId="0DB5F300">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1.1.5其他相关采购文件。</w:t>
      </w:r>
    </w:p>
    <w:p w14:paraId="2E2F6CFB">
      <w:pPr>
        <w:spacing w:line="360" w:lineRule="auto"/>
        <w:ind w:firstLine="437"/>
        <w:outlineLvl w:val="2"/>
        <w:rPr>
          <w:rFonts w:hint="eastAsia" w:ascii="宋体" w:hAnsi="宋体" w:eastAsia="宋体" w:cs="宋体"/>
          <w:b/>
          <w:bCs/>
          <w:color w:val="auto"/>
          <w:sz w:val="24"/>
          <w:highlight w:val="none"/>
          <w:lang w:val="zh-CN"/>
        </w:rPr>
      </w:pPr>
      <w:bookmarkStart w:id="44" w:name="_Toc21295"/>
      <w:bookmarkStart w:id="45" w:name="_Toc24300"/>
      <w:bookmarkStart w:id="46" w:name="_Toc27126"/>
      <w:r>
        <w:rPr>
          <w:rFonts w:hint="eastAsia" w:ascii="宋体" w:hAnsi="宋体" w:eastAsia="宋体" w:cs="宋体"/>
          <w:b/>
          <w:bCs/>
          <w:color w:val="auto"/>
          <w:sz w:val="24"/>
          <w:highlight w:val="none"/>
          <w:lang w:val="zh-CN"/>
        </w:rPr>
        <w:t xml:space="preserve">1.2 </w:t>
      </w:r>
      <w:bookmarkEnd w:id="44"/>
      <w:bookmarkEnd w:id="45"/>
      <w:bookmarkEnd w:id="46"/>
      <w:r>
        <w:rPr>
          <w:rFonts w:hint="eastAsia" w:ascii="宋体" w:hAnsi="宋体" w:eastAsia="宋体" w:cs="宋体"/>
          <w:b/>
          <w:bCs/>
          <w:color w:val="auto"/>
          <w:sz w:val="24"/>
          <w:highlight w:val="none"/>
          <w:lang w:val="zh-CN"/>
        </w:rPr>
        <w:t>服务</w:t>
      </w:r>
    </w:p>
    <w:p w14:paraId="4266A0B1">
      <w:pPr>
        <w:spacing w:line="360" w:lineRule="auto"/>
        <w:ind w:firstLine="435"/>
        <w:rPr>
          <w:rFonts w:hint="eastAsia" w:ascii="宋体" w:hAnsi="宋体" w:eastAsia="宋体" w:cs="宋体"/>
          <w:color w:val="auto"/>
          <w:sz w:val="24"/>
          <w:szCs w:val="24"/>
          <w:highlight w:val="none"/>
          <w:u w:val="single"/>
        </w:rPr>
      </w:pPr>
      <w:bookmarkStart w:id="47" w:name="_Toc21631"/>
      <w:bookmarkStart w:id="48" w:name="_Toc23292"/>
      <w:bookmarkStart w:id="49" w:name="_Toc21551"/>
      <w:r>
        <w:rPr>
          <w:rFonts w:hint="eastAsia" w:ascii="宋体" w:hAnsi="宋体" w:eastAsia="宋体" w:cs="宋体"/>
          <w:color w:val="auto"/>
          <w:sz w:val="24"/>
          <w:szCs w:val="24"/>
          <w:highlight w:val="none"/>
          <w:lang w:bidi="ar"/>
        </w:rPr>
        <w:t>1.2.1服务名称：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bidi="ar"/>
        </w:rPr>
        <w:t>；</w:t>
      </w:r>
    </w:p>
    <w:p w14:paraId="1D18283D">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1.2.2服务内容：</w:t>
      </w:r>
      <w:r>
        <w:rPr>
          <w:rFonts w:hint="eastAsia" w:ascii="宋体" w:hAnsi="宋体" w:eastAsia="宋体" w:cs="宋体"/>
          <w:color w:val="auto"/>
          <w:sz w:val="24"/>
          <w:highlight w:val="none"/>
          <w:u w:val="single"/>
          <w:lang w:val="en-US" w:eastAsia="zh-CN"/>
        </w:rPr>
        <w:t>谈判</w:t>
      </w:r>
      <w:r>
        <w:rPr>
          <w:rFonts w:hint="eastAsia" w:ascii="宋体" w:hAnsi="宋体" w:eastAsia="宋体" w:cs="宋体"/>
          <w:color w:val="auto"/>
          <w:sz w:val="24"/>
          <w:highlight w:val="none"/>
          <w:u w:val="single"/>
          <w:lang w:val="zh-CN"/>
        </w:rPr>
        <w:t>文件</w:t>
      </w:r>
      <w:r>
        <w:rPr>
          <w:rFonts w:hint="eastAsia" w:ascii="宋体" w:hAnsi="宋体" w:eastAsia="宋体" w:cs="宋体"/>
          <w:color w:val="auto"/>
          <w:sz w:val="24"/>
          <w:highlight w:val="none"/>
          <w:u w:val="single"/>
        </w:rPr>
        <w:t>采购需求全部内容</w:t>
      </w:r>
      <w:r>
        <w:rPr>
          <w:rFonts w:hint="eastAsia" w:ascii="宋体" w:hAnsi="宋体" w:eastAsia="宋体" w:cs="宋体"/>
          <w:color w:val="auto"/>
          <w:sz w:val="24"/>
          <w:szCs w:val="24"/>
          <w:highlight w:val="none"/>
          <w:lang w:bidi="ar"/>
        </w:rPr>
        <w:t>；</w:t>
      </w:r>
    </w:p>
    <w:p w14:paraId="37CAA551">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1.2.3服务质量：</w:t>
      </w:r>
      <w:r>
        <w:rPr>
          <w:rFonts w:hint="eastAsia" w:ascii="宋体" w:hAnsi="宋体" w:eastAsia="宋体" w:cs="宋体"/>
          <w:color w:val="auto"/>
          <w:sz w:val="24"/>
          <w:szCs w:val="24"/>
          <w:highlight w:val="none"/>
          <w:u w:val="single"/>
        </w:rPr>
        <w:t>满足</w:t>
      </w:r>
      <w:r>
        <w:rPr>
          <w:rFonts w:hint="eastAsia" w:ascii="宋体" w:hAnsi="宋体" w:eastAsia="宋体" w:cs="宋体"/>
          <w:color w:val="auto"/>
          <w:sz w:val="24"/>
          <w:szCs w:val="24"/>
          <w:highlight w:val="none"/>
          <w:u w:val="single"/>
          <w:lang w:val="en-US" w:eastAsia="zh-CN"/>
        </w:rPr>
        <w:t>谈判</w:t>
      </w:r>
      <w:r>
        <w:rPr>
          <w:rFonts w:hint="eastAsia" w:ascii="宋体" w:hAnsi="宋体" w:eastAsia="宋体" w:cs="宋体"/>
          <w:color w:val="auto"/>
          <w:sz w:val="24"/>
          <w:szCs w:val="24"/>
          <w:highlight w:val="none"/>
          <w:u w:val="single"/>
          <w:lang w:val="zh-CN"/>
        </w:rPr>
        <w:t>文件</w:t>
      </w:r>
      <w:r>
        <w:rPr>
          <w:rFonts w:hint="eastAsia" w:ascii="宋体" w:hAnsi="宋体" w:eastAsia="宋体" w:cs="宋体"/>
          <w:color w:val="auto"/>
          <w:sz w:val="24"/>
          <w:szCs w:val="24"/>
          <w:highlight w:val="none"/>
          <w:u w:val="single"/>
        </w:rPr>
        <w:t>要求及采购人相关要求</w:t>
      </w:r>
      <w:r>
        <w:rPr>
          <w:rFonts w:hint="eastAsia" w:ascii="宋体" w:hAnsi="宋体" w:eastAsia="宋体" w:cs="宋体"/>
          <w:color w:val="auto"/>
          <w:sz w:val="24"/>
          <w:szCs w:val="24"/>
          <w:highlight w:val="none"/>
          <w:lang w:bidi="ar"/>
        </w:rPr>
        <w:t>。</w:t>
      </w:r>
    </w:p>
    <w:p w14:paraId="33E675E0">
      <w:pPr>
        <w:spacing w:line="360" w:lineRule="auto"/>
        <w:ind w:firstLine="437"/>
        <w:outlineLvl w:val="2"/>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1.3 价款</w:t>
      </w:r>
      <w:bookmarkEnd w:id="47"/>
      <w:bookmarkEnd w:id="48"/>
      <w:bookmarkEnd w:id="49"/>
    </w:p>
    <w:p w14:paraId="3F59E03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w:t>
      </w:r>
      <w:r>
        <w:rPr>
          <w:rFonts w:hint="eastAsia" w:ascii="宋体" w:hAnsi="宋体" w:eastAsia="宋体" w:cs="宋体"/>
          <w:color w:val="auto"/>
          <w:sz w:val="24"/>
          <w:highlight w:val="none"/>
          <w:lang w:val="en-US" w:eastAsia="zh-CN"/>
        </w:rPr>
        <w:t>单价</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rPr>
        <w:t xml:space="preserve">           元/G</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2052FD76">
      <w:pPr>
        <w:spacing w:line="360" w:lineRule="auto"/>
        <w:ind w:firstLine="437"/>
        <w:outlineLvl w:val="2"/>
        <w:rPr>
          <w:rFonts w:hint="eastAsia" w:ascii="宋体" w:hAnsi="宋体" w:eastAsia="宋体" w:cs="宋体"/>
          <w:b/>
          <w:bCs/>
          <w:color w:val="auto"/>
          <w:sz w:val="24"/>
          <w:highlight w:val="none"/>
          <w:lang w:val="zh-CN"/>
        </w:rPr>
      </w:pPr>
      <w:bookmarkStart w:id="50" w:name="_Toc1814"/>
      <w:bookmarkStart w:id="51" w:name="_Toc22618"/>
      <w:bookmarkStart w:id="52" w:name="_Toc10340"/>
      <w:r>
        <w:rPr>
          <w:rFonts w:hint="eastAsia" w:ascii="宋体" w:hAnsi="宋体" w:eastAsia="宋体" w:cs="宋体"/>
          <w:b/>
          <w:bCs/>
          <w:color w:val="auto"/>
          <w:sz w:val="24"/>
          <w:highlight w:val="none"/>
          <w:lang w:val="zh-CN"/>
        </w:rPr>
        <w:t>1.4 付款方式和发票开具方式</w:t>
      </w:r>
      <w:bookmarkEnd w:id="50"/>
      <w:bookmarkEnd w:id="51"/>
      <w:bookmarkEnd w:id="52"/>
    </w:p>
    <w:p w14:paraId="3AEB59D0">
      <w:pPr>
        <w:pStyle w:val="46"/>
        <w:widowControl w:val="0"/>
        <w:spacing w:before="0" w:beforeAutospacing="0" w:after="0" w:afterAutospacing="0" w:line="360" w:lineRule="auto"/>
        <w:ind w:firstLine="482" w:firstLineChars="200"/>
        <w:jc w:val="both"/>
        <w:rPr>
          <w:rFonts w:hint="eastAsia" w:ascii="宋体" w:hAnsi="宋体" w:eastAsia="宋体" w:cs="宋体"/>
          <w:b w:val="0"/>
          <w:color w:val="auto"/>
          <w:sz w:val="24"/>
          <w:highlight w:val="none"/>
        </w:rPr>
      </w:pPr>
      <w:r>
        <w:rPr>
          <w:rFonts w:hint="eastAsia" w:ascii="宋体" w:hAnsi="宋体" w:eastAsia="宋体" w:cs="宋体"/>
          <w:color w:val="auto"/>
          <w:sz w:val="24"/>
          <w:highlight w:val="none"/>
        </w:rPr>
        <w:t>1.4.1付款方式：</w:t>
      </w:r>
    </w:p>
    <w:p w14:paraId="735785A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1.4.2发票开具方式：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4782037">
      <w:pPr>
        <w:spacing w:line="360" w:lineRule="auto"/>
        <w:ind w:firstLine="437"/>
        <w:outlineLvl w:val="2"/>
        <w:rPr>
          <w:rFonts w:hint="eastAsia" w:ascii="宋体" w:hAnsi="宋体" w:eastAsia="宋体" w:cs="宋体"/>
          <w:b/>
          <w:bCs/>
          <w:color w:val="auto"/>
          <w:sz w:val="24"/>
          <w:highlight w:val="none"/>
          <w:lang w:val="zh-CN"/>
        </w:rPr>
      </w:pPr>
      <w:bookmarkStart w:id="53" w:name="_Toc19304"/>
      <w:bookmarkStart w:id="54" w:name="_Toc2846"/>
      <w:bookmarkStart w:id="55" w:name="_Toc32071"/>
      <w:r>
        <w:rPr>
          <w:rFonts w:hint="eastAsia" w:ascii="宋体" w:hAnsi="宋体" w:eastAsia="宋体" w:cs="宋体"/>
          <w:b/>
          <w:bCs/>
          <w:color w:val="auto"/>
          <w:sz w:val="24"/>
          <w:highlight w:val="none"/>
          <w:lang w:val="zh-CN"/>
        </w:rPr>
        <w:t xml:space="preserve">1.5 </w:t>
      </w:r>
      <w:bookmarkEnd w:id="53"/>
      <w:bookmarkEnd w:id="54"/>
      <w:bookmarkEnd w:id="55"/>
      <w:r>
        <w:rPr>
          <w:rFonts w:hint="eastAsia" w:ascii="宋体" w:hAnsi="宋体" w:eastAsia="宋体" w:cs="宋体"/>
          <w:b/>
          <w:bCs/>
          <w:color w:val="auto"/>
          <w:sz w:val="24"/>
          <w:highlight w:val="none"/>
          <w:lang w:val="zh-CN"/>
        </w:rPr>
        <w:t>服务期限、地点和方式</w:t>
      </w:r>
    </w:p>
    <w:p w14:paraId="029FDC67">
      <w:pPr>
        <w:autoSpaceDE w:val="0"/>
        <w:autoSpaceDN w:val="0"/>
        <w:adjustRightInd w:val="0"/>
        <w:spacing w:line="480" w:lineRule="exact"/>
        <w:ind w:firstLine="436" w:firstLineChars="18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1.5.1服务期限：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rPr>
        <w:t>；</w:t>
      </w:r>
    </w:p>
    <w:p w14:paraId="5937909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1.5.2服务地点：</w:t>
      </w:r>
      <w:r>
        <w:rPr>
          <w:rFonts w:hint="eastAsia" w:ascii="宋体" w:hAnsi="宋体" w:eastAsia="宋体" w:cs="宋体"/>
          <w:color w:val="auto"/>
          <w:sz w:val="24"/>
          <w:szCs w:val="24"/>
          <w:highlight w:val="none"/>
          <w:u w:val="single"/>
        </w:rPr>
        <w:t>甲方指定地点</w:t>
      </w:r>
      <w:r>
        <w:rPr>
          <w:rFonts w:hint="eastAsia" w:ascii="宋体" w:hAnsi="宋体" w:eastAsia="宋体" w:cs="宋体"/>
          <w:color w:val="auto"/>
          <w:sz w:val="24"/>
          <w:highlight w:val="none"/>
        </w:rPr>
        <w:t>；</w:t>
      </w:r>
    </w:p>
    <w:p w14:paraId="61E4BC8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1.5.3服务方式：</w:t>
      </w:r>
      <w:r>
        <w:rPr>
          <w:rFonts w:hint="eastAsia" w:ascii="宋体" w:hAnsi="宋体" w:eastAsia="宋体" w:cs="宋体"/>
          <w:color w:val="auto"/>
          <w:sz w:val="24"/>
          <w:szCs w:val="24"/>
          <w:highlight w:val="none"/>
          <w:u w:val="single"/>
        </w:rPr>
        <w:t>甲方指定方式</w:t>
      </w:r>
      <w:r>
        <w:rPr>
          <w:rFonts w:hint="eastAsia" w:ascii="宋体" w:hAnsi="宋体" w:eastAsia="宋体" w:cs="宋体"/>
          <w:color w:val="auto"/>
          <w:sz w:val="24"/>
          <w:highlight w:val="none"/>
        </w:rPr>
        <w:t>。</w:t>
      </w:r>
    </w:p>
    <w:p w14:paraId="70B3AA16">
      <w:pPr>
        <w:spacing w:line="360" w:lineRule="auto"/>
        <w:ind w:firstLine="437"/>
        <w:outlineLvl w:val="2"/>
        <w:rPr>
          <w:rFonts w:hint="eastAsia" w:ascii="宋体" w:hAnsi="宋体" w:eastAsia="宋体" w:cs="宋体"/>
          <w:b/>
          <w:bCs/>
          <w:color w:val="auto"/>
          <w:sz w:val="24"/>
          <w:highlight w:val="none"/>
          <w:lang w:val="zh-CN"/>
        </w:rPr>
      </w:pPr>
      <w:bookmarkStart w:id="56" w:name="_Toc21423"/>
      <w:bookmarkStart w:id="57" w:name="_Toc19554"/>
      <w:bookmarkStart w:id="58" w:name="_Toc27250"/>
      <w:r>
        <w:rPr>
          <w:rFonts w:hint="eastAsia" w:ascii="宋体" w:hAnsi="宋体" w:eastAsia="宋体" w:cs="宋体"/>
          <w:b/>
          <w:bCs/>
          <w:color w:val="auto"/>
          <w:sz w:val="24"/>
          <w:highlight w:val="none"/>
          <w:lang w:val="zh-CN"/>
        </w:rPr>
        <w:t>1.6 违约责任</w:t>
      </w:r>
      <w:bookmarkEnd w:id="56"/>
      <w:bookmarkEnd w:id="57"/>
      <w:bookmarkEnd w:id="58"/>
    </w:p>
    <w:p w14:paraId="599D58A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highlight w:val="none"/>
          <w:u w:val="single"/>
        </w:rPr>
        <w:t xml:space="preserve"> 0.1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10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339EE66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0.1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10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45079C2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C2E5AC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1EC7E4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C97367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686497F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1.6.7因甲方未按合同约定支付价款、未按合同约定受领标的物、擅自解除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r>
        <w:rPr>
          <w:rFonts w:hint="eastAsia" w:ascii="宋体" w:hAnsi="宋体" w:eastAsia="宋体" w:cs="宋体"/>
          <w:color w:val="auto"/>
          <w:sz w:val="24"/>
          <w:szCs w:val="24"/>
          <w:highlight w:val="none"/>
        </w:rPr>
        <w:t>。</w:t>
      </w:r>
    </w:p>
    <w:p w14:paraId="0650551C">
      <w:pPr>
        <w:spacing w:line="360" w:lineRule="auto"/>
        <w:ind w:firstLine="437"/>
        <w:outlineLvl w:val="2"/>
        <w:rPr>
          <w:rFonts w:hint="eastAsia" w:ascii="宋体" w:hAnsi="宋体" w:eastAsia="宋体" w:cs="宋体"/>
          <w:b/>
          <w:bCs/>
          <w:color w:val="auto"/>
          <w:sz w:val="24"/>
          <w:highlight w:val="none"/>
          <w:lang w:val="zh-CN"/>
        </w:rPr>
      </w:pPr>
      <w:bookmarkStart w:id="59" w:name="_Toc28375"/>
      <w:bookmarkStart w:id="60" w:name="_Toc16021"/>
      <w:bookmarkStart w:id="61" w:name="_Toc15583"/>
      <w:r>
        <w:rPr>
          <w:rFonts w:hint="eastAsia" w:ascii="宋体" w:hAnsi="宋体" w:eastAsia="宋体" w:cs="宋体"/>
          <w:b/>
          <w:bCs/>
          <w:color w:val="auto"/>
          <w:sz w:val="24"/>
          <w:highlight w:val="none"/>
          <w:lang w:val="zh-CN"/>
        </w:rPr>
        <w:t>1.7 合同争议的解决</w:t>
      </w:r>
      <w:bookmarkEnd w:id="59"/>
      <w:bookmarkEnd w:id="60"/>
      <w:bookmarkEnd w:id="61"/>
    </w:p>
    <w:p w14:paraId="10D497B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p>
    <w:p w14:paraId="1FC6B5A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1.7.1将争议提交</w:t>
      </w:r>
      <w:r>
        <w:rPr>
          <w:rFonts w:hint="eastAsia" w:ascii="宋体" w:hAnsi="宋体" w:eastAsia="宋体" w:cs="宋体"/>
          <w:color w:val="auto"/>
          <w:sz w:val="24"/>
          <w:highlight w:val="none"/>
          <w:u w:val="single"/>
        </w:rPr>
        <w:t xml:space="preserve">  滁州 </w:t>
      </w:r>
      <w:r>
        <w:rPr>
          <w:rFonts w:hint="eastAsia" w:ascii="宋体" w:hAnsi="宋体" w:eastAsia="宋体" w:cs="宋体"/>
          <w:color w:val="auto"/>
          <w:sz w:val="24"/>
          <w:highlight w:val="none"/>
        </w:rPr>
        <w:t>仲裁委员会依申请仲裁时其现行有效的仲裁规则裁决；</w:t>
      </w:r>
    </w:p>
    <w:p w14:paraId="26485A0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1.7.2向</w:t>
      </w:r>
      <w:r>
        <w:rPr>
          <w:rFonts w:hint="eastAsia" w:ascii="宋体" w:hAnsi="宋体" w:eastAsia="宋体" w:cs="宋体"/>
          <w:color w:val="auto"/>
          <w:sz w:val="24"/>
          <w:highlight w:val="none"/>
          <w:u w:val="single"/>
        </w:rPr>
        <w:t xml:space="preserve">  甲方（采购人）所在地  </w:t>
      </w:r>
      <w:r>
        <w:rPr>
          <w:rFonts w:hint="eastAsia" w:ascii="宋体" w:hAnsi="宋体" w:eastAsia="宋体" w:cs="宋体"/>
          <w:color w:val="auto"/>
          <w:sz w:val="24"/>
          <w:highlight w:val="none"/>
        </w:rPr>
        <w:t>人民法院起诉。</w:t>
      </w:r>
    </w:p>
    <w:p w14:paraId="0599BA51">
      <w:pPr>
        <w:spacing w:line="360" w:lineRule="auto"/>
        <w:ind w:firstLine="437"/>
        <w:outlineLvl w:val="2"/>
        <w:rPr>
          <w:rFonts w:hint="eastAsia" w:ascii="宋体" w:hAnsi="宋体" w:eastAsia="宋体" w:cs="宋体"/>
          <w:b/>
          <w:bCs/>
          <w:color w:val="auto"/>
          <w:sz w:val="24"/>
          <w:highlight w:val="none"/>
          <w:lang w:val="zh-CN"/>
        </w:rPr>
      </w:pPr>
      <w:bookmarkStart w:id="62" w:name="_Toc15322"/>
      <w:bookmarkStart w:id="63" w:name="_Toc7245"/>
      <w:bookmarkStart w:id="64" w:name="_Toc11173"/>
      <w:r>
        <w:rPr>
          <w:rFonts w:hint="eastAsia" w:ascii="宋体" w:hAnsi="宋体" w:eastAsia="宋体" w:cs="宋体"/>
          <w:b/>
          <w:bCs/>
          <w:color w:val="auto"/>
          <w:sz w:val="24"/>
          <w:highlight w:val="none"/>
          <w:lang w:val="zh-CN"/>
        </w:rPr>
        <w:t>1.8 合同生效</w:t>
      </w:r>
      <w:bookmarkEnd w:id="62"/>
      <w:bookmarkEnd w:id="63"/>
      <w:bookmarkEnd w:id="64"/>
    </w:p>
    <w:p w14:paraId="58A7688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本合同自双方当事人盖章时生效。</w:t>
      </w:r>
    </w:p>
    <w:p w14:paraId="17980551">
      <w:pPr>
        <w:autoSpaceDE w:val="0"/>
        <w:autoSpaceDN w:val="0"/>
        <w:adjustRightInd w:val="0"/>
        <w:spacing w:line="560" w:lineRule="exact"/>
        <w:rPr>
          <w:rFonts w:hint="eastAsia" w:ascii="宋体" w:hAnsi="宋体" w:eastAsia="宋体" w:cs="宋体"/>
          <w:color w:val="auto"/>
          <w:sz w:val="24"/>
          <w:highlight w:val="none"/>
          <w:lang w:val="zh-CN"/>
        </w:rPr>
      </w:pPr>
    </w:p>
    <w:p w14:paraId="67576A21">
      <w:pPr>
        <w:autoSpaceDE w:val="0"/>
        <w:autoSpaceDN w:val="0"/>
        <w:adjustRightInd w:val="0"/>
        <w:spacing w:line="560" w:lineRule="exact"/>
        <w:rPr>
          <w:rFonts w:hint="eastAsia" w:ascii="宋体" w:hAnsi="宋体" w:eastAsia="宋体" w:cs="宋体"/>
          <w:bCs/>
          <w:color w:val="auto"/>
          <w:sz w:val="24"/>
          <w:szCs w:val="24"/>
          <w:highlight w:val="none"/>
          <w:lang w:val="zh-CN"/>
        </w:rPr>
      </w:pPr>
      <w:bookmarkStart w:id="65" w:name="_Toc331685783"/>
      <w:r>
        <w:rPr>
          <w:rFonts w:hint="eastAsia" w:ascii="宋体" w:hAnsi="宋体" w:eastAsia="宋体" w:cs="宋体"/>
          <w:bCs/>
          <w:color w:val="auto"/>
          <w:sz w:val="24"/>
          <w:szCs w:val="24"/>
          <w:highlight w:val="none"/>
          <w:lang w:val="zh-CN"/>
        </w:rPr>
        <w:t>甲    方：</w:t>
      </w:r>
      <w:r>
        <w:rPr>
          <w:rFonts w:hint="eastAsia" w:ascii="宋体" w:hAnsi="宋体" w:eastAsia="宋体" w:cs="宋体"/>
          <w:bCs/>
          <w:color w:val="auto"/>
          <w:sz w:val="24"/>
          <w:szCs w:val="24"/>
          <w:highlight w:val="none"/>
          <w:u w:val="single"/>
          <w:lang w:val="zh-CN"/>
        </w:rPr>
        <w:t xml:space="preserve">    （单位盖章）     </w:t>
      </w:r>
      <w:r>
        <w:rPr>
          <w:rFonts w:hint="eastAsia" w:ascii="宋体" w:hAnsi="宋体" w:eastAsia="宋体" w:cs="宋体"/>
          <w:bCs/>
          <w:color w:val="auto"/>
          <w:sz w:val="24"/>
          <w:szCs w:val="24"/>
          <w:highlight w:val="none"/>
          <w:lang w:val="zh-CN"/>
        </w:rPr>
        <w:t xml:space="preserve">          乙方：</w:t>
      </w:r>
      <w:r>
        <w:rPr>
          <w:rFonts w:hint="eastAsia" w:ascii="宋体" w:hAnsi="宋体" w:eastAsia="宋体" w:cs="宋体"/>
          <w:bCs/>
          <w:color w:val="auto"/>
          <w:sz w:val="24"/>
          <w:szCs w:val="24"/>
          <w:highlight w:val="none"/>
          <w:u w:val="single"/>
          <w:lang w:val="zh-CN"/>
        </w:rPr>
        <w:t xml:space="preserve">    （单位盖章）     </w:t>
      </w:r>
    </w:p>
    <w:p w14:paraId="2CCE9703">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                               法定代表人</w:t>
      </w:r>
    </w:p>
    <w:p w14:paraId="46EF1EBE">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或授权代表（签字）：                      或授权代表（签字）：</w:t>
      </w:r>
    </w:p>
    <w:p w14:paraId="29AD0219">
      <w:pPr>
        <w:widowControl/>
        <w:spacing w:line="56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               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14:paraId="1B3C8583">
      <w:pPr>
        <w:widowControl/>
        <w:spacing w:line="56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乙方账户信息</w:t>
      </w:r>
    </w:p>
    <w:p w14:paraId="5625E079">
      <w:pPr>
        <w:widowControl/>
        <w:spacing w:line="560" w:lineRule="exact"/>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户名：</w:t>
      </w:r>
      <w:r>
        <w:rPr>
          <w:rFonts w:hint="eastAsia" w:ascii="宋体" w:hAnsi="宋体" w:eastAsia="宋体" w:cs="宋体"/>
          <w:bCs/>
          <w:color w:val="auto"/>
          <w:sz w:val="24"/>
          <w:szCs w:val="24"/>
          <w:highlight w:val="none"/>
          <w:u w:val="single"/>
        </w:rPr>
        <w:t xml:space="preserve">                    </w:t>
      </w:r>
    </w:p>
    <w:p w14:paraId="325622A8">
      <w:pPr>
        <w:widowControl/>
        <w:spacing w:line="560" w:lineRule="exact"/>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账号：</w:t>
      </w:r>
      <w:r>
        <w:rPr>
          <w:rFonts w:hint="eastAsia" w:ascii="宋体" w:hAnsi="宋体" w:eastAsia="宋体" w:cs="宋体"/>
          <w:bCs/>
          <w:color w:val="auto"/>
          <w:sz w:val="24"/>
          <w:szCs w:val="24"/>
          <w:highlight w:val="none"/>
          <w:u w:val="single"/>
        </w:rPr>
        <w:t xml:space="preserve">                    </w:t>
      </w:r>
    </w:p>
    <w:p w14:paraId="3000592D">
      <w:pPr>
        <w:widowControl/>
        <w:spacing w:line="560" w:lineRule="exact"/>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开户银行：</w:t>
      </w:r>
      <w:r>
        <w:rPr>
          <w:rFonts w:hint="eastAsia" w:ascii="宋体" w:hAnsi="宋体" w:eastAsia="宋体" w:cs="宋体"/>
          <w:bCs/>
          <w:color w:val="auto"/>
          <w:sz w:val="24"/>
          <w:szCs w:val="24"/>
          <w:highlight w:val="none"/>
          <w:u w:val="single"/>
        </w:rPr>
        <w:t xml:space="preserve">                </w:t>
      </w:r>
    </w:p>
    <w:p w14:paraId="3795565C">
      <w:pPr>
        <w:widowControl/>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354D9256">
      <w:pPr>
        <w:spacing w:line="360" w:lineRule="auto"/>
        <w:jc w:val="center"/>
        <w:outlineLvl w:val="1"/>
        <w:rPr>
          <w:rFonts w:ascii="宋体" w:hAnsi="宋体"/>
          <w:b/>
          <w:color w:val="auto"/>
          <w:sz w:val="24"/>
          <w:highlight w:val="none"/>
        </w:rPr>
      </w:pPr>
      <w:bookmarkStart w:id="66" w:name="_Toc20177"/>
      <w:r>
        <w:rPr>
          <w:rFonts w:hint="eastAsia" w:ascii="宋体" w:hAnsi="宋体"/>
          <w:b/>
          <w:color w:val="auto"/>
          <w:sz w:val="24"/>
          <w:highlight w:val="none"/>
        </w:rPr>
        <w:t>第二部分</w:t>
      </w:r>
      <w:r>
        <w:rPr>
          <w:rFonts w:ascii="宋体" w:hAnsi="宋体"/>
          <w:b/>
          <w:color w:val="auto"/>
          <w:sz w:val="24"/>
          <w:highlight w:val="none"/>
        </w:rPr>
        <w:t xml:space="preserve"> </w:t>
      </w:r>
      <w:r>
        <w:rPr>
          <w:rFonts w:hint="eastAsia" w:ascii="宋体" w:hAnsi="宋体"/>
          <w:b/>
          <w:color w:val="auto"/>
          <w:sz w:val="24"/>
          <w:highlight w:val="none"/>
        </w:rPr>
        <w:t>合同一般条款</w:t>
      </w:r>
      <w:bookmarkEnd w:id="65"/>
      <w:bookmarkEnd w:id="66"/>
    </w:p>
    <w:p w14:paraId="54BA3C79">
      <w:pPr>
        <w:spacing w:line="360" w:lineRule="auto"/>
        <w:ind w:firstLine="437"/>
        <w:outlineLvl w:val="2"/>
        <w:rPr>
          <w:rFonts w:hint="eastAsia" w:ascii="宋体" w:hAnsi="宋体" w:eastAsia="宋体" w:cs="宋体"/>
          <w:b/>
          <w:bCs/>
          <w:color w:val="auto"/>
          <w:sz w:val="24"/>
          <w:highlight w:val="none"/>
          <w:lang w:val="zh-CN"/>
        </w:rPr>
      </w:pPr>
      <w:bookmarkStart w:id="67" w:name="_Ref467379205"/>
      <w:bookmarkStart w:id="68" w:name="_Ref467379214"/>
      <w:bookmarkStart w:id="69" w:name="_Toc28763"/>
      <w:bookmarkStart w:id="70" w:name="_Ref467379225"/>
      <w:bookmarkStart w:id="71" w:name="_Ref467378499"/>
      <w:bookmarkStart w:id="72" w:name="_Ref467379094"/>
      <w:bookmarkStart w:id="73" w:name="_Toc259093669"/>
      <w:bookmarkStart w:id="74" w:name="_Ref467379109"/>
      <w:bookmarkStart w:id="75" w:name="_Toc279701240"/>
      <w:bookmarkStart w:id="76" w:name="_Ref467378404"/>
      <w:bookmarkStart w:id="77" w:name="_Toc487900349"/>
      <w:bookmarkStart w:id="78" w:name="_Ref467378463"/>
      <w:bookmarkStart w:id="79" w:name="_Ref467379101"/>
      <w:bookmarkStart w:id="80" w:name="_Toc19614"/>
      <w:bookmarkStart w:id="81" w:name="_Toc16917"/>
      <w:bookmarkStart w:id="82" w:name="_Ref467379195"/>
      <w:r>
        <w:rPr>
          <w:rFonts w:hint="eastAsia" w:ascii="宋体" w:hAnsi="宋体" w:eastAsia="宋体" w:cs="宋体"/>
          <w:b/>
          <w:bCs/>
          <w:color w:val="auto"/>
          <w:sz w:val="24"/>
          <w:highlight w:val="none"/>
          <w:lang w:val="zh-CN"/>
        </w:rPr>
        <w:t>2.1 定义</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D35598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bookmarkStart w:id="83" w:name="_Ref467379436"/>
      <w:r>
        <w:rPr>
          <w:rFonts w:hint="eastAsia" w:ascii="宋体" w:hAnsi="宋体" w:eastAsia="宋体" w:cs="宋体"/>
          <w:color w:val="auto"/>
          <w:sz w:val="24"/>
          <w:highlight w:val="none"/>
        </w:rPr>
        <w:t>合同中的下列词语应按以下内容进行解释：</w:t>
      </w:r>
    </w:p>
    <w:p w14:paraId="0661D64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2.1.1“合同”系指采购人和中标人签订的载明双方当事人所达成的协议，并包括所有的附件、附录和构成合同的其他文件。</w:t>
      </w:r>
    </w:p>
    <w:p w14:paraId="62940A4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2.1.2“合同价”系指根据合同约定，中标人在完全履行合同义务后，采购人应支付给中标人的价格。</w:t>
      </w:r>
    </w:p>
    <w:p w14:paraId="3A8502D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2.1.3“服务”系指中标人根据合同约定应向采购人履行的除货物和工程以外的其他政府采购对象，包括采购人自身需要的服务和向社会公众提供的公共服务。</w:t>
      </w:r>
    </w:p>
    <w:p w14:paraId="276749F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2.1.4“甲方”系指与中标人签署合同的采购人；采购人委托采购代理机构代表其与乙方签订合同的，采购人的授权委托书作为合同附件。</w:t>
      </w:r>
    </w:p>
    <w:p w14:paraId="371AD17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2.1.5“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44710B4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2.1.6“现场”系指合同约定提供服务的地点。</w:t>
      </w:r>
      <w:bookmarkEnd w:id="83"/>
    </w:p>
    <w:p w14:paraId="029F6A19">
      <w:pPr>
        <w:spacing w:line="360" w:lineRule="auto"/>
        <w:ind w:firstLine="437"/>
        <w:outlineLvl w:val="2"/>
        <w:rPr>
          <w:rFonts w:hint="eastAsia" w:ascii="宋体" w:hAnsi="宋体" w:eastAsia="宋体" w:cs="宋体"/>
          <w:b/>
          <w:bCs/>
          <w:color w:val="auto"/>
          <w:sz w:val="24"/>
          <w:highlight w:val="none"/>
          <w:lang w:val="zh-CN"/>
        </w:rPr>
      </w:pPr>
      <w:bookmarkStart w:id="84" w:name="_Toc279701241"/>
      <w:bookmarkStart w:id="85" w:name="_Toc259093670"/>
      <w:bookmarkStart w:id="86" w:name="_Toc13336"/>
      <w:bookmarkStart w:id="87" w:name="_Toc27635"/>
      <w:bookmarkStart w:id="88" w:name="_Toc487900350"/>
      <w:bookmarkStart w:id="89" w:name="_Toc32504"/>
      <w:r>
        <w:rPr>
          <w:rFonts w:hint="eastAsia" w:ascii="宋体" w:hAnsi="宋体" w:eastAsia="宋体" w:cs="宋体"/>
          <w:b/>
          <w:bCs/>
          <w:color w:val="auto"/>
          <w:sz w:val="24"/>
          <w:highlight w:val="none"/>
          <w:lang w:val="zh-CN"/>
        </w:rPr>
        <w:t>2.2 技术规范</w:t>
      </w:r>
      <w:bookmarkEnd w:id="84"/>
      <w:bookmarkEnd w:id="85"/>
      <w:bookmarkEnd w:id="86"/>
      <w:bookmarkEnd w:id="87"/>
      <w:bookmarkEnd w:id="88"/>
      <w:bookmarkEnd w:id="89"/>
    </w:p>
    <w:p w14:paraId="37EEF58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73125E8">
      <w:pPr>
        <w:spacing w:line="360" w:lineRule="auto"/>
        <w:ind w:firstLine="437"/>
        <w:outlineLvl w:val="2"/>
        <w:rPr>
          <w:rFonts w:hint="eastAsia" w:ascii="宋体" w:hAnsi="宋体" w:eastAsia="宋体" w:cs="宋体"/>
          <w:b/>
          <w:bCs/>
          <w:color w:val="auto"/>
          <w:sz w:val="24"/>
          <w:highlight w:val="none"/>
          <w:lang w:val="zh-CN"/>
        </w:rPr>
      </w:pPr>
      <w:bookmarkStart w:id="90" w:name="_Toc259093671"/>
      <w:bookmarkStart w:id="91" w:name="_Toc487900351"/>
      <w:bookmarkStart w:id="92" w:name="_Toc27853"/>
      <w:bookmarkStart w:id="93" w:name="_Toc31634"/>
      <w:bookmarkStart w:id="94" w:name="_Toc279701242"/>
      <w:bookmarkStart w:id="95" w:name="_Toc9829"/>
      <w:r>
        <w:rPr>
          <w:rFonts w:hint="eastAsia" w:ascii="宋体" w:hAnsi="宋体" w:eastAsia="宋体" w:cs="宋体"/>
          <w:b/>
          <w:bCs/>
          <w:color w:val="auto"/>
          <w:sz w:val="24"/>
          <w:highlight w:val="none"/>
          <w:lang w:val="zh-CN"/>
        </w:rPr>
        <w:t>2.3 知识产权</w:t>
      </w:r>
      <w:bookmarkEnd w:id="90"/>
      <w:bookmarkEnd w:id="91"/>
      <w:bookmarkEnd w:id="92"/>
      <w:bookmarkEnd w:id="93"/>
      <w:bookmarkEnd w:id="94"/>
      <w:bookmarkEnd w:id="95"/>
    </w:p>
    <w:p w14:paraId="55AC20A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6CBC86B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CC44EBC">
      <w:pPr>
        <w:spacing w:line="360" w:lineRule="auto"/>
        <w:ind w:firstLine="437"/>
        <w:outlineLvl w:val="2"/>
        <w:rPr>
          <w:rFonts w:hint="eastAsia" w:ascii="宋体" w:hAnsi="宋体" w:eastAsia="宋体" w:cs="宋体"/>
          <w:b/>
          <w:color w:val="auto"/>
          <w:sz w:val="24"/>
          <w:highlight w:val="none"/>
        </w:rPr>
      </w:pPr>
      <w:bookmarkStart w:id="96" w:name="_Toc11932"/>
      <w:bookmarkStart w:id="97" w:name="_Toc29149"/>
      <w:bookmarkStart w:id="98" w:name="_Toc4194"/>
      <w:r>
        <w:rPr>
          <w:rFonts w:hint="eastAsia" w:ascii="宋体" w:hAnsi="宋体" w:eastAsia="宋体" w:cs="宋体"/>
          <w:b/>
          <w:bCs/>
          <w:color w:val="auto"/>
          <w:sz w:val="24"/>
          <w:highlight w:val="none"/>
          <w:lang w:val="zh-CN"/>
        </w:rPr>
        <w:t xml:space="preserve">2.4 </w:t>
      </w:r>
      <w:bookmarkEnd w:id="96"/>
      <w:bookmarkEnd w:id="97"/>
      <w:bookmarkEnd w:id="98"/>
      <w:r>
        <w:rPr>
          <w:rFonts w:hint="eastAsia" w:ascii="宋体" w:hAnsi="宋体" w:eastAsia="宋体" w:cs="宋体"/>
          <w:b/>
          <w:bCs/>
          <w:color w:val="auto"/>
          <w:sz w:val="24"/>
          <w:highlight w:val="none"/>
          <w:lang w:val="zh-CN"/>
        </w:rPr>
        <w:t>履约检查和问题反馈</w:t>
      </w:r>
    </w:p>
    <w:p w14:paraId="2A51FB2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22C39D4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2.4.2合同履行期间，甲方有权将履行过程中出现的问题反馈给乙方，双方当事人应以书面形式约定需要完善和改进的内容。</w:t>
      </w:r>
    </w:p>
    <w:p w14:paraId="7A1562C6">
      <w:pPr>
        <w:spacing w:line="360" w:lineRule="auto"/>
        <w:ind w:firstLine="437"/>
        <w:outlineLvl w:val="2"/>
        <w:rPr>
          <w:rFonts w:hint="eastAsia" w:ascii="宋体" w:hAnsi="宋体" w:eastAsia="宋体" w:cs="宋体"/>
          <w:b/>
          <w:bCs/>
          <w:color w:val="auto"/>
          <w:sz w:val="24"/>
          <w:highlight w:val="none"/>
          <w:lang w:val="zh-CN"/>
        </w:rPr>
      </w:pPr>
      <w:bookmarkStart w:id="99" w:name="_Ref467379527"/>
      <w:bookmarkStart w:id="100" w:name="_Toc259093674"/>
      <w:bookmarkStart w:id="101" w:name="_Ref467379536"/>
      <w:bookmarkStart w:id="102" w:name="_Ref467379542"/>
      <w:bookmarkStart w:id="103" w:name="_Ref467378541"/>
      <w:bookmarkStart w:id="104" w:name="_Toc279701245"/>
      <w:bookmarkStart w:id="105" w:name="_Ref467378591"/>
      <w:bookmarkStart w:id="106" w:name="_Toc487900354"/>
      <w:bookmarkStart w:id="107" w:name="_Toc30272"/>
      <w:bookmarkStart w:id="108" w:name="_Toc19074"/>
      <w:bookmarkStart w:id="109" w:name="_Toc26182"/>
      <w:r>
        <w:rPr>
          <w:rFonts w:hint="eastAsia" w:ascii="宋体" w:hAnsi="宋体" w:eastAsia="宋体" w:cs="宋体"/>
          <w:b/>
          <w:bCs/>
          <w:color w:val="auto"/>
          <w:sz w:val="24"/>
          <w:highlight w:val="none"/>
          <w:lang w:val="zh-CN"/>
        </w:rPr>
        <w:t>2.</w:t>
      </w:r>
      <w:bookmarkEnd w:id="99"/>
      <w:bookmarkEnd w:id="100"/>
      <w:bookmarkEnd w:id="101"/>
      <w:bookmarkEnd w:id="102"/>
      <w:bookmarkEnd w:id="103"/>
      <w:bookmarkEnd w:id="104"/>
      <w:bookmarkEnd w:id="105"/>
      <w:bookmarkEnd w:id="106"/>
      <w:r>
        <w:rPr>
          <w:rFonts w:hint="eastAsia" w:ascii="宋体" w:hAnsi="宋体" w:eastAsia="宋体" w:cs="宋体"/>
          <w:b/>
          <w:bCs/>
          <w:color w:val="auto"/>
          <w:sz w:val="24"/>
          <w:highlight w:val="none"/>
          <w:lang w:val="zh-CN"/>
        </w:rPr>
        <w:t xml:space="preserve">5 </w:t>
      </w:r>
      <w:bookmarkEnd w:id="107"/>
      <w:bookmarkEnd w:id="108"/>
      <w:bookmarkEnd w:id="109"/>
      <w:bookmarkStart w:id="110" w:name="_Toc279701247"/>
      <w:bookmarkStart w:id="111" w:name="_Ref467379807"/>
      <w:bookmarkStart w:id="112" w:name="_Ref467379793"/>
      <w:bookmarkStart w:id="113" w:name="_Toc28451"/>
      <w:bookmarkStart w:id="114" w:name="_Toc487900357"/>
      <w:bookmarkStart w:id="115" w:name="_Toc7836"/>
      <w:bookmarkStart w:id="116" w:name="_Toc19219"/>
      <w:bookmarkStart w:id="117" w:name="_Toc259093676"/>
      <w:r>
        <w:rPr>
          <w:rFonts w:hint="eastAsia" w:ascii="宋体" w:hAnsi="宋体" w:eastAsia="宋体" w:cs="宋体"/>
          <w:b/>
          <w:bCs/>
          <w:color w:val="auto"/>
          <w:sz w:val="24"/>
          <w:highlight w:val="none"/>
          <w:lang w:val="zh-CN"/>
        </w:rPr>
        <w:t>结算方式和付款条件</w:t>
      </w:r>
      <w:bookmarkEnd w:id="110"/>
      <w:bookmarkEnd w:id="111"/>
      <w:bookmarkEnd w:id="112"/>
      <w:bookmarkEnd w:id="113"/>
      <w:bookmarkEnd w:id="114"/>
      <w:bookmarkEnd w:id="115"/>
      <w:bookmarkEnd w:id="116"/>
      <w:bookmarkEnd w:id="117"/>
    </w:p>
    <w:p w14:paraId="5FD004E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58E2210">
      <w:pPr>
        <w:spacing w:line="360" w:lineRule="auto"/>
        <w:ind w:firstLine="437"/>
        <w:outlineLvl w:val="2"/>
        <w:rPr>
          <w:rFonts w:hint="eastAsia" w:ascii="宋体" w:hAnsi="宋体" w:eastAsia="宋体" w:cs="宋体"/>
          <w:b/>
          <w:bCs/>
          <w:color w:val="auto"/>
          <w:sz w:val="24"/>
          <w:highlight w:val="none"/>
          <w:lang w:val="zh-CN"/>
        </w:rPr>
      </w:pPr>
      <w:bookmarkStart w:id="118" w:name="_Toc279701248"/>
      <w:bookmarkStart w:id="119" w:name="_Ref467379852"/>
      <w:bookmarkStart w:id="120" w:name="_Toc259093677"/>
      <w:bookmarkStart w:id="121" w:name="_Ref467379923"/>
      <w:bookmarkStart w:id="122" w:name="_Toc487900358"/>
      <w:bookmarkStart w:id="123" w:name="_Ref467379863"/>
      <w:bookmarkStart w:id="124" w:name="_Toc774"/>
      <w:bookmarkStart w:id="125" w:name="_Toc16110"/>
      <w:bookmarkStart w:id="126" w:name="_Toc3225"/>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6</w:t>
      </w:r>
      <w:r>
        <w:rPr>
          <w:rFonts w:hint="eastAsia" w:ascii="宋体" w:hAnsi="宋体" w:eastAsia="宋体" w:cs="宋体"/>
          <w:b/>
          <w:bCs/>
          <w:color w:val="auto"/>
          <w:sz w:val="24"/>
          <w:highlight w:val="none"/>
          <w:lang w:val="zh-CN"/>
        </w:rPr>
        <w:t xml:space="preserve"> 技术资料</w:t>
      </w:r>
      <w:bookmarkEnd w:id="118"/>
      <w:bookmarkEnd w:id="119"/>
      <w:bookmarkEnd w:id="120"/>
      <w:bookmarkEnd w:id="121"/>
      <w:bookmarkEnd w:id="122"/>
      <w:bookmarkEnd w:id="123"/>
      <w:r>
        <w:rPr>
          <w:rFonts w:hint="eastAsia" w:ascii="宋体" w:hAnsi="宋体" w:eastAsia="宋体" w:cs="宋体"/>
          <w:b/>
          <w:bCs/>
          <w:color w:val="auto"/>
          <w:sz w:val="24"/>
          <w:highlight w:val="none"/>
          <w:lang w:val="zh-CN"/>
        </w:rPr>
        <w:t>和保密义务</w:t>
      </w:r>
      <w:bookmarkEnd w:id="124"/>
      <w:bookmarkEnd w:id="125"/>
      <w:bookmarkEnd w:id="126"/>
    </w:p>
    <w:p w14:paraId="24701EC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2.6.1乙方有权依据合同约定和项目需要，向甲方了解有关情况，调阅有关资料等，甲方应予积极配合；</w:t>
      </w:r>
    </w:p>
    <w:p w14:paraId="10AC673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2.6.2乙方有义务妥善保管和保护由甲方提供的前款信息和资料等；</w:t>
      </w:r>
    </w:p>
    <w:p w14:paraId="53FBA60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6C36DC8">
      <w:pPr>
        <w:spacing w:line="360" w:lineRule="auto"/>
        <w:ind w:firstLine="437"/>
        <w:outlineLvl w:val="2"/>
        <w:rPr>
          <w:rFonts w:hint="eastAsia" w:ascii="宋体" w:hAnsi="宋体" w:eastAsia="宋体" w:cs="宋体"/>
          <w:b/>
          <w:bCs/>
          <w:color w:val="auto"/>
          <w:sz w:val="24"/>
          <w:highlight w:val="none"/>
          <w:lang w:val="zh-CN"/>
        </w:rPr>
      </w:pPr>
      <w:bookmarkStart w:id="127" w:name="_Toc7860"/>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7</w:t>
      </w:r>
      <w:r>
        <w:rPr>
          <w:rFonts w:hint="eastAsia" w:ascii="宋体" w:hAnsi="宋体" w:eastAsia="宋体" w:cs="宋体"/>
          <w:b/>
          <w:bCs/>
          <w:color w:val="auto"/>
          <w:sz w:val="24"/>
          <w:highlight w:val="none"/>
          <w:lang w:val="zh-CN"/>
        </w:rPr>
        <w:t xml:space="preserve"> 质量保证</w:t>
      </w:r>
      <w:bookmarkEnd w:id="127"/>
    </w:p>
    <w:p w14:paraId="50FD708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2.7.1乙方应建立和完善履行合同的内部质量保证体系，并提供相关内部规章制度给甲方，以便甲方进行监督检查；</w:t>
      </w:r>
    </w:p>
    <w:p w14:paraId="0DFD782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2.7.2乙方应保证履行合同的人员数量和素质、软件和硬件设备的配置、场地、环境和设施等满足全面履行合同的要求，并应接受甲方的监督检查。</w:t>
      </w:r>
    </w:p>
    <w:p w14:paraId="5B26044A">
      <w:pPr>
        <w:spacing w:line="360" w:lineRule="auto"/>
        <w:ind w:firstLine="437"/>
        <w:outlineLvl w:val="2"/>
        <w:rPr>
          <w:rFonts w:hint="eastAsia" w:ascii="宋体" w:hAnsi="宋体" w:eastAsia="宋体" w:cs="宋体"/>
          <w:b/>
          <w:bCs/>
          <w:color w:val="auto"/>
          <w:sz w:val="24"/>
          <w:highlight w:val="none"/>
          <w:lang w:val="zh-CN"/>
        </w:rPr>
      </w:pPr>
      <w:bookmarkStart w:id="128" w:name="_Toc17244"/>
      <w:bookmarkStart w:id="129" w:name="_Toc259093681"/>
      <w:bookmarkStart w:id="130" w:name="_Toc279701252"/>
      <w:bookmarkStart w:id="131" w:name="_Toc487900362"/>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8</w:t>
      </w:r>
      <w:r>
        <w:rPr>
          <w:rFonts w:hint="eastAsia" w:ascii="宋体" w:hAnsi="宋体" w:eastAsia="宋体" w:cs="宋体"/>
          <w:b/>
          <w:bCs/>
          <w:color w:val="auto"/>
          <w:sz w:val="24"/>
          <w:highlight w:val="none"/>
          <w:lang w:val="zh-CN"/>
        </w:rPr>
        <w:t xml:space="preserve"> </w:t>
      </w:r>
      <w:bookmarkEnd w:id="128"/>
      <w:bookmarkEnd w:id="129"/>
      <w:bookmarkEnd w:id="130"/>
      <w:bookmarkEnd w:id="131"/>
      <w:r>
        <w:rPr>
          <w:rFonts w:hint="eastAsia" w:ascii="宋体" w:hAnsi="宋体" w:eastAsia="宋体" w:cs="宋体"/>
          <w:b/>
          <w:bCs/>
          <w:color w:val="auto"/>
          <w:sz w:val="24"/>
          <w:highlight w:val="none"/>
          <w:lang w:val="zh-CN"/>
        </w:rPr>
        <w:t>延迟履行</w:t>
      </w:r>
    </w:p>
    <w:p w14:paraId="451AB8F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5776E0A">
      <w:pPr>
        <w:spacing w:line="360" w:lineRule="auto"/>
        <w:ind w:firstLine="437"/>
        <w:outlineLvl w:val="2"/>
        <w:rPr>
          <w:rFonts w:hint="eastAsia" w:ascii="宋体" w:hAnsi="宋体" w:eastAsia="宋体" w:cs="宋体"/>
          <w:b/>
          <w:bCs/>
          <w:color w:val="auto"/>
          <w:sz w:val="24"/>
          <w:highlight w:val="none"/>
          <w:lang w:val="zh-CN"/>
        </w:rPr>
      </w:pPr>
      <w:bookmarkStart w:id="132" w:name="_Toc7502"/>
      <w:bookmarkStart w:id="133" w:name="_Toc487900364"/>
      <w:bookmarkStart w:id="134" w:name="_Toc279701254"/>
      <w:bookmarkStart w:id="135" w:name="_Ref467378121"/>
      <w:bookmarkStart w:id="136" w:name="_Toc259093683"/>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9</w:t>
      </w:r>
      <w:r>
        <w:rPr>
          <w:rFonts w:hint="eastAsia" w:ascii="宋体" w:hAnsi="宋体" w:eastAsia="宋体" w:cs="宋体"/>
          <w:b/>
          <w:bCs/>
          <w:color w:val="auto"/>
          <w:sz w:val="24"/>
          <w:highlight w:val="none"/>
          <w:lang w:val="zh-CN"/>
        </w:rPr>
        <w:t xml:space="preserve"> 合同变更</w:t>
      </w:r>
      <w:bookmarkEnd w:id="132"/>
    </w:p>
    <w:p w14:paraId="5B655CE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2.9.1双方当事人协商一致，可以签订书面补充合同的形式变更合同，但不得违背采购文件确定的事项；</w:t>
      </w:r>
    </w:p>
    <w:p w14:paraId="1C1FF45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2.9.2合同继续履行将损害国家利益和社会公共利益的，双方当事人应当以书面形式变更合同。有过错的一方应当承担赔偿责任，双方当事人都有过错的，各自承担相应的责任。</w:t>
      </w:r>
      <w:bookmarkStart w:id="137" w:name="_Toc279701259"/>
      <w:bookmarkStart w:id="138" w:name="_Toc259093688"/>
      <w:bookmarkStart w:id="139" w:name="_Toc487900369"/>
    </w:p>
    <w:p w14:paraId="47950258">
      <w:pPr>
        <w:spacing w:line="360" w:lineRule="auto"/>
        <w:ind w:firstLine="437"/>
        <w:outlineLvl w:val="2"/>
        <w:rPr>
          <w:rFonts w:hint="eastAsia" w:ascii="宋体" w:hAnsi="宋体" w:eastAsia="宋体" w:cs="宋体"/>
          <w:b/>
          <w:bCs/>
          <w:color w:val="auto"/>
          <w:sz w:val="24"/>
          <w:highlight w:val="none"/>
          <w:lang w:val="zh-CN"/>
        </w:rPr>
      </w:pPr>
      <w:bookmarkStart w:id="140" w:name="_Toc15237"/>
      <w:bookmarkStart w:id="141" w:name="_Toc10366"/>
      <w:bookmarkStart w:id="142" w:name="_Toc22955"/>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 xml:space="preserve"> 合同转让</w:t>
      </w:r>
      <w:bookmarkEnd w:id="137"/>
      <w:bookmarkEnd w:id="138"/>
      <w:bookmarkEnd w:id="139"/>
      <w:r>
        <w:rPr>
          <w:rFonts w:hint="eastAsia" w:ascii="宋体" w:hAnsi="宋体" w:eastAsia="宋体" w:cs="宋体"/>
          <w:b/>
          <w:bCs/>
          <w:color w:val="auto"/>
          <w:sz w:val="24"/>
          <w:highlight w:val="none"/>
          <w:lang w:val="zh-CN"/>
        </w:rPr>
        <w:t>和分包</w:t>
      </w:r>
      <w:bookmarkEnd w:id="140"/>
      <w:bookmarkEnd w:id="141"/>
      <w:bookmarkEnd w:id="142"/>
    </w:p>
    <w:p w14:paraId="09EAE9F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B12298D">
      <w:pPr>
        <w:spacing w:line="360" w:lineRule="auto"/>
        <w:ind w:firstLine="437"/>
        <w:outlineLvl w:val="2"/>
        <w:rPr>
          <w:rFonts w:hint="eastAsia" w:ascii="宋体" w:hAnsi="宋体" w:eastAsia="宋体" w:cs="宋体"/>
          <w:b/>
          <w:bCs/>
          <w:color w:val="auto"/>
          <w:sz w:val="24"/>
          <w:highlight w:val="none"/>
          <w:lang w:val="zh-CN"/>
        </w:rPr>
      </w:pPr>
      <w:bookmarkStart w:id="143" w:name="_Toc13566"/>
      <w:bookmarkStart w:id="144" w:name="_Toc14066"/>
      <w:bookmarkStart w:id="145" w:name="_Toc16508"/>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zh-CN"/>
        </w:rPr>
        <w:t xml:space="preserve"> 不可抗力</w:t>
      </w:r>
      <w:bookmarkEnd w:id="143"/>
      <w:bookmarkEnd w:id="144"/>
      <w:bookmarkEnd w:id="145"/>
    </w:p>
    <w:p w14:paraId="1CC8D3D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00A04CE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2.11.2因不可抗力致使不能实现合同目的的，当事人可以解除合同；</w:t>
      </w:r>
    </w:p>
    <w:p w14:paraId="767C09B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2.11.3因不可抗力致使合同有变更必要的，双方当事人应在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2035A54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1ACF203A">
      <w:pPr>
        <w:spacing w:line="360" w:lineRule="auto"/>
        <w:ind w:firstLine="437"/>
        <w:outlineLvl w:val="2"/>
        <w:rPr>
          <w:rFonts w:hint="eastAsia" w:ascii="宋体" w:hAnsi="宋体" w:eastAsia="宋体" w:cs="宋体"/>
          <w:b/>
          <w:bCs/>
          <w:color w:val="auto"/>
          <w:sz w:val="24"/>
          <w:highlight w:val="none"/>
          <w:lang w:val="zh-CN"/>
        </w:rPr>
      </w:pPr>
      <w:bookmarkStart w:id="146" w:name="_Toc6969"/>
      <w:bookmarkStart w:id="147" w:name="_Toc279701255"/>
      <w:bookmarkStart w:id="148" w:name="_Toc689"/>
      <w:bookmarkStart w:id="149" w:name="_Toc487900365"/>
      <w:bookmarkStart w:id="150" w:name="_Toc259093684"/>
      <w:bookmarkStart w:id="151" w:name="_Toc30676"/>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税费</w:t>
      </w:r>
      <w:bookmarkEnd w:id="146"/>
      <w:bookmarkEnd w:id="147"/>
      <w:bookmarkEnd w:id="148"/>
      <w:bookmarkEnd w:id="149"/>
      <w:bookmarkEnd w:id="150"/>
      <w:bookmarkEnd w:id="151"/>
    </w:p>
    <w:p w14:paraId="300ABA4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47A277DB">
      <w:pPr>
        <w:spacing w:line="360" w:lineRule="auto"/>
        <w:ind w:firstLine="437"/>
        <w:outlineLvl w:val="2"/>
        <w:rPr>
          <w:rFonts w:hint="eastAsia" w:ascii="宋体" w:hAnsi="宋体" w:eastAsia="宋体" w:cs="宋体"/>
          <w:b/>
          <w:bCs/>
          <w:color w:val="auto"/>
          <w:sz w:val="24"/>
          <w:highlight w:val="none"/>
          <w:lang w:val="zh-CN"/>
        </w:rPr>
      </w:pPr>
      <w:bookmarkStart w:id="152" w:name="_Toc259093687"/>
      <w:bookmarkStart w:id="153" w:name="_Toc8298"/>
      <w:bookmarkStart w:id="154" w:name="_Toc7102"/>
      <w:bookmarkStart w:id="155" w:name="_Toc279701258"/>
      <w:bookmarkStart w:id="156" w:name="_Toc487900368"/>
      <w:bookmarkStart w:id="157" w:name="_Toc16959"/>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zh-CN"/>
        </w:rPr>
        <w:t xml:space="preserve"> 乙方破产</w:t>
      </w:r>
      <w:bookmarkEnd w:id="152"/>
      <w:bookmarkEnd w:id="153"/>
      <w:bookmarkEnd w:id="154"/>
      <w:bookmarkEnd w:id="155"/>
      <w:bookmarkEnd w:id="156"/>
      <w:bookmarkEnd w:id="157"/>
    </w:p>
    <w:p w14:paraId="22998B4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25F949D">
      <w:pPr>
        <w:spacing w:line="360" w:lineRule="auto"/>
        <w:ind w:firstLine="437"/>
        <w:outlineLvl w:val="2"/>
        <w:rPr>
          <w:rFonts w:hint="eastAsia" w:ascii="宋体" w:hAnsi="宋体" w:eastAsia="宋体" w:cs="宋体"/>
          <w:b/>
          <w:color w:val="auto"/>
          <w:sz w:val="24"/>
          <w:highlight w:val="none"/>
        </w:rPr>
      </w:pPr>
      <w:bookmarkStart w:id="158" w:name="_Toc29333"/>
      <w:bookmarkStart w:id="159" w:name="_Toc15387"/>
      <w:bookmarkStart w:id="160" w:name="_Toc6134"/>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4</w:t>
      </w:r>
      <w:r>
        <w:rPr>
          <w:rFonts w:hint="eastAsia" w:ascii="宋体" w:hAnsi="宋体" w:eastAsia="宋体" w:cs="宋体"/>
          <w:b/>
          <w:bCs/>
          <w:color w:val="auto"/>
          <w:sz w:val="24"/>
          <w:highlight w:val="none"/>
          <w:lang w:val="zh-CN"/>
        </w:rPr>
        <w:t xml:space="preserve"> 合同中止、终止</w:t>
      </w:r>
      <w:bookmarkEnd w:id="158"/>
      <w:bookmarkEnd w:id="159"/>
      <w:bookmarkEnd w:id="160"/>
    </w:p>
    <w:p w14:paraId="782BDF3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2.14.1双方当事人不得擅自中止或者终止合同；</w:t>
      </w:r>
    </w:p>
    <w:p w14:paraId="4058256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7E17C82">
      <w:pPr>
        <w:spacing w:line="360" w:lineRule="auto"/>
        <w:ind w:firstLine="437"/>
        <w:outlineLvl w:val="2"/>
        <w:rPr>
          <w:rFonts w:hint="eastAsia" w:ascii="宋体" w:hAnsi="宋体" w:eastAsia="宋体" w:cs="宋体"/>
          <w:b/>
          <w:bCs/>
          <w:color w:val="auto"/>
          <w:sz w:val="24"/>
          <w:highlight w:val="none"/>
          <w:lang w:val="zh-CN"/>
        </w:rPr>
      </w:pPr>
      <w:bookmarkStart w:id="161" w:name="_Toc14563"/>
      <w:bookmarkStart w:id="162" w:name="_Toc1125"/>
      <w:bookmarkStart w:id="163" w:name="_Toc6596"/>
      <w:r>
        <w:rPr>
          <w:rFonts w:hint="eastAsia" w:ascii="宋体" w:hAnsi="宋体" w:eastAsia="宋体" w:cs="宋体"/>
          <w:b/>
          <w:bCs/>
          <w:color w:val="auto"/>
          <w:sz w:val="24"/>
          <w:highlight w:val="none"/>
          <w:lang w:val="zh-CN"/>
        </w:rPr>
        <w:t>2.1</w:t>
      </w:r>
      <w:r>
        <w:rPr>
          <w:rFonts w:hint="eastAsia" w:ascii="宋体" w:hAnsi="宋体" w:eastAsia="宋体" w:cs="宋体"/>
          <w:b/>
          <w:bCs/>
          <w:color w:val="auto"/>
          <w:sz w:val="24"/>
          <w:highlight w:val="none"/>
        </w:rPr>
        <w:t>5</w:t>
      </w:r>
      <w:r>
        <w:rPr>
          <w:rFonts w:hint="eastAsia" w:ascii="宋体" w:hAnsi="宋体" w:eastAsia="宋体" w:cs="宋体"/>
          <w:b/>
          <w:bCs/>
          <w:color w:val="auto"/>
          <w:sz w:val="24"/>
          <w:highlight w:val="none"/>
          <w:lang w:val="zh-CN"/>
        </w:rPr>
        <w:t xml:space="preserve"> 检验和验收</w:t>
      </w:r>
      <w:bookmarkEnd w:id="161"/>
      <w:bookmarkEnd w:id="162"/>
      <w:bookmarkEnd w:id="163"/>
    </w:p>
    <w:p w14:paraId="39CEFCC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2.15.1乙方按照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51626D0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569C3E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2.15.3检验和验收标准、程序等具体内容以及前述验收书的效力详见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133"/>
    <w:bookmarkEnd w:id="134"/>
    <w:bookmarkEnd w:id="135"/>
    <w:bookmarkEnd w:id="136"/>
    <w:p w14:paraId="0C66C9D8">
      <w:pPr>
        <w:spacing w:line="360" w:lineRule="auto"/>
        <w:ind w:firstLine="437"/>
        <w:outlineLvl w:val="2"/>
        <w:rPr>
          <w:rFonts w:hint="eastAsia" w:ascii="宋体" w:hAnsi="宋体" w:eastAsia="宋体" w:cs="宋体"/>
          <w:b/>
          <w:bCs/>
          <w:color w:val="auto"/>
          <w:sz w:val="24"/>
          <w:highlight w:val="none"/>
        </w:rPr>
      </w:pPr>
      <w:bookmarkStart w:id="164" w:name="_Toc18540"/>
      <w:bookmarkStart w:id="165" w:name="_Toc279701262"/>
      <w:bookmarkStart w:id="166" w:name="_Toc259093691"/>
      <w:bookmarkStart w:id="167" w:name="_Toc487900372"/>
      <w:bookmarkStart w:id="168" w:name="_Toc30599"/>
      <w:bookmarkStart w:id="169" w:name="_Toc4355"/>
      <w:r>
        <w:rPr>
          <w:rFonts w:hint="eastAsia" w:ascii="宋体" w:hAnsi="宋体" w:eastAsia="宋体" w:cs="宋体"/>
          <w:b/>
          <w:bCs/>
          <w:color w:val="auto"/>
          <w:sz w:val="24"/>
          <w:highlight w:val="none"/>
        </w:rPr>
        <w:t>2.1</w:t>
      </w:r>
      <w:bookmarkEnd w:id="164"/>
      <w:bookmarkEnd w:id="165"/>
      <w:bookmarkEnd w:id="166"/>
      <w:bookmarkEnd w:id="167"/>
      <w:bookmarkEnd w:id="168"/>
      <w:bookmarkEnd w:id="169"/>
      <w:bookmarkStart w:id="170" w:name="_Toc18567"/>
      <w:bookmarkStart w:id="171" w:name="_Toc12773"/>
      <w:bookmarkStart w:id="172" w:name="_Toc279701263"/>
      <w:bookmarkStart w:id="173" w:name="_Toc487900373"/>
      <w:bookmarkStart w:id="174" w:name="_Toc259093692"/>
      <w:bookmarkStart w:id="175" w:name="_Toc10330"/>
      <w:r>
        <w:rPr>
          <w:rFonts w:hint="eastAsia" w:ascii="宋体" w:hAnsi="宋体" w:eastAsia="宋体" w:cs="宋体"/>
          <w:b/>
          <w:bCs/>
          <w:color w:val="auto"/>
          <w:sz w:val="24"/>
          <w:highlight w:val="none"/>
        </w:rPr>
        <w:t xml:space="preserve">6 </w:t>
      </w:r>
      <w:r>
        <w:rPr>
          <w:rFonts w:hint="eastAsia" w:ascii="宋体" w:hAnsi="宋体" w:eastAsia="宋体" w:cs="宋体"/>
          <w:b/>
          <w:bCs/>
          <w:color w:val="auto"/>
          <w:sz w:val="24"/>
          <w:highlight w:val="none"/>
          <w:lang w:val="zh-CN"/>
        </w:rPr>
        <w:t>合同使用的文字和适用的法律</w:t>
      </w:r>
      <w:bookmarkEnd w:id="170"/>
      <w:bookmarkEnd w:id="171"/>
      <w:bookmarkEnd w:id="172"/>
      <w:bookmarkEnd w:id="173"/>
      <w:bookmarkEnd w:id="174"/>
      <w:bookmarkEnd w:id="175"/>
    </w:p>
    <w:p w14:paraId="3715037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2.16.1合同使用汉语书就、变更和解释；</w:t>
      </w:r>
    </w:p>
    <w:p w14:paraId="4156C76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2.16.2合同适用中华人民共和国法律。</w:t>
      </w:r>
    </w:p>
    <w:p w14:paraId="4269ACB4">
      <w:pPr>
        <w:spacing w:line="360" w:lineRule="auto"/>
        <w:ind w:firstLine="437"/>
        <w:outlineLvl w:val="2"/>
        <w:rPr>
          <w:rFonts w:hint="eastAsia" w:ascii="宋体" w:hAnsi="宋体" w:eastAsia="宋体" w:cs="宋体"/>
          <w:b/>
          <w:color w:val="auto"/>
          <w:sz w:val="24"/>
          <w:highlight w:val="none"/>
        </w:rPr>
      </w:pPr>
      <w:bookmarkStart w:id="176" w:name="_Toc3148"/>
      <w:bookmarkStart w:id="177" w:name="_Toc279701264"/>
      <w:bookmarkStart w:id="178" w:name="_Toc259093693"/>
      <w:bookmarkStart w:id="179" w:name="_Toc12004"/>
      <w:bookmarkStart w:id="180" w:name="_Toc16673"/>
      <w:bookmarkStart w:id="181" w:name="_Toc487900374"/>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17</w:t>
      </w:r>
      <w:r>
        <w:rPr>
          <w:rFonts w:hint="eastAsia" w:ascii="宋体" w:hAnsi="宋体" w:eastAsia="宋体" w:cs="宋体"/>
          <w:b/>
          <w:bCs/>
          <w:color w:val="auto"/>
          <w:sz w:val="24"/>
          <w:highlight w:val="none"/>
          <w:lang w:val="zh-CN"/>
        </w:rPr>
        <w:t xml:space="preserve"> 履约保证金</w:t>
      </w:r>
      <w:bookmarkEnd w:id="176"/>
      <w:bookmarkEnd w:id="177"/>
      <w:bookmarkEnd w:id="178"/>
      <w:bookmarkEnd w:id="179"/>
      <w:bookmarkEnd w:id="180"/>
    </w:p>
    <w:p w14:paraId="670FA18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2.17.1采购文件要求乙方提交履约保证金的，乙方应按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约定的方式，以支票、汇票、本票或者金融机构、担保机构出具的保函等非现金形式提交；</w:t>
      </w:r>
    </w:p>
    <w:p w14:paraId="0F635D5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2.17.2</w:t>
      </w:r>
      <w:r>
        <w:rPr>
          <w:rFonts w:hint="eastAsia" w:ascii="宋体" w:hAnsi="宋体" w:eastAsia="宋体" w:cs="宋体"/>
          <w:color w:val="auto"/>
          <w:sz w:val="24"/>
          <w:szCs w:val="24"/>
          <w:highlight w:val="none"/>
        </w:rPr>
        <w:t>履约保证金在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约定期间内不予退还或者应完全有效，前述约定期间届满之日起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个工作日内，甲方应将履约保证金退还乙方，甲方逾期退还履约保证金应承担违约责任。</w:t>
      </w:r>
    </w:p>
    <w:p w14:paraId="01131DF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81"/>
    <w:p w14:paraId="4403CA9E">
      <w:pPr>
        <w:spacing w:line="360" w:lineRule="auto"/>
        <w:ind w:firstLine="437"/>
        <w:outlineLvl w:val="2"/>
        <w:rPr>
          <w:rFonts w:hint="eastAsia" w:ascii="宋体" w:hAnsi="宋体" w:eastAsia="宋体" w:cs="宋体"/>
          <w:b/>
          <w:color w:val="auto"/>
          <w:sz w:val="24"/>
          <w:highlight w:val="none"/>
        </w:rPr>
      </w:pPr>
      <w:bookmarkStart w:id="182" w:name="_Toc14001"/>
      <w:bookmarkStart w:id="183" w:name="_Toc6885"/>
      <w:bookmarkStart w:id="184" w:name="_Toc19890"/>
      <w:r>
        <w:rPr>
          <w:rFonts w:hint="eastAsia" w:ascii="宋体" w:hAnsi="宋体" w:eastAsia="宋体" w:cs="宋体"/>
          <w:b/>
          <w:bCs/>
          <w:color w:val="auto"/>
          <w:sz w:val="24"/>
          <w:highlight w:val="none"/>
          <w:lang w:val="zh-CN"/>
        </w:rPr>
        <w:t>2.</w:t>
      </w:r>
      <w:r>
        <w:rPr>
          <w:rFonts w:hint="eastAsia" w:ascii="宋体" w:hAnsi="宋体" w:eastAsia="宋体" w:cs="宋体"/>
          <w:b/>
          <w:bCs/>
          <w:color w:val="auto"/>
          <w:sz w:val="24"/>
          <w:highlight w:val="none"/>
        </w:rPr>
        <w:t>18</w:t>
      </w:r>
      <w:r>
        <w:rPr>
          <w:rFonts w:hint="eastAsia" w:ascii="宋体" w:hAnsi="宋体" w:eastAsia="宋体" w:cs="宋体"/>
          <w:b/>
          <w:bCs/>
          <w:color w:val="auto"/>
          <w:sz w:val="24"/>
          <w:highlight w:val="none"/>
          <w:lang w:val="zh-CN"/>
        </w:rPr>
        <w:t xml:space="preserve"> 合同份数</w:t>
      </w:r>
      <w:bookmarkEnd w:id="182"/>
      <w:bookmarkEnd w:id="183"/>
      <w:bookmarkEnd w:id="184"/>
    </w:p>
    <w:p w14:paraId="18FC775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0FFAFF0B">
      <w:pPr>
        <w:spacing w:line="360" w:lineRule="auto"/>
        <w:jc w:val="center"/>
        <w:outlineLvl w:val="1"/>
        <w:rPr>
          <w:rFonts w:hint="eastAsia" w:ascii="宋体" w:hAnsi="宋体" w:eastAsia="宋体" w:cs="宋体"/>
          <w:b/>
          <w:color w:val="auto"/>
          <w:sz w:val="24"/>
          <w:highlight w:val="none"/>
        </w:rPr>
      </w:pPr>
      <w:r>
        <w:rPr>
          <w:rFonts w:ascii="宋体" w:hAnsi="宋体"/>
          <w:color w:val="auto"/>
          <w:sz w:val="24"/>
          <w:highlight w:val="none"/>
        </w:rPr>
        <w:br w:type="page"/>
      </w:r>
      <w:bookmarkStart w:id="185" w:name="_Toc14669"/>
      <w:bookmarkStart w:id="186" w:name="_Toc331685784"/>
      <w:r>
        <w:rPr>
          <w:rFonts w:hint="eastAsia" w:ascii="宋体" w:hAnsi="宋体" w:eastAsia="宋体" w:cs="宋体"/>
          <w:b/>
          <w:color w:val="auto"/>
          <w:sz w:val="24"/>
          <w:highlight w:val="none"/>
        </w:rPr>
        <w:t>第三部分 合同专用条款</w:t>
      </w:r>
      <w:bookmarkEnd w:id="185"/>
      <w:bookmarkEnd w:id="186"/>
    </w:p>
    <w:p w14:paraId="5D16B9C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5"/>
        <w:gridCol w:w="7507"/>
      </w:tblGrid>
      <w:tr w14:paraId="0BAFC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55" w:type="dxa"/>
            <w:tcBorders>
              <w:left w:val="single" w:color="auto" w:sz="4" w:space="0"/>
            </w:tcBorders>
            <w:noWrap w:val="0"/>
            <w:vAlign w:val="center"/>
          </w:tcPr>
          <w:p w14:paraId="63B3FF11">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7507" w:type="dxa"/>
            <w:noWrap w:val="0"/>
            <w:vAlign w:val="center"/>
          </w:tcPr>
          <w:p w14:paraId="4FECF378">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7FABE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55" w:type="dxa"/>
            <w:tcBorders>
              <w:left w:val="single" w:color="auto" w:sz="4" w:space="0"/>
            </w:tcBorders>
            <w:noWrap w:val="0"/>
            <w:vAlign w:val="center"/>
          </w:tcPr>
          <w:p w14:paraId="58AE4361">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2.11.3</w:t>
            </w:r>
          </w:p>
        </w:tc>
        <w:tc>
          <w:tcPr>
            <w:tcW w:w="7507" w:type="dxa"/>
            <w:noWrap w:val="0"/>
            <w:vAlign w:val="center"/>
          </w:tcPr>
          <w:p w14:paraId="70778C6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因不可抗力致使合同有变更必要的，双方当事人应在不可抗力发生的3个工作日内以书面形式变更合同</w:t>
            </w:r>
          </w:p>
        </w:tc>
      </w:tr>
      <w:tr w14:paraId="120A6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55" w:type="dxa"/>
            <w:tcBorders>
              <w:left w:val="single" w:color="auto" w:sz="4" w:space="0"/>
            </w:tcBorders>
            <w:noWrap w:val="0"/>
            <w:vAlign w:val="center"/>
          </w:tcPr>
          <w:p w14:paraId="3C3DAC5A">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2.11.4</w:t>
            </w:r>
          </w:p>
        </w:tc>
        <w:tc>
          <w:tcPr>
            <w:tcW w:w="7507" w:type="dxa"/>
            <w:noWrap w:val="0"/>
            <w:vAlign w:val="center"/>
          </w:tcPr>
          <w:p w14:paraId="11B763C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受不可抗力影响的一方在不可抗力发生后，应在不可抗力发生的1个工作日内以书面形式通知对方当事人，并在1个工作日内，将有关部门出具的证明文件送达对方当事人</w:t>
            </w:r>
          </w:p>
        </w:tc>
      </w:tr>
      <w:tr w14:paraId="0EF70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left w:val="single" w:color="auto" w:sz="4" w:space="0"/>
            </w:tcBorders>
            <w:noWrap w:val="0"/>
            <w:vAlign w:val="center"/>
          </w:tcPr>
          <w:p w14:paraId="115A8A27">
            <w:pPr>
              <w:spacing w:line="5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2.17</w:t>
            </w:r>
          </w:p>
        </w:tc>
        <w:tc>
          <w:tcPr>
            <w:tcW w:w="7507" w:type="dxa"/>
            <w:noWrap w:val="0"/>
            <w:vAlign w:val="center"/>
          </w:tcPr>
          <w:p w14:paraId="1DA3FEA5">
            <w:pPr>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本项目免收</w:t>
            </w:r>
            <w:r>
              <w:rPr>
                <w:rFonts w:hint="eastAsia" w:ascii="宋体" w:hAnsi="宋体" w:eastAsia="宋体" w:cs="宋体"/>
                <w:color w:val="auto"/>
                <w:sz w:val="24"/>
                <w:szCs w:val="24"/>
                <w:highlight w:val="none"/>
                <w:lang w:val="zh-CN"/>
              </w:rPr>
              <w:t>履约保证金</w:t>
            </w:r>
          </w:p>
        </w:tc>
      </w:tr>
      <w:tr w14:paraId="1D929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left w:val="single" w:color="auto" w:sz="4" w:space="0"/>
            </w:tcBorders>
            <w:noWrap w:val="0"/>
            <w:vAlign w:val="center"/>
          </w:tcPr>
          <w:p w14:paraId="59C2CF39">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2.18</w:t>
            </w:r>
          </w:p>
        </w:tc>
        <w:tc>
          <w:tcPr>
            <w:tcW w:w="7507" w:type="dxa"/>
            <w:noWrap w:val="0"/>
            <w:vAlign w:val="center"/>
          </w:tcPr>
          <w:p w14:paraId="798E4593">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合同一式陆份，甲乙双方各执叁份。</w:t>
            </w:r>
          </w:p>
        </w:tc>
      </w:tr>
      <w:tr w14:paraId="60CEC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55" w:type="dxa"/>
            <w:tcBorders>
              <w:left w:val="single" w:color="auto" w:sz="4" w:space="0"/>
            </w:tcBorders>
            <w:noWrap w:val="0"/>
            <w:vAlign w:val="center"/>
          </w:tcPr>
          <w:p w14:paraId="1F46B436">
            <w:pPr>
              <w:spacing w:line="440" w:lineRule="exact"/>
              <w:jc w:val="center"/>
              <w:rPr>
                <w:rFonts w:hint="eastAsia" w:ascii="宋体" w:hAnsi="宋体" w:eastAsia="宋体" w:cs="宋体"/>
                <w:color w:val="auto"/>
                <w:sz w:val="24"/>
                <w:highlight w:val="none"/>
              </w:rPr>
            </w:pPr>
          </w:p>
        </w:tc>
        <w:tc>
          <w:tcPr>
            <w:tcW w:w="7507" w:type="dxa"/>
            <w:noWrap w:val="0"/>
            <w:vAlign w:val="center"/>
          </w:tcPr>
          <w:p w14:paraId="3F693829">
            <w:pPr>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（签订合同时可补充）</w:t>
            </w:r>
          </w:p>
        </w:tc>
      </w:tr>
      <w:tr w14:paraId="1B3E4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left w:val="single" w:color="auto" w:sz="4" w:space="0"/>
            </w:tcBorders>
            <w:noWrap w:val="0"/>
            <w:vAlign w:val="center"/>
          </w:tcPr>
          <w:p w14:paraId="696491BC">
            <w:pPr>
              <w:spacing w:line="560" w:lineRule="exact"/>
              <w:jc w:val="center"/>
              <w:rPr>
                <w:rFonts w:hint="eastAsia" w:ascii="宋体" w:hAnsi="宋体" w:eastAsia="宋体" w:cs="宋体"/>
                <w:color w:val="auto"/>
                <w:sz w:val="24"/>
                <w:highlight w:val="none"/>
              </w:rPr>
            </w:pPr>
          </w:p>
        </w:tc>
        <w:tc>
          <w:tcPr>
            <w:tcW w:w="7507" w:type="dxa"/>
            <w:noWrap w:val="0"/>
            <w:vAlign w:val="center"/>
          </w:tcPr>
          <w:p w14:paraId="217C11C0">
            <w:pPr>
              <w:spacing w:line="44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本项目采购文件第三章采购需求签订合同补充至此。</w:t>
            </w:r>
          </w:p>
        </w:tc>
      </w:tr>
      <w:tr w14:paraId="7C83A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left w:val="single" w:color="auto" w:sz="4" w:space="0"/>
            </w:tcBorders>
            <w:noWrap w:val="0"/>
            <w:vAlign w:val="center"/>
          </w:tcPr>
          <w:p w14:paraId="58555EA3">
            <w:pPr>
              <w:spacing w:line="560" w:lineRule="exact"/>
              <w:jc w:val="center"/>
              <w:rPr>
                <w:rFonts w:hint="eastAsia" w:ascii="宋体" w:hAnsi="宋体" w:eastAsia="宋体" w:cs="宋体"/>
                <w:color w:val="auto"/>
                <w:sz w:val="24"/>
                <w:highlight w:val="none"/>
              </w:rPr>
            </w:pPr>
          </w:p>
        </w:tc>
        <w:tc>
          <w:tcPr>
            <w:tcW w:w="7507" w:type="dxa"/>
            <w:noWrap w:val="0"/>
            <w:vAlign w:val="center"/>
          </w:tcPr>
          <w:p w14:paraId="6C3BA2C2">
            <w:pPr>
              <w:spacing w:line="440" w:lineRule="exact"/>
              <w:rPr>
                <w:rFonts w:hint="eastAsia" w:ascii="宋体" w:hAnsi="宋体" w:eastAsia="宋体" w:cs="宋体"/>
                <w:color w:val="auto"/>
                <w:sz w:val="24"/>
                <w:highlight w:val="none"/>
              </w:rPr>
            </w:pPr>
          </w:p>
        </w:tc>
      </w:tr>
      <w:tr w14:paraId="5CC9B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left w:val="single" w:color="auto" w:sz="4" w:space="0"/>
            </w:tcBorders>
            <w:noWrap w:val="0"/>
            <w:vAlign w:val="center"/>
          </w:tcPr>
          <w:p w14:paraId="01943EF3">
            <w:pPr>
              <w:spacing w:line="560" w:lineRule="exact"/>
              <w:rPr>
                <w:rFonts w:hint="eastAsia" w:ascii="宋体" w:hAnsi="宋体" w:eastAsia="宋体" w:cs="宋体"/>
                <w:color w:val="auto"/>
                <w:sz w:val="24"/>
                <w:highlight w:val="none"/>
              </w:rPr>
            </w:pPr>
          </w:p>
        </w:tc>
        <w:tc>
          <w:tcPr>
            <w:tcW w:w="7507" w:type="dxa"/>
            <w:noWrap w:val="0"/>
            <w:vAlign w:val="center"/>
          </w:tcPr>
          <w:p w14:paraId="6391B569">
            <w:pPr>
              <w:spacing w:line="560" w:lineRule="exact"/>
              <w:rPr>
                <w:rFonts w:hint="eastAsia" w:ascii="宋体" w:hAnsi="宋体" w:eastAsia="宋体" w:cs="宋体"/>
                <w:color w:val="auto"/>
                <w:sz w:val="24"/>
                <w:highlight w:val="none"/>
              </w:rPr>
            </w:pPr>
          </w:p>
        </w:tc>
      </w:tr>
      <w:tr w14:paraId="65CD9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5" w:type="dxa"/>
            <w:tcBorders>
              <w:top w:val="single" w:color="auto" w:sz="6" w:space="0"/>
              <w:left w:val="single" w:color="auto" w:sz="4" w:space="0"/>
              <w:bottom w:val="single" w:color="auto" w:sz="6" w:space="0"/>
              <w:right w:val="single" w:color="auto" w:sz="6" w:space="0"/>
            </w:tcBorders>
            <w:noWrap w:val="0"/>
            <w:vAlign w:val="center"/>
          </w:tcPr>
          <w:p w14:paraId="000F819B">
            <w:pPr>
              <w:spacing w:line="560" w:lineRule="exact"/>
              <w:rPr>
                <w:rFonts w:hint="eastAsia" w:ascii="宋体" w:hAnsi="宋体" w:eastAsia="宋体" w:cs="宋体"/>
                <w:color w:val="auto"/>
                <w:sz w:val="24"/>
                <w:highlight w:val="none"/>
              </w:rPr>
            </w:pPr>
          </w:p>
        </w:tc>
        <w:tc>
          <w:tcPr>
            <w:tcW w:w="7507" w:type="dxa"/>
            <w:tcBorders>
              <w:top w:val="single" w:color="auto" w:sz="6" w:space="0"/>
              <w:left w:val="single" w:color="auto" w:sz="6" w:space="0"/>
              <w:bottom w:val="single" w:color="auto" w:sz="6" w:space="0"/>
              <w:right w:val="single" w:color="auto" w:sz="6" w:space="0"/>
            </w:tcBorders>
            <w:noWrap w:val="0"/>
            <w:vAlign w:val="center"/>
          </w:tcPr>
          <w:p w14:paraId="548CC30D">
            <w:pPr>
              <w:spacing w:line="560" w:lineRule="exact"/>
              <w:rPr>
                <w:rFonts w:hint="eastAsia" w:ascii="宋体" w:hAnsi="宋体" w:eastAsia="宋体" w:cs="宋体"/>
                <w:color w:val="auto"/>
                <w:sz w:val="24"/>
                <w:highlight w:val="none"/>
              </w:rPr>
            </w:pPr>
          </w:p>
        </w:tc>
      </w:tr>
    </w:tbl>
    <w:p w14:paraId="6CD7241B">
      <w:pPr>
        <w:rPr>
          <w:rFonts w:hint="eastAsia" w:ascii="宋体" w:hAnsi="宋体" w:eastAsia="宋体" w:cs="宋体"/>
          <w:color w:val="auto"/>
          <w:highlight w:val="none"/>
        </w:rPr>
      </w:pPr>
    </w:p>
    <w:p w14:paraId="2978D72A">
      <w:pPr>
        <w:spacing w:line="360" w:lineRule="auto"/>
        <w:jc w:val="center"/>
        <w:outlineLvl w:val="0"/>
        <w:rPr>
          <w:rFonts w:hint="eastAsia" w:ascii="宋体" w:hAnsi="宋体" w:eastAsia="宋体" w:cs="宋体"/>
          <w:b/>
          <w:color w:val="auto"/>
          <w:sz w:val="28"/>
          <w:highlight w:val="none"/>
        </w:rPr>
      </w:pPr>
    </w:p>
    <w:p w14:paraId="15C27822">
      <w:pPr>
        <w:pStyle w:val="18"/>
        <w:rPr>
          <w:rFonts w:hint="eastAsia" w:ascii="宋体" w:hAnsi="宋体" w:eastAsia="宋体" w:cs="宋体"/>
          <w:b/>
          <w:color w:val="auto"/>
          <w:sz w:val="28"/>
          <w:highlight w:val="none"/>
        </w:rPr>
      </w:pPr>
    </w:p>
    <w:p w14:paraId="30E7A8F8">
      <w:pPr>
        <w:rPr>
          <w:rFonts w:hint="eastAsia" w:ascii="宋体" w:hAnsi="宋体" w:eastAsia="宋体" w:cs="宋体"/>
          <w:b/>
          <w:color w:val="auto"/>
          <w:sz w:val="28"/>
          <w:highlight w:val="none"/>
        </w:rPr>
      </w:pPr>
    </w:p>
    <w:p w14:paraId="3CE808F3">
      <w:pPr>
        <w:pStyle w:val="18"/>
        <w:rPr>
          <w:rFonts w:hint="eastAsia" w:ascii="宋体" w:hAnsi="宋体" w:eastAsia="宋体" w:cs="宋体"/>
          <w:b/>
          <w:color w:val="auto"/>
          <w:sz w:val="28"/>
          <w:highlight w:val="none"/>
        </w:rPr>
      </w:pPr>
    </w:p>
    <w:p w14:paraId="545B2C9B">
      <w:pPr>
        <w:rPr>
          <w:rFonts w:hint="eastAsia" w:ascii="宋体" w:hAnsi="宋体" w:eastAsia="宋体" w:cs="宋体"/>
          <w:b/>
          <w:color w:val="auto"/>
          <w:sz w:val="28"/>
          <w:highlight w:val="none"/>
        </w:rPr>
      </w:pPr>
    </w:p>
    <w:p w14:paraId="4EBB7ED4">
      <w:pPr>
        <w:pStyle w:val="18"/>
        <w:rPr>
          <w:rFonts w:hint="eastAsia" w:ascii="宋体" w:hAnsi="宋体" w:eastAsia="宋体" w:cs="宋体"/>
          <w:b/>
          <w:color w:val="auto"/>
          <w:sz w:val="28"/>
          <w:highlight w:val="none"/>
        </w:rPr>
      </w:pPr>
    </w:p>
    <w:p w14:paraId="57725F5F">
      <w:pPr>
        <w:rPr>
          <w:rFonts w:hint="eastAsia"/>
          <w:color w:val="auto"/>
          <w:highlight w:val="none"/>
        </w:rPr>
      </w:pPr>
    </w:p>
    <w:p w14:paraId="7D832F05">
      <w:pPr>
        <w:rPr>
          <w:rFonts w:hint="eastAsia" w:ascii="宋体" w:hAnsi="宋体" w:eastAsia="宋体" w:cs="宋体"/>
          <w:b/>
          <w:color w:val="auto"/>
          <w:sz w:val="28"/>
          <w:highlight w:val="none"/>
        </w:rPr>
      </w:pPr>
    </w:p>
    <w:p w14:paraId="5C6F3AF2">
      <w:pPr>
        <w:pStyle w:val="18"/>
        <w:rPr>
          <w:rFonts w:hint="eastAsia" w:ascii="宋体" w:hAnsi="宋体" w:eastAsia="宋体" w:cs="宋体"/>
          <w:b/>
          <w:color w:val="auto"/>
          <w:sz w:val="28"/>
          <w:highlight w:val="none"/>
        </w:rPr>
      </w:pPr>
    </w:p>
    <w:p w14:paraId="700FAF38">
      <w:pPr>
        <w:rPr>
          <w:rFonts w:hint="eastAsia" w:ascii="宋体" w:hAnsi="宋体" w:eastAsia="宋体" w:cs="宋体"/>
          <w:b/>
          <w:color w:val="auto"/>
          <w:sz w:val="28"/>
          <w:highlight w:val="none"/>
        </w:rPr>
      </w:pPr>
    </w:p>
    <w:p w14:paraId="34E08B9A">
      <w:pPr>
        <w:pStyle w:val="18"/>
        <w:rPr>
          <w:rFonts w:hint="eastAsia"/>
          <w:color w:val="auto"/>
          <w:highlight w:val="none"/>
        </w:rPr>
      </w:pPr>
    </w:p>
    <w:p w14:paraId="4F1C669B">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第六章  响应文件格式</w:t>
      </w:r>
      <w:bookmarkEnd w:id="37"/>
    </w:p>
    <w:p w14:paraId="4DD8492A">
      <w:pPr>
        <w:spacing w:line="500" w:lineRule="exact"/>
        <w:jc w:val="center"/>
        <w:outlineLvl w:val="1"/>
        <w:rPr>
          <w:rFonts w:asciiTheme="minorEastAsia" w:hAnsiTheme="minorEastAsia" w:eastAsiaTheme="minorEastAsia"/>
          <w:b/>
          <w:color w:val="auto"/>
          <w:sz w:val="32"/>
          <w:highlight w:val="none"/>
        </w:rPr>
      </w:pPr>
    </w:p>
    <w:p w14:paraId="15E9FA63">
      <w:pPr>
        <w:spacing w:line="900" w:lineRule="exact"/>
        <w:jc w:val="center"/>
        <w:rPr>
          <w:rFonts w:asciiTheme="minorEastAsia" w:hAnsiTheme="minorEastAsia" w:eastAsiaTheme="minorEastAsia"/>
          <w:b/>
          <w:color w:val="auto"/>
          <w:sz w:val="72"/>
          <w:highlight w:val="none"/>
        </w:rPr>
      </w:pPr>
    </w:p>
    <w:p w14:paraId="7F422F4B">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3D80E148">
      <w:pPr>
        <w:spacing w:line="900" w:lineRule="exact"/>
        <w:jc w:val="center"/>
        <w:rPr>
          <w:rFonts w:asciiTheme="minorEastAsia" w:hAnsiTheme="minorEastAsia" w:eastAsiaTheme="minorEastAsia"/>
          <w:b/>
          <w:color w:val="auto"/>
          <w:sz w:val="72"/>
          <w:highlight w:val="none"/>
        </w:rPr>
      </w:pPr>
    </w:p>
    <w:p w14:paraId="59822D75">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74618BE6">
      <w:pPr>
        <w:spacing w:line="900" w:lineRule="exact"/>
        <w:jc w:val="center"/>
        <w:rPr>
          <w:rFonts w:asciiTheme="minorEastAsia" w:hAnsiTheme="minorEastAsia" w:eastAsiaTheme="minorEastAsia"/>
          <w:b/>
          <w:color w:val="auto"/>
          <w:sz w:val="72"/>
          <w:highlight w:val="none"/>
        </w:rPr>
      </w:pPr>
    </w:p>
    <w:p w14:paraId="11CD3D13">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2DEE44D2">
      <w:pPr>
        <w:spacing w:line="900" w:lineRule="exact"/>
        <w:jc w:val="center"/>
        <w:rPr>
          <w:rFonts w:asciiTheme="minorEastAsia" w:hAnsiTheme="minorEastAsia" w:eastAsiaTheme="minorEastAsia"/>
          <w:b/>
          <w:color w:val="auto"/>
          <w:sz w:val="72"/>
          <w:highlight w:val="none"/>
        </w:rPr>
      </w:pPr>
    </w:p>
    <w:p w14:paraId="386A2716">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752F7FF6">
      <w:pPr>
        <w:spacing w:after="156" w:afterLines="50"/>
        <w:jc w:val="center"/>
        <w:rPr>
          <w:rFonts w:asciiTheme="minorEastAsia" w:hAnsiTheme="minorEastAsia" w:eastAsiaTheme="minorEastAsia"/>
          <w:b/>
          <w:color w:val="auto"/>
          <w:sz w:val="72"/>
          <w:highlight w:val="none"/>
        </w:rPr>
      </w:pPr>
    </w:p>
    <w:p w14:paraId="55AC6C56">
      <w:pPr>
        <w:spacing w:after="156" w:afterLines="50" w:line="500" w:lineRule="exact"/>
        <w:jc w:val="center"/>
        <w:rPr>
          <w:rFonts w:asciiTheme="minorEastAsia" w:hAnsiTheme="minorEastAsia" w:eastAsiaTheme="minorEastAsia"/>
          <w:b/>
          <w:color w:val="auto"/>
          <w:sz w:val="28"/>
          <w:szCs w:val="28"/>
          <w:highlight w:val="none"/>
        </w:rPr>
      </w:pPr>
    </w:p>
    <w:p w14:paraId="7B56F7A8">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1B9C1B31">
      <w:pPr>
        <w:tabs>
          <w:tab w:val="left" w:pos="2410"/>
        </w:tabs>
        <w:autoSpaceDE w:val="0"/>
        <w:autoSpaceDN w:val="0"/>
        <w:adjustRightInd w:val="0"/>
        <w:snapToGrid w:val="0"/>
        <w:spacing w:line="360" w:lineRule="auto"/>
        <w:ind w:firstLine="643" w:firstLineChars="200"/>
        <w:jc w:val="both"/>
        <w:outlineLvl w:val="9"/>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30DBAE3E">
      <w:pPr>
        <w:spacing w:after="156" w:afterLines="50" w:line="500" w:lineRule="exact"/>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供</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应</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商：</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2A7600E8">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187" w:name="_Toc25570"/>
      <w:bookmarkStart w:id="188" w:name="_Toc3338"/>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187"/>
      <w:bookmarkEnd w:id="188"/>
    </w:p>
    <w:p w14:paraId="7C01E914">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34E8F10A">
      <w:pPr>
        <w:spacing w:line="360" w:lineRule="auto"/>
        <w:jc w:val="center"/>
        <w:outlineLvl w:val="1"/>
        <w:rPr>
          <w:rFonts w:asciiTheme="minorEastAsia" w:hAnsiTheme="minorEastAsia" w:eastAsiaTheme="minorEastAsia"/>
          <w:b/>
          <w:color w:val="auto"/>
          <w:sz w:val="24"/>
          <w:highlight w:val="none"/>
        </w:rPr>
      </w:pPr>
      <w:bookmarkStart w:id="189" w:name="_Toc17899"/>
      <w:bookmarkStart w:id="190" w:name="_Toc6837"/>
      <w:r>
        <w:rPr>
          <w:rFonts w:hint="eastAsia" w:asciiTheme="minorEastAsia" w:hAnsiTheme="minorEastAsia" w:eastAsiaTheme="minorEastAsia"/>
          <w:b/>
          <w:color w:val="auto"/>
          <w:sz w:val="24"/>
          <w:highlight w:val="none"/>
        </w:rPr>
        <w:t>一、报价表格式</w:t>
      </w:r>
      <w:bookmarkEnd w:id="189"/>
      <w:bookmarkEnd w:id="190"/>
    </w:p>
    <w:p w14:paraId="57F581B1">
      <w:pPr>
        <w:spacing w:before="156" w:beforeLines="50" w:after="156"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rPr>
        <w:t>1-1 报价表</w:t>
      </w:r>
    </w:p>
    <w:p w14:paraId="4D628D22">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p w14:paraId="00B1F313">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4E5C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CE924E8">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79910C53">
            <w:pPr>
              <w:spacing w:line="360" w:lineRule="auto"/>
              <w:rPr>
                <w:rFonts w:ascii="宋体" w:hAnsi="宋体" w:eastAsia="宋体"/>
                <w:b/>
                <w:color w:val="auto"/>
                <w:sz w:val="24"/>
                <w:highlight w:val="none"/>
              </w:rPr>
            </w:pPr>
          </w:p>
        </w:tc>
      </w:tr>
      <w:tr w14:paraId="424A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D031448">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谈判范围</w:t>
            </w:r>
          </w:p>
        </w:tc>
        <w:tc>
          <w:tcPr>
            <w:tcW w:w="3557" w:type="pct"/>
            <w:tcBorders>
              <w:left w:val="single" w:color="auto" w:sz="4" w:space="0"/>
            </w:tcBorders>
            <w:vAlign w:val="center"/>
          </w:tcPr>
          <w:p w14:paraId="733927A6">
            <w:pPr>
              <w:widowControl/>
              <w:spacing w:line="360" w:lineRule="exact"/>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全部</w:t>
            </w:r>
          </w:p>
        </w:tc>
      </w:tr>
      <w:tr w14:paraId="1F55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ED79AA9">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50D3E96E">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60A802BE">
            <w:pPr>
              <w:snapToGrid w:val="0"/>
              <w:spacing w:line="360" w:lineRule="auto"/>
              <w:rPr>
                <w:rFonts w:ascii="宋体" w:hAnsi="宋体" w:eastAsia="宋体"/>
                <w:color w:val="auto"/>
                <w:sz w:val="24"/>
                <w:szCs w:val="28"/>
                <w:highlight w:val="none"/>
              </w:rPr>
            </w:pPr>
          </w:p>
          <w:p w14:paraId="37A41E30">
            <w:pPr>
              <w:snapToGrid w:val="0"/>
              <w:spacing w:line="360" w:lineRule="auto"/>
              <w:rPr>
                <w:rFonts w:hint="eastAsia" w:ascii="宋体" w:hAnsi="宋体" w:eastAsia="宋体" w:cs="宋体"/>
                <w:bCs/>
                <w:color w:val="auto"/>
                <w:szCs w:val="21"/>
                <w:highlight w:val="none"/>
                <w:u w:val="single"/>
                <w:lang w:eastAsia="zh-CN"/>
              </w:rPr>
            </w:pPr>
            <w:r>
              <w:rPr>
                <w:rFonts w:hint="eastAsia" w:ascii="宋体" w:hAnsi="宋体" w:eastAsia="宋体" w:cs="宋体"/>
                <w:bCs/>
                <w:color w:val="auto"/>
                <w:szCs w:val="21"/>
                <w:highlight w:val="none"/>
              </w:rPr>
              <w:t>大写：</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
                <w:bCs w:val="0"/>
                <w:color w:val="auto"/>
                <w:szCs w:val="21"/>
                <w:highlight w:val="none"/>
                <w:lang w:val="en-US" w:eastAsia="zh-CN"/>
              </w:rPr>
              <w:t xml:space="preserve"> </w:t>
            </w:r>
          </w:p>
          <w:p w14:paraId="15B0C5F6">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小写：</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r>
              <w:rPr>
                <w:rFonts w:hint="eastAsia" w:ascii="宋体" w:hAnsi="宋体" w:eastAsia="宋体" w:cs="宋体"/>
                <w:b/>
                <w:bCs w:val="0"/>
                <w:color w:val="auto"/>
                <w:szCs w:val="21"/>
                <w:highlight w:val="none"/>
              </w:rPr>
              <w:t>元/G</w:t>
            </w:r>
          </w:p>
          <w:p w14:paraId="75437F6A">
            <w:pPr>
              <w:snapToGrid w:val="0"/>
              <w:spacing w:line="360" w:lineRule="auto"/>
              <w:rPr>
                <w:rFonts w:ascii="宋体" w:hAnsi="宋体" w:eastAsia="宋体"/>
                <w:b/>
                <w:color w:val="auto"/>
                <w:sz w:val="24"/>
                <w:highlight w:val="none"/>
              </w:rPr>
            </w:pPr>
          </w:p>
        </w:tc>
      </w:tr>
      <w:tr w14:paraId="1438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56AA56D0">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44719243">
            <w:pPr>
              <w:spacing w:line="360" w:lineRule="auto"/>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本项目报价为流量单价，小数点保留两位小数，不得报0和负数。</w:t>
            </w:r>
          </w:p>
        </w:tc>
      </w:tr>
    </w:tbl>
    <w:p w14:paraId="30A686AD">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753A948C">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75A4ECAB">
      <w:pPr>
        <w:snapToGrid w:val="0"/>
        <w:spacing w:line="360" w:lineRule="auto"/>
        <w:ind w:left="5550"/>
        <w:jc w:val="center"/>
        <w:rPr>
          <w:rFonts w:ascii="宋体" w:hAnsi="宋体" w:eastAsia="宋体"/>
          <w:color w:val="auto"/>
          <w:sz w:val="24"/>
          <w:highlight w:val="none"/>
        </w:rPr>
      </w:pPr>
      <w:r>
        <w:rPr>
          <w:rFonts w:hint="eastAsia" w:ascii="宋体" w:hAnsi="宋体" w:eastAsia="宋体"/>
          <w:color w:val="auto"/>
          <w:sz w:val="24"/>
          <w:highlight w:val="none"/>
        </w:rPr>
        <w:t xml:space="preserve"> </w:t>
      </w:r>
    </w:p>
    <w:p w14:paraId="3FEFAEE0">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41011925">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1.特殊事项在备注中注明。</w:t>
      </w:r>
    </w:p>
    <w:p w14:paraId="66455A78">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lang w:val="en-US" w:eastAsia="zh-CN"/>
        </w:rPr>
        <w:t>2</w:t>
      </w:r>
      <w:r>
        <w:rPr>
          <w:rFonts w:hint="eastAsia" w:ascii="宋体" w:hAnsi="宋体" w:eastAsia="宋体"/>
          <w:b/>
          <w:bCs/>
          <w:color w:val="auto"/>
          <w:sz w:val="24"/>
          <w:szCs w:val="28"/>
          <w:highlight w:val="none"/>
        </w:rPr>
        <w:t>.表中大写金额与小写金额不一致的，以大写金额为准。</w:t>
      </w:r>
    </w:p>
    <w:p w14:paraId="3D5E5D2A">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07153345">
      <w:pPr>
        <w:spacing w:line="360" w:lineRule="auto"/>
        <w:jc w:val="center"/>
        <w:outlineLvl w:val="1"/>
        <w:rPr>
          <w:rFonts w:asciiTheme="minorEastAsia" w:hAnsiTheme="minorEastAsia" w:eastAsiaTheme="minorEastAsia"/>
          <w:b/>
          <w:color w:val="auto"/>
          <w:sz w:val="24"/>
          <w:highlight w:val="none"/>
        </w:rPr>
      </w:pPr>
      <w:bookmarkStart w:id="191" w:name="_Toc16379"/>
      <w:bookmarkStart w:id="192" w:name="_Toc30153"/>
      <w:r>
        <w:rPr>
          <w:rFonts w:hint="eastAsia" w:asciiTheme="minorEastAsia" w:hAnsiTheme="minorEastAsia" w:eastAsiaTheme="minorEastAsia"/>
          <w:b/>
          <w:color w:val="auto"/>
          <w:sz w:val="24"/>
          <w:highlight w:val="none"/>
        </w:rPr>
        <w:t>二、最后承诺报价表</w:t>
      </w:r>
      <w:bookmarkEnd w:id="191"/>
      <w:bookmarkEnd w:id="192"/>
    </w:p>
    <w:p w14:paraId="4AAD1BEF">
      <w:pPr>
        <w:spacing w:before="156" w:beforeLines="50" w:after="156" w:afterLines="50" w:line="360" w:lineRule="auto"/>
        <w:ind w:firstLine="236" w:firstLineChars="98"/>
        <w:jc w:val="center"/>
        <w:rPr>
          <w:rFonts w:ascii="宋体" w:hAnsi="宋体" w:eastAsia="宋体"/>
          <w:b/>
          <w:color w:val="auto"/>
          <w:sz w:val="24"/>
          <w:szCs w:val="28"/>
          <w:highlight w:val="none"/>
        </w:rPr>
      </w:pPr>
      <w:r>
        <w:rPr>
          <w:rFonts w:hint="eastAsia" w:ascii="宋体" w:hAnsi="宋体" w:eastAsia="宋体"/>
          <w:b/>
          <w:color w:val="auto"/>
          <w:sz w:val="24"/>
          <w:szCs w:val="28"/>
          <w:highlight w:val="none"/>
        </w:rPr>
        <w:t>（第</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rPr>
        <w:t>次报价书）</w:t>
      </w:r>
    </w:p>
    <w:p w14:paraId="6109720B">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p w14:paraId="7D52DA60">
      <w:pPr>
        <w:snapToGrid w:val="0"/>
        <w:spacing w:after="156" w:afterLines="50" w:line="360" w:lineRule="auto"/>
        <w:jc w:val="left"/>
        <w:rPr>
          <w:rFonts w:ascii="宋体" w:hAnsi="宋体" w:eastAsia="宋体"/>
          <w:b/>
          <w:bCs/>
          <w:color w:val="auto"/>
          <w:sz w:val="24"/>
          <w:szCs w:val="28"/>
          <w:highlight w:val="non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5CFD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63E608F">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12FE5BF7">
            <w:pPr>
              <w:spacing w:line="360" w:lineRule="auto"/>
              <w:rPr>
                <w:rFonts w:ascii="宋体" w:hAnsi="宋体" w:eastAsia="宋体"/>
                <w:b/>
                <w:color w:val="auto"/>
                <w:sz w:val="24"/>
                <w:highlight w:val="none"/>
              </w:rPr>
            </w:pPr>
          </w:p>
        </w:tc>
      </w:tr>
      <w:tr w14:paraId="0AC1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1BC1EAB0">
            <w:pPr>
              <w:spacing w:line="360" w:lineRule="exact"/>
              <w:jc w:val="center"/>
              <w:rPr>
                <w:rFonts w:ascii="宋体" w:hAnsi="宋体" w:eastAsia="宋体"/>
                <w:b/>
                <w:color w:val="auto"/>
                <w:sz w:val="24"/>
                <w:highlight w:val="none"/>
              </w:rPr>
            </w:pPr>
            <w:r>
              <w:rPr>
                <w:rFonts w:hint="eastAsia" w:ascii="宋体" w:hAnsi="宋体" w:eastAsia="宋体"/>
                <w:b/>
                <w:bCs/>
                <w:color w:val="auto"/>
                <w:sz w:val="24"/>
                <w:szCs w:val="28"/>
                <w:highlight w:val="none"/>
              </w:rPr>
              <w:t>谈判</w:t>
            </w:r>
            <w:r>
              <w:rPr>
                <w:rFonts w:hint="eastAsia" w:ascii="宋体" w:hAnsi="宋体" w:eastAsia="宋体"/>
                <w:b/>
                <w:color w:val="auto"/>
                <w:sz w:val="24"/>
                <w:highlight w:val="none"/>
              </w:rPr>
              <w:t>范围</w:t>
            </w:r>
          </w:p>
        </w:tc>
        <w:tc>
          <w:tcPr>
            <w:tcW w:w="3557" w:type="pct"/>
            <w:tcBorders>
              <w:left w:val="single" w:color="auto" w:sz="4" w:space="0"/>
            </w:tcBorders>
            <w:vAlign w:val="center"/>
          </w:tcPr>
          <w:p w14:paraId="5A39DDBF">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u w:val="single"/>
                <w:lang w:val="en-US" w:eastAsia="zh-CN"/>
              </w:rPr>
              <w:t>全部</w:t>
            </w:r>
          </w:p>
        </w:tc>
      </w:tr>
      <w:tr w14:paraId="70E9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380E930B">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最后报价</w:t>
            </w:r>
          </w:p>
          <w:p w14:paraId="01888DBE">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19D5A469">
            <w:pPr>
              <w:snapToGrid w:val="0"/>
              <w:spacing w:line="360" w:lineRule="auto"/>
              <w:rPr>
                <w:rFonts w:ascii="宋体" w:hAnsi="宋体" w:eastAsia="宋体"/>
                <w:color w:val="auto"/>
                <w:sz w:val="24"/>
                <w:szCs w:val="28"/>
                <w:highlight w:val="none"/>
              </w:rPr>
            </w:pPr>
          </w:p>
          <w:p w14:paraId="4FBCF2E2">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大写：</w:t>
            </w:r>
            <w:r>
              <w:rPr>
                <w:rFonts w:hint="eastAsia" w:ascii="宋体" w:hAnsi="宋体" w:eastAsia="宋体" w:cs="宋体"/>
                <w:bCs/>
                <w:color w:val="auto"/>
                <w:szCs w:val="21"/>
                <w:highlight w:val="none"/>
                <w:u w:val="single"/>
              </w:rPr>
              <w:t xml:space="preserve">                        </w:t>
            </w:r>
          </w:p>
          <w:p w14:paraId="3A77EE68">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小写：</w:t>
            </w:r>
            <w:r>
              <w:rPr>
                <w:rFonts w:hint="eastAsia" w:ascii="宋体" w:hAnsi="宋体" w:eastAsia="宋体" w:cs="宋体"/>
                <w:bCs/>
                <w:color w:val="auto"/>
                <w:szCs w:val="21"/>
                <w:highlight w:val="none"/>
                <w:u w:val="single"/>
              </w:rPr>
              <w:t xml:space="preserve">                    </w:t>
            </w:r>
            <w:r>
              <w:rPr>
                <w:rFonts w:hint="eastAsia" w:ascii="宋体" w:hAnsi="宋体" w:eastAsia="宋体" w:cs="宋体"/>
                <w:b/>
                <w:bCs w:val="0"/>
                <w:color w:val="auto"/>
                <w:szCs w:val="21"/>
                <w:highlight w:val="none"/>
              </w:rPr>
              <w:t>元/G</w:t>
            </w:r>
          </w:p>
          <w:p w14:paraId="3AC98287">
            <w:pPr>
              <w:snapToGrid w:val="0"/>
              <w:spacing w:line="360" w:lineRule="auto"/>
              <w:rPr>
                <w:rFonts w:ascii="宋体" w:hAnsi="宋体" w:eastAsia="宋体"/>
                <w:b/>
                <w:color w:val="auto"/>
                <w:sz w:val="24"/>
                <w:highlight w:val="none"/>
              </w:rPr>
            </w:pPr>
          </w:p>
        </w:tc>
      </w:tr>
      <w:tr w14:paraId="5B79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1C339BE8">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1572C868">
            <w:pPr>
              <w:spacing w:line="360" w:lineRule="auto"/>
              <w:rPr>
                <w:rFonts w:ascii="宋体" w:hAnsi="宋体" w:eastAsia="宋体"/>
                <w:b/>
                <w:color w:val="auto"/>
                <w:sz w:val="24"/>
                <w:highlight w:val="none"/>
              </w:rPr>
            </w:pPr>
            <w:r>
              <w:rPr>
                <w:rFonts w:hint="eastAsia" w:ascii="宋体" w:hAnsi="宋体" w:eastAsia="宋体"/>
                <w:b/>
                <w:i/>
                <w:color w:val="auto"/>
                <w:sz w:val="24"/>
                <w:highlight w:val="none"/>
              </w:rPr>
              <w:t>（此处可补充谈判小组根据与供应商谈判情况变动的谈判文件的内容，包括采购需求中的技术、服务要求以及合同草案条款。）</w:t>
            </w:r>
          </w:p>
        </w:tc>
      </w:tr>
      <w:tr w14:paraId="50AE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19F10C45">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谈判小组</w:t>
            </w:r>
            <w:r>
              <w:rPr>
                <w:rFonts w:ascii="宋体" w:hAnsi="宋体" w:eastAsia="宋体"/>
                <w:b/>
                <w:bCs/>
                <w:color w:val="auto"/>
                <w:sz w:val="24"/>
                <w:szCs w:val="28"/>
                <w:highlight w:val="none"/>
              </w:rPr>
              <w:t>签字</w:t>
            </w:r>
          </w:p>
        </w:tc>
        <w:tc>
          <w:tcPr>
            <w:tcW w:w="3557" w:type="pct"/>
          </w:tcPr>
          <w:p w14:paraId="219CFE7D">
            <w:pPr>
              <w:spacing w:line="360" w:lineRule="auto"/>
              <w:rPr>
                <w:rFonts w:ascii="宋体" w:hAnsi="宋体" w:eastAsia="宋体"/>
                <w:b/>
                <w:color w:val="auto"/>
                <w:sz w:val="24"/>
                <w:highlight w:val="none"/>
              </w:rPr>
            </w:pPr>
          </w:p>
        </w:tc>
      </w:tr>
    </w:tbl>
    <w:p w14:paraId="456F6E1E">
      <w:pPr>
        <w:spacing w:line="360" w:lineRule="auto"/>
        <w:ind w:firstLine="1680" w:firstLineChars="700"/>
        <w:jc w:val="left"/>
        <w:rPr>
          <w:rFonts w:ascii="宋体" w:hAnsi="宋体" w:eastAsia="宋体"/>
          <w:color w:val="auto"/>
          <w:sz w:val="24"/>
          <w:highlight w:val="none"/>
        </w:rPr>
      </w:pPr>
      <w:r>
        <w:rPr>
          <w:rFonts w:hint="eastAsia" w:ascii="宋体" w:hAnsi="宋体" w:eastAsia="宋体"/>
          <w:color w:val="auto"/>
          <w:sz w:val="24"/>
          <w:highlight w:val="none"/>
        </w:rPr>
        <w:t xml:space="preserve">           供应商公章或授权代表签字：</w:t>
      </w:r>
      <w:r>
        <w:rPr>
          <w:rFonts w:hint="eastAsia" w:ascii="宋体" w:hAnsi="宋体" w:eastAsia="宋体"/>
          <w:color w:val="auto"/>
          <w:sz w:val="24"/>
          <w:highlight w:val="none"/>
          <w:u w:val="single"/>
        </w:rPr>
        <w:t xml:space="preserve">                  </w:t>
      </w:r>
    </w:p>
    <w:p w14:paraId="40AC91FC">
      <w:pPr>
        <w:spacing w:line="360" w:lineRule="auto"/>
        <w:ind w:firstLine="4200" w:firstLineChars="1750"/>
        <w:jc w:val="left"/>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D54F19E">
      <w:pPr>
        <w:adjustRightInd w:val="0"/>
        <w:snapToGrid w:val="0"/>
        <w:spacing w:line="360" w:lineRule="auto"/>
        <w:ind w:firstLine="482" w:firstLineChars="200"/>
        <w:rPr>
          <w:rFonts w:ascii="宋体" w:hAnsi="宋体" w:eastAsia="宋体"/>
          <w:b/>
          <w:bCs/>
          <w:color w:val="auto"/>
          <w:sz w:val="24"/>
          <w:szCs w:val="28"/>
          <w:highlight w:val="none"/>
        </w:rPr>
      </w:pPr>
    </w:p>
    <w:p w14:paraId="75AFEE92">
      <w:pPr>
        <w:adjustRightInd w:val="0"/>
        <w:snapToGrid w:val="0"/>
        <w:spacing w:line="360" w:lineRule="auto"/>
        <w:ind w:firstLine="482" w:firstLineChars="200"/>
        <w:rPr>
          <w:rFonts w:hint="eastAsia" w:ascii="宋体" w:hAnsi="宋体" w:eastAsia="宋体"/>
          <w:b/>
          <w:bCs/>
          <w:color w:val="auto"/>
          <w:sz w:val="24"/>
          <w:highlight w:val="none"/>
        </w:rPr>
      </w:pPr>
      <w:r>
        <w:rPr>
          <w:rFonts w:hint="eastAsia" w:ascii="宋体" w:hAnsi="宋体" w:eastAsia="宋体"/>
          <w:b/>
          <w:bCs/>
          <w:color w:val="auto"/>
          <w:sz w:val="24"/>
          <w:szCs w:val="28"/>
          <w:highlight w:val="none"/>
        </w:rPr>
        <w:t>注：1.</w:t>
      </w:r>
      <w:r>
        <w:rPr>
          <w:rFonts w:hint="eastAsia" w:ascii="宋体" w:hAnsi="宋体" w:eastAsia="宋体"/>
          <w:b/>
          <w:bCs/>
          <w:color w:val="auto"/>
          <w:sz w:val="24"/>
          <w:highlight w:val="none"/>
        </w:rPr>
        <w:t>本页《报价表》由供应商在接到报价通知后依据谈判情况填写,并在规定时间内提交。</w:t>
      </w:r>
    </w:p>
    <w:p w14:paraId="1E3FC548">
      <w:pPr>
        <w:adjustRightInd w:val="0"/>
        <w:snapToGrid w:val="0"/>
        <w:spacing w:line="360" w:lineRule="auto"/>
        <w:ind w:firstLine="482" w:firstLineChars="200"/>
        <w:rPr>
          <w:rFonts w:ascii="宋体" w:hAnsi="宋体" w:eastAsia="宋体"/>
          <w:b/>
          <w:color w:val="auto"/>
          <w:sz w:val="24"/>
          <w:szCs w:val="28"/>
          <w:highlight w:val="none"/>
        </w:rPr>
      </w:pPr>
      <w:r>
        <w:rPr>
          <w:rFonts w:hint="eastAsia" w:ascii="宋体" w:hAnsi="宋体" w:eastAsia="宋体"/>
          <w:b/>
          <w:color w:val="auto"/>
          <w:sz w:val="24"/>
          <w:szCs w:val="28"/>
          <w:highlight w:val="none"/>
        </w:rPr>
        <w:t>2.表中大写金额与小写金额不一致的，以大写金额为准。</w:t>
      </w:r>
    </w:p>
    <w:p w14:paraId="21F12BF7">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7DC7B7DE">
      <w:pPr>
        <w:spacing w:line="360" w:lineRule="auto"/>
        <w:jc w:val="center"/>
        <w:outlineLvl w:val="1"/>
        <w:rPr>
          <w:rFonts w:asciiTheme="minorEastAsia" w:hAnsiTheme="minorEastAsia" w:eastAsiaTheme="minorEastAsia"/>
          <w:b/>
          <w:color w:val="auto"/>
          <w:sz w:val="24"/>
          <w:highlight w:val="none"/>
        </w:rPr>
      </w:pPr>
      <w:bookmarkStart w:id="193" w:name="_Toc10325"/>
      <w:bookmarkStart w:id="194" w:name="_Toc9887"/>
      <w:r>
        <w:rPr>
          <w:rFonts w:hint="eastAsia" w:asciiTheme="minorEastAsia" w:hAnsiTheme="minorEastAsia" w:eastAsiaTheme="minorEastAsia"/>
          <w:b/>
          <w:color w:val="auto"/>
          <w:sz w:val="24"/>
          <w:highlight w:val="none"/>
        </w:rPr>
        <w:t>三、谈判响应函</w:t>
      </w:r>
      <w:bookmarkEnd w:id="193"/>
      <w:bookmarkEnd w:id="194"/>
    </w:p>
    <w:p w14:paraId="5071E5B1">
      <w:pPr>
        <w:pStyle w:val="17"/>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szCs w:val="24"/>
          <w:highlight w:val="none"/>
          <w:u w:val="none"/>
          <w:lang w:eastAsia="zh-CN"/>
        </w:rPr>
        <w:t>采购人</w:t>
      </w:r>
    </w:p>
    <w:p w14:paraId="53B231DA">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195" w:name="_Hlk44287576"/>
      <w:r>
        <w:rPr>
          <w:rFonts w:hint="eastAsia" w:ascii="宋体" w:hAnsi="宋体" w:eastAsia="宋体"/>
          <w:color w:val="auto"/>
          <w:sz w:val="24"/>
          <w:highlight w:val="none"/>
        </w:rPr>
        <w:t>竞争性谈判公告和谈判邀请</w:t>
      </w:r>
      <w:bookmarkEnd w:id="195"/>
      <w:r>
        <w:rPr>
          <w:rFonts w:hint="eastAsia" w:ascii="宋体" w:hAnsi="宋体" w:eastAsia="宋体"/>
          <w:color w:val="auto"/>
          <w:sz w:val="24"/>
          <w:highlight w:val="none"/>
        </w:rPr>
        <w:t>，我方兹宣布同意如下：</w:t>
      </w:r>
    </w:p>
    <w:p w14:paraId="249AE73B">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1.我方根据本次谈判文件的规定，严格履行合同的责任和义务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并保证于买方要求的日期内完成，并通过买方验收。</w:t>
      </w:r>
    </w:p>
    <w:p w14:paraId="75BE663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.我方已详细审核本次谈判文件，包括谈判文件附件</w:t>
      </w:r>
      <w:r>
        <w:rPr>
          <w:rFonts w:hint="eastAsia" w:ascii="宋体" w:hAnsi="宋体" w:eastAsia="宋体"/>
          <w:color w:val="auto"/>
          <w:sz w:val="24"/>
          <w:highlight w:val="none"/>
          <w:lang w:val="en-US" w:eastAsia="zh-CN"/>
        </w:rPr>
        <w:t>及更正公告</w:t>
      </w:r>
      <w:r>
        <w:rPr>
          <w:rFonts w:hint="eastAsia" w:ascii="宋体" w:hAnsi="宋体" w:eastAsia="宋体"/>
          <w:color w:val="auto"/>
          <w:sz w:val="24"/>
          <w:highlight w:val="none"/>
        </w:rPr>
        <w:t>（如有），我方正式认可并遵守本次谈判文件，并对谈判文件各项条款、规定及要求均无异议。</w:t>
      </w:r>
    </w:p>
    <w:p w14:paraId="2019C6AA">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.我方同意从供应商须知规定的谈判日期起遵循本谈判文件，并在供应商须知规定的谈判有效期之前均具有约束力。</w:t>
      </w:r>
    </w:p>
    <w:p w14:paraId="346B5485">
      <w:pPr>
        <w:spacing w:line="360" w:lineRule="auto"/>
        <w:ind w:firstLine="480" w:firstLineChars="200"/>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文件所提供的一切资料均真实无误、及时、有效，企业运营正常。由于我方提供资料不实而造成的责任和后果由我方承担。我方同意按照贵方提出的要求，提供与</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有关的任何证据、数据或资料。</w:t>
      </w:r>
    </w:p>
    <w:p w14:paraId="47832D6C">
      <w:pPr>
        <w:spacing w:line="360" w:lineRule="auto"/>
        <w:ind w:firstLine="3600" w:firstLineChars="1500"/>
        <w:rPr>
          <w:rFonts w:ascii="宋体" w:hAnsi="宋体" w:eastAsia="宋体"/>
          <w:color w:val="auto"/>
          <w:sz w:val="24"/>
          <w:highlight w:val="none"/>
        </w:rPr>
      </w:pPr>
    </w:p>
    <w:p w14:paraId="735FEF9E">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5E3D1248">
      <w:pPr>
        <w:spacing w:line="360" w:lineRule="auto"/>
        <w:ind w:firstLine="3600" w:firstLineChars="15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4FB007A">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7C14991F">
      <w:pPr>
        <w:spacing w:line="360" w:lineRule="auto"/>
        <w:jc w:val="center"/>
        <w:outlineLvl w:val="1"/>
        <w:rPr>
          <w:rFonts w:hint="eastAsia" w:asciiTheme="minorEastAsia" w:hAnsiTheme="minorEastAsia" w:eastAsiaTheme="minorEastAsia"/>
          <w:b/>
          <w:color w:val="auto"/>
          <w:sz w:val="24"/>
          <w:highlight w:val="none"/>
        </w:rPr>
      </w:pPr>
      <w:bookmarkStart w:id="196" w:name="_Toc15886"/>
      <w:bookmarkStart w:id="197" w:name="_Toc27496"/>
      <w:r>
        <w:rPr>
          <w:rFonts w:hint="eastAsia" w:asciiTheme="minorEastAsia" w:hAnsiTheme="minorEastAsia" w:eastAsiaTheme="minorEastAsia"/>
          <w:b/>
          <w:color w:val="auto"/>
          <w:sz w:val="24"/>
          <w:highlight w:val="none"/>
        </w:rPr>
        <w:t>四、</w:t>
      </w:r>
      <w:bookmarkEnd w:id="196"/>
      <w:r>
        <w:rPr>
          <w:rFonts w:hint="eastAsia" w:asciiTheme="minorEastAsia" w:hAnsiTheme="minorEastAsia" w:eastAsiaTheme="minorEastAsia"/>
          <w:b/>
          <w:color w:val="auto"/>
          <w:sz w:val="24"/>
          <w:highlight w:val="none"/>
          <w:lang w:val="en-US" w:eastAsia="zh-CN"/>
        </w:rPr>
        <w:t>供应商资格声明书</w:t>
      </w:r>
      <w:bookmarkEnd w:id="197"/>
      <w:r>
        <w:rPr>
          <w:rFonts w:hint="eastAsia" w:asciiTheme="minorEastAsia" w:hAnsiTheme="minorEastAsia" w:eastAsiaTheme="minorEastAsia"/>
          <w:b/>
          <w:color w:val="auto"/>
          <w:sz w:val="24"/>
          <w:highlight w:val="none"/>
          <w:lang w:val="en-US" w:eastAsia="zh-CN"/>
        </w:rPr>
        <w:t xml:space="preserve"> </w:t>
      </w:r>
    </w:p>
    <w:p w14:paraId="1B9CEB06">
      <w:pPr>
        <w:pStyle w:val="17"/>
        <w:spacing w:line="360" w:lineRule="auto"/>
        <w:rPr>
          <w:rFonts w:hint="eastAsia" w:eastAsia="宋体" w:asciiTheme="minorEastAsia" w:hAnsiTheme="minorEastAsia" w:cstheme="minorEastAsia"/>
          <w:color w:val="auto"/>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eastAsia="zh-CN"/>
        </w:rPr>
        <w:t>采购人</w:t>
      </w:r>
    </w:p>
    <w:p w14:paraId="6D86D23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在参与本次项目谈判中，我单位承诺：</w:t>
      </w:r>
    </w:p>
    <w:p w14:paraId="31D7B97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（一）具有良好的商业信誉和健全的财务会计制度；</w:t>
      </w:r>
    </w:p>
    <w:p w14:paraId="33A771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（二）具有履行合同所必需的设备和专业技术能力；</w:t>
      </w:r>
    </w:p>
    <w:p w14:paraId="23BE8C9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（三）有依法缴纳税收和社会保障资金的良好记录；</w:t>
      </w:r>
    </w:p>
    <w:p w14:paraId="26054CD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9461D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18E3696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4445"/>
        <w:gridCol w:w="2841"/>
      </w:tblGrid>
      <w:tr w14:paraId="0EF6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57E15F95">
            <w:pPr>
              <w:keepNext w:val="0"/>
              <w:keepLines w:val="0"/>
              <w:pageBreakBefore w:val="0"/>
              <w:widowControl/>
              <w:suppressLineNumbers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序号</w:t>
            </w:r>
          </w:p>
        </w:tc>
        <w:tc>
          <w:tcPr>
            <w:tcW w:w="2608" w:type="pct"/>
            <w:vAlign w:val="center"/>
          </w:tcPr>
          <w:p w14:paraId="03892C16">
            <w:pPr>
              <w:pStyle w:val="3"/>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单位名称</w:t>
            </w:r>
          </w:p>
        </w:tc>
        <w:tc>
          <w:tcPr>
            <w:tcW w:w="1667" w:type="pct"/>
            <w:vAlign w:val="center"/>
          </w:tcPr>
          <w:p w14:paraId="187B8F90">
            <w:pPr>
              <w:pStyle w:val="3"/>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相互关系</w:t>
            </w:r>
          </w:p>
        </w:tc>
      </w:tr>
      <w:tr w14:paraId="49AC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3A6FD362">
            <w:pPr>
              <w:pStyle w:val="3"/>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1</w:t>
            </w:r>
          </w:p>
        </w:tc>
        <w:tc>
          <w:tcPr>
            <w:tcW w:w="2608" w:type="pct"/>
            <w:vAlign w:val="center"/>
          </w:tcPr>
          <w:p w14:paraId="4EA2C11A">
            <w:pPr>
              <w:pStyle w:val="3"/>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1667" w:type="pct"/>
            <w:vAlign w:val="center"/>
          </w:tcPr>
          <w:p w14:paraId="1C89F7FD">
            <w:pPr>
              <w:pStyle w:val="3"/>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r w14:paraId="4910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21F73847">
            <w:pPr>
              <w:pStyle w:val="3"/>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2</w:t>
            </w:r>
          </w:p>
        </w:tc>
        <w:tc>
          <w:tcPr>
            <w:tcW w:w="2608" w:type="pct"/>
            <w:vAlign w:val="center"/>
          </w:tcPr>
          <w:p w14:paraId="4DA45946">
            <w:pPr>
              <w:pStyle w:val="3"/>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1667" w:type="pct"/>
            <w:vAlign w:val="center"/>
          </w:tcPr>
          <w:p w14:paraId="206AB086">
            <w:pPr>
              <w:pStyle w:val="3"/>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bl>
    <w:p w14:paraId="633353D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491389D6">
      <w:pPr>
        <w:spacing w:line="360" w:lineRule="auto"/>
        <w:ind w:firstLine="4800" w:firstLineChars="2000"/>
        <w:rPr>
          <w:rFonts w:hint="eastAsia" w:ascii="宋体" w:hAnsi="宋体" w:eastAsia="宋体"/>
          <w:color w:val="auto"/>
          <w:sz w:val="24"/>
          <w:highlight w:val="none"/>
          <w:lang w:val="en-US" w:eastAsia="zh-CN"/>
        </w:rPr>
      </w:pPr>
    </w:p>
    <w:p w14:paraId="0B165512">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64489A87">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8EE360B">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38A7C03E">
      <w:pPr>
        <w:spacing w:line="360" w:lineRule="auto"/>
        <w:jc w:val="center"/>
        <w:outlineLvl w:val="1"/>
        <w:rPr>
          <w:rFonts w:asciiTheme="minorEastAsia" w:hAnsiTheme="minorEastAsia" w:eastAsiaTheme="minorEastAsia"/>
          <w:b/>
          <w:color w:val="auto"/>
          <w:sz w:val="24"/>
          <w:highlight w:val="none"/>
        </w:rPr>
      </w:pPr>
      <w:bookmarkStart w:id="198" w:name="_Toc19132"/>
      <w:bookmarkStart w:id="199" w:name="_Toc3425"/>
      <w:r>
        <w:rPr>
          <w:rFonts w:hint="eastAsia" w:asciiTheme="minorEastAsia" w:hAnsiTheme="minorEastAsia" w:eastAsiaTheme="minorEastAsia"/>
          <w:b/>
          <w:color w:val="auto"/>
          <w:sz w:val="24"/>
          <w:highlight w:val="none"/>
        </w:rPr>
        <w:t>五、授权书</w:t>
      </w:r>
      <w:bookmarkEnd w:id="198"/>
      <w:bookmarkEnd w:id="199"/>
    </w:p>
    <w:p w14:paraId="20AF3A0F">
      <w:pPr>
        <w:pStyle w:val="16"/>
        <w:snapToGrid w:val="0"/>
        <w:spacing w:line="360" w:lineRule="auto"/>
        <w:ind w:firstLine="480" w:firstLineChars="200"/>
        <w:jc w:val="left"/>
        <w:rPr>
          <w:rFonts w:hAnsi="宋体" w:eastAsia="宋体"/>
          <w:color w:val="auto"/>
          <w:sz w:val="24"/>
          <w:szCs w:val="28"/>
          <w:highlight w:val="none"/>
        </w:rPr>
      </w:pPr>
    </w:p>
    <w:p w14:paraId="6ECA2698">
      <w:pPr>
        <w:pStyle w:val="16"/>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14:paraId="210DEDE5">
      <w:pPr>
        <w:pStyle w:val="16"/>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7D9857D8">
      <w:pPr>
        <w:pStyle w:val="16"/>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2D750829">
      <w:pPr>
        <w:pStyle w:val="16"/>
        <w:snapToGrid w:val="0"/>
        <w:spacing w:line="360" w:lineRule="auto"/>
        <w:ind w:firstLine="480" w:firstLineChars="200"/>
        <w:jc w:val="left"/>
        <w:rPr>
          <w:rFonts w:hAnsi="宋体" w:eastAsia="宋体"/>
          <w:color w:val="auto"/>
          <w:sz w:val="24"/>
          <w:highlight w:val="none"/>
        </w:rPr>
      </w:pPr>
    </w:p>
    <w:p w14:paraId="5DED6EEA">
      <w:pPr>
        <w:pStyle w:val="16"/>
        <w:snapToGrid w:val="0"/>
        <w:spacing w:line="360" w:lineRule="auto"/>
        <w:ind w:firstLine="480" w:firstLineChars="200"/>
        <w:jc w:val="left"/>
        <w:rPr>
          <w:rFonts w:hAnsi="宋体" w:eastAsia="宋体"/>
          <w:color w:val="auto"/>
          <w:sz w:val="24"/>
          <w:highlight w:val="none"/>
        </w:rPr>
      </w:pPr>
    </w:p>
    <w:p w14:paraId="55F9C92E">
      <w:pPr>
        <w:pStyle w:val="16"/>
        <w:snapToGrid w:val="0"/>
        <w:spacing w:line="360" w:lineRule="auto"/>
        <w:ind w:firstLine="480" w:firstLineChars="200"/>
        <w:jc w:val="left"/>
        <w:rPr>
          <w:rFonts w:hAnsi="宋体" w:eastAsia="宋体"/>
          <w:color w:val="auto"/>
          <w:sz w:val="24"/>
          <w:highlight w:val="none"/>
        </w:rPr>
      </w:pPr>
    </w:p>
    <w:p w14:paraId="0D913859">
      <w:pPr>
        <w:pStyle w:val="16"/>
        <w:snapToGrid w:val="0"/>
        <w:spacing w:line="360" w:lineRule="auto"/>
        <w:ind w:firstLine="480" w:firstLineChars="200"/>
        <w:jc w:val="left"/>
        <w:rPr>
          <w:rFonts w:hAnsi="宋体" w:eastAsia="宋体"/>
          <w:color w:val="auto"/>
          <w:sz w:val="24"/>
          <w:highlight w:val="none"/>
        </w:rPr>
      </w:pPr>
    </w:p>
    <w:p w14:paraId="794FE19E">
      <w:pPr>
        <w:pStyle w:val="16"/>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6222D906">
      <w:pPr>
        <w:pStyle w:val="16"/>
        <w:snapToGrid w:val="0"/>
        <w:spacing w:line="360" w:lineRule="auto"/>
        <w:ind w:firstLine="480" w:firstLineChars="200"/>
        <w:jc w:val="left"/>
        <w:rPr>
          <w:rFonts w:hAnsi="宋体" w:eastAsia="宋体"/>
          <w:color w:val="auto"/>
          <w:sz w:val="24"/>
          <w:szCs w:val="28"/>
          <w:highlight w:val="none"/>
        </w:rPr>
      </w:pPr>
    </w:p>
    <w:p w14:paraId="0E8EF6FD">
      <w:pPr>
        <w:spacing w:line="360" w:lineRule="auto"/>
        <w:ind w:firstLine="360" w:firstLineChars="150"/>
        <w:rPr>
          <w:rFonts w:ascii="宋体" w:hAnsi="宋体" w:eastAsia="宋体"/>
          <w:color w:val="auto"/>
          <w:sz w:val="24"/>
          <w:szCs w:val="28"/>
          <w:highlight w:val="none"/>
        </w:rPr>
      </w:pPr>
      <w:r>
        <w:rPr>
          <w:rFonts w:hint="eastAsia" w:ascii="宋体" w:hAnsi="宋体" w:eastAsia="宋体"/>
          <w:color w:val="auto"/>
          <w:sz w:val="24"/>
          <w:szCs w:val="28"/>
          <w:highlight w:val="none"/>
        </w:rPr>
        <w:t>特此声明。</w:t>
      </w:r>
    </w:p>
    <w:p w14:paraId="048F2A5B">
      <w:pPr>
        <w:spacing w:line="360" w:lineRule="auto"/>
        <w:rPr>
          <w:rFonts w:ascii="宋体" w:hAnsi="宋体" w:eastAsia="宋体"/>
          <w:color w:val="auto"/>
          <w:sz w:val="24"/>
          <w:szCs w:val="28"/>
          <w:highlight w:val="none"/>
        </w:rPr>
      </w:pPr>
    </w:p>
    <w:p w14:paraId="5EAAADCF">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44A4D6B">
      <w:pPr>
        <w:spacing w:line="360" w:lineRule="auto"/>
        <w:ind w:firstLine="4800" w:firstLineChars="2000"/>
        <w:rPr>
          <w:rFonts w:ascii="宋体" w:hAnsi="宋体" w:eastAsia="宋体"/>
          <w:color w:val="auto"/>
          <w:sz w:val="24"/>
          <w:szCs w:val="28"/>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517DDC1E">
      <w:pPr>
        <w:spacing w:line="360" w:lineRule="auto"/>
        <w:rPr>
          <w:rFonts w:ascii="宋体" w:hAnsi="宋体" w:eastAsia="宋体"/>
          <w:color w:val="auto"/>
          <w:sz w:val="24"/>
          <w:szCs w:val="28"/>
          <w:highlight w:val="none"/>
        </w:rPr>
      </w:pPr>
    </w:p>
    <w:p w14:paraId="66CB1D94">
      <w:pPr>
        <w:spacing w:line="360" w:lineRule="auto"/>
        <w:rPr>
          <w:rFonts w:ascii="宋体" w:hAnsi="宋体" w:eastAsia="宋体"/>
          <w:color w:val="auto"/>
          <w:sz w:val="24"/>
          <w:szCs w:val="28"/>
          <w:highlight w:val="none"/>
        </w:rPr>
      </w:pPr>
    </w:p>
    <w:p w14:paraId="4A7973FB">
      <w:pPr>
        <w:pStyle w:val="16"/>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7A6ADFE9">
      <w:pPr>
        <w:pStyle w:val="16"/>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02993164">
      <w:pPr>
        <w:pStyle w:val="16"/>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2.法定代表人参加谈判的无需提供授权书，仅提供身份证明扫描件。</w:t>
      </w:r>
    </w:p>
    <w:p w14:paraId="5953388B">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6FC59BAC">
      <w:pPr>
        <w:spacing w:line="360" w:lineRule="auto"/>
        <w:jc w:val="center"/>
        <w:outlineLvl w:val="1"/>
        <w:rPr>
          <w:rFonts w:asciiTheme="minorEastAsia" w:hAnsiTheme="minorEastAsia" w:eastAsiaTheme="minorEastAsia"/>
          <w:b/>
          <w:color w:val="auto"/>
          <w:sz w:val="24"/>
          <w:highlight w:val="none"/>
        </w:rPr>
      </w:pPr>
      <w:bookmarkStart w:id="200" w:name="_Toc1834"/>
      <w:bookmarkStart w:id="201" w:name="_Toc31060"/>
      <w:r>
        <w:rPr>
          <w:rFonts w:hint="eastAsia" w:asciiTheme="minorEastAsia" w:hAnsiTheme="minorEastAsia" w:eastAsiaTheme="minorEastAsia"/>
          <w:b/>
          <w:color w:val="auto"/>
          <w:sz w:val="24"/>
          <w:highlight w:val="none"/>
        </w:rPr>
        <w:t>六、</w:t>
      </w:r>
      <w:bookmarkEnd w:id="200"/>
      <w:bookmarkEnd w:id="201"/>
      <w:r>
        <w:rPr>
          <w:rFonts w:hint="eastAsia" w:asciiTheme="minorEastAsia" w:hAnsiTheme="minorEastAsia" w:eastAsiaTheme="minorEastAsia"/>
          <w:b/>
          <w:color w:val="auto"/>
          <w:sz w:val="24"/>
          <w:highlight w:val="none"/>
          <w:lang w:val="en-US" w:eastAsia="zh-CN"/>
        </w:rPr>
        <w:t>谈判</w:t>
      </w:r>
      <w:r>
        <w:rPr>
          <w:rFonts w:hint="eastAsia" w:asciiTheme="minorEastAsia" w:hAnsiTheme="minorEastAsia" w:eastAsiaTheme="minorEastAsia"/>
          <w:b/>
          <w:color w:val="auto"/>
          <w:sz w:val="24"/>
          <w:highlight w:val="none"/>
        </w:rPr>
        <w:t>响应表</w:t>
      </w:r>
    </w:p>
    <w:p w14:paraId="62B0B14B">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775D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06AD6CC8">
            <w:pPr>
              <w:pStyle w:val="16"/>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7803CE11">
            <w:pPr>
              <w:pStyle w:val="16"/>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095A624C">
            <w:pPr>
              <w:pStyle w:val="16"/>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谈判文件</w:t>
            </w:r>
            <w:r>
              <w:rPr>
                <w:rFonts w:hint="eastAsia" w:cs="Wingdings" w:asciiTheme="minorEastAsia" w:hAnsiTheme="minorEastAsia"/>
                <w:b/>
                <w:color w:val="auto"/>
                <w:sz w:val="24"/>
                <w:highlight w:val="none"/>
              </w:rPr>
              <w:t>要求</w:t>
            </w:r>
          </w:p>
        </w:tc>
        <w:tc>
          <w:tcPr>
            <w:tcW w:w="1510" w:type="pct"/>
            <w:vAlign w:val="center"/>
          </w:tcPr>
          <w:p w14:paraId="14AB3F75">
            <w:pPr>
              <w:pStyle w:val="16"/>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供应商</w:t>
            </w:r>
            <w:r>
              <w:rPr>
                <w:rFonts w:hint="eastAsia" w:cs="Wingdings" w:asciiTheme="minorEastAsia" w:hAnsiTheme="minorEastAsia"/>
                <w:b/>
                <w:color w:val="auto"/>
                <w:sz w:val="24"/>
                <w:highlight w:val="none"/>
              </w:rPr>
              <w:t>承诺</w:t>
            </w:r>
          </w:p>
        </w:tc>
        <w:tc>
          <w:tcPr>
            <w:tcW w:w="475" w:type="pct"/>
            <w:vAlign w:val="center"/>
          </w:tcPr>
          <w:p w14:paraId="70407828">
            <w:pPr>
              <w:pStyle w:val="16"/>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1C06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DA5BB83">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43A179F9">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6A4D055F">
            <w:pPr>
              <w:jc w:val="center"/>
              <w:rPr>
                <w:rFonts w:asciiTheme="minorEastAsia" w:hAnsiTheme="minorEastAsia" w:eastAsiaTheme="minorEastAsia"/>
                <w:color w:val="auto"/>
                <w:sz w:val="24"/>
                <w:highlight w:val="none"/>
              </w:rPr>
            </w:pPr>
          </w:p>
        </w:tc>
        <w:tc>
          <w:tcPr>
            <w:tcW w:w="1510" w:type="pct"/>
            <w:vAlign w:val="center"/>
          </w:tcPr>
          <w:p w14:paraId="0FBD20B7">
            <w:pPr>
              <w:jc w:val="center"/>
              <w:rPr>
                <w:rFonts w:asciiTheme="minorEastAsia" w:hAnsiTheme="minorEastAsia" w:eastAsiaTheme="minorEastAsia"/>
                <w:color w:val="auto"/>
                <w:sz w:val="24"/>
                <w:highlight w:val="none"/>
              </w:rPr>
            </w:pPr>
          </w:p>
        </w:tc>
        <w:tc>
          <w:tcPr>
            <w:tcW w:w="475" w:type="pct"/>
            <w:vAlign w:val="center"/>
          </w:tcPr>
          <w:p w14:paraId="34830BBA">
            <w:pPr>
              <w:jc w:val="center"/>
              <w:rPr>
                <w:rFonts w:asciiTheme="minorEastAsia" w:hAnsiTheme="minorEastAsia" w:eastAsiaTheme="minorEastAsia"/>
                <w:color w:val="auto"/>
                <w:sz w:val="24"/>
                <w:highlight w:val="none"/>
              </w:rPr>
            </w:pPr>
          </w:p>
        </w:tc>
      </w:tr>
      <w:tr w14:paraId="50B3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C9244B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403B5F02">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3C10013C">
            <w:pPr>
              <w:jc w:val="center"/>
              <w:rPr>
                <w:rFonts w:asciiTheme="minorEastAsia" w:hAnsiTheme="minorEastAsia" w:eastAsiaTheme="minorEastAsia"/>
                <w:color w:val="auto"/>
                <w:sz w:val="24"/>
                <w:highlight w:val="none"/>
              </w:rPr>
            </w:pPr>
          </w:p>
        </w:tc>
        <w:tc>
          <w:tcPr>
            <w:tcW w:w="1510" w:type="pct"/>
            <w:vAlign w:val="center"/>
          </w:tcPr>
          <w:p w14:paraId="71DF51CE">
            <w:pPr>
              <w:jc w:val="center"/>
              <w:rPr>
                <w:rFonts w:asciiTheme="minorEastAsia" w:hAnsiTheme="minorEastAsia" w:eastAsiaTheme="minorEastAsia"/>
                <w:color w:val="auto"/>
                <w:sz w:val="24"/>
                <w:highlight w:val="none"/>
              </w:rPr>
            </w:pPr>
          </w:p>
        </w:tc>
        <w:tc>
          <w:tcPr>
            <w:tcW w:w="475" w:type="pct"/>
            <w:vAlign w:val="center"/>
          </w:tcPr>
          <w:p w14:paraId="6621CD20">
            <w:pPr>
              <w:jc w:val="center"/>
              <w:rPr>
                <w:rFonts w:asciiTheme="minorEastAsia" w:hAnsiTheme="minorEastAsia" w:eastAsiaTheme="minorEastAsia"/>
                <w:color w:val="auto"/>
                <w:sz w:val="24"/>
                <w:highlight w:val="none"/>
              </w:rPr>
            </w:pPr>
          </w:p>
        </w:tc>
      </w:tr>
      <w:tr w14:paraId="0915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B92C57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167B55C8">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04FC7BA0">
            <w:pPr>
              <w:jc w:val="center"/>
              <w:rPr>
                <w:rFonts w:asciiTheme="minorEastAsia" w:hAnsiTheme="minorEastAsia" w:eastAsiaTheme="minorEastAsia"/>
                <w:color w:val="auto"/>
                <w:sz w:val="24"/>
                <w:highlight w:val="none"/>
              </w:rPr>
            </w:pPr>
          </w:p>
        </w:tc>
        <w:tc>
          <w:tcPr>
            <w:tcW w:w="1510" w:type="pct"/>
            <w:vAlign w:val="center"/>
          </w:tcPr>
          <w:p w14:paraId="0AD81D87">
            <w:pPr>
              <w:pStyle w:val="54"/>
              <w:jc w:val="center"/>
              <w:rPr>
                <w:rFonts w:asciiTheme="minorEastAsia" w:hAnsiTheme="minorEastAsia" w:eastAsiaTheme="minorEastAsia"/>
                <w:color w:val="auto"/>
                <w:highlight w:val="none"/>
              </w:rPr>
            </w:pPr>
          </w:p>
        </w:tc>
        <w:tc>
          <w:tcPr>
            <w:tcW w:w="475" w:type="pct"/>
            <w:vAlign w:val="center"/>
          </w:tcPr>
          <w:p w14:paraId="4B1DC8AE">
            <w:pPr>
              <w:jc w:val="center"/>
              <w:rPr>
                <w:rFonts w:asciiTheme="minorEastAsia" w:hAnsiTheme="minorEastAsia" w:eastAsiaTheme="minorEastAsia"/>
                <w:color w:val="auto"/>
                <w:sz w:val="24"/>
                <w:highlight w:val="none"/>
              </w:rPr>
            </w:pPr>
          </w:p>
        </w:tc>
      </w:tr>
      <w:tr w14:paraId="5297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0B8E9E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49A65C63">
            <w:pPr>
              <w:jc w:val="center"/>
              <w:rPr>
                <w:rFonts w:ascii="宋体" w:hAnsi="宋体" w:eastAsia="宋体"/>
                <w:color w:val="auto"/>
                <w:sz w:val="24"/>
                <w:highlight w:val="none"/>
              </w:rPr>
            </w:pPr>
          </w:p>
        </w:tc>
        <w:tc>
          <w:tcPr>
            <w:tcW w:w="1465" w:type="pct"/>
            <w:vAlign w:val="center"/>
          </w:tcPr>
          <w:p w14:paraId="26AEDEB3">
            <w:pPr>
              <w:jc w:val="center"/>
              <w:rPr>
                <w:rFonts w:asciiTheme="minorEastAsia" w:hAnsiTheme="minorEastAsia" w:eastAsiaTheme="minorEastAsia"/>
                <w:color w:val="auto"/>
                <w:sz w:val="24"/>
                <w:highlight w:val="none"/>
              </w:rPr>
            </w:pPr>
          </w:p>
        </w:tc>
        <w:tc>
          <w:tcPr>
            <w:tcW w:w="1510" w:type="pct"/>
            <w:vAlign w:val="center"/>
          </w:tcPr>
          <w:p w14:paraId="1A811D76">
            <w:pPr>
              <w:jc w:val="center"/>
              <w:rPr>
                <w:rFonts w:asciiTheme="minorEastAsia" w:hAnsiTheme="minorEastAsia" w:eastAsiaTheme="minorEastAsia"/>
                <w:color w:val="auto"/>
                <w:sz w:val="24"/>
                <w:highlight w:val="none"/>
              </w:rPr>
            </w:pPr>
          </w:p>
        </w:tc>
        <w:tc>
          <w:tcPr>
            <w:tcW w:w="475" w:type="pct"/>
            <w:vAlign w:val="center"/>
          </w:tcPr>
          <w:p w14:paraId="5F564D21">
            <w:pPr>
              <w:jc w:val="center"/>
              <w:rPr>
                <w:rFonts w:asciiTheme="minorEastAsia" w:hAnsiTheme="minorEastAsia" w:eastAsiaTheme="minorEastAsia"/>
                <w:color w:val="auto"/>
                <w:sz w:val="24"/>
                <w:highlight w:val="none"/>
              </w:rPr>
            </w:pPr>
          </w:p>
        </w:tc>
      </w:tr>
    </w:tbl>
    <w:p w14:paraId="45A067C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CC8A6BC">
      <w:pP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64904C58">
      <w:pPr>
        <w:pStyle w:val="17"/>
        <w:spacing w:line="360" w:lineRule="auto"/>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rPr>
        <w:br w:type="page"/>
      </w:r>
    </w:p>
    <w:p w14:paraId="2F86C322">
      <w:pPr>
        <w:spacing w:line="360" w:lineRule="auto"/>
        <w:jc w:val="center"/>
        <w:outlineLvl w:val="1"/>
        <w:rPr>
          <w:rFonts w:asciiTheme="minorEastAsia" w:hAnsiTheme="minorEastAsia" w:eastAsiaTheme="minorEastAsia"/>
          <w:b/>
          <w:color w:val="auto"/>
          <w:sz w:val="24"/>
          <w:highlight w:val="none"/>
        </w:rPr>
      </w:pPr>
      <w:bookmarkStart w:id="202" w:name="_Toc19745"/>
      <w:bookmarkStart w:id="203" w:name="_Toc25481"/>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、诚信履约承诺函</w:t>
      </w:r>
      <w:bookmarkEnd w:id="202"/>
      <w:bookmarkEnd w:id="203"/>
    </w:p>
    <w:p w14:paraId="73B2D349">
      <w:pPr>
        <w:spacing w:line="360" w:lineRule="auto"/>
        <w:rPr>
          <w:rFonts w:asciiTheme="minorEastAsia" w:hAnsiTheme="minorEastAsia" w:eastAsiaTheme="minorEastAsia"/>
          <w:b/>
          <w:bCs/>
          <w:color w:val="auto"/>
          <w:sz w:val="24"/>
          <w:highlight w:val="none"/>
        </w:rPr>
      </w:pPr>
    </w:p>
    <w:p w14:paraId="0CBAE29E">
      <w:pPr>
        <w:spacing w:line="360" w:lineRule="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none"/>
          <w:lang w:eastAsia="zh-CN"/>
        </w:rPr>
        <w:t>采购人</w:t>
      </w:r>
    </w:p>
    <w:p w14:paraId="73AE550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397669A4">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08B816A7">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22D7F992">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0E6B866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4C02CC83">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6AE539CB">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329D812">
      <w:pPr>
        <w:spacing w:line="360" w:lineRule="auto"/>
        <w:rPr>
          <w:rFonts w:asciiTheme="minorEastAsia" w:hAnsiTheme="minorEastAsia" w:eastAsiaTheme="minorEastAsia"/>
          <w:bCs/>
          <w:color w:val="auto"/>
          <w:sz w:val="24"/>
          <w:highlight w:val="none"/>
        </w:rPr>
      </w:pPr>
    </w:p>
    <w:p w14:paraId="138CD5CF">
      <w:pPr>
        <w:spacing w:line="360" w:lineRule="auto"/>
        <w:rPr>
          <w:rFonts w:asciiTheme="minorEastAsia" w:hAnsiTheme="minorEastAsia" w:eastAsiaTheme="minorEastAsia"/>
          <w:bCs/>
          <w:color w:val="auto"/>
          <w:sz w:val="24"/>
          <w:highlight w:val="none"/>
        </w:rPr>
      </w:pPr>
    </w:p>
    <w:p w14:paraId="4B2F6AFE">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06BE7060">
      <w:pPr>
        <w:spacing w:line="360" w:lineRule="auto"/>
        <w:ind w:firstLine="4320" w:firstLineChars="1800"/>
        <w:rPr>
          <w:rFonts w:asciiTheme="minorEastAsia" w:hAnsiTheme="minorEastAsia" w:eastAsiaTheme="minorEastAsia"/>
          <w:b/>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028BE82F">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021889E0">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诚信响应承诺书</w:t>
      </w:r>
    </w:p>
    <w:p w14:paraId="1D901F68">
      <w:pPr>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本人以企业法定代表人的身份郑重承诺：</w:t>
      </w:r>
    </w:p>
    <w:p w14:paraId="23D9F37B">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一、将遵循公开、公正和诚实信用的原则自愿参加</w:t>
      </w:r>
      <w:r>
        <w:rPr>
          <w:rFonts w:hint="eastAsia" w:ascii="宋体" w:hAnsi="宋体" w:eastAsia="宋体" w:cs="宋体"/>
          <w:color w:val="auto"/>
          <w:sz w:val="24"/>
          <w:szCs w:val="24"/>
          <w:highlight w:val="none"/>
          <w:u w:val="single"/>
        </w:rPr>
        <w:t xml:space="preserve">       （项目名称）         项目</w:t>
      </w:r>
      <w:r>
        <w:rPr>
          <w:rFonts w:hint="eastAsia" w:ascii="宋体" w:hAnsi="宋体" w:eastAsia="宋体" w:cs="宋体"/>
          <w:color w:val="auto"/>
          <w:sz w:val="24"/>
          <w:szCs w:val="24"/>
          <w:highlight w:val="none"/>
        </w:rPr>
        <w:t>的谈判，所提供的一切材料都是真实、有效、合法的；</w:t>
      </w:r>
    </w:p>
    <w:p w14:paraId="1E46A7F1">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5618DC8E">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三、不出借、转让资质证书，不让他人挂靠，不以他人名义或者以其他方式弄虚作假，骗取成交；</w:t>
      </w:r>
    </w:p>
    <w:p w14:paraId="6D41A3C7">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四、不与其他供应商相互串通响应报价，不排挤其他供应商的公平竞争、损害采购人的合法权益；</w:t>
      </w:r>
    </w:p>
    <w:p w14:paraId="0194D022">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五、不与采购人、采购代理机构或其他供应商串通响应，损害国家利益、社会公共利益或者他人的合法权益；</w:t>
      </w:r>
    </w:p>
    <w:p w14:paraId="30F1577A">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六、我公司没有下列情形 1、被人民法院列入失信被执行人的；2、我公司及其法定代表人、拟派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w:t>
      </w:r>
    </w:p>
    <w:p w14:paraId="70C4BE61">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七、我公司没有下列情形：被滁州市县两级公管部门记入不良行为记录且在披露期内。</w:t>
      </w:r>
    </w:p>
    <w:p w14:paraId="3F484C7C">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八、严格遵守谈判现场纪律，服从监管人员管理；</w:t>
      </w:r>
    </w:p>
    <w:p w14:paraId="7CC6E23F">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九、保证成交后不转包，若有分包征得采购人同意；</w:t>
      </w:r>
    </w:p>
    <w:p w14:paraId="1B9ADE4D">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十、保证成交之后，按照响应文件要求提供相关后续服务；</w:t>
      </w:r>
    </w:p>
    <w:p w14:paraId="2731CEE0">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十一、保证企业及所属相关人员在本次响应中无行贿等犯罪行为；</w:t>
      </w:r>
    </w:p>
    <w:p w14:paraId="24B92507">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二、如在谈判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0DF987D4">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以上内容我已仔细阅读，本公司若有违反承诺内容的行为，自愿接受取消响应或者中标（成交）资格、记入不良行为记录等有关处理，愿意承担法律责任，给采购人造成损失的，依法承担赔偿责任。</w:t>
      </w:r>
    </w:p>
    <w:p w14:paraId="5F492B72">
      <w:pPr>
        <w:spacing w:line="560" w:lineRule="exact"/>
        <w:ind w:firstLine="480" w:firstLineChars="200"/>
        <w:jc w:val="left"/>
        <w:rPr>
          <w:rFonts w:ascii="宋体" w:hAnsi="宋体" w:eastAsia="宋体" w:cs="宋体"/>
          <w:color w:val="auto"/>
          <w:sz w:val="24"/>
          <w:szCs w:val="24"/>
          <w:highlight w:val="none"/>
        </w:rPr>
      </w:pPr>
    </w:p>
    <w:p w14:paraId="56F704F4">
      <w:pPr>
        <w:spacing w:line="520" w:lineRule="exact"/>
        <w:jc w:val="left"/>
        <w:rPr>
          <w:rFonts w:ascii="宋体" w:hAnsi="宋体" w:eastAsia="宋体" w:cs="宋体"/>
          <w:color w:val="auto"/>
          <w:sz w:val="24"/>
          <w:szCs w:val="24"/>
          <w:highlight w:val="none"/>
        </w:rPr>
      </w:pPr>
    </w:p>
    <w:p w14:paraId="173ADBD2">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基本账户：</w:t>
      </w:r>
    </w:p>
    <w:p w14:paraId="6FF0B21D">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供应商（签章）：             法定代表人（签章）：</w:t>
      </w:r>
    </w:p>
    <w:p w14:paraId="42B2AC69">
      <w:pPr>
        <w:spacing w:line="600" w:lineRule="exact"/>
        <w:ind w:firstLine="4095" w:firstLineChars="1950"/>
        <w:rPr>
          <w:rFonts w:ascii="宋体" w:hAnsi="宋体"/>
          <w:color w:val="auto"/>
          <w:szCs w:val="21"/>
          <w:highlight w:val="none"/>
        </w:rPr>
      </w:pPr>
    </w:p>
    <w:p w14:paraId="7F7C3251">
      <w:pPr>
        <w:spacing w:line="600" w:lineRule="exact"/>
        <w:ind w:firstLine="4680" w:firstLineChars="19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 月 日</w:t>
      </w:r>
    </w:p>
    <w:p w14:paraId="3C0ABEDC">
      <w:pPr>
        <w:spacing w:line="360" w:lineRule="auto"/>
        <w:jc w:val="center"/>
        <w:outlineLvl w:val="1"/>
        <w:rPr>
          <w:rFonts w:hint="eastAsia" w:asciiTheme="minorEastAsia" w:hAnsiTheme="minorEastAsia" w:eastAsiaTheme="minorEastAsia"/>
          <w:b/>
          <w:color w:val="auto"/>
          <w:sz w:val="24"/>
          <w:highlight w:val="none"/>
          <w:lang w:val="en-US" w:eastAsia="zh-CN"/>
        </w:rPr>
      </w:pPr>
    </w:p>
    <w:p w14:paraId="3E15CB93">
      <w:pPr>
        <w:spacing w:line="360" w:lineRule="auto"/>
        <w:jc w:val="center"/>
        <w:outlineLvl w:val="1"/>
        <w:rPr>
          <w:rFonts w:hint="eastAsia" w:asciiTheme="minorEastAsia" w:hAnsiTheme="minorEastAsia" w:eastAsiaTheme="minorEastAsia"/>
          <w:b/>
          <w:color w:val="auto"/>
          <w:sz w:val="24"/>
          <w:highlight w:val="none"/>
          <w:lang w:val="en-US" w:eastAsia="zh-CN"/>
        </w:rPr>
      </w:pPr>
    </w:p>
    <w:p w14:paraId="025E717C">
      <w:pPr>
        <w:pStyle w:val="3"/>
        <w:spacing w:before="98" w:line="219" w:lineRule="auto"/>
        <w:jc w:val="center"/>
        <w:rPr>
          <w:rFonts w:hint="eastAsia" w:asciiTheme="minorEastAsia" w:hAnsiTheme="minorEastAsia" w:eastAsiaTheme="minorEastAsia"/>
          <w:b/>
          <w:color w:val="auto"/>
          <w:sz w:val="24"/>
          <w:highlight w:val="none"/>
          <w:lang w:val="en-US" w:eastAsia="zh-CN"/>
        </w:rPr>
      </w:pPr>
    </w:p>
    <w:p w14:paraId="6CBA8CD4">
      <w:pPr>
        <w:pStyle w:val="3"/>
        <w:spacing w:before="98" w:line="219" w:lineRule="auto"/>
        <w:jc w:val="center"/>
        <w:rPr>
          <w:rFonts w:hint="eastAsia" w:asciiTheme="minorEastAsia" w:hAnsiTheme="minorEastAsia" w:eastAsiaTheme="minorEastAsia"/>
          <w:b/>
          <w:color w:val="auto"/>
          <w:sz w:val="24"/>
          <w:highlight w:val="none"/>
          <w:lang w:val="en-US" w:eastAsia="zh-CN"/>
        </w:rPr>
      </w:pPr>
    </w:p>
    <w:p w14:paraId="0807480F">
      <w:pPr>
        <w:pStyle w:val="3"/>
        <w:spacing w:before="98" w:line="219" w:lineRule="auto"/>
        <w:jc w:val="center"/>
        <w:rPr>
          <w:rFonts w:hint="eastAsia" w:asciiTheme="minorEastAsia" w:hAnsiTheme="minorEastAsia" w:eastAsiaTheme="minorEastAsia"/>
          <w:b/>
          <w:color w:val="auto"/>
          <w:sz w:val="24"/>
          <w:highlight w:val="none"/>
          <w:lang w:val="en-US" w:eastAsia="zh-CN"/>
        </w:rPr>
      </w:pPr>
    </w:p>
    <w:p w14:paraId="760D7E8E">
      <w:pPr>
        <w:pStyle w:val="3"/>
        <w:spacing w:before="98" w:line="219" w:lineRule="auto"/>
        <w:jc w:val="center"/>
        <w:rPr>
          <w:rFonts w:hint="eastAsia" w:asciiTheme="minorEastAsia" w:hAnsiTheme="minorEastAsia" w:eastAsiaTheme="minorEastAsia"/>
          <w:b/>
          <w:color w:val="auto"/>
          <w:sz w:val="24"/>
          <w:highlight w:val="none"/>
          <w:lang w:val="en-US" w:eastAsia="zh-CN"/>
        </w:rPr>
      </w:pPr>
    </w:p>
    <w:p w14:paraId="0CFE464E">
      <w:pPr>
        <w:pStyle w:val="3"/>
        <w:spacing w:before="98" w:line="219" w:lineRule="auto"/>
        <w:jc w:val="center"/>
        <w:rPr>
          <w:rFonts w:hint="eastAsia" w:asciiTheme="minorEastAsia" w:hAnsiTheme="minorEastAsia" w:eastAsiaTheme="minorEastAsia"/>
          <w:b/>
          <w:color w:val="auto"/>
          <w:sz w:val="24"/>
          <w:highlight w:val="none"/>
          <w:lang w:val="en-US" w:eastAsia="zh-CN"/>
        </w:rPr>
      </w:pPr>
    </w:p>
    <w:p w14:paraId="327531CD">
      <w:pPr>
        <w:pStyle w:val="3"/>
        <w:spacing w:before="98" w:line="219" w:lineRule="auto"/>
        <w:jc w:val="center"/>
        <w:rPr>
          <w:rFonts w:hint="eastAsia" w:asciiTheme="minorEastAsia" w:hAnsiTheme="minorEastAsia" w:eastAsiaTheme="minorEastAsia"/>
          <w:b/>
          <w:color w:val="auto"/>
          <w:sz w:val="24"/>
          <w:highlight w:val="none"/>
          <w:lang w:val="en-US" w:eastAsia="zh-CN"/>
        </w:rPr>
      </w:pPr>
    </w:p>
    <w:p w14:paraId="79B6DD5F">
      <w:pPr>
        <w:pStyle w:val="3"/>
        <w:spacing w:before="98" w:line="219" w:lineRule="auto"/>
        <w:jc w:val="center"/>
        <w:rPr>
          <w:rFonts w:hint="eastAsia" w:asciiTheme="minorEastAsia" w:hAnsiTheme="minorEastAsia" w:eastAsiaTheme="minorEastAsia"/>
          <w:b/>
          <w:color w:val="auto"/>
          <w:sz w:val="24"/>
          <w:highlight w:val="none"/>
          <w:lang w:val="en-US" w:eastAsia="zh-CN"/>
        </w:rPr>
      </w:pPr>
    </w:p>
    <w:p w14:paraId="368EB6C7">
      <w:pPr>
        <w:pStyle w:val="3"/>
        <w:spacing w:before="98" w:line="219" w:lineRule="auto"/>
        <w:jc w:val="center"/>
        <w:rPr>
          <w:rFonts w:hint="eastAsia" w:asciiTheme="minorEastAsia" w:hAnsiTheme="minorEastAsia" w:eastAsiaTheme="minorEastAsia"/>
          <w:b/>
          <w:color w:val="auto"/>
          <w:sz w:val="24"/>
          <w:highlight w:val="none"/>
          <w:lang w:val="en-US" w:eastAsia="zh-CN"/>
        </w:rPr>
      </w:pPr>
    </w:p>
    <w:p w14:paraId="55140962">
      <w:pPr>
        <w:pStyle w:val="3"/>
        <w:spacing w:before="98" w:line="219" w:lineRule="auto"/>
        <w:jc w:val="center"/>
        <w:rPr>
          <w:rFonts w:hint="eastAsia" w:asciiTheme="minorEastAsia" w:hAnsiTheme="minorEastAsia" w:eastAsiaTheme="minorEastAsia"/>
          <w:b/>
          <w:color w:val="auto"/>
          <w:sz w:val="24"/>
          <w:highlight w:val="none"/>
          <w:lang w:val="en-US" w:eastAsia="zh-CN"/>
        </w:rPr>
      </w:pPr>
    </w:p>
    <w:p w14:paraId="52AB7026">
      <w:pPr>
        <w:pStyle w:val="3"/>
        <w:spacing w:before="98" w:line="219" w:lineRule="auto"/>
        <w:jc w:val="center"/>
        <w:rPr>
          <w:rFonts w:hint="eastAsia" w:asciiTheme="minorEastAsia" w:hAnsiTheme="minorEastAsia" w:eastAsiaTheme="minorEastAsia"/>
          <w:b/>
          <w:color w:val="auto"/>
          <w:sz w:val="24"/>
          <w:highlight w:val="none"/>
          <w:lang w:val="en-US" w:eastAsia="zh-CN"/>
        </w:rPr>
      </w:pPr>
    </w:p>
    <w:p w14:paraId="4AFFEE84">
      <w:pPr>
        <w:pStyle w:val="3"/>
        <w:spacing w:before="98" w:line="219" w:lineRule="auto"/>
        <w:jc w:val="center"/>
        <w:rPr>
          <w:rFonts w:hint="eastAsia" w:asciiTheme="minorEastAsia" w:hAnsiTheme="minorEastAsia" w:eastAsiaTheme="minorEastAsia"/>
          <w:b/>
          <w:color w:val="auto"/>
          <w:sz w:val="24"/>
          <w:highlight w:val="none"/>
          <w:lang w:val="en-US" w:eastAsia="zh-CN"/>
        </w:rPr>
      </w:pPr>
    </w:p>
    <w:p w14:paraId="351C6F46">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其他相关证明材料</w:t>
      </w:r>
    </w:p>
    <w:p w14:paraId="093B292A">
      <w:pPr>
        <w:tabs>
          <w:tab w:val="left" w:pos="4620"/>
        </w:tabs>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提供符合谈判邀请、采购需求及评审方法和标准规定的相关证明文件。</w:t>
      </w:r>
    </w:p>
    <w:p w14:paraId="72323735">
      <w:pPr>
        <w:spacing w:line="360" w:lineRule="auto"/>
        <w:ind w:firstLine="435"/>
        <w:rPr>
          <w:rFonts w:asciiTheme="minorEastAsia" w:hAnsiTheme="minorEastAsia" w:eastAsiaTheme="minorEastAsia"/>
          <w:color w:val="auto"/>
          <w:sz w:val="24"/>
          <w:highlight w:val="none"/>
        </w:rPr>
      </w:pPr>
    </w:p>
    <w:p w14:paraId="4E2DE6F3">
      <w:pPr>
        <w:spacing w:line="360" w:lineRule="auto"/>
        <w:ind w:firstLine="480" w:firstLineChars="200"/>
        <w:rPr>
          <w:rFonts w:asciiTheme="minorEastAsia" w:hAnsiTheme="minorEastAsia" w:eastAsiaTheme="minorEastAsia"/>
          <w:color w:val="auto"/>
          <w:sz w:val="24"/>
          <w:highlight w:val="none"/>
        </w:rPr>
      </w:pPr>
    </w:p>
    <w:p w14:paraId="2160CC5A">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003113E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供应商在响应文件制作时可在此栏内上传谈判</w:t>
      </w:r>
      <w:r>
        <w:rPr>
          <w:rFonts w:asciiTheme="minorEastAsia" w:hAnsiTheme="minorEastAsia" w:eastAsiaTheme="minorEastAsia"/>
          <w:color w:val="auto"/>
          <w:sz w:val="24"/>
          <w:highlight w:val="none"/>
        </w:rPr>
        <w:t>文件要求上传的证明资料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5930CB5A">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4E5BBEE6">
      <w:pPr>
        <w:spacing w:line="360" w:lineRule="auto"/>
        <w:jc w:val="center"/>
        <w:outlineLvl w:val="0"/>
        <w:rPr>
          <w:rFonts w:ascii="宋体" w:hAnsi="宋体" w:eastAsia="宋体"/>
          <w:b/>
          <w:bCs/>
          <w:color w:val="auto"/>
          <w:sz w:val="28"/>
          <w:highlight w:val="none"/>
        </w:rPr>
      </w:pPr>
      <w:bookmarkStart w:id="204" w:name="_Toc60608832"/>
      <w:bookmarkStart w:id="205" w:name="_Toc32294"/>
      <w:bookmarkStart w:id="206" w:name="_Toc19945"/>
      <w:r>
        <w:rPr>
          <w:rFonts w:hint="eastAsia" w:ascii="宋体" w:hAnsi="宋体" w:eastAsia="宋体"/>
          <w:b/>
          <w:bCs/>
          <w:color w:val="auto"/>
          <w:sz w:val="28"/>
          <w:highlight w:val="none"/>
        </w:rPr>
        <w:t>第</w:t>
      </w:r>
      <w:r>
        <w:rPr>
          <w:rFonts w:hint="eastAsia" w:ascii="宋体" w:hAnsi="宋体" w:eastAsia="宋体"/>
          <w:b/>
          <w:bCs/>
          <w:color w:val="auto"/>
          <w:sz w:val="28"/>
          <w:highlight w:val="none"/>
          <w:lang w:val="en-US" w:eastAsia="zh-CN"/>
        </w:rPr>
        <w:t>七</w:t>
      </w:r>
      <w:r>
        <w:rPr>
          <w:rFonts w:hint="eastAsia" w:ascii="宋体" w:hAnsi="宋体" w:eastAsia="宋体"/>
          <w:b/>
          <w:bCs/>
          <w:color w:val="auto"/>
          <w:sz w:val="28"/>
          <w:highlight w:val="none"/>
        </w:rPr>
        <w:t xml:space="preserve">章 </w:t>
      </w:r>
      <w:r>
        <w:rPr>
          <w:rFonts w:hint="eastAsia"/>
          <w:b/>
          <w:bCs/>
          <w:color w:val="auto"/>
          <w:sz w:val="28"/>
          <w:highlight w:val="none"/>
        </w:rPr>
        <w:t xml:space="preserve"> </w:t>
      </w:r>
      <w:bookmarkEnd w:id="204"/>
      <w:r>
        <w:rPr>
          <w:rFonts w:hint="eastAsia" w:ascii="宋体" w:hAnsi="宋体" w:eastAsia="宋体"/>
          <w:b/>
          <w:bCs/>
          <w:color w:val="auto"/>
          <w:sz w:val="28"/>
          <w:highlight w:val="none"/>
        </w:rPr>
        <w:t>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205"/>
      <w:bookmarkEnd w:id="206"/>
    </w:p>
    <w:p w14:paraId="72B27C0E">
      <w:pPr>
        <w:spacing w:line="360" w:lineRule="auto"/>
        <w:jc w:val="center"/>
        <w:outlineLvl w:val="1"/>
        <w:rPr>
          <w:rFonts w:ascii="仿宋" w:hAnsi="仿宋" w:eastAsia="仿宋" w:cs="仿宋"/>
          <w:b/>
          <w:bCs/>
          <w:color w:val="auto"/>
          <w:sz w:val="32"/>
          <w:szCs w:val="44"/>
          <w:highlight w:val="none"/>
        </w:rPr>
      </w:pPr>
      <w:bookmarkStart w:id="207" w:name="_Toc15965"/>
      <w:bookmarkStart w:id="208" w:name="_Toc29598"/>
      <w:r>
        <w:rPr>
          <w:rFonts w:hint="eastAsia" w:ascii="仿宋" w:hAnsi="仿宋" w:eastAsia="仿宋" w:cs="仿宋"/>
          <w:b/>
          <w:bCs/>
          <w:color w:val="auto"/>
          <w:sz w:val="32"/>
          <w:szCs w:val="44"/>
          <w:highlight w:val="none"/>
        </w:rPr>
        <w:t>询问函范本</w:t>
      </w:r>
      <w:bookmarkEnd w:id="207"/>
      <w:bookmarkEnd w:id="208"/>
    </w:p>
    <w:p w14:paraId="2725A589">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4ED4AFAF">
      <w:pPr>
        <w:adjustRightInd w:val="0"/>
        <w:snapToGrid w:val="0"/>
        <w:spacing w:line="360" w:lineRule="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eastAsia="zh-CN"/>
        </w:rPr>
        <w:t>采购人</w:t>
      </w:r>
    </w:p>
    <w:p w14:paraId="099EE45C">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i/>
          <w:iCs/>
          <w:color w:val="auto"/>
          <w:sz w:val="24"/>
          <w:szCs w:val="24"/>
          <w:highlight w:val="none"/>
        </w:rPr>
        <w:t>(</w:t>
      </w:r>
      <w:r>
        <w:rPr>
          <w:rFonts w:hint="eastAsia" w:cs="仿宋" w:asciiTheme="minorEastAsia" w:hAnsiTheme="minorEastAsia" w:eastAsiaTheme="minorEastAsia"/>
          <w:i/>
          <w:iCs/>
          <w:color w:val="auto"/>
          <w:sz w:val="24"/>
          <w:szCs w:val="24"/>
          <w:highlight w:val="none"/>
          <w:u w:val="none"/>
        </w:rPr>
        <w:t>项目</w:t>
      </w:r>
      <w:r>
        <w:rPr>
          <w:rFonts w:hint="eastAsia" w:cs="仿宋" w:asciiTheme="minorEastAsia" w:hAnsiTheme="minorEastAsia" w:eastAsiaTheme="minorEastAsia"/>
          <w:i/>
          <w:iCs/>
          <w:color w:val="auto"/>
          <w:sz w:val="24"/>
          <w:szCs w:val="24"/>
          <w:highlight w:val="none"/>
          <w:u w:val="none"/>
          <w:lang w:val="en-US" w:eastAsia="zh-CN"/>
        </w:rPr>
        <w:t>名称、</w:t>
      </w:r>
      <w:r>
        <w:rPr>
          <w:rFonts w:hint="eastAsia" w:cs="仿宋" w:asciiTheme="minorEastAsia" w:hAnsiTheme="minorEastAsia" w:eastAsiaTheme="minorEastAsia"/>
          <w:i/>
          <w:iCs/>
          <w:color w:val="auto"/>
          <w:sz w:val="24"/>
          <w:szCs w:val="24"/>
          <w:highlight w:val="none"/>
          <w:u w:val="none"/>
        </w:rPr>
        <w:t>编号</w:t>
      </w:r>
      <w:r>
        <w:rPr>
          <w:rFonts w:hint="eastAsia" w:cs="仿宋" w:asciiTheme="minorEastAsia" w:hAnsiTheme="minorEastAsia" w:eastAsiaTheme="minorEastAsia"/>
          <w:i/>
          <w:iCs/>
          <w:color w:val="auto"/>
          <w:sz w:val="24"/>
          <w:szCs w:val="24"/>
          <w:highlight w:val="none"/>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52CA3CA9">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209" w:name="_Toc11903"/>
      <w:bookmarkStart w:id="210" w:name="_Toc29988"/>
      <w:r>
        <w:rPr>
          <w:rFonts w:hint="eastAsia" w:cs="仿宋" w:asciiTheme="minorEastAsia" w:hAnsiTheme="minorEastAsia" w:eastAsiaTheme="minorEastAsia"/>
          <w:color w:val="auto"/>
          <w:sz w:val="24"/>
          <w:szCs w:val="24"/>
          <w:highlight w:val="none"/>
        </w:rPr>
        <w:t>一、(事项一)</w:t>
      </w:r>
      <w:bookmarkEnd w:id="209"/>
      <w:bookmarkEnd w:id="210"/>
    </w:p>
    <w:p w14:paraId="37D12803">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63E67C0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0F556A73">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5ADB2B2E">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211" w:name="_Toc2942"/>
      <w:bookmarkStart w:id="212" w:name="_Toc31894"/>
      <w:r>
        <w:rPr>
          <w:rFonts w:hint="eastAsia" w:cs="仿宋" w:asciiTheme="minorEastAsia" w:hAnsiTheme="minorEastAsia" w:eastAsiaTheme="minorEastAsia"/>
          <w:color w:val="auto"/>
          <w:sz w:val="24"/>
          <w:szCs w:val="24"/>
          <w:highlight w:val="none"/>
        </w:rPr>
        <w:t>二、(事项二)</w:t>
      </w:r>
      <w:bookmarkEnd w:id="211"/>
      <w:bookmarkEnd w:id="212"/>
    </w:p>
    <w:p w14:paraId="5A21D358">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6A3C2DB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0F618788">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2C906D8B">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2651CA5C">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72D0F2DA">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109D0EDD">
      <w:pPr>
        <w:jc w:val="center"/>
        <w:outlineLvl w:val="1"/>
        <w:rPr>
          <w:rFonts w:ascii="仿宋" w:hAnsi="仿宋" w:eastAsia="仿宋" w:cs="仿宋"/>
          <w:b/>
          <w:bCs/>
          <w:color w:val="auto"/>
          <w:sz w:val="32"/>
          <w:szCs w:val="44"/>
          <w:highlight w:val="none"/>
        </w:rPr>
      </w:pPr>
      <w:bookmarkStart w:id="213" w:name="_Toc22109"/>
      <w:bookmarkStart w:id="214" w:name="_Toc26062"/>
      <w:r>
        <w:rPr>
          <w:rFonts w:hint="eastAsia" w:ascii="仿宋" w:hAnsi="仿宋" w:eastAsia="仿宋" w:cs="仿宋"/>
          <w:b/>
          <w:bCs/>
          <w:color w:val="auto"/>
          <w:sz w:val="32"/>
          <w:szCs w:val="44"/>
          <w:highlight w:val="none"/>
        </w:rPr>
        <w:t>质疑函范本</w:t>
      </w:r>
      <w:bookmarkEnd w:id="213"/>
      <w:bookmarkEnd w:id="214"/>
    </w:p>
    <w:p w14:paraId="081F6830">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215" w:name="_Toc29798"/>
      <w:bookmarkStart w:id="216" w:name="_Toc24159"/>
      <w:r>
        <w:rPr>
          <w:rFonts w:hint="eastAsia" w:cs="仿宋" w:asciiTheme="minorEastAsia" w:hAnsiTheme="minorEastAsia" w:eastAsiaTheme="minorEastAsia"/>
          <w:b/>
          <w:bCs/>
          <w:color w:val="auto"/>
          <w:sz w:val="24"/>
          <w:szCs w:val="24"/>
          <w:highlight w:val="none"/>
        </w:rPr>
        <w:t>一、质疑供应商基本信息</w:t>
      </w:r>
      <w:bookmarkEnd w:id="215"/>
      <w:bookmarkEnd w:id="216"/>
    </w:p>
    <w:p w14:paraId="30B1DFC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1867F19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2F665AE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6A53B5CC">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0C7C37A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064E53D5">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2B96DC7A">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17" w:name="_Toc23479"/>
      <w:bookmarkStart w:id="218" w:name="_Toc5445"/>
      <w:r>
        <w:rPr>
          <w:rFonts w:hint="eastAsia" w:cs="仿宋" w:asciiTheme="minorEastAsia" w:hAnsiTheme="minorEastAsia" w:eastAsiaTheme="minorEastAsia"/>
          <w:b/>
          <w:bCs/>
          <w:color w:val="auto"/>
          <w:sz w:val="24"/>
          <w:szCs w:val="24"/>
          <w:highlight w:val="none"/>
        </w:rPr>
        <w:t>二、质疑项目基本情况</w:t>
      </w:r>
      <w:bookmarkEnd w:id="217"/>
      <w:bookmarkEnd w:id="218"/>
    </w:p>
    <w:p w14:paraId="1C694DE8">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46A353E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0945C5C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03C86BF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49C32F30">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19" w:name="_Toc26982"/>
      <w:bookmarkStart w:id="220" w:name="_Toc5891"/>
      <w:r>
        <w:rPr>
          <w:rFonts w:hint="eastAsia" w:cs="仿宋" w:asciiTheme="minorEastAsia" w:hAnsiTheme="minorEastAsia" w:eastAsiaTheme="minorEastAsia"/>
          <w:b/>
          <w:bCs/>
          <w:color w:val="auto"/>
          <w:sz w:val="24"/>
          <w:szCs w:val="24"/>
          <w:highlight w:val="none"/>
        </w:rPr>
        <w:t>三、质疑事项具体内容</w:t>
      </w:r>
      <w:bookmarkEnd w:id="219"/>
      <w:bookmarkEnd w:id="220"/>
    </w:p>
    <w:p w14:paraId="712B19F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6203171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4A0FEA3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2C2A87B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1ED2C2F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0CB62D0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128CF8A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317EEAEC">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21" w:name="_Toc16039"/>
      <w:bookmarkStart w:id="222" w:name="_Toc9453"/>
      <w:r>
        <w:rPr>
          <w:rFonts w:hint="eastAsia" w:cs="仿宋" w:asciiTheme="minorEastAsia" w:hAnsiTheme="minorEastAsia" w:eastAsiaTheme="minorEastAsia"/>
          <w:b/>
          <w:bCs/>
          <w:color w:val="auto"/>
          <w:sz w:val="24"/>
          <w:szCs w:val="24"/>
          <w:highlight w:val="none"/>
        </w:rPr>
        <w:t>四、与质疑事项相关的质疑请求</w:t>
      </w:r>
      <w:bookmarkEnd w:id="221"/>
      <w:bookmarkEnd w:id="222"/>
    </w:p>
    <w:p w14:paraId="070FCD6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31BAFE4B">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36CEC2DC">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66510054">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7F2D028F">
      <w:pPr>
        <w:outlineLvl w:val="0"/>
        <w:rPr>
          <w:rFonts w:asciiTheme="minorEastAsia" w:hAnsiTheme="minorEastAsia" w:eastAsiaTheme="minorEastAsia"/>
          <w:b/>
          <w:color w:val="auto"/>
          <w:sz w:val="28"/>
          <w:szCs w:val="32"/>
          <w:highlight w:val="none"/>
        </w:rPr>
      </w:pPr>
      <w:bookmarkStart w:id="223" w:name="_Toc28276"/>
      <w:bookmarkStart w:id="224" w:name="_Toc10345"/>
      <w:r>
        <w:rPr>
          <w:rFonts w:hint="eastAsia" w:asciiTheme="minorEastAsia" w:hAnsiTheme="minorEastAsia" w:eastAsiaTheme="minorEastAsia"/>
          <w:b/>
          <w:color w:val="auto"/>
          <w:sz w:val="28"/>
          <w:szCs w:val="32"/>
          <w:highlight w:val="none"/>
        </w:rPr>
        <w:t>质疑函制作说明：</w:t>
      </w:r>
      <w:bookmarkEnd w:id="223"/>
      <w:bookmarkEnd w:id="224"/>
    </w:p>
    <w:p w14:paraId="2861508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70934DF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AEA7A8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1CFA951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7B25D2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43EBE60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3778B5D">
      <w:pPr>
        <w:spacing w:line="360" w:lineRule="auto"/>
        <w:ind w:firstLine="435"/>
        <w:rPr>
          <w:rFonts w:hint="eastAsia" w:asciiTheme="minorEastAsia" w:hAnsiTheme="minorEastAsia" w:eastAsiaTheme="minorEastAsia"/>
          <w:color w:val="auto"/>
          <w:sz w:val="24"/>
          <w:highlight w:val="none"/>
        </w:rPr>
      </w:pPr>
    </w:p>
    <w:p w14:paraId="33F50078">
      <w:pPr>
        <w:spacing w:line="360" w:lineRule="auto"/>
        <w:ind w:firstLine="435"/>
        <w:rPr>
          <w:rFonts w:hint="eastAsia" w:asciiTheme="minorEastAsia" w:hAnsiTheme="minorEastAsia" w:eastAsiaTheme="minorEastAsia"/>
          <w:color w:val="auto"/>
          <w:sz w:val="24"/>
          <w:highlight w:val="none"/>
        </w:rPr>
      </w:pPr>
    </w:p>
    <w:p w14:paraId="5EFA33DA">
      <w:pPr>
        <w:spacing w:line="360" w:lineRule="auto"/>
        <w:ind w:firstLine="435"/>
        <w:rPr>
          <w:rFonts w:hint="eastAsia" w:asciiTheme="minorEastAsia" w:hAnsiTheme="minorEastAsia" w:eastAsiaTheme="minorEastAsia"/>
          <w:color w:val="auto"/>
          <w:sz w:val="24"/>
          <w:highlight w:val="none"/>
        </w:rPr>
      </w:pPr>
    </w:p>
    <w:p w14:paraId="22B4D7A7">
      <w:pPr>
        <w:spacing w:line="360" w:lineRule="auto"/>
        <w:ind w:firstLine="435"/>
        <w:rPr>
          <w:rFonts w:hint="eastAsia" w:asciiTheme="minorEastAsia" w:hAnsiTheme="minorEastAsia" w:eastAsiaTheme="minorEastAsia"/>
          <w:color w:val="auto"/>
          <w:sz w:val="24"/>
          <w:highlight w:val="none"/>
        </w:rPr>
      </w:pPr>
    </w:p>
    <w:p w14:paraId="0351A268">
      <w:pPr>
        <w:spacing w:line="360" w:lineRule="auto"/>
        <w:ind w:firstLine="435"/>
        <w:rPr>
          <w:rFonts w:hint="eastAsia" w:asciiTheme="minorEastAsia" w:hAnsiTheme="minorEastAsia" w:eastAsiaTheme="minorEastAsia"/>
          <w:color w:val="auto"/>
          <w:sz w:val="24"/>
          <w:highlight w:val="none"/>
        </w:rPr>
      </w:pPr>
    </w:p>
    <w:p w14:paraId="6423EE7B">
      <w:pPr>
        <w:spacing w:line="360" w:lineRule="auto"/>
        <w:ind w:firstLine="435"/>
        <w:rPr>
          <w:rFonts w:hint="eastAsia" w:asciiTheme="minorEastAsia" w:hAnsiTheme="minorEastAsia" w:eastAsiaTheme="minorEastAsia"/>
          <w:color w:val="auto"/>
          <w:sz w:val="24"/>
          <w:highlight w:val="none"/>
        </w:rPr>
      </w:pPr>
    </w:p>
    <w:p w14:paraId="79997D72">
      <w:pPr>
        <w:spacing w:line="360" w:lineRule="auto"/>
        <w:ind w:firstLine="435"/>
        <w:rPr>
          <w:rFonts w:hint="eastAsia" w:asciiTheme="minorEastAsia" w:hAnsiTheme="minorEastAsia" w:eastAsiaTheme="minorEastAsia"/>
          <w:color w:val="auto"/>
          <w:sz w:val="24"/>
          <w:highlight w:val="none"/>
        </w:rPr>
      </w:pPr>
    </w:p>
    <w:p w14:paraId="5FC0837E">
      <w:pPr>
        <w:spacing w:line="360" w:lineRule="auto"/>
        <w:ind w:firstLine="435"/>
        <w:rPr>
          <w:rFonts w:hint="eastAsia" w:asciiTheme="minorEastAsia" w:hAnsiTheme="minorEastAsia" w:eastAsiaTheme="minorEastAsia"/>
          <w:color w:val="auto"/>
          <w:sz w:val="24"/>
          <w:highlight w:val="none"/>
        </w:rPr>
      </w:pPr>
    </w:p>
    <w:p w14:paraId="52AA8BFB">
      <w:pPr>
        <w:spacing w:line="360" w:lineRule="auto"/>
        <w:ind w:firstLine="435"/>
        <w:rPr>
          <w:rFonts w:hint="eastAsia" w:asciiTheme="minorEastAsia" w:hAnsiTheme="minorEastAsia" w:eastAsiaTheme="minorEastAsia"/>
          <w:color w:val="auto"/>
          <w:sz w:val="24"/>
          <w:highlight w:val="none"/>
        </w:rPr>
      </w:pPr>
    </w:p>
    <w:p w14:paraId="2AF923CC">
      <w:pPr>
        <w:spacing w:line="360" w:lineRule="auto"/>
        <w:ind w:firstLine="435"/>
        <w:rPr>
          <w:rFonts w:hint="eastAsia" w:asciiTheme="minorEastAsia" w:hAnsiTheme="minorEastAsia" w:eastAsiaTheme="minorEastAsia"/>
          <w:color w:val="auto"/>
          <w:sz w:val="24"/>
          <w:highlight w:val="none"/>
        </w:rPr>
      </w:pPr>
    </w:p>
    <w:p w14:paraId="424CF0C1">
      <w:pPr>
        <w:spacing w:line="360" w:lineRule="auto"/>
        <w:ind w:firstLine="435"/>
        <w:rPr>
          <w:rFonts w:hint="eastAsia" w:asciiTheme="minorEastAsia" w:hAnsiTheme="minorEastAsia" w:eastAsiaTheme="minorEastAsia"/>
          <w:color w:val="auto"/>
          <w:sz w:val="24"/>
          <w:highlight w:val="none"/>
        </w:rPr>
      </w:pPr>
    </w:p>
    <w:p w14:paraId="5E533DAF">
      <w:pPr>
        <w:spacing w:line="360" w:lineRule="auto"/>
        <w:ind w:firstLine="435"/>
        <w:rPr>
          <w:rFonts w:hint="eastAsia" w:asciiTheme="minorEastAsia" w:hAnsiTheme="minorEastAsia" w:eastAsiaTheme="minorEastAsia"/>
          <w:color w:val="auto"/>
          <w:sz w:val="24"/>
          <w:highlight w:val="none"/>
        </w:rPr>
      </w:pPr>
    </w:p>
    <w:p w14:paraId="57B5618A">
      <w:pPr>
        <w:spacing w:line="360" w:lineRule="auto"/>
        <w:ind w:firstLine="435"/>
        <w:rPr>
          <w:rFonts w:hint="eastAsia" w:asciiTheme="minorEastAsia" w:hAnsiTheme="minorEastAsia" w:eastAsiaTheme="minorEastAsia"/>
          <w:color w:val="auto"/>
          <w:sz w:val="24"/>
          <w:highlight w:val="none"/>
        </w:rPr>
      </w:pPr>
    </w:p>
    <w:p w14:paraId="71D0D1B1">
      <w:pPr>
        <w:spacing w:line="360" w:lineRule="auto"/>
        <w:ind w:firstLine="435"/>
        <w:rPr>
          <w:rFonts w:hint="eastAsia" w:asciiTheme="minorEastAsia" w:hAnsiTheme="minorEastAsia" w:eastAsiaTheme="minorEastAsia"/>
          <w:color w:val="auto"/>
          <w:sz w:val="24"/>
          <w:highlight w:val="none"/>
        </w:rPr>
      </w:pPr>
    </w:p>
    <w:p w14:paraId="079BB64B">
      <w:pPr>
        <w:spacing w:line="360" w:lineRule="auto"/>
        <w:ind w:firstLine="435"/>
        <w:rPr>
          <w:rFonts w:hint="eastAsia" w:asciiTheme="minorEastAsia" w:hAnsiTheme="minorEastAsia" w:eastAsiaTheme="minorEastAsia"/>
          <w:color w:val="auto"/>
          <w:sz w:val="24"/>
          <w:highlight w:val="none"/>
        </w:rPr>
      </w:pPr>
    </w:p>
    <w:p w14:paraId="472D3083">
      <w:pPr>
        <w:spacing w:line="360" w:lineRule="auto"/>
        <w:ind w:firstLine="435"/>
        <w:rPr>
          <w:rFonts w:hint="eastAsia" w:asciiTheme="minorEastAsia" w:hAnsiTheme="minorEastAsia" w:eastAsiaTheme="minorEastAsia"/>
          <w:color w:val="auto"/>
          <w:sz w:val="24"/>
          <w:highlight w:val="none"/>
        </w:rPr>
      </w:pPr>
    </w:p>
    <w:p w14:paraId="23A39128">
      <w:pPr>
        <w:spacing w:line="360" w:lineRule="auto"/>
        <w:ind w:firstLine="435"/>
        <w:rPr>
          <w:rFonts w:hint="eastAsia" w:asciiTheme="minorEastAsia" w:hAnsiTheme="minorEastAsia" w:eastAsiaTheme="minorEastAsia"/>
          <w:color w:val="auto"/>
          <w:sz w:val="24"/>
          <w:highlight w:val="none"/>
        </w:rPr>
      </w:pPr>
    </w:p>
    <w:p w14:paraId="3A303209">
      <w:pPr>
        <w:spacing w:line="360" w:lineRule="auto"/>
        <w:ind w:firstLine="435"/>
        <w:rPr>
          <w:rFonts w:hint="eastAsia" w:asciiTheme="minorEastAsia" w:hAnsiTheme="minorEastAsia" w:eastAsiaTheme="minorEastAsia"/>
          <w:color w:val="auto"/>
          <w:sz w:val="24"/>
          <w:highlight w:val="none"/>
        </w:rPr>
      </w:pPr>
    </w:p>
    <w:p w14:paraId="605EE50E">
      <w:pPr>
        <w:spacing w:line="360" w:lineRule="auto"/>
        <w:ind w:firstLine="435"/>
        <w:rPr>
          <w:rFonts w:hint="eastAsia" w:asciiTheme="minorEastAsia" w:hAnsiTheme="minorEastAsia" w:eastAsiaTheme="minorEastAsia"/>
          <w:color w:val="auto"/>
          <w:sz w:val="24"/>
          <w:highlight w:val="none"/>
        </w:rPr>
      </w:pPr>
    </w:p>
    <w:p w14:paraId="47EAAAFC">
      <w:pP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附件</w:t>
      </w:r>
      <w:r>
        <w:rPr>
          <w:rFonts w:ascii="Times New Roman" w:hAnsi="Times New Roman" w:eastAsia="宋体" w:cs="Times New Roman"/>
          <w:b/>
          <w:color w:val="auto"/>
          <w:sz w:val="28"/>
          <w:szCs w:val="28"/>
          <w:highlight w:val="none"/>
        </w:rPr>
        <w:t>1</w:t>
      </w:r>
    </w:p>
    <w:p w14:paraId="0D61CCA0">
      <w:pPr>
        <w:spacing w:line="440" w:lineRule="exact"/>
        <w:jc w:val="center"/>
        <w:rPr>
          <w:rFonts w:hint="eastAsia" w:ascii="黑体" w:hAnsi="宋体" w:eastAsia="黑体" w:cs="黑体"/>
          <w:b/>
          <w:color w:val="auto"/>
          <w:sz w:val="30"/>
          <w:szCs w:val="30"/>
          <w:highlight w:val="none"/>
        </w:rPr>
      </w:pPr>
      <w:r>
        <w:rPr>
          <w:rFonts w:hint="eastAsia" w:ascii="黑体" w:hAnsi="宋体" w:eastAsia="黑体" w:cs="黑体"/>
          <w:b/>
          <w:color w:val="auto"/>
          <w:sz w:val="30"/>
          <w:szCs w:val="30"/>
          <w:highlight w:val="none"/>
        </w:rPr>
        <w:t>关于联合惩戒失信行为 加强信用查询管理的通知</w:t>
      </w:r>
    </w:p>
    <w:p w14:paraId="4B3461F0">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一、失信行为联合惩戒的范围和查询渠道</w:t>
      </w:r>
    </w:p>
    <w:p w14:paraId="73C92223">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在我市公共资源交易活动中对存在下列失信行为的投标人、法定代表人及其项目经理（建造师）实施联合惩戒，禁止参与我市公共资源交易活动。</w:t>
      </w:r>
    </w:p>
    <w:p w14:paraId="29F4635D">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（一）工程建设项目</w:t>
      </w:r>
    </w:p>
    <w:p w14:paraId="74984E65">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1、“信用中国”网站（www.creditchina.gov.cn）查询以下失信行为：</w:t>
      </w:r>
    </w:p>
    <w:p w14:paraId="6E75D942">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①投标人被人民法院列入失信被执行人的；</w:t>
      </w:r>
    </w:p>
    <w:p w14:paraId="204641F1">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②投标人被税务部门列入重大税收违法案件当事人的；</w:t>
      </w:r>
    </w:p>
    <w:p w14:paraId="482219D8">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③投标人被人力资源社会保障主管部门列入拖欠农民工工资“黑名单”的；</w:t>
      </w:r>
    </w:p>
    <w:p w14:paraId="13469E54">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④在“信用中国”网站上披露的仍在公示期的严重失信行为的。</w:t>
      </w:r>
    </w:p>
    <w:p w14:paraId="5EA8EB0E">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2、国家企业信用信息公示系统网站（www.gsxt.gov.cn）查询以下失信行为：</w:t>
      </w:r>
    </w:p>
    <w:p w14:paraId="24E5D1E8">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①被市场监督管理部门列入经营异常名录或者严重违法企业名单的。</w:t>
      </w:r>
    </w:p>
    <w:p w14:paraId="004A58D9">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3、滁州市公共资源交易中心网站（http://ggzy.chuzhou.gov.cn/）查询以下失信行为：</w:t>
      </w:r>
    </w:p>
    <w:p w14:paraId="2DF01304">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①被滁州市县两级公管部门取消在一定期限内的投标资格且在取消期限内的；</w:t>
      </w:r>
    </w:p>
    <w:p w14:paraId="5DCC7B46">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②被滁州市县两级公管部门记入不良行为记录或者信用信息记录，且在披露期内的。</w:t>
      </w:r>
    </w:p>
    <w:p w14:paraId="6EB05E61">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4、由竞争主体进行承诺，不进行现场网上信用查询的失信行为：</w:t>
      </w:r>
    </w:p>
    <w:p w14:paraId="08873567">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①前三年有行贿犯罪行为的单位和个人；</w:t>
      </w:r>
    </w:p>
    <w:p w14:paraId="44653D16">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②被滁州市县两级各行业主管部门取消在一定期限内的投标资格且在取消期限内的；</w:t>
      </w:r>
    </w:p>
    <w:p w14:paraId="4BE54CCC">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③因拖欠农民工工资被县级及以上有关行政主管部门限制投标资格且在限制期限内的；</w:t>
      </w:r>
    </w:p>
    <w:p w14:paraId="5B5CAA44">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④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381541E8">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（二）政府采购项目</w:t>
      </w:r>
    </w:p>
    <w:p w14:paraId="01D0E2F1">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1、“信用中国”网站（www.creditchina.gov.cn）查询以下失信行为：</w:t>
      </w:r>
    </w:p>
    <w:p w14:paraId="14419B2D">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①投标人被人民法院列入失信被执行人的；</w:t>
      </w:r>
    </w:p>
    <w:p w14:paraId="496B2D64">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②投标人被税务部门列入重大税收违法案件当事人的；</w:t>
      </w:r>
    </w:p>
    <w:p w14:paraId="73C7E5EB">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③在“信用中国”网站上披露的仍在公示期的严重失信行为的。</w:t>
      </w:r>
    </w:p>
    <w:p w14:paraId="305B4090">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2、国家企业信用信息公示系统网站（www.gsxt.gov.cn）查询以下失信行为：</w:t>
      </w:r>
    </w:p>
    <w:p w14:paraId="4464573D">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①被市场监督管理部门列入经营异常名录或者严重违法企业名单的。</w:t>
      </w:r>
    </w:p>
    <w:p w14:paraId="0826EE6F">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3、中国政府采购网站（www.ccgp.gov.cn）查询以下失信行为：</w:t>
      </w:r>
    </w:p>
    <w:p w14:paraId="1D77F4FD">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①政府采购严重违法失信行为</w:t>
      </w:r>
    </w:p>
    <w:p w14:paraId="078B5646">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4、由竞争主体进行承诺，不进行现场网上信用查询的失信行为：</w:t>
      </w:r>
    </w:p>
    <w:p w14:paraId="6C7A7ED9">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①前三年有行贿犯罪行为的单位和个人。</w:t>
      </w:r>
    </w:p>
    <w:p w14:paraId="7071F229">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二、在开评标活动中的查询程序</w:t>
      </w:r>
    </w:p>
    <w:p w14:paraId="46932988">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14:paraId="426FBDB9">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值。</w:t>
      </w:r>
    </w:p>
    <w:p w14:paraId="0A14BA87">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3、项目单位及其委托的代理机构应当做好信用查询结果截图和记录留存。</w:t>
      </w:r>
    </w:p>
    <w:p w14:paraId="2B84D244">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三、相关要求</w:t>
      </w:r>
    </w:p>
    <w:p w14:paraId="50727623">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4142771B">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26B0106C">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23769CBE">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2、“信用中国”查询的严重失信行为判定依据为各行业主管部门下发的联合惩戒文件中规定的行为（按附件2执行）。</w:t>
      </w:r>
    </w:p>
    <w:p w14:paraId="2BEC6774">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3、资格预审的项目以递交资格预审申请文件截止时间查询为准；资格后审的项目以递交投标文件截止时间查询为准。</w:t>
      </w:r>
    </w:p>
    <w:p w14:paraId="7C89CA86">
      <w:pPr>
        <w:spacing w:line="440" w:lineRule="exact"/>
        <w:rPr>
          <w:rFonts w:hint="eastAsia" w:ascii="宋体" w:hAnsi="宋体" w:eastAsia="宋体" w:cs="宋体"/>
          <w:b/>
          <w:color w:val="auto"/>
          <w:sz w:val="24"/>
          <w:szCs w:val="24"/>
          <w:highlight w:val="none"/>
        </w:rPr>
      </w:pPr>
    </w:p>
    <w:p w14:paraId="260348CF">
      <w:pPr>
        <w:pStyle w:val="28"/>
        <w:widowControl/>
        <w:spacing w:beforeAutospacing="1"/>
        <w:rPr>
          <w:rFonts w:eastAsia="宋体"/>
          <w:color w:val="auto"/>
          <w:highlight w:val="none"/>
        </w:rPr>
      </w:pPr>
    </w:p>
    <w:p w14:paraId="36B08DB3">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附件</w:t>
      </w:r>
      <w:r>
        <w:rPr>
          <w:rFonts w:ascii="Times New Roman" w:hAnsi="Times New Roman" w:eastAsia="宋体" w:cs="Times New Roman"/>
          <w:b/>
          <w:color w:val="auto"/>
          <w:sz w:val="24"/>
          <w:szCs w:val="24"/>
          <w:highlight w:val="none"/>
        </w:rPr>
        <w:t>2</w:t>
      </w:r>
    </w:p>
    <w:p w14:paraId="00A3BEF6">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“信用中国”查询的严重失信行为类别及判定依据</w:t>
      </w:r>
    </w:p>
    <w:p w14:paraId="4FB3A13C">
      <w:pPr>
        <w:spacing w:line="440" w:lineRule="exact"/>
        <w:jc w:val="center"/>
        <w:rPr>
          <w:rFonts w:hint="eastAsia" w:ascii="宋体" w:hAnsi="宋体" w:eastAsia="宋体" w:cs="宋体"/>
          <w:b/>
          <w:color w:val="auto"/>
          <w:sz w:val="24"/>
          <w:szCs w:val="24"/>
          <w:highlight w:val="none"/>
        </w:rPr>
      </w:pPr>
    </w:p>
    <w:p w14:paraId="30750F58">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“信用中国”查询的严重失信行为判定依据为各行业主管部门下发的联合惩戒文件中规定的行为。下面将部分类别的严重失信行为列举如下：</w:t>
      </w:r>
    </w:p>
    <w:p w14:paraId="79CA4550">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p>
    <w:p w14:paraId="0310F331">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rPr>
        <w:t>一、安全生产领域严重失信行为：</w:t>
      </w:r>
    </w:p>
    <w:p w14:paraId="24F4CD37">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（一）发生较大及以上生产安全责任事故，或1年内累计发生3起及以上造成人员死亡的一般生产安全责任事故的；</w:t>
      </w:r>
    </w:p>
    <w:p w14:paraId="6CDCF9F0">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（二）未按规定取得安全生产许可，擅自开展生产经营建设活动的；</w:t>
      </w:r>
    </w:p>
    <w:p w14:paraId="4E9D2CA0">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（三）发现重大生产安全事故隐患，或职业病危害严重超标，不及时整改，仍组织从业人员冒险作业的；</w:t>
      </w:r>
    </w:p>
    <w:p w14:paraId="25C191CA">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（四）采取隐蔽、欺骗或阻碍等方式逃避、对抗安全监管监察的;</w:t>
      </w:r>
    </w:p>
    <w:p w14:paraId="2CB3C700">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（五）被责令停产停业整顿，仍然从事生产经营建设活动的；</w:t>
      </w:r>
    </w:p>
    <w:p w14:paraId="5D3B7676">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（六）瞒报、谎报、迟报生产安全事故的；</w:t>
      </w:r>
    </w:p>
    <w:p w14:paraId="2B6DF04D">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（七）矿山、危险化学品、金属冶炼等高危行业建设项目安全设施未经验收合格即投入生产和使用的；</w:t>
      </w:r>
    </w:p>
    <w:p w14:paraId="5F821BF6">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（八）矿山生产经营单位存在超层越界开采、以探代采行为的；</w:t>
      </w:r>
    </w:p>
    <w:p w14:paraId="26A0C93C">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（九）发生事故后，故意破坏事故现场，伪造有关证据资料，妨碍、对抗事故调查，或主要负责人逃逸的；</w:t>
      </w:r>
    </w:p>
    <w:p w14:paraId="49E70605">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（十）安全生产和职业健康技术服务机构出具虚假报告或证明，违规转让或出借资质的。</w:t>
      </w:r>
    </w:p>
    <w:p w14:paraId="6F9BBDA8">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依据：《对安全生产领域失信行为开展联合惩戒的实施办法》（安监总办〔2017〕49号）第二条</w:t>
      </w:r>
    </w:p>
    <w:p w14:paraId="4209D888">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p>
    <w:p w14:paraId="00A9B7B0">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rPr>
        <w:t>二、环境保护领域严重失信行为：</w:t>
      </w:r>
    </w:p>
    <w:p w14:paraId="300288BE">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（一）因为环境违法构成环境犯罪的；</w:t>
      </w:r>
    </w:p>
    <w:p w14:paraId="66F59254">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（二）建设项目环境影响评价文件未按规定通过审批，擅自开工建设的；</w:t>
      </w:r>
    </w:p>
    <w:p w14:paraId="40526EB0">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（三）建设项目环保设施未建成、环保措施未落实、未通过竣工环保验收或者验收不合格，主体工程正式投入生产或者使用的；</w:t>
      </w:r>
    </w:p>
    <w:p w14:paraId="7EB7EE2D">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（四）建设项目性质、规模、地点、采用的生产工艺或者防治污染、防止生态破坏的措施发生重大变动，未重新报批环境影响评价文件，擅自投入生产或者使用的；</w:t>
      </w:r>
    </w:p>
    <w:p w14:paraId="62F77F82">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（五）主要污染物排放总量超过控制指标的；</w:t>
      </w:r>
    </w:p>
    <w:p w14:paraId="76F47F22">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（六）私设暗管或者利用渗井、渗坑、裂隙、溶洞等排放、倾倒、处置水污染物，或者通过私设旁路排放大气污染物的；</w:t>
      </w:r>
    </w:p>
    <w:p w14:paraId="7BD8E8E3">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（七）非法排放、倾倒、处置危险废物，或者向无经营许可证或者超出经营许可范围的单位或个人提供或者委托其收集、贮存、利用、处置危险废物的；</w:t>
      </w:r>
    </w:p>
    <w:p w14:paraId="16CC1BF3">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（八）环境违法行为造成集中式生活饮用水水源取水中断的；</w:t>
      </w:r>
    </w:p>
    <w:p w14:paraId="0BB21215">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（九）环境违法行为对生活饮用水水源保护区、自然保护区、国家重点生态功能区、风景名胜区、居住功能区、基本农田保护区等环境敏感区造成重大不利影响的；</w:t>
      </w:r>
    </w:p>
    <w:p w14:paraId="19110E19">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（十）违法从事自然资源开发、交通基础设施建设，以及其他开发建设活动，造成严重生态破坏的；</w:t>
      </w:r>
    </w:p>
    <w:p w14:paraId="4EA60659">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（十一）发生较大及以上突发环境事件的；</w:t>
      </w:r>
    </w:p>
    <w:p w14:paraId="30AA8D6A">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（十二）被环保部门挂牌督办，整改逾期未完成的；</w:t>
      </w:r>
    </w:p>
    <w:p w14:paraId="38072598">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（十三）以暴力、威胁等方式拒绝、阻挠环保部门工作人员现场检查的；</w:t>
      </w:r>
    </w:p>
    <w:p w14:paraId="2BD2BA33">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（十四）违反重污染天气应急预案有关规定，对重污染天气响应不力的。</w:t>
      </w:r>
    </w:p>
    <w:p w14:paraId="24E6F43A">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依据：《关于对环境保护领域失信生产经营单位及其有关人员开展联合惩戒的合作备忘录》、《企业环境信用评价办法（试行）》（环发〔2013〕150号）</w:t>
      </w:r>
    </w:p>
    <w:p w14:paraId="268B3FB3">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p>
    <w:p w14:paraId="7A045FD1">
      <w:pPr>
        <w:widowControl/>
        <w:autoSpaceDE w:val="0"/>
        <w:spacing w:line="480" w:lineRule="exact"/>
        <w:ind w:firstLine="482" w:firstLineChars="200"/>
        <w:jc w:val="left"/>
        <w:textAlignment w:val="baseline"/>
        <w:rPr>
          <w:rFonts w:hint="eastAsia"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rPr>
        <w:t>三、公共资源交易领域严重失信行为</w:t>
      </w:r>
    </w:p>
    <w:p w14:paraId="0B000DE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（一）违反法律规定，必须进行招标的项目而不招标的，将必须进行招标的项目化整为零或者以其他任何方式规避招标的；</w:t>
      </w:r>
    </w:p>
    <w:p w14:paraId="6CAE9E37">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（二）招标代理机构违反法律规定，泄露应当保密的与招标投标活动有关的情况和资料的，或者与招标人、投标人串通损害国家利益、社会公共利益或者他人合法权益的；</w:t>
      </w:r>
    </w:p>
    <w:p w14:paraId="2E7CA202">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（三）招标人以不合理的条件限制或者排斥潜在投标人的，对潜在投标人实行歧视待遇的，强制要求投标人组成联合体共同投标的，或者限制投标人之间竞争的；</w:t>
      </w:r>
    </w:p>
    <w:p w14:paraId="3745F776">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（四）依法必须进行招标的项目的招标人向他人透露已获取招标文件的潜在投标人的名称、数量或者可能影响公平竞争的有关招标投标的其他情况的，或者泄露标底的；</w:t>
      </w:r>
    </w:p>
    <w:p w14:paraId="747585DD">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（五）投标人相互串通投标或者与招标人串通投标的，投标人以向招标人或者评标委员会成员行贿的手段谋取中标的；</w:t>
      </w:r>
    </w:p>
    <w:p w14:paraId="6F02E26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（六）投标人以他人名义投标或者以其他方式弄虚作假，骗取中标的；</w:t>
      </w:r>
    </w:p>
    <w:p w14:paraId="2BB6035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（七）依法必须进行招标的项目，招标人违反法律规定，与投标人就投标价格、投标方案等实质性内容进行谈判的；</w:t>
      </w:r>
    </w:p>
    <w:p w14:paraId="5AD44497">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（八）评标委员会成员收受投标人的财物或者其他好处的，评标委员会成员或者参加评标的有关工作人员向他人透露对投标文件的评审和比较、中标候选人的推荐以及与评标有关的其他情况的；</w:t>
      </w:r>
    </w:p>
    <w:p w14:paraId="6ABE39B5">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（九）招标人在评标委员会依法推荐的中标候选人以外确定中标人的，依法必须进行招标的项目在所有投标被评标委员会否决后自行确定中标人的；</w:t>
      </w:r>
    </w:p>
    <w:p w14:paraId="7DB1E88A">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（十）中标人将中标项目转让给他人的，将中标项目肢解后分别转让给他人的，违反法律规定将中标项目的部分主体、关键性工作分包给他人的，或者分包人再次分包的；</w:t>
      </w:r>
    </w:p>
    <w:p w14:paraId="7E3D987A">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（十一）招标人与中标人不按照招标文件和中标人的投标文件订立合同的，或者招标人、中标人订立背离合同实质性内容的协议的；</w:t>
      </w:r>
    </w:p>
    <w:p w14:paraId="072DC5AE">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（十二）中标人不按照与招标人订立的合同履行义务，情节严重的；</w:t>
      </w:r>
    </w:p>
    <w:p w14:paraId="534A91AC">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三）采购人、采购代理机构存在应当采用公开招标方式而擅自采用其他方式采购，擅自提高采购标准，以不合理的条件对供应商实行差别待遇或者歧视待遇，在招标采购过程中与投标人进行协商谈判，中标、成交通知书发出后不与中标、成交供应商签订采购合同，或者拒绝有关部门依法实施监督检查等情形的；</w:t>
      </w:r>
    </w:p>
    <w:p w14:paraId="108E9644">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四）采购人、采购代理机构及其工作人员存在与供应商或者采购代理机构恶意串通，在采购过程中接受贿赂或者获取其他不正当利益，在有关部门依法实施的监督检查中提供虚假情况，或者开标前泄露标底等情形的；</w:t>
      </w:r>
    </w:p>
    <w:p w14:paraId="7B0E966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（十五）采购人对应当实行集中采购的政府采购项目，不委托集中采购机构实行集中采购的；</w:t>
      </w:r>
    </w:p>
    <w:p w14:paraId="1A60FDF8">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（十六）采购人、采购代理机构违反法律规定隐匿、销毁应当保存的采购文件或者伪造、变造采购文件的；</w:t>
      </w:r>
    </w:p>
    <w:p w14:paraId="4A22B261">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七）供应商存在提供虚假材料谋取中标、成交，采取不正当手段诋毁、排挤其他供应商，与采购人、其他供应商或者采购代理机构恶意串通，向采购人、采购代理机构行贿或者提供其他不正当利益，在招标采购过程中与采购人进行协商谈判，或拒绝有关部门监督检查或者提供虚假情况等情形的；</w:t>
      </w:r>
    </w:p>
    <w:p w14:paraId="7DB2B96A">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（十八）疫苗生产企业向县级疾病预防控制机构以外的单位或者个人销售第二类疫苗的；</w:t>
      </w:r>
    </w:p>
    <w:p w14:paraId="6302DAE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（十九）存在其他违反公共资源交易法律法规行为的。</w:t>
      </w:r>
    </w:p>
    <w:p w14:paraId="5DF88173">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依据：《关于对公共资源交易领域严重失信主体开展联合惩戒的备忘录》（发改法规〔2018〕457号）</w:t>
      </w:r>
    </w:p>
    <w:p w14:paraId="2725CB0F">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p>
    <w:p w14:paraId="36D40EFB">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四、社会保险领域严重失信行为</w:t>
      </w:r>
    </w:p>
    <w:p w14:paraId="052006DA">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（一）用人单位未按相关规定参加社会保险且拒不整改的； </w:t>
      </w:r>
    </w:p>
    <w:p w14:paraId="561B61F7">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（二）用人单位未如实申报社会保险缴费基数且拒不整改的； </w:t>
      </w:r>
    </w:p>
    <w:p w14:paraId="31FFE724">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（三）应缴纳社会保险费却拒不缴纳的； </w:t>
      </w:r>
    </w:p>
    <w:p w14:paraId="6F6EFF84">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（四）隐匿、转移、侵占、挪用社会保险费款、基金或者违规投资运营的；</w:t>
      </w:r>
    </w:p>
    <w:p w14:paraId="69227861">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（五）以欺诈、伪造证明材料或者其他手段参加、申报社会保险和骗取社会保险基金支出或社会保险待遇的； </w:t>
      </w:r>
    </w:p>
    <w:p w14:paraId="2D10206D">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（六）非法获取、出售或变相交易社会保险个人权益数据的； </w:t>
      </w:r>
    </w:p>
    <w:p w14:paraId="506DE4ED">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（七）社会保险服务机构违反服务协议或相关规定的； </w:t>
      </w:r>
    </w:p>
    <w:p w14:paraId="283C40B6">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（八）拒绝协助社会保险行政部门、经办机构对事故和问题进 行调查核实的；拒绝接受或协助税务部门对社会保险实施监督检查， 不如实提供与社会保险相关各项资料的； </w:t>
      </w:r>
    </w:p>
    <w:p w14:paraId="00F6B58C">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（九）其他违反法律法规规定的。</w:t>
      </w:r>
    </w:p>
    <w:p w14:paraId="1A9C2A7B">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依据：《关于对社会保险领域严重失信企业及其有关人员实施联合惩戒的合作备忘录》（发改财金〔2018〕1704号）</w:t>
      </w:r>
    </w:p>
    <w:p w14:paraId="48F405C3">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p>
    <w:p w14:paraId="3881EF27">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五、建筑市场领域严重失信行为</w:t>
      </w:r>
    </w:p>
    <w:p w14:paraId="1D51625F">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（一）利用虚假材料、以欺骗手段取得企业资质的；</w:t>
      </w:r>
    </w:p>
    <w:p w14:paraId="1332C3D0">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（二）发生转包、出借资质，受到行政处罚的；</w:t>
      </w:r>
    </w:p>
    <w:p w14:paraId="1ADC7BDF">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（三）发生重大及以上工程质量安全事故，或1年内累计发生2次及以上较大工程质量安全事故，或发生性质恶劣、危害性严重、社会影响大的较大工程质量安全事故，受到行政处罚的；</w:t>
      </w:r>
    </w:p>
    <w:p w14:paraId="6D98C894">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（四）经法院判决或仲裁机构裁决，认定为拖欠工程款,且拒不履行生效法律文书确定的义务的。</w:t>
      </w:r>
    </w:p>
    <w:p w14:paraId="7E385A21">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各级住房城乡建设主管部门应当参照建筑市场主体“黑名单”，对被人力资源社会保障行政部门列入拖欠农民工工资“黑名单”的建筑市场各方主体加强监管。</w:t>
      </w:r>
    </w:p>
    <w:p w14:paraId="795C389A">
      <w:pPr>
        <w:widowControl/>
        <w:autoSpaceDE w:val="0"/>
        <w:spacing w:line="480" w:lineRule="exact"/>
        <w:ind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依据：《建筑市场信用管理暂行办法》（建市〔2017〕241号）</w:t>
      </w:r>
    </w:p>
    <w:p w14:paraId="7FD4570B">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p>
    <w:p w14:paraId="1A849100">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六、政府采购严重失信行为</w:t>
      </w:r>
    </w:p>
    <w:p w14:paraId="4B94510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供应商、采购代理机构在三年内受到财政部门作出下列情形之一的行政处罚，列入政府采购严重违法失信行为记录名单。</w:t>
      </w:r>
    </w:p>
    <w:p w14:paraId="65840A1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（一）三万元以上罚款；</w:t>
      </w:r>
    </w:p>
    <w:p w14:paraId="15F8EB9F">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（二）在一至三年内禁止参加政府采购活动（处罚期限届满的除外）；</w:t>
      </w:r>
    </w:p>
    <w:p w14:paraId="34EACDE5">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（三）在一至三年内禁止代理政府采购业务（处罚期限届满的除外）；</w:t>
      </w:r>
    </w:p>
    <w:p w14:paraId="6A4D027F">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（四）撤销政府采购代理机构资格（仅针对《政府采购法》第78条修改前作出的处罚决定）。。</w:t>
      </w:r>
    </w:p>
    <w:p w14:paraId="48FBAB6B">
      <w:pPr>
        <w:widowControl/>
        <w:autoSpaceDE w:val="0"/>
        <w:spacing w:line="480" w:lineRule="exact"/>
        <w:ind w:firstLine="482" w:firstLineChars="200"/>
        <w:jc w:val="left"/>
        <w:textAlignment w:val="baseline"/>
        <w:rPr>
          <w:rFonts w:hint="eastAsia" w:ascii="宋体" w:hAnsi="宋体" w:eastAsia="宋体" w:cs="Times New Roman"/>
          <w:b/>
          <w:color w:val="auto"/>
          <w:sz w:val="24"/>
          <w:szCs w:val="24"/>
          <w:highlight w:val="none"/>
        </w:rPr>
      </w:pPr>
      <w:r>
        <w:rPr>
          <w:rFonts w:hint="eastAsia" w:ascii="宋体" w:hAnsi="宋体" w:eastAsia="宋体" w:cs="宋体"/>
          <w:b/>
          <w:color w:val="auto"/>
          <w:kern w:val="0"/>
          <w:sz w:val="24"/>
          <w:szCs w:val="24"/>
          <w:highlight w:val="none"/>
        </w:rPr>
        <w:t>依据：《关于报送政府采购严重违法失信行为信息记录的通知》（财办库〔2014〕526号）</w:t>
      </w:r>
    </w:p>
    <w:p w14:paraId="519B4111">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p>
    <w:p w14:paraId="530A8B5A">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七、水利建设领域严重失信行为</w:t>
      </w:r>
    </w:p>
    <w:p w14:paraId="0AAF41C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（一）1年内不良行为记录累计扣分达到20分的；</w:t>
      </w:r>
    </w:p>
    <w:p w14:paraId="258FB7A2">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（二）"重点关注名单"公开期满后仍不整改的；</w:t>
      </w:r>
    </w:p>
    <w:p w14:paraId="48DD7CD7">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（三）存在以下严重危害人民群众身体健康、生命安全和工程质量，以及特别严重违规行为之一的：</w:t>
      </w:r>
    </w:p>
    <w:p w14:paraId="70F4B6EA">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1.发生重大、特大质量或安全事故，并负有直接责任的；</w:t>
      </w:r>
    </w:p>
    <w:p w14:paraId="1243A983">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2.在单位公开信息、工程相关技术成果和工程建设过程中隐瞒真实情况、弄虚作假，提供虚假材料，谋取不正当利益的；</w:t>
      </w:r>
    </w:p>
    <w:p w14:paraId="1E4145DC">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3.违反有关法律、法规、规章、政策、技术标准、设计文件、合同等有关规定开展工作造成的工程质量问题，经处理后仍影响工程正常使用或减少工程使用寿命的；</w:t>
      </w:r>
    </w:p>
    <w:p w14:paraId="4634F8DD">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4.违反规定施工，造成生态环境严重破坏且拒不修复的；</w:t>
      </w:r>
    </w:p>
    <w:p w14:paraId="2F231C1A">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5.被证实恶意制造工程质量缺陷或质量隐患的；</w:t>
      </w:r>
    </w:p>
    <w:p w14:paraId="55DBB24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6.其他违反法律法规，造成严重后果或社会危害较大的。</w:t>
      </w:r>
    </w:p>
    <w:p w14:paraId="0E4C5645">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（四）存在以下严重破坏市场公平竞争秩序和社会正常秩序行为之一的：</w:t>
      </w:r>
    </w:p>
    <w:p w14:paraId="667852D6">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1.不按合同约定，恶意拖欠承包人项目款的；</w:t>
      </w:r>
    </w:p>
    <w:p w14:paraId="0443238A">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2.隐瞒有关情况或者提供虚假材料申请资质的，在全国水利建设市场监管服务平台公开虚假信息的，以欺骗、贿赂等不正当手段取得资质等级证书的；</w:t>
      </w:r>
    </w:p>
    <w:p w14:paraId="69666BA8">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3.出借、借用资质证书,允许他人以本单位名义或借用他人名义等弄虚作假方式承揽业务的；</w:t>
      </w:r>
    </w:p>
    <w:p w14:paraId="5F379C9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4.未取得相应资质或超越资质证书核定范围、营业范围承揽业务的；</w:t>
      </w:r>
    </w:p>
    <w:p w14:paraId="6F56E6C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5.操纵招标过程，谋取不正当利益的；</w:t>
      </w:r>
    </w:p>
    <w:p w14:paraId="1DF2782A">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6.与招标人或投标人串通投标的；</w:t>
      </w:r>
    </w:p>
    <w:p w14:paraId="74D6952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7.以向招标人或评标委员会成员行贿的手段谋取中标的；</w:t>
      </w:r>
    </w:p>
    <w:p w14:paraId="7DDF933C">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8.中标后，无正当理由不签订合同的；</w:t>
      </w:r>
    </w:p>
    <w:p w14:paraId="2096461D">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9.转包或违法分包所承揽业务的；</w:t>
      </w:r>
    </w:p>
    <w:p w14:paraId="3E60EC50">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10.弄虚作假，以欺诈手段降低工程或设备质量的；</w:t>
      </w:r>
    </w:p>
    <w:p w14:paraId="4F9673F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11.单位行贿、受贿，受到刑事处罚的；</w:t>
      </w:r>
    </w:p>
    <w:p w14:paraId="45540D0E">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12.逃税骗税、恶意逃废债务的；</w:t>
      </w:r>
    </w:p>
    <w:p w14:paraId="55E2D79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13.参与非法集资，受到刑事处罚的；</w:t>
      </w:r>
    </w:p>
    <w:p w14:paraId="697CFE59">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14.在签订、履行合同过程中，存在合同欺诈行为，受到刑事处罚的；</w:t>
      </w:r>
    </w:p>
    <w:p w14:paraId="351EDF70">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15.虚构工程项目，套取资金的；</w:t>
      </w:r>
    </w:p>
    <w:p w14:paraId="42F8BC77">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16.克扣、无故拖欠农民工工资报酬，数额达到认定拒不支付劳动报酬罪数额标准的；</w:t>
      </w:r>
    </w:p>
    <w:p w14:paraId="49100FEB">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17.发生社会公共事件，影响较大，并负有直接责任的。</w:t>
      </w:r>
    </w:p>
    <w:p w14:paraId="0433D3AE">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（五）存在以下拒不履行法定义务，严重影响司法机关、行政机关公信力行为之一的：</w:t>
      </w:r>
    </w:p>
    <w:p w14:paraId="5DFFF74D">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1.发生事故拒绝接受调查或拒绝提供有关资料的；</w:t>
      </w:r>
    </w:p>
    <w:p w14:paraId="6080308D">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2.拒不执行生效的行政处罚决定的；</w:t>
      </w:r>
    </w:p>
    <w:p w14:paraId="2A7480EC">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3.拒不执行仲裁、法院判决结果的。</w:t>
      </w:r>
    </w:p>
    <w:p w14:paraId="026FD37C">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（六）被相关联合惩戒部门列入"黑名单"，符合联合惩戒措施的。</w:t>
      </w:r>
    </w:p>
    <w:p w14:paraId="2F83AA93">
      <w:pPr>
        <w:widowControl/>
        <w:autoSpaceDE w:val="0"/>
        <w:spacing w:line="480" w:lineRule="exact"/>
        <w:ind w:firstLine="480" w:firstLineChars="200"/>
        <w:jc w:val="left"/>
        <w:textAlignment w:val="baseline"/>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生产建设项目水土保持市场主体"黑名单"列入标准见《水利建设市场主体信用信息管理办法》附件。</w:t>
      </w:r>
    </w:p>
    <w:p w14:paraId="4ECBE8CA">
      <w:pPr>
        <w:widowControl/>
        <w:autoSpaceDE w:val="0"/>
        <w:spacing w:line="480" w:lineRule="exact"/>
        <w:ind w:firstLine="482" w:firstLineChars="200"/>
        <w:jc w:val="left"/>
        <w:textAlignment w:val="baseline"/>
        <w:rPr>
          <w:rFonts w:hint="eastAsia" w:ascii="宋体" w:hAnsi="宋体" w:eastAsia="宋体" w:cs="Times New Roman"/>
          <w:b/>
          <w:color w:val="auto"/>
          <w:sz w:val="24"/>
          <w:szCs w:val="24"/>
          <w:highlight w:val="none"/>
        </w:rPr>
      </w:pPr>
      <w:r>
        <w:rPr>
          <w:rFonts w:hint="eastAsia" w:ascii="宋体" w:hAnsi="宋体" w:eastAsia="宋体" w:cs="宋体"/>
          <w:b/>
          <w:color w:val="auto"/>
          <w:kern w:val="0"/>
          <w:sz w:val="24"/>
          <w:szCs w:val="24"/>
          <w:highlight w:val="none"/>
        </w:rPr>
        <w:t>依据：《水利建设市场主体信用评价管理办法》水建设〔2019〕307号、《水利建设市场主体信用信息管理办法》水建设〔2019〕306号</w:t>
      </w:r>
    </w:p>
    <w:p w14:paraId="4B9D7263">
      <w:pPr>
        <w:widowControl/>
        <w:autoSpaceDE w:val="0"/>
        <w:spacing w:line="480" w:lineRule="exact"/>
        <w:ind w:firstLine="480" w:firstLineChars="200"/>
        <w:textAlignment w:val="baseline"/>
        <w:rPr>
          <w:rFonts w:hint="eastAsia" w:ascii="宋体" w:hAnsi="宋体" w:eastAsia="宋体" w:cs="宋体"/>
          <w:color w:val="auto"/>
          <w:sz w:val="24"/>
          <w:szCs w:val="24"/>
          <w:highlight w:val="none"/>
        </w:rPr>
      </w:pPr>
    </w:p>
    <w:p w14:paraId="23150FCF">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cs="宋体"/>
          <w:b/>
          <w:bCs/>
          <w:color w:val="auto"/>
          <w:kern w:val="0"/>
          <w:sz w:val="24"/>
          <w:szCs w:val="24"/>
          <w:highlight w:val="none"/>
        </w:rPr>
        <w:t>未列出的其他类别严重失信行为，由招标人（代理机构）根据各类别行业主管部门下发的联合惩戒文件进行判断</w:t>
      </w:r>
      <w:r>
        <w:rPr>
          <w:rFonts w:hint="eastAsia" w:ascii="宋体" w:hAnsi="宋体" w:eastAsia="宋体" w:cs="宋体"/>
          <w:b/>
          <w:color w:val="auto"/>
          <w:sz w:val="24"/>
          <w:highlight w:val="none"/>
        </w:rPr>
        <w:t>。</w:t>
      </w:r>
    </w:p>
    <w:bookmarkEnd w:id="225"/>
    <w:sectPr>
      <w:headerReference r:id="rId5" w:type="default"/>
      <w:footerReference r:id="rId6" w:type="default"/>
      <w:pgSz w:w="11906" w:h="16838"/>
      <w:pgMar w:top="1270" w:right="1800" w:bottom="127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99E6B">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00B02">
    <w:pPr>
      <w:spacing w:line="189" w:lineRule="auto"/>
      <w:ind w:left="4430"/>
      <w:rPr>
        <w:rFonts w:hint="eastAsia" w:cs="@仿宋_GB2312" w:asciiTheme="minorEastAsia" w:hAnsiTheme="minorEastAsia" w:eastAsiaTheme="minorEastAsia"/>
        <w:kern w:val="2"/>
        <w:sz w:val="21"/>
        <w:szCs w:val="21"/>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FBB9F">
                          <w:pPr>
                            <w:pStyle w:val="2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BFBB9F">
                    <w:pPr>
                      <w:pStyle w:val="2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3B993">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5D81F">
    <w:pPr>
      <w:pStyle w:val="21"/>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223C"/>
    <w:multiLevelType w:val="singleLevel"/>
    <w:tmpl w:val="BCA2223C"/>
    <w:lvl w:ilvl="0" w:tentative="0">
      <w:start w:val="2"/>
      <w:numFmt w:val="decimal"/>
      <w:suff w:val="nothing"/>
      <w:lvlText w:val="（%1）"/>
      <w:lvlJc w:val="left"/>
    </w:lvl>
  </w:abstractNum>
  <w:abstractNum w:abstractNumId="1">
    <w:nsid w:val="2323379E"/>
    <w:multiLevelType w:val="multilevel"/>
    <w:tmpl w:val="2323379E"/>
    <w:lvl w:ilvl="0" w:tentative="0">
      <w:start w:val="1"/>
      <w:numFmt w:val="chineseCountingThousand"/>
      <w:pStyle w:val="27"/>
      <w:lvlText w:val="%1、"/>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NjMmIyODczM2YwMGZkZTNjYWY1NjIxZTY5YjcifQ=="/>
  </w:docVars>
  <w:rsids>
    <w:rsidRoot w:val="00276BA1"/>
    <w:rsid w:val="0000043F"/>
    <w:rsid w:val="000023CA"/>
    <w:rsid w:val="000037F9"/>
    <w:rsid w:val="000049DA"/>
    <w:rsid w:val="000056B7"/>
    <w:rsid w:val="00006585"/>
    <w:rsid w:val="00007647"/>
    <w:rsid w:val="0000779C"/>
    <w:rsid w:val="000131F7"/>
    <w:rsid w:val="00014039"/>
    <w:rsid w:val="0001600A"/>
    <w:rsid w:val="00016B6C"/>
    <w:rsid w:val="000201D0"/>
    <w:rsid w:val="00020B57"/>
    <w:rsid w:val="00020E3A"/>
    <w:rsid w:val="000261F2"/>
    <w:rsid w:val="000360B3"/>
    <w:rsid w:val="00040C25"/>
    <w:rsid w:val="00042139"/>
    <w:rsid w:val="00042973"/>
    <w:rsid w:val="00042B14"/>
    <w:rsid w:val="00044F49"/>
    <w:rsid w:val="000450C3"/>
    <w:rsid w:val="0004550A"/>
    <w:rsid w:val="00050A3F"/>
    <w:rsid w:val="00061234"/>
    <w:rsid w:val="00062C99"/>
    <w:rsid w:val="000648D2"/>
    <w:rsid w:val="00066B5B"/>
    <w:rsid w:val="00070E0E"/>
    <w:rsid w:val="0007146E"/>
    <w:rsid w:val="00076DB7"/>
    <w:rsid w:val="00080FEB"/>
    <w:rsid w:val="000845C6"/>
    <w:rsid w:val="000845CA"/>
    <w:rsid w:val="00092933"/>
    <w:rsid w:val="00093150"/>
    <w:rsid w:val="00094D41"/>
    <w:rsid w:val="000970FA"/>
    <w:rsid w:val="00097CB9"/>
    <w:rsid w:val="000A0D8A"/>
    <w:rsid w:val="000A10A9"/>
    <w:rsid w:val="000A6693"/>
    <w:rsid w:val="000A7970"/>
    <w:rsid w:val="000A7D94"/>
    <w:rsid w:val="000B00AF"/>
    <w:rsid w:val="000B1511"/>
    <w:rsid w:val="000B46F2"/>
    <w:rsid w:val="000B70F0"/>
    <w:rsid w:val="000C0507"/>
    <w:rsid w:val="000C1DB1"/>
    <w:rsid w:val="000D3A8D"/>
    <w:rsid w:val="000D3F37"/>
    <w:rsid w:val="000E2BA5"/>
    <w:rsid w:val="000E33A5"/>
    <w:rsid w:val="000E3BFD"/>
    <w:rsid w:val="000E3C74"/>
    <w:rsid w:val="000E3F9B"/>
    <w:rsid w:val="000E478E"/>
    <w:rsid w:val="000E6689"/>
    <w:rsid w:val="000E6FA7"/>
    <w:rsid w:val="000F172B"/>
    <w:rsid w:val="000F2198"/>
    <w:rsid w:val="000F3856"/>
    <w:rsid w:val="000F39B6"/>
    <w:rsid w:val="000F54AA"/>
    <w:rsid w:val="000F6B7B"/>
    <w:rsid w:val="00100B0F"/>
    <w:rsid w:val="0010187C"/>
    <w:rsid w:val="0010219C"/>
    <w:rsid w:val="001037E3"/>
    <w:rsid w:val="001077EC"/>
    <w:rsid w:val="0011036B"/>
    <w:rsid w:val="00110820"/>
    <w:rsid w:val="00112D01"/>
    <w:rsid w:val="00113EBF"/>
    <w:rsid w:val="00116050"/>
    <w:rsid w:val="0011660B"/>
    <w:rsid w:val="0012143A"/>
    <w:rsid w:val="00124AF9"/>
    <w:rsid w:val="001258BA"/>
    <w:rsid w:val="00126A59"/>
    <w:rsid w:val="001273BC"/>
    <w:rsid w:val="001301E2"/>
    <w:rsid w:val="001349C6"/>
    <w:rsid w:val="00140687"/>
    <w:rsid w:val="00140769"/>
    <w:rsid w:val="00141FE8"/>
    <w:rsid w:val="00142ED4"/>
    <w:rsid w:val="001459A7"/>
    <w:rsid w:val="00146421"/>
    <w:rsid w:val="00147A94"/>
    <w:rsid w:val="00147E0C"/>
    <w:rsid w:val="00151E19"/>
    <w:rsid w:val="00153B20"/>
    <w:rsid w:val="00154FDC"/>
    <w:rsid w:val="00155F64"/>
    <w:rsid w:val="00157856"/>
    <w:rsid w:val="00160729"/>
    <w:rsid w:val="001651ED"/>
    <w:rsid w:val="00166794"/>
    <w:rsid w:val="00166ED8"/>
    <w:rsid w:val="001714C9"/>
    <w:rsid w:val="00171B25"/>
    <w:rsid w:val="001749A0"/>
    <w:rsid w:val="0018119B"/>
    <w:rsid w:val="001812BE"/>
    <w:rsid w:val="001844AB"/>
    <w:rsid w:val="001853C7"/>
    <w:rsid w:val="00190839"/>
    <w:rsid w:val="00192879"/>
    <w:rsid w:val="00194365"/>
    <w:rsid w:val="001944B8"/>
    <w:rsid w:val="00196DA3"/>
    <w:rsid w:val="001A26EE"/>
    <w:rsid w:val="001A526C"/>
    <w:rsid w:val="001A68E5"/>
    <w:rsid w:val="001A69CE"/>
    <w:rsid w:val="001B2A54"/>
    <w:rsid w:val="001B2BA4"/>
    <w:rsid w:val="001B4A22"/>
    <w:rsid w:val="001B5014"/>
    <w:rsid w:val="001B7327"/>
    <w:rsid w:val="001C3E8A"/>
    <w:rsid w:val="001C646A"/>
    <w:rsid w:val="001D22EA"/>
    <w:rsid w:val="001D3674"/>
    <w:rsid w:val="001D3E9A"/>
    <w:rsid w:val="001D53B4"/>
    <w:rsid w:val="001D67FB"/>
    <w:rsid w:val="001D6C96"/>
    <w:rsid w:val="001E1835"/>
    <w:rsid w:val="001E7198"/>
    <w:rsid w:val="001F19A3"/>
    <w:rsid w:val="001F28D2"/>
    <w:rsid w:val="001F2F45"/>
    <w:rsid w:val="001F3023"/>
    <w:rsid w:val="001F3250"/>
    <w:rsid w:val="001F35F6"/>
    <w:rsid w:val="001F74CA"/>
    <w:rsid w:val="001F7590"/>
    <w:rsid w:val="002003B6"/>
    <w:rsid w:val="0020244A"/>
    <w:rsid w:val="00204609"/>
    <w:rsid w:val="002049B4"/>
    <w:rsid w:val="0020520B"/>
    <w:rsid w:val="00207490"/>
    <w:rsid w:val="002076AD"/>
    <w:rsid w:val="00213C55"/>
    <w:rsid w:val="00216412"/>
    <w:rsid w:val="00223CF4"/>
    <w:rsid w:val="00224C4A"/>
    <w:rsid w:val="00225608"/>
    <w:rsid w:val="002302D6"/>
    <w:rsid w:val="00231187"/>
    <w:rsid w:val="00233C96"/>
    <w:rsid w:val="0023407E"/>
    <w:rsid w:val="00240B40"/>
    <w:rsid w:val="00244182"/>
    <w:rsid w:val="00247817"/>
    <w:rsid w:val="002544A1"/>
    <w:rsid w:val="00256EF1"/>
    <w:rsid w:val="00257ECE"/>
    <w:rsid w:val="00260B94"/>
    <w:rsid w:val="00264F2E"/>
    <w:rsid w:val="00265463"/>
    <w:rsid w:val="00271245"/>
    <w:rsid w:val="00271720"/>
    <w:rsid w:val="00274A9E"/>
    <w:rsid w:val="00276BA1"/>
    <w:rsid w:val="002778C0"/>
    <w:rsid w:val="00280984"/>
    <w:rsid w:val="002835E3"/>
    <w:rsid w:val="00284542"/>
    <w:rsid w:val="00291840"/>
    <w:rsid w:val="00297870"/>
    <w:rsid w:val="002A14D1"/>
    <w:rsid w:val="002A1A1D"/>
    <w:rsid w:val="002A28AD"/>
    <w:rsid w:val="002A3F9B"/>
    <w:rsid w:val="002B04FD"/>
    <w:rsid w:val="002B5318"/>
    <w:rsid w:val="002B6D27"/>
    <w:rsid w:val="002B7A09"/>
    <w:rsid w:val="002C060C"/>
    <w:rsid w:val="002C5DCC"/>
    <w:rsid w:val="002C69FD"/>
    <w:rsid w:val="002C70AB"/>
    <w:rsid w:val="002D05DD"/>
    <w:rsid w:val="002D10A6"/>
    <w:rsid w:val="002D26D1"/>
    <w:rsid w:val="002D2965"/>
    <w:rsid w:val="002D2F38"/>
    <w:rsid w:val="002D3C10"/>
    <w:rsid w:val="002D3D02"/>
    <w:rsid w:val="002D4CB5"/>
    <w:rsid w:val="002D5610"/>
    <w:rsid w:val="002D684B"/>
    <w:rsid w:val="002D6FA4"/>
    <w:rsid w:val="002E1327"/>
    <w:rsid w:val="002E2AD2"/>
    <w:rsid w:val="002E2D3A"/>
    <w:rsid w:val="002E3B26"/>
    <w:rsid w:val="002E4AB8"/>
    <w:rsid w:val="002E7FC4"/>
    <w:rsid w:val="002F1132"/>
    <w:rsid w:val="00303D04"/>
    <w:rsid w:val="00310070"/>
    <w:rsid w:val="0031081B"/>
    <w:rsid w:val="00310EF7"/>
    <w:rsid w:val="003110EC"/>
    <w:rsid w:val="00314577"/>
    <w:rsid w:val="00317A51"/>
    <w:rsid w:val="003206A6"/>
    <w:rsid w:val="00322439"/>
    <w:rsid w:val="0032560D"/>
    <w:rsid w:val="00327C92"/>
    <w:rsid w:val="0033145F"/>
    <w:rsid w:val="00333292"/>
    <w:rsid w:val="003344E7"/>
    <w:rsid w:val="0033460E"/>
    <w:rsid w:val="0033580B"/>
    <w:rsid w:val="003365E7"/>
    <w:rsid w:val="003378D5"/>
    <w:rsid w:val="00341B40"/>
    <w:rsid w:val="00344BF7"/>
    <w:rsid w:val="003473D7"/>
    <w:rsid w:val="003510A4"/>
    <w:rsid w:val="00351AC8"/>
    <w:rsid w:val="00351CB6"/>
    <w:rsid w:val="00353075"/>
    <w:rsid w:val="003536F2"/>
    <w:rsid w:val="00360384"/>
    <w:rsid w:val="00361F77"/>
    <w:rsid w:val="00362110"/>
    <w:rsid w:val="00362561"/>
    <w:rsid w:val="00363022"/>
    <w:rsid w:val="00363E02"/>
    <w:rsid w:val="00370BF9"/>
    <w:rsid w:val="00372CF6"/>
    <w:rsid w:val="00373A96"/>
    <w:rsid w:val="003744F2"/>
    <w:rsid w:val="003800C3"/>
    <w:rsid w:val="0038193A"/>
    <w:rsid w:val="003826C2"/>
    <w:rsid w:val="00383728"/>
    <w:rsid w:val="00385435"/>
    <w:rsid w:val="00386239"/>
    <w:rsid w:val="003903BB"/>
    <w:rsid w:val="00392627"/>
    <w:rsid w:val="003938B3"/>
    <w:rsid w:val="003939B1"/>
    <w:rsid w:val="00394128"/>
    <w:rsid w:val="00394ADC"/>
    <w:rsid w:val="00395131"/>
    <w:rsid w:val="00395235"/>
    <w:rsid w:val="0039561A"/>
    <w:rsid w:val="0039676A"/>
    <w:rsid w:val="00397C7D"/>
    <w:rsid w:val="003A004F"/>
    <w:rsid w:val="003A085C"/>
    <w:rsid w:val="003A092F"/>
    <w:rsid w:val="003A326B"/>
    <w:rsid w:val="003A68A7"/>
    <w:rsid w:val="003B1321"/>
    <w:rsid w:val="003B154F"/>
    <w:rsid w:val="003B2E76"/>
    <w:rsid w:val="003B4130"/>
    <w:rsid w:val="003B715B"/>
    <w:rsid w:val="003C2C62"/>
    <w:rsid w:val="003C2CB8"/>
    <w:rsid w:val="003D1D14"/>
    <w:rsid w:val="003D31C0"/>
    <w:rsid w:val="003D6B5D"/>
    <w:rsid w:val="003D6C7C"/>
    <w:rsid w:val="003D6EFB"/>
    <w:rsid w:val="003D73CA"/>
    <w:rsid w:val="003D7E52"/>
    <w:rsid w:val="003E25C6"/>
    <w:rsid w:val="003F7528"/>
    <w:rsid w:val="0040083C"/>
    <w:rsid w:val="004009F4"/>
    <w:rsid w:val="004011AA"/>
    <w:rsid w:val="0040202C"/>
    <w:rsid w:val="0040563A"/>
    <w:rsid w:val="00406508"/>
    <w:rsid w:val="00412E69"/>
    <w:rsid w:val="004140DE"/>
    <w:rsid w:val="0041456E"/>
    <w:rsid w:val="00414F7E"/>
    <w:rsid w:val="004164F8"/>
    <w:rsid w:val="0042170B"/>
    <w:rsid w:val="00424A97"/>
    <w:rsid w:val="00426F05"/>
    <w:rsid w:val="00427B65"/>
    <w:rsid w:val="004327A2"/>
    <w:rsid w:val="004328E1"/>
    <w:rsid w:val="00436B56"/>
    <w:rsid w:val="0044205D"/>
    <w:rsid w:val="004426E7"/>
    <w:rsid w:val="004427B7"/>
    <w:rsid w:val="00442F6D"/>
    <w:rsid w:val="0044349F"/>
    <w:rsid w:val="00445F1F"/>
    <w:rsid w:val="004474B2"/>
    <w:rsid w:val="0045076F"/>
    <w:rsid w:val="00451F60"/>
    <w:rsid w:val="00452BB2"/>
    <w:rsid w:val="00456054"/>
    <w:rsid w:val="0045656D"/>
    <w:rsid w:val="00460B9A"/>
    <w:rsid w:val="0046291C"/>
    <w:rsid w:val="00462D98"/>
    <w:rsid w:val="00463E7D"/>
    <w:rsid w:val="0046704C"/>
    <w:rsid w:val="0047174D"/>
    <w:rsid w:val="0047268A"/>
    <w:rsid w:val="00472964"/>
    <w:rsid w:val="00472A44"/>
    <w:rsid w:val="00473A89"/>
    <w:rsid w:val="00475899"/>
    <w:rsid w:val="00482C78"/>
    <w:rsid w:val="0048634A"/>
    <w:rsid w:val="004874AE"/>
    <w:rsid w:val="004905FC"/>
    <w:rsid w:val="00494385"/>
    <w:rsid w:val="00494D24"/>
    <w:rsid w:val="004951D1"/>
    <w:rsid w:val="004960BB"/>
    <w:rsid w:val="00496773"/>
    <w:rsid w:val="00496FA4"/>
    <w:rsid w:val="004A27D0"/>
    <w:rsid w:val="004A4D67"/>
    <w:rsid w:val="004A7690"/>
    <w:rsid w:val="004B0A70"/>
    <w:rsid w:val="004B6A5D"/>
    <w:rsid w:val="004C13CB"/>
    <w:rsid w:val="004D0537"/>
    <w:rsid w:val="004D3D4B"/>
    <w:rsid w:val="004D5498"/>
    <w:rsid w:val="004D66A5"/>
    <w:rsid w:val="004D6B00"/>
    <w:rsid w:val="004D6B8C"/>
    <w:rsid w:val="004D71FC"/>
    <w:rsid w:val="004D7A64"/>
    <w:rsid w:val="004E0D39"/>
    <w:rsid w:val="004E1D50"/>
    <w:rsid w:val="004E65E1"/>
    <w:rsid w:val="004F27A0"/>
    <w:rsid w:val="004F2F91"/>
    <w:rsid w:val="004F63C7"/>
    <w:rsid w:val="004F6BAD"/>
    <w:rsid w:val="00501382"/>
    <w:rsid w:val="005029C7"/>
    <w:rsid w:val="00504B12"/>
    <w:rsid w:val="00510798"/>
    <w:rsid w:val="00512101"/>
    <w:rsid w:val="005125F1"/>
    <w:rsid w:val="0051737F"/>
    <w:rsid w:val="00522A55"/>
    <w:rsid w:val="00524A11"/>
    <w:rsid w:val="0052757B"/>
    <w:rsid w:val="00527768"/>
    <w:rsid w:val="00530EA4"/>
    <w:rsid w:val="00531AD6"/>
    <w:rsid w:val="005327FB"/>
    <w:rsid w:val="00533FCA"/>
    <w:rsid w:val="00536422"/>
    <w:rsid w:val="005470D4"/>
    <w:rsid w:val="005616B5"/>
    <w:rsid w:val="005639C3"/>
    <w:rsid w:val="005668F0"/>
    <w:rsid w:val="005679A4"/>
    <w:rsid w:val="00571FA4"/>
    <w:rsid w:val="00574B0B"/>
    <w:rsid w:val="005760E1"/>
    <w:rsid w:val="00581663"/>
    <w:rsid w:val="00585811"/>
    <w:rsid w:val="00591DC8"/>
    <w:rsid w:val="0059223D"/>
    <w:rsid w:val="00597B15"/>
    <w:rsid w:val="005A044C"/>
    <w:rsid w:val="005A149F"/>
    <w:rsid w:val="005A18B7"/>
    <w:rsid w:val="005A2656"/>
    <w:rsid w:val="005A73B1"/>
    <w:rsid w:val="005B05B5"/>
    <w:rsid w:val="005B16E3"/>
    <w:rsid w:val="005B34C9"/>
    <w:rsid w:val="005B6BD1"/>
    <w:rsid w:val="005C140C"/>
    <w:rsid w:val="005C6C95"/>
    <w:rsid w:val="005D0200"/>
    <w:rsid w:val="005D44EF"/>
    <w:rsid w:val="005D5109"/>
    <w:rsid w:val="005D5112"/>
    <w:rsid w:val="005D5A94"/>
    <w:rsid w:val="005D5D67"/>
    <w:rsid w:val="005E2874"/>
    <w:rsid w:val="005E425A"/>
    <w:rsid w:val="005E6202"/>
    <w:rsid w:val="005F240E"/>
    <w:rsid w:val="005F2B97"/>
    <w:rsid w:val="005F34CC"/>
    <w:rsid w:val="005F3914"/>
    <w:rsid w:val="005F3B5A"/>
    <w:rsid w:val="005F6AB4"/>
    <w:rsid w:val="00607471"/>
    <w:rsid w:val="00610A66"/>
    <w:rsid w:val="00610C25"/>
    <w:rsid w:val="00612CFF"/>
    <w:rsid w:val="00613177"/>
    <w:rsid w:val="00613F7C"/>
    <w:rsid w:val="00614BF2"/>
    <w:rsid w:val="0061557C"/>
    <w:rsid w:val="00617ECF"/>
    <w:rsid w:val="006208AC"/>
    <w:rsid w:val="00623DE2"/>
    <w:rsid w:val="00627601"/>
    <w:rsid w:val="006300D0"/>
    <w:rsid w:val="00630BA1"/>
    <w:rsid w:val="00632012"/>
    <w:rsid w:val="00634694"/>
    <w:rsid w:val="00635682"/>
    <w:rsid w:val="006357FD"/>
    <w:rsid w:val="00636517"/>
    <w:rsid w:val="00637122"/>
    <w:rsid w:val="00637690"/>
    <w:rsid w:val="00637BB7"/>
    <w:rsid w:val="0064044E"/>
    <w:rsid w:val="00640E1E"/>
    <w:rsid w:val="0064389A"/>
    <w:rsid w:val="00644F02"/>
    <w:rsid w:val="00645442"/>
    <w:rsid w:val="00650474"/>
    <w:rsid w:val="006525CD"/>
    <w:rsid w:val="00652C67"/>
    <w:rsid w:val="00653F7F"/>
    <w:rsid w:val="00655229"/>
    <w:rsid w:val="0065682C"/>
    <w:rsid w:val="00662EE8"/>
    <w:rsid w:val="00663813"/>
    <w:rsid w:val="00664AFD"/>
    <w:rsid w:val="00667567"/>
    <w:rsid w:val="0067391A"/>
    <w:rsid w:val="00674173"/>
    <w:rsid w:val="00676551"/>
    <w:rsid w:val="00677D87"/>
    <w:rsid w:val="0068405B"/>
    <w:rsid w:val="00690DB1"/>
    <w:rsid w:val="00691C87"/>
    <w:rsid w:val="00693404"/>
    <w:rsid w:val="006953D9"/>
    <w:rsid w:val="006A03C1"/>
    <w:rsid w:val="006A1269"/>
    <w:rsid w:val="006A49DE"/>
    <w:rsid w:val="006A5803"/>
    <w:rsid w:val="006A69C3"/>
    <w:rsid w:val="006A7C15"/>
    <w:rsid w:val="006B1242"/>
    <w:rsid w:val="006B1DBC"/>
    <w:rsid w:val="006B7C1C"/>
    <w:rsid w:val="006B7D9A"/>
    <w:rsid w:val="006C06D9"/>
    <w:rsid w:val="006C3E22"/>
    <w:rsid w:val="006C45B8"/>
    <w:rsid w:val="006C48CA"/>
    <w:rsid w:val="006C5716"/>
    <w:rsid w:val="006C64B2"/>
    <w:rsid w:val="006C6D92"/>
    <w:rsid w:val="006C74A9"/>
    <w:rsid w:val="006D07DE"/>
    <w:rsid w:val="006D361A"/>
    <w:rsid w:val="006D36C1"/>
    <w:rsid w:val="006E06D9"/>
    <w:rsid w:val="006E0FB8"/>
    <w:rsid w:val="006E1D40"/>
    <w:rsid w:val="006E2E1F"/>
    <w:rsid w:val="006E5059"/>
    <w:rsid w:val="006F0247"/>
    <w:rsid w:val="006F1A03"/>
    <w:rsid w:val="006F5F03"/>
    <w:rsid w:val="006F5FFF"/>
    <w:rsid w:val="0070078B"/>
    <w:rsid w:val="00710804"/>
    <w:rsid w:val="00711FC6"/>
    <w:rsid w:val="007130B1"/>
    <w:rsid w:val="00715071"/>
    <w:rsid w:val="00716532"/>
    <w:rsid w:val="00716F39"/>
    <w:rsid w:val="00720574"/>
    <w:rsid w:val="00720D0D"/>
    <w:rsid w:val="007231E9"/>
    <w:rsid w:val="007243E6"/>
    <w:rsid w:val="00724F0E"/>
    <w:rsid w:val="00725DA2"/>
    <w:rsid w:val="00727C59"/>
    <w:rsid w:val="00733730"/>
    <w:rsid w:val="00734E5D"/>
    <w:rsid w:val="00736013"/>
    <w:rsid w:val="00737BF8"/>
    <w:rsid w:val="0074339B"/>
    <w:rsid w:val="007516F4"/>
    <w:rsid w:val="00752504"/>
    <w:rsid w:val="00753ECD"/>
    <w:rsid w:val="00756245"/>
    <w:rsid w:val="00761662"/>
    <w:rsid w:val="0076222D"/>
    <w:rsid w:val="00763E37"/>
    <w:rsid w:val="00763F83"/>
    <w:rsid w:val="00764043"/>
    <w:rsid w:val="007757CF"/>
    <w:rsid w:val="0078128F"/>
    <w:rsid w:val="007819D9"/>
    <w:rsid w:val="00782F68"/>
    <w:rsid w:val="00785E68"/>
    <w:rsid w:val="007866A5"/>
    <w:rsid w:val="0078683C"/>
    <w:rsid w:val="00787C8F"/>
    <w:rsid w:val="00790EDB"/>
    <w:rsid w:val="00791538"/>
    <w:rsid w:val="0079326E"/>
    <w:rsid w:val="007954E7"/>
    <w:rsid w:val="00796EDE"/>
    <w:rsid w:val="007A085A"/>
    <w:rsid w:val="007A5A58"/>
    <w:rsid w:val="007B1C56"/>
    <w:rsid w:val="007C1DD7"/>
    <w:rsid w:val="007C3CD5"/>
    <w:rsid w:val="007C4CBA"/>
    <w:rsid w:val="007C5E88"/>
    <w:rsid w:val="007C61EF"/>
    <w:rsid w:val="007D1C0D"/>
    <w:rsid w:val="007D2D23"/>
    <w:rsid w:val="007D7AA0"/>
    <w:rsid w:val="007E2241"/>
    <w:rsid w:val="007E2627"/>
    <w:rsid w:val="007E27D6"/>
    <w:rsid w:val="007E3921"/>
    <w:rsid w:val="007F2052"/>
    <w:rsid w:val="007F40D8"/>
    <w:rsid w:val="00801028"/>
    <w:rsid w:val="00802DCE"/>
    <w:rsid w:val="00803793"/>
    <w:rsid w:val="00804000"/>
    <w:rsid w:val="0081017D"/>
    <w:rsid w:val="008153D1"/>
    <w:rsid w:val="00817A01"/>
    <w:rsid w:val="00820E1F"/>
    <w:rsid w:val="00825E35"/>
    <w:rsid w:val="00830A4E"/>
    <w:rsid w:val="008334F8"/>
    <w:rsid w:val="00835FFD"/>
    <w:rsid w:val="00844FAA"/>
    <w:rsid w:val="008504BF"/>
    <w:rsid w:val="008524CE"/>
    <w:rsid w:val="00854ED9"/>
    <w:rsid w:val="00855391"/>
    <w:rsid w:val="0086440C"/>
    <w:rsid w:val="00875269"/>
    <w:rsid w:val="00876294"/>
    <w:rsid w:val="00876659"/>
    <w:rsid w:val="0087734C"/>
    <w:rsid w:val="00881EEF"/>
    <w:rsid w:val="00882141"/>
    <w:rsid w:val="00883A1A"/>
    <w:rsid w:val="008876EC"/>
    <w:rsid w:val="008922A8"/>
    <w:rsid w:val="00894999"/>
    <w:rsid w:val="008953F3"/>
    <w:rsid w:val="00895BD5"/>
    <w:rsid w:val="008A1475"/>
    <w:rsid w:val="008A16C4"/>
    <w:rsid w:val="008A6FED"/>
    <w:rsid w:val="008B39C5"/>
    <w:rsid w:val="008B51AA"/>
    <w:rsid w:val="008C2AA8"/>
    <w:rsid w:val="008C67F2"/>
    <w:rsid w:val="008D064A"/>
    <w:rsid w:val="008D1E91"/>
    <w:rsid w:val="008D264C"/>
    <w:rsid w:val="008D2B0F"/>
    <w:rsid w:val="008D5611"/>
    <w:rsid w:val="008E294B"/>
    <w:rsid w:val="008E449E"/>
    <w:rsid w:val="008E4BDD"/>
    <w:rsid w:val="008E4DA7"/>
    <w:rsid w:val="008E5B79"/>
    <w:rsid w:val="008E770C"/>
    <w:rsid w:val="008E7CD5"/>
    <w:rsid w:val="008F187F"/>
    <w:rsid w:val="008F39F1"/>
    <w:rsid w:val="008F402F"/>
    <w:rsid w:val="008F76E8"/>
    <w:rsid w:val="0090697A"/>
    <w:rsid w:val="009078A1"/>
    <w:rsid w:val="00911E9C"/>
    <w:rsid w:val="00913A93"/>
    <w:rsid w:val="00914AD1"/>
    <w:rsid w:val="00917405"/>
    <w:rsid w:val="00920F7C"/>
    <w:rsid w:val="00924743"/>
    <w:rsid w:val="00924F78"/>
    <w:rsid w:val="00934CAE"/>
    <w:rsid w:val="0094257D"/>
    <w:rsid w:val="009467D2"/>
    <w:rsid w:val="009469A8"/>
    <w:rsid w:val="0095467C"/>
    <w:rsid w:val="00954A61"/>
    <w:rsid w:val="00955C6F"/>
    <w:rsid w:val="00956916"/>
    <w:rsid w:val="00966C7B"/>
    <w:rsid w:val="00967FE8"/>
    <w:rsid w:val="009700F4"/>
    <w:rsid w:val="009701DC"/>
    <w:rsid w:val="00970996"/>
    <w:rsid w:val="009715D8"/>
    <w:rsid w:val="0097552B"/>
    <w:rsid w:val="00976B1D"/>
    <w:rsid w:val="009775B8"/>
    <w:rsid w:val="009811A8"/>
    <w:rsid w:val="0098659E"/>
    <w:rsid w:val="009904C9"/>
    <w:rsid w:val="00992CEC"/>
    <w:rsid w:val="00995BF9"/>
    <w:rsid w:val="009A0CAF"/>
    <w:rsid w:val="009A1328"/>
    <w:rsid w:val="009A2207"/>
    <w:rsid w:val="009B0673"/>
    <w:rsid w:val="009B0EDA"/>
    <w:rsid w:val="009B3545"/>
    <w:rsid w:val="009B6C42"/>
    <w:rsid w:val="009D2690"/>
    <w:rsid w:val="009D2998"/>
    <w:rsid w:val="009D31F7"/>
    <w:rsid w:val="009D32C2"/>
    <w:rsid w:val="009D50DB"/>
    <w:rsid w:val="009E2932"/>
    <w:rsid w:val="009E2B8D"/>
    <w:rsid w:val="009E2E04"/>
    <w:rsid w:val="009E3A0A"/>
    <w:rsid w:val="009E4BCE"/>
    <w:rsid w:val="009E5ECD"/>
    <w:rsid w:val="009F3E91"/>
    <w:rsid w:val="009F7A34"/>
    <w:rsid w:val="00A008DA"/>
    <w:rsid w:val="00A00C7A"/>
    <w:rsid w:val="00A0571E"/>
    <w:rsid w:val="00A101E6"/>
    <w:rsid w:val="00A130DE"/>
    <w:rsid w:val="00A1499B"/>
    <w:rsid w:val="00A16EB2"/>
    <w:rsid w:val="00A17CCF"/>
    <w:rsid w:val="00A20CD3"/>
    <w:rsid w:val="00A30A1B"/>
    <w:rsid w:val="00A314C2"/>
    <w:rsid w:val="00A35C01"/>
    <w:rsid w:val="00A46CD5"/>
    <w:rsid w:val="00A50447"/>
    <w:rsid w:val="00A519A0"/>
    <w:rsid w:val="00A56D48"/>
    <w:rsid w:val="00A60B3D"/>
    <w:rsid w:val="00A62A2E"/>
    <w:rsid w:val="00A63E86"/>
    <w:rsid w:val="00A65139"/>
    <w:rsid w:val="00A655F5"/>
    <w:rsid w:val="00A66A60"/>
    <w:rsid w:val="00A713BD"/>
    <w:rsid w:val="00A71D1A"/>
    <w:rsid w:val="00A757C3"/>
    <w:rsid w:val="00A75E5B"/>
    <w:rsid w:val="00A7684A"/>
    <w:rsid w:val="00A83B69"/>
    <w:rsid w:val="00A86533"/>
    <w:rsid w:val="00A91CA2"/>
    <w:rsid w:val="00A92FB8"/>
    <w:rsid w:val="00A932EE"/>
    <w:rsid w:val="00A948F1"/>
    <w:rsid w:val="00AA18F9"/>
    <w:rsid w:val="00AA1D7D"/>
    <w:rsid w:val="00AA2790"/>
    <w:rsid w:val="00AA3806"/>
    <w:rsid w:val="00AA7F1B"/>
    <w:rsid w:val="00AB066F"/>
    <w:rsid w:val="00AB139D"/>
    <w:rsid w:val="00AB187D"/>
    <w:rsid w:val="00AB2D05"/>
    <w:rsid w:val="00AB3EFB"/>
    <w:rsid w:val="00AC0B05"/>
    <w:rsid w:val="00AC7F9D"/>
    <w:rsid w:val="00AD079A"/>
    <w:rsid w:val="00AD1890"/>
    <w:rsid w:val="00AD4A6B"/>
    <w:rsid w:val="00AE2149"/>
    <w:rsid w:val="00AE33AE"/>
    <w:rsid w:val="00AE3F91"/>
    <w:rsid w:val="00AE4B4A"/>
    <w:rsid w:val="00AF020F"/>
    <w:rsid w:val="00AF1F69"/>
    <w:rsid w:val="00B00288"/>
    <w:rsid w:val="00B0053D"/>
    <w:rsid w:val="00B02AF8"/>
    <w:rsid w:val="00B03916"/>
    <w:rsid w:val="00B039E3"/>
    <w:rsid w:val="00B06D36"/>
    <w:rsid w:val="00B0722E"/>
    <w:rsid w:val="00B07C1F"/>
    <w:rsid w:val="00B12BC4"/>
    <w:rsid w:val="00B22838"/>
    <w:rsid w:val="00B26818"/>
    <w:rsid w:val="00B311CE"/>
    <w:rsid w:val="00B31C60"/>
    <w:rsid w:val="00B3250C"/>
    <w:rsid w:val="00B33E95"/>
    <w:rsid w:val="00B35AE1"/>
    <w:rsid w:val="00B3720B"/>
    <w:rsid w:val="00B4477D"/>
    <w:rsid w:val="00B458F3"/>
    <w:rsid w:val="00B45D0B"/>
    <w:rsid w:val="00B4619F"/>
    <w:rsid w:val="00B54621"/>
    <w:rsid w:val="00B5558A"/>
    <w:rsid w:val="00B56513"/>
    <w:rsid w:val="00B6149B"/>
    <w:rsid w:val="00B63D36"/>
    <w:rsid w:val="00B64376"/>
    <w:rsid w:val="00B6570C"/>
    <w:rsid w:val="00B71D0E"/>
    <w:rsid w:val="00B7401F"/>
    <w:rsid w:val="00B769CF"/>
    <w:rsid w:val="00B77614"/>
    <w:rsid w:val="00B77636"/>
    <w:rsid w:val="00B806C3"/>
    <w:rsid w:val="00B80D6F"/>
    <w:rsid w:val="00B84290"/>
    <w:rsid w:val="00B84FCA"/>
    <w:rsid w:val="00B9089F"/>
    <w:rsid w:val="00B91826"/>
    <w:rsid w:val="00B91AEE"/>
    <w:rsid w:val="00B95F5A"/>
    <w:rsid w:val="00B967C6"/>
    <w:rsid w:val="00B96EAD"/>
    <w:rsid w:val="00BA21CC"/>
    <w:rsid w:val="00BA2EFC"/>
    <w:rsid w:val="00BA79F5"/>
    <w:rsid w:val="00BB10ED"/>
    <w:rsid w:val="00BB1747"/>
    <w:rsid w:val="00BB276E"/>
    <w:rsid w:val="00BB295A"/>
    <w:rsid w:val="00BB3AB6"/>
    <w:rsid w:val="00BB766D"/>
    <w:rsid w:val="00BC003F"/>
    <w:rsid w:val="00BC007B"/>
    <w:rsid w:val="00BC0FFE"/>
    <w:rsid w:val="00BC148D"/>
    <w:rsid w:val="00BC26BA"/>
    <w:rsid w:val="00BC35F8"/>
    <w:rsid w:val="00BC47D9"/>
    <w:rsid w:val="00BC481B"/>
    <w:rsid w:val="00BD1989"/>
    <w:rsid w:val="00BD2771"/>
    <w:rsid w:val="00BD617C"/>
    <w:rsid w:val="00BE1DBC"/>
    <w:rsid w:val="00BF2BD0"/>
    <w:rsid w:val="00BF376F"/>
    <w:rsid w:val="00BF3E44"/>
    <w:rsid w:val="00BF3F05"/>
    <w:rsid w:val="00BF436A"/>
    <w:rsid w:val="00BF46A6"/>
    <w:rsid w:val="00BF48F0"/>
    <w:rsid w:val="00BF53E1"/>
    <w:rsid w:val="00BF56F8"/>
    <w:rsid w:val="00BF5FD3"/>
    <w:rsid w:val="00BF71FB"/>
    <w:rsid w:val="00C02546"/>
    <w:rsid w:val="00C044C1"/>
    <w:rsid w:val="00C04AB6"/>
    <w:rsid w:val="00C06545"/>
    <w:rsid w:val="00C10D50"/>
    <w:rsid w:val="00C12CEE"/>
    <w:rsid w:val="00C134AF"/>
    <w:rsid w:val="00C17625"/>
    <w:rsid w:val="00C220FC"/>
    <w:rsid w:val="00C24B5B"/>
    <w:rsid w:val="00C24DFA"/>
    <w:rsid w:val="00C24F9D"/>
    <w:rsid w:val="00C261F6"/>
    <w:rsid w:val="00C276F6"/>
    <w:rsid w:val="00C30182"/>
    <w:rsid w:val="00C30382"/>
    <w:rsid w:val="00C30C9E"/>
    <w:rsid w:val="00C31FC9"/>
    <w:rsid w:val="00C37A63"/>
    <w:rsid w:val="00C41F60"/>
    <w:rsid w:val="00C46A36"/>
    <w:rsid w:val="00C47037"/>
    <w:rsid w:val="00C53625"/>
    <w:rsid w:val="00C53E9F"/>
    <w:rsid w:val="00C548BA"/>
    <w:rsid w:val="00C54D56"/>
    <w:rsid w:val="00C57784"/>
    <w:rsid w:val="00C602C1"/>
    <w:rsid w:val="00C63608"/>
    <w:rsid w:val="00C63FC0"/>
    <w:rsid w:val="00C66392"/>
    <w:rsid w:val="00C67D87"/>
    <w:rsid w:val="00C72C8D"/>
    <w:rsid w:val="00C73D09"/>
    <w:rsid w:val="00C74C5E"/>
    <w:rsid w:val="00C75ECA"/>
    <w:rsid w:val="00C80D87"/>
    <w:rsid w:val="00C82558"/>
    <w:rsid w:val="00C827A2"/>
    <w:rsid w:val="00C82B69"/>
    <w:rsid w:val="00C82CB3"/>
    <w:rsid w:val="00C86E29"/>
    <w:rsid w:val="00C91B28"/>
    <w:rsid w:val="00C91F3A"/>
    <w:rsid w:val="00C93590"/>
    <w:rsid w:val="00CA314D"/>
    <w:rsid w:val="00CA5446"/>
    <w:rsid w:val="00CB1213"/>
    <w:rsid w:val="00CB12E8"/>
    <w:rsid w:val="00CB218D"/>
    <w:rsid w:val="00CB3C63"/>
    <w:rsid w:val="00CB5625"/>
    <w:rsid w:val="00CB5797"/>
    <w:rsid w:val="00CB7E67"/>
    <w:rsid w:val="00CC03E5"/>
    <w:rsid w:val="00CC1C17"/>
    <w:rsid w:val="00CC4F01"/>
    <w:rsid w:val="00CC4F7F"/>
    <w:rsid w:val="00CC5C15"/>
    <w:rsid w:val="00CD0146"/>
    <w:rsid w:val="00CD0252"/>
    <w:rsid w:val="00CD09E1"/>
    <w:rsid w:val="00CD49AD"/>
    <w:rsid w:val="00CD74CC"/>
    <w:rsid w:val="00CE1780"/>
    <w:rsid w:val="00CE3028"/>
    <w:rsid w:val="00CE353F"/>
    <w:rsid w:val="00CE3C6D"/>
    <w:rsid w:val="00CE4327"/>
    <w:rsid w:val="00CE4913"/>
    <w:rsid w:val="00CE66BD"/>
    <w:rsid w:val="00CF0671"/>
    <w:rsid w:val="00CF247A"/>
    <w:rsid w:val="00CF4190"/>
    <w:rsid w:val="00CF44AD"/>
    <w:rsid w:val="00CF4FC0"/>
    <w:rsid w:val="00D00028"/>
    <w:rsid w:val="00D0107F"/>
    <w:rsid w:val="00D033A5"/>
    <w:rsid w:val="00D1072F"/>
    <w:rsid w:val="00D108A5"/>
    <w:rsid w:val="00D14585"/>
    <w:rsid w:val="00D20249"/>
    <w:rsid w:val="00D20831"/>
    <w:rsid w:val="00D20EFF"/>
    <w:rsid w:val="00D2551E"/>
    <w:rsid w:val="00D25F48"/>
    <w:rsid w:val="00D304CC"/>
    <w:rsid w:val="00D3077A"/>
    <w:rsid w:val="00D31324"/>
    <w:rsid w:val="00D36A58"/>
    <w:rsid w:val="00D47756"/>
    <w:rsid w:val="00D53ED8"/>
    <w:rsid w:val="00D604AC"/>
    <w:rsid w:val="00D608F8"/>
    <w:rsid w:val="00D64857"/>
    <w:rsid w:val="00D6493A"/>
    <w:rsid w:val="00D649A5"/>
    <w:rsid w:val="00D67875"/>
    <w:rsid w:val="00D719B9"/>
    <w:rsid w:val="00D71E86"/>
    <w:rsid w:val="00D731C6"/>
    <w:rsid w:val="00D745C5"/>
    <w:rsid w:val="00D75327"/>
    <w:rsid w:val="00D80C36"/>
    <w:rsid w:val="00D81A32"/>
    <w:rsid w:val="00D86EE1"/>
    <w:rsid w:val="00D87E70"/>
    <w:rsid w:val="00D91C23"/>
    <w:rsid w:val="00D9377F"/>
    <w:rsid w:val="00D95E90"/>
    <w:rsid w:val="00D96126"/>
    <w:rsid w:val="00D96523"/>
    <w:rsid w:val="00D97B36"/>
    <w:rsid w:val="00DA2FD5"/>
    <w:rsid w:val="00DA515B"/>
    <w:rsid w:val="00DB0B64"/>
    <w:rsid w:val="00DB2522"/>
    <w:rsid w:val="00DB42D9"/>
    <w:rsid w:val="00DB4B1C"/>
    <w:rsid w:val="00DB5085"/>
    <w:rsid w:val="00DB5E31"/>
    <w:rsid w:val="00DB619F"/>
    <w:rsid w:val="00DB6E51"/>
    <w:rsid w:val="00DC1062"/>
    <w:rsid w:val="00DC132C"/>
    <w:rsid w:val="00DC1AD2"/>
    <w:rsid w:val="00DC48CC"/>
    <w:rsid w:val="00DD078D"/>
    <w:rsid w:val="00DD3189"/>
    <w:rsid w:val="00DD4191"/>
    <w:rsid w:val="00DD43F0"/>
    <w:rsid w:val="00DD44DE"/>
    <w:rsid w:val="00DD5C4A"/>
    <w:rsid w:val="00DE09AB"/>
    <w:rsid w:val="00DE4A3F"/>
    <w:rsid w:val="00DE5A99"/>
    <w:rsid w:val="00DF24C2"/>
    <w:rsid w:val="00DF4367"/>
    <w:rsid w:val="00DF70AA"/>
    <w:rsid w:val="00DF7291"/>
    <w:rsid w:val="00E043D3"/>
    <w:rsid w:val="00E0574A"/>
    <w:rsid w:val="00E076D8"/>
    <w:rsid w:val="00E10709"/>
    <w:rsid w:val="00E1243D"/>
    <w:rsid w:val="00E12742"/>
    <w:rsid w:val="00E1403B"/>
    <w:rsid w:val="00E146D4"/>
    <w:rsid w:val="00E14B2F"/>
    <w:rsid w:val="00E15966"/>
    <w:rsid w:val="00E1744B"/>
    <w:rsid w:val="00E21D37"/>
    <w:rsid w:val="00E220ED"/>
    <w:rsid w:val="00E22B44"/>
    <w:rsid w:val="00E24551"/>
    <w:rsid w:val="00E25E48"/>
    <w:rsid w:val="00E30ACD"/>
    <w:rsid w:val="00E31806"/>
    <w:rsid w:val="00E319C3"/>
    <w:rsid w:val="00E32735"/>
    <w:rsid w:val="00E416DF"/>
    <w:rsid w:val="00E42251"/>
    <w:rsid w:val="00E44B88"/>
    <w:rsid w:val="00E51CEF"/>
    <w:rsid w:val="00E66E36"/>
    <w:rsid w:val="00E671AE"/>
    <w:rsid w:val="00E702ED"/>
    <w:rsid w:val="00E709A4"/>
    <w:rsid w:val="00E75D63"/>
    <w:rsid w:val="00E772DB"/>
    <w:rsid w:val="00E77C34"/>
    <w:rsid w:val="00E81367"/>
    <w:rsid w:val="00E8338F"/>
    <w:rsid w:val="00E85191"/>
    <w:rsid w:val="00E86012"/>
    <w:rsid w:val="00E86BAB"/>
    <w:rsid w:val="00E9037B"/>
    <w:rsid w:val="00E9432B"/>
    <w:rsid w:val="00E94E10"/>
    <w:rsid w:val="00E96743"/>
    <w:rsid w:val="00E96A42"/>
    <w:rsid w:val="00EA49C5"/>
    <w:rsid w:val="00EA6279"/>
    <w:rsid w:val="00EA68A0"/>
    <w:rsid w:val="00EA7B0A"/>
    <w:rsid w:val="00EB1969"/>
    <w:rsid w:val="00EB5027"/>
    <w:rsid w:val="00EB5EE1"/>
    <w:rsid w:val="00EC1836"/>
    <w:rsid w:val="00EC2442"/>
    <w:rsid w:val="00EC318C"/>
    <w:rsid w:val="00EC3990"/>
    <w:rsid w:val="00EC42AE"/>
    <w:rsid w:val="00EC484B"/>
    <w:rsid w:val="00EC5D8E"/>
    <w:rsid w:val="00EC7E58"/>
    <w:rsid w:val="00ED15FA"/>
    <w:rsid w:val="00ED3881"/>
    <w:rsid w:val="00ED5C9F"/>
    <w:rsid w:val="00ED7302"/>
    <w:rsid w:val="00ED7C12"/>
    <w:rsid w:val="00EE07A3"/>
    <w:rsid w:val="00EE0B52"/>
    <w:rsid w:val="00EE45D7"/>
    <w:rsid w:val="00EE6E9A"/>
    <w:rsid w:val="00EE789D"/>
    <w:rsid w:val="00EF04AC"/>
    <w:rsid w:val="00EF2AC4"/>
    <w:rsid w:val="00EF397E"/>
    <w:rsid w:val="00EF51CE"/>
    <w:rsid w:val="00EF7A17"/>
    <w:rsid w:val="00F05AE9"/>
    <w:rsid w:val="00F06F68"/>
    <w:rsid w:val="00F117BB"/>
    <w:rsid w:val="00F13DBE"/>
    <w:rsid w:val="00F1488C"/>
    <w:rsid w:val="00F15E9D"/>
    <w:rsid w:val="00F200DD"/>
    <w:rsid w:val="00F24C2D"/>
    <w:rsid w:val="00F25584"/>
    <w:rsid w:val="00F27D59"/>
    <w:rsid w:val="00F32A81"/>
    <w:rsid w:val="00F40C82"/>
    <w:rsid w:val="00F4197F"/>
    <w:rsid w:val="00F431D4"/>
    <w:rsid w:val="00F44A0E"/>
    <w:rsid w:val="00F44AF1"/>
    <w:rsid w:val="00F45DFF"/>
    <w:rsid w:val="00F46998"/>
    <w:rsid w:val="00F5382D"/>
    <w:rsid w:val="00F53D9C"/>
    <w:rsid w:val="00F5462B"/>
    <w:rsid w:val="00F57205"/>
    <w:rsid w:val="00F62DD8"/>
    <w:rsid w:val="00F634AD"/>
    <w:rsid w:val="00F63677"/>
    <w:rsid w:val="00F6568C"/>
    <w:rsid w:val="00F71EBA"/>
    <w:rsid w:val="00F75B81"/>
    <w:rsid w:val="00F804C4"/>
    <w:rsid w:val="00F80C7E"/>
    <w:rsid w:val="00F82F83"/>
    <w:rsid w:val="00F84506"/>
    <w:rsid w:val="00F85A85"/>
    <w:rsid w:val="00F873AC"/>
    <w:rsid w:val="00F90C64"/>
    <w:rsid w:val="00F92B30"/>
    <w:rsid w:val="00F933B9"/>
    <w:rsid w:val="00F94674"/>
    <w:rsid w:val="00F94919"/>
    <w:rsid w:val="00F94A59"/>
    <w:rsid w:val="00FA1E07"/>
    <w:rsid w:val="00FA25B6"/>
    <w:rsid w:val="00FA2FAF"/>
    <w:rsid w:val="00FA3757"/>
    <w:rsid w:val="00FA3C61"/>
    <w:rsid w:val="00FA54F6"/>
    <w:rsid w:val="00FA64B1"/>
    <w:rsid w:val="00FA70F3"/>
    <w:rsid w:val="00FA71CD"/>
    <w:rsid w:val="00FA7FDD"/>
    <w:rsid w:val="00FB0453"/>
    <w:rsid w:val="00FB0C07"/>
    <w:rsid w:val="00FB298D"/>
    <w:rsid w:val="00FB35EA"/>
    <w:rsid w:val="00FB4832"/>
    <w:rsid w:val="00FC1439"/>
    <w:rsid w:val="00FC1B7A"/>
    <w:rsid w:val="00FC2DB5"/>
    <w:rsid w:val="00FC33AA"/>
    <w:rsid w:val="00FC3F65"/>
    <w:rsid w:val="00FC4173"/>
    <w:rsid w:val="00FC71DA"/>
    <w:rsid w:val="00FC724B"/>
    <w:rsid w:val="00FC7668"/>
    <w:rsid w:val="00FC7910"/>
    <w:rsid w:val="00FD01E0"/>
    <w:rsid w:val="00FD0FC8"/>
    <w:rsid w:val="00FD2B6F"/>
    <w:rsid w:val="00FD4B78"/>
    <w:rsid w:val="00FD6FF8"/>
    <w:rsid w:val="00FE1627"/>
    <w:rsid w:val="00FE2AA2"/>
    <w:rsid w:val="00FE439C"/>
    <w:rsid w:val="00FE444F"/>
    <w:rsid w:val="00FE54B7"/>
    <w:rsid w:val="00FE5BD0"/>
    <w:rsid w:val="00FE62B8"/>
    <w:rsid w:val="00FE69F4"/>
    <w:rsid w:val="00FE73F0"/>
    <w:rsid w:val="00FE7E42"/>
    <w:rsid w:val="00FF092F"/>
    <w:rsid w:val="00FF0DA7"/>
    <w:rsid w:val="00FF44E0"/>
    <w:rsid w:val="00FF6C72"/>
    <w:rsid w:val="01A94010"/>
    <w:rsid w:val="01DF6F92"/>
    <w:rsid w:val="05BF1420"/>
    <w:rsid w:val="078220FB"/>
    <w:rsid w:val="09C30F57"/>
    <w:rsid w:val="0A3B3C8B"/>
    <w:rsid w:val="0B45552B"/>
    <w:rsid w:val="0BF263F6"/>
    <w:rsid w:val="0CF629FC"/>
    <w:rsid w:val="0D596940"/>
    <w:rsid w:val="0D7E0499"/>
    <w:rsid w:val="0D981BB8"/>
    <w:rsid w:val="0F3932BC"/>
    <w:rsid w:val="105E794E"/>
    <w:rsid w:val="106B05B6"/>
    <w:rsid w:val="119360D6"/>
    <w:rsid w:val="11EB3D39"/>
    <w:rsid w:val="1354798A"/>
    <w:rsid w:val="137B35AF"/>
    <w:rsid w:val="14782AA2"/>
    <w:rsid w:val="149A64B1"/>
    <w:rsid w:val="1505027F"/>
    <w:rsid w:val="15134287"/>
    <w:rsid w:val="16CE15A3"/>
    <w:rsid w:val="177B0705"/>
    <w:rsid w:val="17A4173D"/>
    <w:rsid w:val="1A324115"/>
    <w:rsid w:val="1A540717"/>
    <w:rsid w:val="1CAF384D"/>
    <w:rsid w:val="1D814AA5"/>
    <w:rsid w:val="1DB84F1E"/>
    <w:rsid w:val="1DD73BCF"/>
    <w:rsid w:val="1EB6048B"/>
    <w:rsid w:val="1EF65EF6"/>
    <w:rsid w:val="1F234C0C"/>
    <w:rsid w:val="210755B4"/>
    <w:rsid w:val="22FB276D"/>
    <w:rsid w:val="23C547B3"/>
    <w:rsid w:val="2446477A"/>
    <w:rsid w:val="249D2C56"/>
    <w:rsid w:val="25566745"/>
    <w:rsid w:val="261F6D61"/>
    <w:rsid w:val="28386F2E"/>
    <w:rsid w:val="28AA1076"/>
    <w:rsid w:val="28EA52FA"/>
    <w:rsid w:val="29107F53"/>
    <w:rsid w:val="2AF730C2"/>
    <w:rsid w:val="2BA57BBC"/>
    <w:rsid w:val="2BEE4B94"/>
    <w:rsid w:val="2CE37EB5"/>
    <w:rsid w:val="2D113502"/>
    <w:rsid w:val="2DE86E74"/>
    <w:rsid w:val="2F2470D2"/>
    <w:rsid w:val="2F5B716B"/>
    <w:rsid w:val="307A0C5E"/>
    <w:rsid w:val="31A751BC"/>
    <w:rsid w:val="3252638A"/>
    <w:rsid w:val="33057DFC"/>
    <w:rsid w:val="337203AE"/>
    <w:rsid w:val="343B3DBB"/>
    <w:rsid w:val="36000CFE"/>
    <w:rsid w:val="36C2526A"/>
    <w:rsid w:val="376641A4"/>
    <w:rsid w:val="3811168E"/>
    <w:rsid w:val="38D41769"/>
    <w:rsid w:val="39A42568"/>
    <w:rsid w:val="3A022862"/>
    <w:rsid w:val="3B3A3330"/>
    <w:rsid w:val="3B537311"/>
    <w:rsid w:val="3BBF0A71"/>
    <w:rsid w:val="3D1E454A"/>
    <w:rsid w:val="3F2324C1"/>
    <w:rsid w:val="41221750"/>
    <w:rsid w:val="42124D27"/>
    <w:rsid w:val="422549D8"/>
    <w:rsid w:val="43885228"/>
    <w:rsid w:val="44AA183B"/>
    <w:rsid w:val="44DD67C7"/>
    <w:rsid w:val="45690CD5"/>
    <w:rsid w:val="45952195"/>
    <w:rsid w:val="488302E7"/>
    <w:rsid w:val="4BD97CE6"/>
    <w:rsid w:val="4BDD4185"/>
    <w:rsid w:val="4C6729B1"/>
    <w:rsid w:val="4D2D3004"/>
    <w:rsid w:val="4D424C15"/>
    <w:rsid w:val="4DBF2D2F"/>
    <w:rsid w:val="4F0831A5"/>
    <w:rsid w:val="4F771487"/>
    <w:rsid w:val="517B52CE"/>
    <w:rsid w:val="522E0650"/>
    <w:rsid w:val="56866803"/>
    <w:rsid w:val="56F1196D"/>
    <w:rsid w:val="59282FEE"/>
    <w:rsid w:val="5AFE591D"/>
    <w:rsid w:val="5CFE3670"/>
    <w:rsid w:val="5D7B027C"/>
    <w:rsid w:val="5E131117"/>
    <w:rsid w:val="5E4E4E2C"/>
    <w:rsid w:val="5FE91B00"/>
    <w:rsid w:val="60956786"/>
    <w:rsid w:val="617A39AA"/>
    <w:rsid w:val="61876A50"/>
    <w:rsid w:val="626C73FC"/>
    <w:rsid w:val="62EA5F8F"/>
    <w:rsid w:val="633352E7"/>
    <w:rsid w:val="63576604"/>
    <w:rsid w:val="642B3B2B"/>
    <w:rsid w:val="68682E9A"/>
    <w:rsid w:val="69B52012"/>
    <w:rsid w:val="6A942F72"/>
    <w:rsid w:val="6C43379D"/>
    <w:rsid w:val="6E292BB9"/>
    <w:rsid w:val="6E4F3D89"/>
    <w:rsid w:val="70142E12"/>
    <w:rsid w:val="705C5240"/>
    <w:rsid w:val="72633030"/>
    <w:rsid w:val="72E12639"/>
    <w:rsid w:val="731A4031"/>
    <w:rsid w:val="74162BD4"/>
    <w:rsid w:val="749156AA"/>
    <w:rsid w:val="755F0D14"/>
    <w:rsid w:val="757177C2"/>
    <w:rsid w:val="76940F17"/>
    <w:rsid w:val="77577866"/>
    <w:rsid w:val="78E41947"/>
    <w:rsid w:val="79312F71"/>
    <w:rsid w:val="794A3C60"/>
    <w:rsid w:val="797E3D39"/>
    <w:rsid w:val="79D9001D"/>
    <w:rsid w:val="7A4A3CF9"/>
    <w:rsid w:val="7BAB6A04"/>
    <w:rsid w:val="7D776DF5"/>
    <w:rsid w:val="7F5D4FEE"/>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5">
    <w:name w:val="heading 1"/>
    <w:basedOn w:val="1"/>
    <w:next w:val="1"/>
    <w:link w:val="62"/>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64"/>
    <w:autoRedefine/>
    <w:semiHidden/>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69"/>
    <w:autoRedefine/>
    <w:qFormat/>
    <w:uiPriority w:val="0"/>
    <w:pPr>
      <w:keepNext/>
      <w:keepLines/>
      <w:spacing w:before="280" w:after="290" w:line="376" w:lineRule="auto"/>
      <w:outlineLvl w:val="3"/>
    </w:pPr>
    <w:rPr>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semiHidden/>
    <w:unhideWhenUsed/>
    <w:qFormat/>
    <w:uiPriority w:val="99"/>
    <w:pPr>
      <w:ind w:firstLine="420" w:firstLineChars="100"/>
    </w:pPr>
  </w:style>
  <w:style w:type="paragraph" w:styleId="3">
    <w:name w:val="Body Text"/>
    <w:basedOn w:val="1"/>
    <w:next w:val="4"/>
    <w:link w:val="70"/>
    <w:autoRedefine/>
    <w:qFormat/>
    <w:uiPriority w:val="0"/>
    <w:pPr>
      <w:spacing w:after="120"/>
    </w:pPr>
    <w:rPr>
      <w:rFonts w:ascii="@微软简标宋" w:hAnsi="@微软简标宋" w:eastAsia="@微软简标宋" w:cs="@微软简标宋"/>
      <w:szCs w:val="24"/>
      <w:lang w:val="zh-CN"/>
    </w:rPr>
  </w:style>
  <w:style w:type="paragraph" w:customStyle="1" w:styleId="4">
    <w:name w:val="_Style 2"/>
    <w:basedOn w:val="1"/>
    <w:next w:val="1"/>
    <w:qFormat/>
    <w:uiPriority w:val="0"/>
    <w:pPr>
      <w:ind w:firstLine="420" w:firstLineChars="200"/>
    </w:pPr>
  </w:style>
  <w:style w:type="paragraph" w:styleId="9">
    <w:name w:val="toc 7"/>
    <w:basedOn w:val="1"/>
    <w:next w:val="1"/>
    <w:qFormat/>
    <w:uiPriority w:val="39"/>
    <w:pPr>
      <w:ind w:left="1260"/>
      <w:jc w:val="left"/>
    </w:pPr>
    <w:rPr>
      <w:sz w:val="18"/>
      <w:szCs w:val="18"/>
    </w:rPr>
  </w:style>
  <w:style w:type="paragraph" w:styleId="10">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11">
    <w:name w:val="toa heading"/>
    <w:basedOn w:val="1"/>
    <w:next w:val="1"/>
    <w:qFormat/>
    <w:uiPriority w:val="99"/>
    <w:pPr>
      <w:spacing w:before="120"/>
    </w:pPr>
    <w:rPr>
      <w:rFonts w:ascii="Arial" w:hAnsi="Arial"/>
      <w:sz w:val="24"/>
      <w:szCs w:val="20"/>
    </w:rPr>
  </w:style>
  <w:style w:type="paragraph" w:styleId="12">
    <w:name w:val="annotation text"/>
    <w:basedOn w:val="1"/>
    <w:link w:val="61"/>
    <w:autoRedefine/>
    <w:qFormat/>
    <w:uiPriority w:val="0"/>
    <w:pPr>
      <w:jc w:val="left"/>
    </w:pPr>
    <w:rPr>
      <w:rFonts w:ascii="Arial" w:hAnsi="Arial" w:eastAsia="黑体" w:cs="Arial"/>
    </w:rPr>
  </w:style>
  <w:style w:type="paragraph" w:styleId="13">
    <w:name w:val="Body Text Indent"/>
    <w:basedOn w:val="1"/>
    <w:next w:val="14"/>
    <w:qFormat/>
    <w:uiPriority w:val="0"/>
    <w:pPr>
      <w:spacing w:after="120"/>
      <w:ind w:left="420" w:leftChars="200"/>
    </w:pPr>
  </w:style>
  <w:style w:type="paragraph" w:styleId="14">
    <w:name w:val="envelope return"/>
    <w:basedOn w:val="1"/>
    <w:qFormat/>
    <w:uiPriority w:val="0"/>
    <w:pPr>
      <w:snapToGrid w:val="0"/>
    </w:pPr>
    <w:rPr>
      <w:rFonts w:ascii="Arial" w:hAnsi="Arial"/>
    </w:rPr>
  </w:style>
  <w:style w:type="paragraph" w:styleId="15">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6">
    <w:name w:val="Plain Text"/>
    <w:basedOn w:val="1"/>
    <w:next w:val="1"/>
    <w:link w:val="50"/>
    <w:autoRedefine/>
    <w:qFormat/>
    <w:uiPriority w:val="99"/>
    <w:rPr>
      <w:rFonts w:ascii="宋体" w:hAnsi="Courier New" w:eastAsiaTheme="minorEastAsia" w:cstheme="minorBidi"/>
      <w:szCs w:val="22"/>
    </w:rPr>
  </w:style>
  <w:style w:type="paragraph" w:styleId="17">
    <w:name w:val="Date"/>
    <w:basedOn w:val="1"/>
    <w:next w:val="1"/>
    <w:link w:val="57"/>
    <w:autoRedefine/>
    <w:qFormat/>
    <w:uiPriority w:val="0"/>
    <w:rPr>
      <w:rFonts w:ascii="Arial" w:hAnsi="Arial" w:eastAsia="宋体" w:cs="Arial"/>
      <w:b/>
      <w:sz w:val="28"/>
    </w:rPr>
  </w:style>
  <w:style w:type="paragraph" w:styleId="18">
    <w:name w:val="Body Text Indent 2"/>
    <w:basedOn w:val="1"/>
    <w:next w:val="1"/>
    <w:qFormat/>
    <w:uiPriority w:val="0"/>
    <w:pPr>
      <w:spacing w:line="360" w:lineRule="exact"/>
      <w:ind w:firstLine="600" w:firstLineChars="250"/>
      <w:jc w:val="left"/>
    </w:pPr>
    <w:rPr>
      <w:rFonts w:ascii="Times New Roman" w:hAnsi="Times New Roman" w:eastAsia="宋体" w:cs="Times New Roman"/>
      <w:sz w:val="24"/>
    </w:rPr>
  </w:style>
  <w:style w:type="paragraph" w:styleId="19">
    <w:name w:val="Balloon Text"/>
    <w:basedOn w:val="1"/>
    <w:link w:val="44"/>
    <w:autoRedefine/>
    <w:semiHidden/>
    <w:unhideWhenUsed/>
    <w:qFormat/>
    <w:uiPriority w:val="99"/>
    <w:rPr>
      <w:sz w:val="18"/>
      <w:szCs w:val="18"/>
    </w:rPr>
  </w:style>
  <w:style w:type="paragraph" w:styleId="20">
    <w:name w:val="footer"/>
    <w:basedOn w:val="1"/>
    <w:link w:val="49"/>
    <w:autoRedefine/>
    <w:unhideWhenUsed/>
    <w:qFormat/>
    <w:uiPriority w:val="99"/>
    <w:pPr>
      <w:tabs>
        <w:tab w:val="center" w:pos="4153"/>
        <w:tab w:val="right" w:pos="8306"/>
      </w:tabs>
      <w:snapToGrid w:val="0"/>
      <w:jc w:val="left"/>
    </w:pPr>
    <w:rPr>
      <w:sz w:val="18"/>
      <w:szCs w:val="18"/>
    </w:rPr>
  </w:style>
  <w:style w:type="paragraph" w:styleId="21">
    <w:name w:val="header"/>
    <w:basedOn w:val="1"/>
    <w:link w:val="4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3">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4">
    <w:name w:val="Normal (Web)"/>
    <w:basedOn w:val="1"/>
    <w:next w:val="25"/>
    <w:autoRedefine/>
    <w:qFormat/>
    <w:uiPriority w:val="0"/>
    <w:pPr>
      <w:spacing w:before="100" w:beforeAutospacing="1" w:after="100" w:afterAutospacing="1"/>
      <w:jc w:val="left"/>
    </w:pPr>
    <w:rPr>
      <w:rFonts w:cs="Times New Roman"/>
      <w:kern w:val="0"/>
      <w:sz w:val="24"/>
    </w:rPr>
  </w:style>
  <w:style w:type="paragraph" w:customStyle="1" w:styleId="25">
    <w:name w:val="正文文字 8"/>
    <w:basedOn w:val="1"/>
    <w:next w:val="1"/>
    <w:autoRedefine/>
    <w:qFormat/>
    <w:uiPriority w:val="0"/>
    <w:pPr>
      <w:ind w:left="240"/>
    </w:pPr>
    <w:rPr>
      <w:sz w:val="16"/>
    </w:rPr>
  </w:style>
  <w:style w:type="paragraph" w:styleId="26">
    <w:name w:val="index 1"/>
    <w:basedOn w:val="1"/>
    <w:next w:val="1"/>
    <w:autoRedefine/>
    <w:qFormat/>
    <w:uiPriority w:val="0"/>
    <w:pPr>
      <w:jc w:val="center"/>
    </w:pPr>
    <w:rPr>
      <w:rFonts w:ascii="Arial" w:hAnsi="Arial" w:eastAsia="Arial" w:cs="Arial"/>
      <w:b/>
      <w:bCs/>
      <w:sz w:val="28"/>
    </w:rPr>
  </w:style>
  <w:style w:type="paragraph" w:styleId="27">
    <w:name w:val="Title"/>
    <w:basedOn w:val="1"/>
    <w:next w:val="1"/>
    <w:qFormat/>
    <w:uiPriority w:val="0"/>
    <w:pPr>
      <w:numPr>
        <w:ilvl w:val="0"/>
        <w:numId w:val="1"/>
      </w:numPr>
      <w:spacing w:line="360" w:lineRule="auto"/>
      <w:jc w:val="left"/>
      <w:outlineLvl w:val="0"/>
    </w:pPr>
    <w:rPr>
      <w:rFonts w:ascii="Cambria" w:hAnsi="Cambria" w:cs="Times New Roman"/>
      <w:b/>
      <w:bCs/>
      <w:sz w:val="28"/>
      <w:szCs w:val="32"/>
    </w:rPr>
  </w:style>
  <w:style w:type="paragraph" w:styleId="28">
    <w:name w:val="Body Text First Indent 2"/>
    <w:basedOn w:val="13"/>
    <w:next w:val="1"/>
    <w:qFormat/>
    <w:uiPriority w:val="0"/>
    <w:pPr>
      <w:ind w:firstLine="420" w:firstLineChars="200"/>
    </w:pPr>
    <w:rPr>
      <w:rFonts w:ascii="Times New Roman" w:hAnsi="Times New Roman" w:cs="Times New Roman"/>
      <w:szCs w:val="21"/>
    </w:rPr>
  </w:style>
  <w:style w:type="table" w:styleId="30">
    <w:name w:val="Table Grid"/>
    <w:basedOn w:val="29"/>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0"/>
    <w:rPr>
      <w:b/>
      <w:bCs/>
    </w:rPr>
  </w:style>
  <w:style w:type="character" w:styleId="33">
    <w:name w:val="FollowedHyperlink"/>
    <w:basedOn w:val="31"/>
    <w:semiHidden/>
    <w:unhideWhenUsed/>
    <w:qFormat/>
    <w:uiPriority w:val="99"/>
    <w:rPr>
      <w:color w:val="5C5C5C"/>
      <w:u w:val="none"/>
    </w:rPr>
  </w:style>
  <w:style w:type="character" w:styleId="34">
    <w:name w:val="Emphasis"/>
    <w:basedOn w:val="31"/>
    <w:qFormat/>
    <w:uiPriority w:val="20"/>
    <w:rPr>
      <w:b/>
      <w:bCs/>
    </w:rPr>
  </w:style>
  <w:style w:type="character" w:styleId="35">
    <w:name w:val="HTML Definition"/>
    <w:basedOn w:val="31"/>
    <w:semiHidden/>
    <w:unhideWhenUsed/>
    <w:qFormat/>
    <w:uiPriority w:val="99"/>
  </w:style>
  <w:style w:type="character" w:styleId="36">
    <w:name w:val="HTML Typewriter"/>
    <w:basedOn w:val="31"/>
    <w:semiHidden/>
    <w:unhideWhenUsed/>
    <w:qFormat/>
    <w:uiPriority w:val="99"/>
    <w:rPr>
      <w:rFonts w:hint="default" w:ascii="monospace" w:hAnsi="monospace" w:eastAsia="monospace" w:cs="monospace"/>
      <w:sz w:val="20"/>
    </w:rPr>
  </w:style>
  <w:style w:type="character" w:styleId="37">
    <w:name w:val="HTML Acronym"/>
    <w:basedOn w:val="31"/>
    <w:semiHidden/>
    <w:unhideWhenUsed/>
    <w:qFormat/>
    <w:uiPriority w:val="99"/>
    <w:rPr>
      <w:color w:val="D6D6D6"/>
    </w:rPr>
  </w:style>
  <w:style w:type="character" w:styleId="38">
    <w:name w:val="HTML Variable"/>
    <w:basedOn w:val="31"/>
    <w:semiHidden/>
    <w:unhideWhenUsed/>
    <w:qFormat/>
    <w:uiPriority w:val="99"/>
  </w:style>
  <w:style w:type="character" w:styleId="39">
    <w:name w:val="Hyperlink"/>
    <w:basedOn w:val="31"/>
    <w:autoRedefine/>
    <w:unhideWhenUsed/>
    <w:qFormat/>
    <w:uiPriority w:val="99"/>
    <w:rPr>
      <w:color w:val="0000FF" w:themeColor="hyperlink"/>
      <w:u w:val="single"/>
      <w14:textFill>
        <w14:solidFill>
          <w14:schemeClr w14:val="hlink"/>
        </w14:solidFill>
      </w14:textFill>
    </w:rPr>
  </w:style>
  <w:style w:type="character" w:styleId="40">
    <w:name w:val="HTML Code"/>
    <w:basedOn w:val="31"/>
    <w:semiHidden/>
    <w:unhideWhenUsed/>
    <w:qFormat/>
    <w:uiPriority w:val="99"/>
    <w:rPr>
      <w:rFonts w:hint="default" w:ascii="monospace" w:hAnsi="monospace" w:eastAsia="monospace" w:cs="monospace"/>
      <w:sz w:val="20"/>
    </w:rPr>
  </w:style>
  <w:style w:type="character" w:styleId="41">
    <w:name w:val="HTML Cite"/>
    <w:basedOn w:val="31"/>
    <w:semiHidden/>
    <w:unhideWhenUsed/>
    <w:qFormat/>
    <w:uiPriority w:val="99"/>
  </w:style>
  <w:style w:type="character" w:styleId="42">
    <w:name w:val="HTML Keyboard"/>
    <w:basedOn w:val="31"/>
    <w:semiHidden/>
    <w:unhideWhenUsed/>
    <w:qFormat/>
    <w:uiPriority w:val="99"/>
    <w:rPr>
      <w:rFonts w:hint="default" w:ascii="monospace" w:hAnsi="monospace" w:eastAsia="monospace" w:cs="monospace"/>
      <w:sz w:val="20"/>
    </w:rPr>
  </w:style>
  <w:style w:type="character" w:styleId="43">
    <w:name w:val="HTML Sample"/>
    <w:basedOn w:val="31"/>
    <w:semiHidden/>
    <w:unhideWhenUsed/>
    <w:qFormat/>
    <w:uiPriority w:val="99"/>
    <w:rPr>
      <w:rFonts w:ascii="monospace" w:hAnsi="monospace" w:eastAsia="monospace" w:cs="monospace"/>
    </w:rPr>
  </w:style>
  <w:style w:type="character" w:customStyle="1" w:styleId="44">
    <w:name w:val="批注框文本 Char"/>
    <w:basedOn w:val="31"/>
    <w:link w:val="19"/>
    <w:autoRedefine/>
    <w:semiHidden/>
    <w:qFormat/>
    <w:uiPriority w:val="99"/>
    <w:rPr>
      <w:rFonts w:ascii="@仿宋_GB2312" w:hAnsi="@仿宋_GB2312" w:eastAsia="@仿宋_GB2312" w:cs="@仿宋_GB2312"/>
      <w:sz w:val="18"/>
      <w:szCs w:val="18"/>
    </w:rPr>
  </w:style>
  <w:style w:type="paragraph" w:customStyle="1" w:styleId="45">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6">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7">
    <w:name w:val="D&amp;L"/>
    <w:basedOn w:val="21"/>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8">
    <w:name w:val="页眉 Char"/>
    <w:basedOn w:val="31"/>
    <w:link w:val="21"/>
    <w:autoRedefine/>
    <w:qFormat/>
    <w:uiPriority w:val="0"/>
    <w:rPr>
      <w:rFonts w:ascii="@仿宋_GB2312" w:hAnsi="@仿宋_GB2312" w:eastAsia="@仿宋_GB2312" w:cs="@仿宋_GB2312"/>
      <w:sz w:val="18"/>
      <w:szCs w:val="18"/>
    </w:rPr>
  </w:style>
  <w:style w:type="character" w:customStyle="1" w:styleId="49">
    <w:name w:val="页脚 Char"/>
    <w:basedOn w:val="31"/>
    <w:link w:val="20"/>
    <w:autoRedefine/>
    <w:qFormat/>
    <w:uiPriority w:val="99"/>
    <w:rPr>
      <w:rFonts w:ascii="@仿宋_GB2312" w:hAnsi="@仿宋_GB2312" w:eastAsia="@仿宋_GB2312" w:cs="@仿宋_GB2312"/>
      <w:sz w:val="18"/>
      <w:szCs w:val="18"/>
    </w:rPr>
  </w:style>
  <w:style w:type="character" w:customStyle="1" w:styleId="50">
    <w:name w:val="纯文本 Char"/>
    <w:link w:val="16"/>
    <w:autoRedefine/>
    <w:qFormat/>
    <w:uiPriority w:val="0"/>
    <w:rPr>
      <w:rFonts w:ascii="宋体" w:hAnsi="Courier New"/>
    </w:rPr>
  </w:style>
  <w:style w:type="character" w:customStyle="1" w:styleId="51">
    <w:name w:val="纯文本 字符1"/>
    <w:basedOn w:val="31"/>
    <w:autoRedefine/>
    <w:semiHidden/>
    <w:qFormat/>
    <w:uiPriority w:val="99"/>
    <w:rPr>
      <w:rFonts w:hAnsi="Courier New" w:cs="Courier New" w:asciiTheme="minorEastAsia"/>
      <w:szCs w:val="20"/>
    </w:rPr>
  </w:style>
  <w:style w:type="character" w:customStyle="1" w:styleId="52">
    <w:name w:val="未处理的提及1"/>
    <w:basedOn w:val="31"/>
    <w:autoRedefine/>
    <w:semiHidden/>
    <w:unhideWhenUsed/>
    <w:qFormat/>
    <w:uiPriority w:val="99"/>
    <w:rPr>
      <w:color w:val="605E5C"/>
      <w:shd w:val="clear" w:color="auto" w:fill="E1DFDD"/>
    </w:rPr>
  </w:style>
  <w:style w:type="paragraph" w:styleId="53">
    <w:name w:val="List Paragraph"/>
    <w:basedOn w:val="1"/>
    <w:autoRedefine/>
    <w:qFormat/>
    <w:uiPriority w:val="34"/>
    <w:pPr>
      <w:ind w:firstLine="420" w:firstLineChars="200"/>
    </w:pPr>
  </w:style>
  <w:style w:type="paragraph" w:customStyle="1" w:styleId="54">
    <w:name w:val="Char Char Char Char Char Char Char1 Char"/>
    <w:basedOn w:val="1"/>
    <w:autoRedefine/>
    <w:qFormat/>
    <w:uiPriority w:val="0"/>
    <w:rPr>
      <w:rFonts w:ascii="Arial" w:hAnsi="Arial" w:eastAsia="宋体" w:cs="Arial"/>
      <w:sz w:val="24"/>
    </w:rPr>
  </w:style>
  <w:style w:type="table" w:customStyle="1" w:styleId="55">
    <w:name w:val="网格表 1 浅色1"/>
    <w:basedOn w:val="29"/>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6">
    <w:name w:val="日期 字符"/>
    <w:basedOn w:val="31"/>
    <w:autoRedefine/>
    <w:semiHidden/>
    <w:qFormat/>
    <w:uiPriority w:val="99"/>
    <w:rPr>
      <w:rFonts w:ascii="@仿宋_GB2312" w:hAnsi="@仿宋_GB2312" w:eastAsia="@仿宋_GB2312" w:cs="@仿宋_GB2312"/>
      <w:szCs w:val="20"/>
    </w:rPr>
  </w:style>
  <w:style w:type="character" w:customStyle="1" w:styleId="57">
    <w:name w:val="日期 Char"/>
    <w:link w:val="17"/>
    <w:autoRedefine/>
    <w:qFormat/>
    <w:uiPriority w:val="0"/>
    <w:rPr>
      <w:rFonts w:ascii="Arial" w:hAnsi="Arial" w:eastAsia="宋体" w:cs="Arial"/>
      <w:b/>
      <w:sz w:val="28"/>
      <w:szCs w:val="20"/>
    </w:rPr>
  </w:style>
  <w:style w:type="character" w:customStyle="1" w:styleId="58">
    <w:name w:val="纯文本 Char1"/>
    <w:link w:val="59"/>
    <w:autoRedefine/>
    <w:qFormat/>
    <w:locked/>
    <w:uiPriority w:val="0"/>
    <w:rPr>
      <w:rFonts w:ascii="Arial" w:hAnsi="Arial" w:eastAsia="Arial"/>
      <w:kern w:val="2"/>
      <w:sz w:val="21"/>
      <w:lang w:val="en-US" w:eastAsia="zh-CN" w:bidi="ar-SA"/>
    </w:rPr>
  </w:style>
  <w:style w:type="paragraph" w:customStyle="1" w:styleId="59">
    <w:name w:val="纯文本1"/>
    <w:basedOn w:val="1"/>
    <w:link w:val="58"/>
    <w:autoRedefine/>
    <w:qFormat/>
    <w:uiPriority w:val="0"/>
    <w:rPr>
      <w:rFonts w:ascii="Arial" w:hAnsi="Arial" w:eastAsia="Arial" w:cstheme="minorBidi"/>
    </w:rPr>
  </w:style>
  <w:style w:type="character" w:customStyle="1" w:styleId="60">
    <w:name w:val="批注文字 Char"/>
    <w:basedOn w:val="31"/>
    <w:autoRedefine/>
    <w:semiHidden/>
    <w:qFormat/>
    <w:uiPriority w:val="99"/>
    <w:rPr>
      <w:rFonts w:ascii="@仿宋_GB2312" w:hAnsi="@仿宋_GB2312" w:eastAsia="@仿宋_GB2312" w:cs="@仿宋_GB2312"/>
      <w:szCs w:val="20"/>
    </w:rPr>
  </w:style>
  <w:style w:type="character" w:customStyle="1" w:styleId="61">
    <w:name w:val="批注文字 Char1"/>
    <w:link w:val="12"/>
    <w:autoRedefine/>
    <w:qFormat/>
    <w:uiPriority w:val="0"/>
    <w:rPr>
      <w:rFonts w:ascii="Arial" w:hAnsi="Arial" w:eastAsia="黑体" w:cs="Arial"/>
      <w:szCs w:val="20"/>
    </w:rPr>
  </w:style>
  <w:style w:type="character" w:customStyle="1" w:styleId="62">
    <w:name w:val="标题 1 Char"/>
    <w:basedOn w:val="31"/>
    <w:link w:val="5"/>
    <w:autoRedefine/>
    <w:qFormat/>
    <w:uiPriority w:val="9"/>
    <w:rPr>
      <w:rFonts w:ascii="@仿宋_GB2312" w:hAnsi="@仿宋_GB2312" w:eastAsia="@仿宋_GB2312" w:cs="@仿宋_GB2312"/>
      <w:b/>
      <w:bCs/>
      <w:kern w:val="44"/>
      <w:sz w:val="44"/>
      <w:szCs w:val="44"/>
    </w:rPr>
  </w:style>
  <w:style w:type="paragraph" w:customStyle="1" w:styleId="63">
    <w:name w:val="TOC 标题1"/>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4">
    <w:name w:val="标题 3 Char"/>
    <w:basedOn w:val="31"/>
    <w:link w:val="7"/>
    <w:autoRedefine/>
    <w:semiHidden/>
    <w:qFormat/>
    <w:uiPriority w:val="9"/>
    <w:rPr>
      <w:rFonts w:ascii="@仿宋_GB2312" w:hAnsi="@仿宋_GB2312" w:eastAsia="@仿宋_GB2312" w:cs="@仿宋_GB2312"/>
      <w:b/>
      <w:bCs/>
      <w:sz w:val="32"/>
      <w:szCs w:val="32"/>
    </w:rPr>
  </w:style>
  <w:style w:type="character" w:customStyle="1" w:styleId="65">
    <w:name w:val="fontstyle01"/>
    <w:basedOn w:val="31"/>
    <w:autoRedefine/>
    <w:qFormat/>
    <w:uiPriority w:val="0"/>
    <w:rPr>
      <w:rFonts w:hint="eastAsia" w:ascii="宋体" w:hAnsi="宋体" w:eastAsia="宋体"/>
      <w:color w:val="000000"/>
      <w:sz w:val="22"/>
      <w:szCs w:val="22"/>
    </w:rPr>
  </w:style>
  <w:style w:type="character" w:customStyle="1" w:styleId="66">
    <w:name w:val="fontstyle21"/>
    <w:basedOn w:val="31"/>
    <w:autoRedefine/>
    <w:qFormat/>
    <w:uiPriority w:val="0"/>
    <w:rPr>
      <w:rFonts w:hint="default" w:ascii="TimesNewRomanPSMT" w:hAnsi="TimesNewRomanPSMT"/>
      <w:color w:val="000000"/>
      <w:sz w:val="22"/>
      <w:szCs w:val="22"/>
    </w:rPr>
  </w:style>
  <w:style w:type="character" w:customStyle="1" w:styleId="67">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8">
    <w:name w:val="标题 4 字符"/>
    <w:basedOn w:val="31"/>
    <w:autoRedefine/>
    <w:semiHidden/>
    <w:qFormat/>
    <w:uiPriority w:val="9"/>
    <w:rPr>
      <w:rFonts w:asciiTheme="majorHAnsi" w:hAnsiTheme="majorHAnsi" w:eastAsiaTheme="majorEastAsia" w:cstheme="majorBidi"/>
      <w:b/>
      <w:bCs/>
      <w:sz w:val="28"/>
      <w:szCs w:val="28"/>
    </w:rPr>
  </w:style>
  <w:style w:type="character" w:customStyle="1" w:styleId="69">
    <w:name w:val="标题 4 Char"/>
    <w:link w:val="8"/>
    <w:autoRedefine/>
    <w:qFormat/>
    <w:uiPriority w:val="0"/>
    <w:rPr>
      <w:rFonts w:ascii="@仿宋_GB2312" w:hAnsi="@仿宋_GB2312" w:eastAsia="@仿宋_GB2312" w:cs="@仿宋_GB2312"/>
      <w:b/>
      <w:bCs/>
      <w:sz w:val="28"/>
      <w:szCs w:val="28"/>
    </w:rPr>
  </w:style>
  <w:style w:type="character" w:customStyle="1" w:styleId="70">
    <w:name w:val="正文文本 Char"/>
    <w:basedOn w:val="31"/>
    <w:link w:val="3"/>
    <w:autoRedefine/>
    <w:qFormat/>
    <w:uiPriority w:val="0"/>
    <w:rPr>
      <w:rFonts w:ascii="@微软简标宋" w:hAnsi="@微软简标宋" w:eastAsia="@微软简标宋" w:cs="@微软简标宋"/>
      <w:szCs w:val="24"/>
      <w:lang w:val="zh-CN" w:eastAsia="zh-CN"/>
    </w:rPr>
  </w:style>
  <w:style w:type="table" w:customStyle="1" w:styleId="71">
    <w:name w:val="网格型1"/>
    <w:basedOn w:val="29"/>
    <w:autoRedefine/>
    <w:unhideWhenUse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
    <w:name w:val="Table Normal"/>
    <w:autoRedefine/>
    <w:semiHidden/>
    <w:unhideWhenUsed/>
    <w:qFormat/>
    <w:uiPriority w:val="0"/>
    <w:tblPr>
      <w:tblCellMar>
        <w:top w:w="0" w:type="dxa"/>
        <w:left w:w="0" w:type="dxa"/>
        <w:bottom w:w="0" w:type="dxa"/>
        <w:right w:w="0" w:type="dxa"/>
      </w:tblCellMar>
    </w:tblPr>
  </w:style>
  <w:style w:type="paragraph" w:customStyle="1" w:styleId="73">
    <w:name w:val="Table Text"/>
    <w:basedOn w:val="1"/>
    <w:autoRedefine/>
    <w:semiHidden/>
    <w:qFormat/>
    <w:uiPriority w:val="0"/>
    <w:rPr>
      <w:rFonts w:ascii="Arial" w:hAnsi="Arial" w:eastAsia="Arial" w:cs="Arial"/>
      <w:sz w:val="21"/>
      <w:szCs w:val="21"/>
      <w:lang w:val="en-US" w:eastAsia="en-US" w:bidi="ar-SA"/>
    </w:rPr>
  </w:style>
  <w:style w:type="character" w:customStyle="1" w:styleId="74">
    <w:name w:val="hover"/>
    <w:basedOn w:val="31"/>
    <w:qFormat/>
    <w:uiPriority w:val="0"/>
    <w:rPr>
      <w:color w:val="2590EB"/>
    </w:rPr>
  </w:style>
  <w:style w:type="character" w:customStyle="1" w:styleId="75">
    <w:name w:val="hover1"/>
    <w:basedOn w:val="31"/>
    <w:qFormat/>
    <w:uiPriority w:val="0"/>
    <w:rPr>
      <w:color w:val="2590EB"/>
    </w:rPr>
  </w:style>
  <w:style w:type="character" w:customStyle="1" w:styleId="76">
    <w:name w:val="hover2"/>
    <w:basedOn w:val="31"/>
    <w:qFormat/>
    <w:uiPriority w:val="0"/>
  </w:style>
  <w:style w:type="character" w:customStyle="1" w:styleId="77">
    <w:name w:val="hover3"/>
    <w:basedOn w:val="31"/>
    <w:qFormat/>
    <w:uiPriority w:val="0"/>
    <w:rPr>
      <w:color w:val="2590EB"/>
      <w:shd w:val="clear" w:fill="E9F4FD"/>
    </w:rPr>
  </w:style>
  <w:style w:type="character" w:customStyle="1" w:styleId="78">
    <w:name w:val="first-child"/>
    <w:basedOn w:val="31"/>
    <w:qFormat/>
    <w:uiPriority w:val="0"/>
  </w:style>
  <w:style w:type="character" w:customStyle="1" w:styleId="79">
    <w:name w:val="layui-this"/>
    <w:basedOn w:val="31"/>
    <w:qFormat/>
    <w:uiPriority w:val="0"/>
    <w:rPr>
      <w:bdr w:val="single" w:color="EEEEEE" w:sz="6" w:space="0"/>
      <w:shd w:val="clear" w:fill="FFFFFF"/>
    </w:rPr>
  </w:style>
  <w:style w:type="character" w:customStyle="1" w:styleId="80">
    <w:name w:val="hover4"/>
    <w:basedOn w:val="31"/>
    <w:qFormat/>
    <w:uiPriority w:val="0"/>
    <w:rPr>
      <w:color w:val="2590EB"/>
      <w:shd w:val="clear" w:fill="E9F4FD"/>
    </w:rPr>
  </w:style>
  <w:style w:type="character" w:customStyle="1" w:styleId="81">
    <w:name w:val="mini-outputtext1"/>
    <w:basedOn w:val="31"/>
    <w:qFormat/>
    <w:uiPriority w:val="0"/>
  </w:style>
  <w:style w:type="paragraph" w:customStyle="1" w:styleId="82">
    <w:name w:val="Blockquote"/>
    <w:basedOn w:val="1"/>
    <w:autoRedefine/>
    <w:qFormat/>
    <w:uiPriority w:val="0"/>
    <w:pPr>
      <w:autoSpaceDE w:val="0"/>
      <w:autoSpaceDN w:val="0"/>
      <w:adjustRightInd w:val="0"/>
      <w:ind w:left="360" w:right="360"/>
      <w:jc w:val="left"/>
    </w:pPr>
    <w:rPr>
      <w:kern w:val="0"/>
      <w:sz w:val="24"/>
      <w:szCs w:val="20"/>
    </w:rPr>
  </w:style>
  <w:style w:type="paragraph" w:customStyle="1" w:styleId="83">
    <w:name w:val="card-title"/>
    <w:basedOn w:val="1"/>
    <w:qFormat/>
    <w:uiPriority w:val="0"/>
    <w:pPr>
      <w:spacing w:line="543" w:lineRule="atLeast"/>
      <w:ind w:right="679"/>
      <w:jc w:val="left"/>
    </w:pPr>
    <w:rPr>
      <w:color w:val="666666"/>
      <w:kern w:val="0"/>
      <w:lang w:val="en-US" w:eastAsia="zh-CN" w:bidi="ar"/>
    </w:rPr>
  </w:style>
  <w:style w:type="paragraph" w:customStyle="1" w:styleId="84">
    <w:name w:val="段"/>
    <w:next w:val="1"/>
    <w:qFormat/>
    <w:uiPriority w:val="0"/>
    <w:pPr>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85">
    <w:name w:val="status"/>
    <w:basedOn w:val="31"/>
    <w:qFormat/>
    <w:uiPriority w:val="0"/>
    <w:rPr>
      <w:color w:val="0776DD"/>
    </w:rPr>
  </w:style>
  <w:style w:type="character" w:customStyle="1" w:styleId="86">
    <w:name w:val="time"/>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56</Pages>
  <Words>1533</Words>
  <Characters>1858</Characters>
  <Lines>206</Lines>
  <Paragraphs>58</Paragraphs>
  <TotalTime>0</TotalTime>
  <ScaleCrop>false</ScaleCrop>
  <LinksUpToDate>false</LinksUpToDate>
  <CharactersWithSpaces>1973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代理</cp:lastModifiedBy>
  <cp:lastPrinted>2019-12-07T15:21:00Z</cp:lastPrinted>
  <dcterms:modified xsi:type="dcterms:W3CDTF">2025-09-03T08:57:06Z</dcterms:modified>
  <cp:revision>3589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97FE8A649B2242E4ABA835D14530B804_13</vt:lpwstr>
  </property>
  <property fmtid="{D5CDD505-2E9C-101B-9397-08002B2CF9AE}" pid="4" name="KSOTemplateDocerSaveRecord">
    <vt:lpwstr>eyJoZGlkIjoiOTc5MDNjMmIyODczM2YwMGZkZTNjYWY1NjIxZTY5YjciLCJ1c2VySWQiOiI1MDM3MjkwOTMifQ==</vt:lpwstr>
  </property>
</Properties>
</file>