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E5D17F5">
      <w:pPr>
        <w:ind w:right="-275" w:rightChars="-131"/>
        <w:jc w:val="center"/>
        <w:rPr>
          <w:color w:val="auto"/>
          <w:highlight w:val="none"/>
        </w:rPr>
      </w:pPr>
      <w:r>
        <w:rPr>
          <w:rFonts w:hint="eastAsia" w:ascii="宋体" w:hAnsi="宋体" w:cs="宋体"/>
          <w:b/>
          <w:bCs/>
          <w:color w:val="auto"/>
          <w:sz w:val="48"/>
          <w:szCs w:val="48"/>
          <w:highlight w:val="none"/>
          <w:lang w:val="en-US" w:eastAsia="zh-CN"/>
        </w:rPr>
        <w:t>安徽省滁州监狱2026年度民警值班室床上用品及警服洗涤服务项目</w:t>
      </w: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494CECC3">
      <w:pPr>
        <w:pStyle w:val="15"/>
        <w:numPr>
          <w:ilvl w:val="1"/>
          <w:numId w:val="0"/>
        </w:numPr>
        <w:ind w:leftChars="0"/>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安徽省滁州监狱2026年度民警值班室床上用品及警服洗涤服务项目</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5</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11</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4EF72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安徽省滁州监狱2026年度民警值班室床上用品及警服洗涤服务项目</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项目编号：TJSY-2026-0013</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约11万元</w:t>
      </w:r>
    </w:p>
    <w:p w14:paraId="2AA37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110000.00元</w:t>
      </w:r>
    </w:p>
    <w:p w14:paraId="363D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采购需求：安徽省滁州监狱2026年度民警值班室床上用品及警服洗涤服务</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90"/>
      <w:bookmarkEnd w:id="1"/>
      <w:bookmarkStart w:id="2" w:name="_Toc35393630"/>
      <w:bookmarkEnd w:id="2"/>
      <w:bookmarkStart w:id="3" w:name="_Toc35393799"/>
      <w:bookmarkEnd w:id="3"/>
      <w:bookmarkStart w:id="4" w:name="_Toc9532"/>
      <w:bookmarkEnd w:id="4"/>
      <w:bookmarkStart w:id="5" w:name="_Toc28359013"/>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91"/>
      <w:bookmarkStart w:id="7" w:name="_Toc28359014"/>
      <w:r>
        <w:rPr>
          <w:rFonts w:hint="eastAsia" w:ascii="宋体" w:hAnsi="宋体" w:eastAsia="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具有独立承担民事责任能力且具有相应服务能力</w:t>
      </w:r>
      <w:r>
        <w:rPr>
          <w:rFonts w:hint="eastAsia" w:ascii="宋体" w:hAnsi="宋体" w:cs="宋体"/>
          <w:color w:val="auto"/>
          <w:kern w:val="0"/>
          <w:sz w:val="24"/>
          <w:szCs w:val="24"/>
          <w:highlight w:val="none"/>
          <w:shd w:val="clear" w:color="auto" w:fill="FFFFFF"/>
          <w:lang w:val="en-US" w:eastAsia="zh-CN" w:bidi="ar"/>
        </w:rPr>
        <w:t>；</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须提供市场门店证明材料</w:t>
      </w:r>
      <w:r>
        <w:rPr>
          <w:rFonts w:hint="eastAsia" w:ascii="宋体" w:hAnsi="宋体" w:cs="宋体"/>
          <w:color w:val="auto"/>
          <w:kern w:val="0"/>
          <w:sz w:val="24"/>
          <w:szCs w:val="24"/>
          <w:highlight w:val="none"/>
          <w:shd w:val="clear" w:color="auto" w:fill="FFFFFF"/>
          <w:lang w:val="en-US" w:eastAsia="zh-CN" w:bidi="ar"/>
        </w:rPr>
        <w:t>（注：门店证明材料为房产证明或房屋租赁合同并附定位截图，截图时间为公告发布之日后。）</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25136"/>
      <w:bookmarkEnd w:id="8"/>
      <w:bookmarkStart w:id="9" w:name="_Toc35393800"/>
      <w:bookmarkEnd w:id="9"/>
      <w:bookmarkStart w:id="10" w:name="_Toc35393631"/>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11</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1952_WPSOffice_Level2"/>
      <w:bookmarkEnd w:id="11"/>
      <w:bookmarkStart w:id="12" w:name="_Toc2409_WPSOffice_Level2"/>
      <w:bookmarkEnd w:id="12"/>
      <w:bookmarkStart w:id="13" w:name="_Toc13601"/>
      <w:bookmarkEnd w:id="13"/>
      <w:bookmarkStart w:id="14" w:name="_Toc3042"/>
      <w:bookmarkEnd w:id="14"/>
      <w:bookmarkStart w:id="15" w:name="_Toc23501"/>
      <w:bookmarkEnd w:id="15"/>
      <w:bookmarkStart w:id="16" w:name="_Toc35393634"/>
      <w:bookmarkStart w:id="17" w:name="_Toc28359094"/>
      <w:bookmarkStart w:id="18" w:name="_Toc28359017"/>
      <w:bookmarkStart w:id="19" w:name="_Toc35393803"/>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11</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11</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3052"/>
      <w:bookmarkStart w:id="22" w:name="_Toc35393805"/>
      <w:bookmarkStart w:id="23" w:name="_Toc28359095"/>
      <w:bookmarkStart w:id="24" w:name="_Toc35393636"/>
      <w:bookmarkStart w:id="25" w:name="_Toc28359018"/>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28359096"/>
      <w:bookmarkEnd w:id="27"/>
      <w:bookmarkStart w:id="28" w:name="_Toc28359019"/>
      <w:bookmarkEnd w:id="28"/>
      <w:bookmarkStart w:id="29" w:name="_Toc35393637"/>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、0550-3973028</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28359097"/>
      <w:bookmarkEnd w:id="30"/>
      <w:bookmarkStart w:id="31" w:name="_Toc35393807"/>
      <w:bookmarkEnd w:id="31"/>
      <w:bookmarkStart w:id="32" w:name="_Toc35393638"/>
      <w:bookmarkEnd w:id="32"/>
      <w:bookmarkStart w:id="33" w:name="_Toc28359020"/>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98"/>
      <w:bookmarkStart w:id="35" w:name="_Toc28359021"/>
      <w:bookmarkStart w:id="36" w:name="_Toc35393808"/>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4"/>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23"/>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安徽省滁州监狱2026年度民警值班室床上用品及警服洗涤服务项目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1138"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满足采购需求要求。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9"/>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w:t>
            </w:r>
            <w:r>
              <w:rPr>
                <w:rFonts w:hint="eastAsia" w:hAnsi="宋体" w:cs="宋体"/>
                <w:color w:val="auto"/>
                <w:spacing w:val="-4"/>
                <w:kern w:val="0"/>
                <w:sz w:val="21"/>
                <w:szCs w:val="21"/>
                <w:highlight w:val="none"/>
                <w:lang w:val="en-US" w:eastAsia="zh-CN"/>
              </w:rPr>
              <w:t>供应商</w:t>
            </w:r>
            <w:r>
              <w:rPr>
                <w:rFonts w:hint="eastAsia" w:ascii="宋体" w:hAnsi="宋体" w:eastAsia="宋体" w:cs="宋体"/>
                <w:color w:val="auto"/>
                <w:spacing w:val="-4"/>
                <w:kern w:val="0"/>
                <w:sz w:val="21"/>
                <w:szCs w:val="21"/>
                <w:highlight w:val="none"/>
              </w:rPr>
              <w:t>自行组织踏勘现场。</w:t>
            </w:r>
          </w:p>
        </w:tc>
      </w:tr>
      <w:tr w14:paraId="2D33938B">
        <w:tblPrEx>
          <w:tblCellMar>
            <w:top w:w="0" w:type="dxa"/>
            <w:left w:w="108" w:type="dxa"/>
            <w:bottom w:w="0" w:type="dxa"/>
            <w:right w:w="108" w:type="dxa"/>
          </w:tblCellMar>
        </w:tblPrEx>
        <w:trPr>
          <w:trHeight w:val="1524"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0A3A61F7">
            <w:pPr>
              <w:keepNext w:val="0"/>
              <w:keepLines w:val="0"/>
              <w:pageBreakBefore w:val="0"/>
              <w:numPr>
                <w:ilvl w:val="0"/>
                <w:numId w:val="0"/>
              </w:numPr>
              <w:kinsoku/>
              <w:overflowPunct/>
              <w:topLinePunct w:val="0"/>
              <w:autoSpaceDN/>
              <w:bidi w:val="0"/>
              <w:spacing w:line="560" w:lineRule="exact"/>
              <w:ind w:right="-94" w:rightChars="-45"/>
              <w:jc w:val="left"/>
              <w:textAlignment w:val="auto"/>
              <w:rPr>
                <w:rFonts w:hint="eastAsia" w:ascii="宋体" w:hAnsi="宋体" w:cs="宋体"/>
                <w:b w:val="0"/>
                <w:bCs w:val="0"/>
                <w:color w:val="auto"/>
                <w:spacing w:val="-4"/>
                <w:sz w:val="21"/>
                <w:szCs w:val="21"/>
                <w:highlight w:val="none"/>
                <w:lang w:val="en-US" w:eastAsia="zh-CN"/>
              </w:rPr>
            </w:pPr>
            <w:r>
              <w:rPr>
                <w:rFonts w:hint="eastAsia" w:ascii="宋体" w:hAnsi="宋体" w:cs="宋体"/>
                <w:b w:val="0"/>
                <w:bCs w:val="0"/>
                <w:color w:val="auto"/>
                <w:spacing w:val="-4"/>
                <w:sz w:val="21"/>
                <w:szCs w:val="21"/>
                <w:highlight w:val="none"/>
                <w:lang w:val="en-US" w:eastAsia="zh-CN"/>
              </w:rPr>
              <w:t>1.本项目最高限价为110000.00元，响应报价不得高于最高限价，否则按无效响应处理。</w:t>
            </w:r>
          </w:p>
          <w:p w14:paraId="30A84BDA">
            <w:pPr>
              <w:pStyle w:val="15"/>
              <w:numPr>
                <w:ilvl w:val="1"/>
                <w:numId w:val="0"/>
              </w:numPr>
              <w:rPr>
                <w:rFonts w:hint="default"/>
                <w:lang w:val="en-US" w:eastAsia="zh-CN"/>
              </w:rPr>
            </w:pPr>
            <w:r>
              <w:rPr>
                <w:rFonts w:hint="eastAsia"/>
                <w:lang w:val="en-US" w:eastAsia="zh-CN"/>
              </w:rPr>
              <w:t>2.响应报价保留两位小数点，第三位四舍五入。</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pacing w:val="-2"/>
                <w:sz w:val="21"/>
                <w:szCs w:val="21"/>
                <w:highlight w:val="none"/>
              </w:rPr>
              <w:t>通知书须加盖</w:t>
            </w:r>
            <w:r>
              <w:rPr>
                <w:rFonts w:hint="eastAsia" w:ascii="宋体" w:hAnsi="宋体" w:cs="宋体"/>
                <w:color w:val="auto"/>
                <w:spacing w:val="-2"/>
                <w:sz w:val="21"/>
                <w:szCs w:val="21"/>
                <w:highlight w:val="none"/>
                <w:lang w:val="en-US" w:eastAsia="zh-CN"/>
              </w:rPr>
              <w:t>采购</w:t>
            </w:r>
            <w:r>
              <w:rPr>
                <w:rFonts w:hint="eastAsia" w:ascii="宋体" w:hAnsi="宋体" w:eastAsia="宋体" w:cs="宋体"/>
                <w:color w:val="auto"/>
                <w:spacing w:val="-2"/>
                <w:sz w:val="21"/>
                <w:szCs w:val="21"/>
                <w:highlight w:val="none"/>
                <w:lang w:val="en-US" w:eastAsia="zh-CN"/>
              </w:rPr>
              <w:t>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1653"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约1240元）具体</w:t>
            </w:r>
            <w:r>
              <w:rPr>
                <w:rFonts w:hint="eastAsia" w:ascii="宋体" w:hAnsi="宋体" w:eastAsia="宋体" w:cs="宋体"/>
                <w:color w:val="auto"/>
                <w:kern w:val="0"/>
                <w:sz w:val="21"/>
                <w:szCs w:val="21"/>
                <w:highlight w:val="none"/>
              </w:rPr>
              <w:t>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yellow"/>
                <w:lang w:val="en-US" w:eastAsia="zh-CN"/>
              </w:rPr>
            </w:pPr>
            <w:r>
              <w:rPr>
                <w:rFonts w:hint="eastAsia" w:ascii="宋体" w:hAnsi="宋体" w:cs="宋体"/>
                <w:b/>
                <w:bCs/>
                <w:color w:val="auto"/>
                <w:sz w:val="21"/>
                <w:szCs w:val="21"/>
                <w:highlight w:val="none"/>
                <w:lang w:val="en-US" w:eastAsia="zh-CN"/>
              </w:rPr>
              <w:t>按季度支付，</w:t>
            </w:r>
            <w:r>
              <w:rPr>
                <w:rFonts w:hint="default" w:ascii="宋体" w:hAnsi="宋体" w:eastAsia="宋体" w:cs="宋体"/>
                <w:b/>
                <w:bCs/>
                <w:color w:val="auto"/>
                <w:sz w:val="21"/>
                <w:szCs w:val="21"/>
                <w:highlight w:val="none"/>
                <w:lang w:val="en-US" w:eastAsia="zh-CN"/>
              </w:rPr>
              <w:t>每季度结束后</w:t>
            </w:r>
            <w:r>
              <w:rPr>
                <w:rFonts w:hint="eastAsia" w:ascii="宋体" w:hAnsi="宋体" w:cs="宋体"/>
                <w:b/>
                <w:bCs/>
                <w:color w:val="auto"/>
                <w:sz w:val="21"/>
                <w:szCs w:val="21"/>
                <w:highlight w:val="none"/>
                <w:lang w:val="en-US" w:eastAsia="zh-CN"/>
              </w:rPr>
              <w:t>并</w:t>
            </w:r>
            <w:r>
              <w:rPr>
                <w:rFonts w:hint="default" w:ascii="宋体" w:hAnsi="宋体" w:eastAsia="宋体" w:cs="宋体"/>
                <w:b/>
                <w:bCs/>
                <w:color w:val="auto"/>
                <w:sz w:val="21"/>
                <w:szCs w:val="21"/>
                <w:highlight w:val="none"/>
                <w:lang w:val="en-US" w:eastAsia="zh-CN"/>
              </w:rPr>
              <w:t xml:space="preserve">经考核合格，支付当季度洗涤费用的100%。 </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9</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8</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7E17F1D2">
        <w:tblPrEx>
          <w:tblCellMar>
            <w:top w:w="0" w:type="dxa"/>
            <w:left w:w="108" w:type="dxa"/>
            <w:bottom w:w="0" w:type="dxa"/>
            <w:right w:w="108" w:type="dxa"/>
          </w:tblCellMar>
        </w:tblPrEx>
        <w:tc>
          <w:tcPr>
            <w:tcW w:w="10058" w:type="dxa"/>
            <w:gridSpan w:val="4"/>
            <w:tcBorders>
              <w:top w:val="single" w:color="auto" w:sz="4" w:space="0"/>
              <w:left w:val="single" w:color="auto" w:sz="4" w:space="0"/>
              <w:bottom w:val="single" w:color="auto" w:sz="4" w:space="0"/>
              <w:right w:val="single" w:color="auto" w:sz="4" w:space="0"/>
            </w:tcBorders>
            <w:vAlign w:val="center"/>
          </w:tcPr>
          <w:p w14:paraId="33FEC0C3">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供应商在系统中制作或提交响应文件时，项目编号填写系统生成的编号“HXJY1110001055522001”；具体响应文件里的内容所涉及到的项目编号以“TJSY-2026-0013”为准。</w:t>
            </w:r>
          </w:p>
        </w:tc>
      </w:tr>
    </w:tbl>
    <w:p w14:paraId="1242CE82">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9E392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安徽省滁州监狱2026年度民警值班室床上用品及警服洗涤服务项目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1.3项目规模：</w:t>
      </w:r>
      <w:r>
        <w:rPr>
          <w:rFonts w:hint="eastAsia" w:ascii="宋体" w:hAnsi="宋体" w:cs="宋体"/>
          <w:color w:val="auto"/>
          <w:szCs w:val="21"/>
          <w:highlight w:val="none"/>
          <w:lang w:val="en-US" w:eastAsia="zh-CN"/>
        </w:rPr>
        <w:t>约11万元</w:t>
      </w:r>
      <w:r>
        <w:rPr>
          <w:rFonts w:hint="eastAsia" w:ascii="宋体" w:hAnsi="宋体" w:eastAsia="宋体" w:cs="宋体"/>
          <w:color w:val="auto"/>
          <w:szCs w:val="21"/>
          <w:highlight w:val="none"/>
        </w:rPr>
        <w:t xml:space="preserve">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cs="宋体"/>
          <w:color w:val="auto"/>
          <w:sz w:val="21"/>
          <w:szCs w:val="21"/>
          <w:highlight w:val="none"/>
          <w:lang w:val="en-US" w:eastAsia="zh-CN"/>
        </w:rPr>
        <w:t>满足采购需求要求。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136D9EC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6.2分项报价清单（格式见附件）；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3CCF300E">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6.4市场门店证明材料；</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11.1.2采购小组对满足询价文件实质性要求的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文件最终按报价最低原则，推荐</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324404864"/>
      <w:bookmarkEnd w:id="38"/>
      <w:bookmarkStart w:id="39" w:name="_Toc35424939"/>
      <w:bookmarkEnd w:id="39"/>
      <w:bookmarkStart w:id="40" w:name="_Toc35947222"/>
      <w:bookmarkEnd w:id="40"/>
      <w:bookmarkStart w:id="41" w:name="_Toc15058902"/>
      <w:bookmarkEnd w:id="41"/>
      <w:bookmarkStart w:id="42" w:name="_Toc35425105"/>
      <w:bookmarkEnd w:id="42"/>
      <w:bookmarkStart w:id="43" w:name="_Toc506107317"/>
      <w:bookmarkEnd w:id="43"/>
      <w:bookmarkStart w:id="44" w:name="_Toc29569"/>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324404866"/>
      <w:bookmarkEnd w:id="45"/>
      <w:bookmarkStart w:id="46" w:name="_Toc506107319"/>
      <w:bookmarkEnd w:id="46"/>
      <w:bookmarkStart w:id="47" w:name="_Toc15058904"/>
      <w:bookmarkEnd w:id="47"/>
      <w:bookmarkStart w:id="48" w:name="_Toc35424941"/>
      <w:bookmarkEnd w:id="48"/>
      <w:bookmarkStart w:id="49" w:name="_Toc18543"/>
      <w:bookmarkEnd w:id="49"/>
      <w:bookmarkStart w:id="50" w:name="_Toc35947224"/>
      <w:bookmarkEnd w:id="50"/>
      <w:bookmarkStart w:id="51" w:name="_Toc35425107"/>
      <w:bookmarkEnd w:id="51"/>
      <w:r>
        <w:rPr>
          <w:rFonts w:hint="eastAsia" w:ascii="宋体" w:hAnsi="宋体" w:cs="宋体"/>
          <w:b/>
          <w:bCs/>
          <w:color w:val="auto"/>
          <w:szCs w:val="21"/>
          <w:highlight w:val="none"/>
        </w:rPr>
        <w:t>1.审查资料</w:t>
      </w:r>
    </w:p>
    <w:p w14:paraId="0AE28DCD">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47341E6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（2）分项报价清单（格式见附件）；</w:t>
      </w:r>
    </w:p>
    <w:p w14:paraId="1EAA5FC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企业营业执照；</w:t>
      </w:r>
    </w:p>
    <w:p w14:paraId="07139E4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（4）市场门店证明材料；</w:t>
      </w:r>
    </w:p>
    <w:p w14:paraId="5348D90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（5）供应商诚信响应承诺书（格式见附件）；</w:t>
      </w:r>
    </w:p>
    <w:p w14:paraId="0FD0352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0D5ACF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506107322"/>
      <w:bookmarkEnd w:id="52"/>
      <w:bookmarkStart w:id="53" w:name="_Toc324404869"/>
      <w:bookmarkEnd w:id="53"/>
      <w:bookmarkStart w:id="54" w:name="_Toc17309"/>
      <w:bookmarkEnd w:id="54"/>
      <w:bookmarkStart w:id="55" w:name="_Toc21611172"/>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4.3采购小组对满足询价文件实质性要求的报价文件最终按报价最低原则，推荐</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506107331"/>
      <w:bookmarkEnd w:id="57"/>
      <w:bookmarkStart w:id="58" w:name="_Toc21611183"/>
      <w:bookmarkEnd w:id="58"/>
      <w:bookmarkStart w:id="59" w:name="_Toc324404879"/>
      <w:bookmarkEnd w:id="59"/>
      <w:bookmarkStart w:id="60" w:name="_Toc233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26357"/>
      <w:bookmarkEnd w:id="61"/>
      <w:bookmarkStart w:id="62" w:name="_Toc506107332"/>
      <w:bookmarkEnd w:id="62"/>
      <w:bookmarkStart w:id="63" w:name="_Toc21611184"/>
      <w:bookmarkEnd w:id="63"/>
      <w:bookmarkStart w:id="64" w:name="_Toc324404880"/>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22"/>
        <w:ind w:left="0" w:leftChars="0" w:firstLine="0" w:firstLineChars="0"/>
        <w:rPr>
          <w:color w:val="auto"/>
          <w:highlight w:val="none"/>
        </w:rPr>
      </w:pPr>
    </w:p>
    <w:p w14:paraId="5F58D260">
      <w:pPr>
        <w:pStyle w:val="22"/>
        <w:rPr>
          <w:color w:val="auto"/>
          <w:highlight w:val="none"/>
        </w:rPr>
      </w:pPr>
    </w:p>
    <w:p w14:paraId="53A5C8CD">
      <w:pPr>
        <w:pStyle w:val="22"/>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9592"/>
      <w:bookmarkStart w:id="66" w:name="_Toc11685"/>
      <w:bookmarkStart w:id="67" w:name="_Toc20678"/>
      <w:bookmarkStart w:id="68" w:name="_Toc9590"/>
      <w:bookmarkStart w:id="69" w:name="_Toc23095"/>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采购内容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178"/>
        <w:gridCol w:w="1237"/>
      </w:tblGrid>
      <w:tr w14:paraId="7F7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0C04910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7178" w:type="dxa"/>
            <w:noWrap w:val="0"/>
            <w:vAlign w:val="top"/>
          </w:tcPr>
          <w:p w14:paraId="7F9BA9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237" w:type="dxa"/>
            <w:noWrap w:val="0"/>
            <w:vAlign w:val="top"/>
          </w:tcPr>
          <w:p w14:paraId="073E986B">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r>
      <w:tr w14:paraId="74A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0E938F0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7178" w:type="dxa"/>
            <w:noWrap w:val="0"/>
            <w:vAlign w:val="top"/>
          </w:tcPr>
          <w:p w14:paraId="6AEE190D">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w:t>
            </w:r>
            <w:bookmarkStart w:id="273" w:name="_GoBack"/>
            <w:bookmarkEnd w:id="273"/>
            <w:r>
              <w:rPr>
                <w:rFonts w:hint="eastAsia" w:ascii="宋体" w:hAnsi="宋体" w:eastAsia="宋体" w:cs="宋体"/>
                <w:kern w:val="0"/>
                <w:sz w:val="21"/>
                <w:szCs w:val="21"/>
                <w:vertAlign w:val="baseline"/>
                <w:lang w:val="en-US" w:eastAsia="zh-CN"/>
              </w:rPr>
              <w:t>限于床单、被套、枕套等，具体数量和规格根据值班室实际床位配置确定。</w:t>
            </w:r>
          </w:p>
          <w:p w14:paraId="6B6CAB40">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237" w:type="dxa"/>
            <w:noWrap w:val="0"/>
            <w:vAlign w:val="center"/>
          </w:tcPr>
          <w:p w14:paraId="6435BFBC">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r>
      <w:tr w14:paraId="1E0F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14:paraId="5123810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7178" w:type="dxa"/>
            <w:noWrap w:val="0"/>
            <w:vAlign w:val="top"/>
          </w:tcPr>
          <w:p w14:paraId="5765B957">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5A80B059">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237" w:type="dxa"/>
            <w:noWrap w:val="0"/>
            <w:vAlign w:val="center"/>
          </w:tcPr>
          <w:p w14:paraId="6883D65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125张</w:t>
            </w:r>
          </w:p>
        </w:tc>
      </w:tr>
    </w:tbl>
    <w:p w14:paraId="3939700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6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二、洗涤质量标准</w:t>
      </w:r>
    </w:p>
    <w:p w14:paraId="0397EC8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1.采用专业的洗涤设备和合适的洗涤剂，确保清洗过程不会对物品造成损坏、褪色等不良影响。</w:t>
      </w:r>
    </w:p>
    <w:p w14:paraId="6099775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2.针对不同材质和污渍程度的物品，制定相应的洗涤流程和工艺，有效去除污渍，如血渍、汗渍、油污等常见污渍。</w:t>
      </w:r>
    </w:p>
    <w:p w14:paraId="5DF8CED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3.严格按照卫生消毒标准进行消毒处理，消毒方式应符合国家相关规定，可采用高温消毒、紫外线消毒或化学消毒剂消毒等多种方式相结合，确保清洗后的物品达到卫生安全标准，无病菌残留。</w:t>
      </w:r>
    </w:p>
    <w:p w14:paraId="4CFF297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 xml:space="preserve">4.警服的清洗应注重保持其版型、颜色和标识的完整性，不得出现变形、掉色、标识模糊等情况。工作服的清洗要保证其功能性不受损，如防水、保暖等性能。  </w:t>
      </w:r>
    </w:p>
    <w:p w14:paraId="019C493C">
      <w:pPr>
        <w:keepNext w:val="0"/>
        <w:keepLines w:val="0"/>
        <w:pageBreakBefore w:val="0"/>
        <w:kinsoku/>
        <w:wordWrap/>
        <w:overflowPunct/>
        <w:topLinePunct w:val="0"/>
        <w:autoSpaceDE/>
        <w:autoSpaceDN/>
        <w:bidi w:val="0"/>
        <w:snapToGrid w:val="0"/>
        <w:spacing w:line="500" w:lineRule="exact"/>
        <w:ind w:left="420" w:leftChars="200" w:firstLine="0" w:firstLineChars="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三、其他要求</w:t>
      </w:r>
    </w:p>
    <w:p w14:paraId="1F0AB5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在项目实施过程中，上述采购数量和实际发生的数量不一致时，按采购实际发生数量为准，成交综合单价不作任何调整，请各供应商报价时自行考虑,否则自行承担一切后果及损失。</w:t>
      </w:r>
    </w:p>
    <w:p w14:paraId="5AB29D0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要求：以人民币为报价货币，分别列出每套床上用品洗涤的单价及总价（按6100套）、警服洗涤的单件价格及预估年总价（按125张*12=1500套计算），报价应包含货物运输、安装调试（如有）、洗涤服务的取送费用等所有相关费用，在合同执行期间，单价价格不得调整。</w:t>
      </w:r>
    </w:p>
    <w:p w14:paraId="23743B46">
      <w:pPr>
        <w:pStyle w:val="22"/>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交货及洗涤服务时间：床上用品在合同签订后，根据民警值班班次每3天更换一次，床上用品由成交人自行到采购人处收取，每周2至3次；警服洗涤服务：警服由采购单位的工作人员个人自行送往门店，需在收到警服后的7个工作日内完成洗涤并送回指定地点，紧急任务时应具备加急处理能力，确保民警按时着装执行任务。</w:t>
      </w:r>
    </w:p>
    <w:p w14:paraId="48B3BF65">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AD815F1">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center"/>
        <w:textAlignment w:val="auto"/>
        <w:rPr>
          <w:rFonts w:hint="eastAsia" w:ascii="宋体" w:hAnsi="宋体" w:cs="宋体"/>
          <w:b/>
          <w:bCs w:val="0"/>
          <w:color w:val="auto"/>
          <w:sz w:val="36"/>
          <w:szCs w:val="36"/>
          <w:highlight w:val="none"/>
          <w:lang w:val="en-US" w:eastAsia="zh-CN"/>
        </w:rPr>
      </w:pPr>
      <w:r>
        <w:rPr>
          <w:rFonts w:hint="eastAsia" w:ascii="宋体" w:hAnsi="宋体" w:eastAsia="宋体" w:cs="宋体"/>
          <w:color w:val="auto"/>
          <w:sz w:val="28"/>
          <w:szCs w:val="28"/>
          <w:highlight w:val="none"/>
        </w:rPr>
        <w:t>（四）合同条款</w:t>
      </w:r>
    </w:p>
    <w:p w14:paraId="2A735887">
      <w:pPr>
        <w:spacing w:line="480" w:lineRule="auto"/>
        <w:jc w:val="center"/>
        <w:outlineLvl w:val="1"/>
        <w:rPr>
          <w:rFonts w:ascii="宋体" w:hAnsi="宋体" w:eastAsia="宋体" w:cs="Times New Roman"/>
          <w:b/>
          <w:color w:val="000000"/>
          <w:sz w:val="28"/>
          <w:szCs w:val="28"/>
        </w:rPr>
      </w:pPr>
      <w:bookmarkStart w:id="70" w:name="_Toc3714"/>
      <w:r>
        <w:rPr>
          <w:rFonts w:ascii="宋体" w:hAnsi="宋体" w:eastAsia="宋体" w:cs="Times New Roman"/>
          <w:b/>
          <w:color w:val="000000"/>
          <w:sz w:val="28"/>
          <w:szCs w:val="28"/>
        </w:rPr>
        <w:t>政府采购合同</w:t>
      </w:r>
      <w:r>
        <w:rPr>
          <w:rFonts w:hint="eastAsia" w:ascii="宋体" w:hAnsi="宋体" w:eastAsia="宋体" w:cs="Times New Roman"/>
          <w:b/>
          <w:color w:val="000000"/>
          <w:sz w:val="28"/>
          <w:szCs w:val="28"/>
        </w:rPr>
        <w:t>参考范本</w:t>
      </w:r>
      <w:bookmarkEnd w:id="70"/>
    </w:p>
    <w:p w14:paraId="05138455">
      <w:pPr>
        <w:spacing w:line="480" w:lineRule="auto"/>
        <w:jc w:val="center"/>
        <w:outlineLvl w:val="1"/>
        <w:rPr>
          <w:rFonts w:ascii="宋体" w:hAnsi="宋体" w:eastAsia="宋体" w:cs="Times New Roman"/>
          <w:b/>
          <w:color w:val="000000"/>
          <w:sz w:val="28"/>
          <w:szCs w:val="28"/>
        </w:rPr>
      </w:pPr>
      <w:bookmarkStart w:id="71" w:name="_Toc8560"/>
      <w:r>
        <w:rPr>
          <w:rFonts w:hint="eastAsia" w:ascii="宋体" w:hAnsi="宋体" w:eastAsia="宋体" w:cs="Times New Roman"/>
          <w:b/>
          <w:color w:val="000000"/>
          <w:sz w:val="28"/>
          <w:szCs w:val="28"/>
        </w:rPr>
        <w:t>（服务类）</w:t>
      </w:r>
      <w:bookmarkEnd w:id="71"/>
    </w:p>
    <w:p w14:paraId="14B71ED9">
      <w:pPr>
        <w:spacing w:line="480" w:lineRule="auto"/>
        <w:jc w:val="center"/>
        <w:rPr>
          <w:rFonts w:ascii="宋体" w:hAnsi="宋体" w:eastAsia="宋体" w:cs="Times New Roman"/>
          <w:b/>
          <w:color w:val="000000"/>
          <w:sz w:val="24"/>
          <w:szCs w:val="24"/>
        </w:rPr>
      </w:pPr>
    </w:p>
    <w:p w14:paraId="6BA4B9E8">
      <w:pPr>
        <w:spacing w:line="480" w:lineRule="auto"/>
        <w:jc w:val="center"/>
        <w:rPr>
          <w:rFonts w:ascii="宋体" w:hAnsi="宋体" w:eastAsia="宋体" w:cs="Times New Roman"/>
          <w:b/>
          <w:color w:val="000000"/>
          <w:sz w:val="24"/>
          <w:szCs w:val="24"/>
        </w:rPr>
      </w:pPr>
    </w:p>
    <w:p w14:paraId="58F277A3">
      <w:pPr>
        <w:spacing w:line="480" w:lineRule="auto"/>
        <w:jc w:val="center"/>
        <w:rPr>
          <w:rFonts w:ascii="宋体" w:hAnsi="宋体" w:eastAsia="宋体" w:cs="Times New Roman"/>
          <w:b/>
          <w:color w:val="000000"/>
          <w:sz w:val="24"/>
          <w:szCs w:val="24"/>
        </w:rPr>
      </w:pPr>
    </w:p>
    <w:p w14:paraId="53838467">
      <w:pPr>
        <w:spacing w:line="360" w:lineRule="auto"/>
        <w:jc w:val="center"/>
        <w:outlineLvl w:val="1"/>
        <w:rPr>
          <w:rFonts w:ascii="宋体" w:hAnsi="宋体" w:eastAsia="宋体"/>
          <w:b/>
          <w:color w:val="000000"/>
          <w:sz w:val="24"/>
        </w:rPr>
      </w:pPr>
      <w:bookmarkStart w:id="72" w:name="_Toc2449"/>
      <w:r>
        <w:rPr>
          <w:rFonts w:hint="eastAsia" w:ascii="宋体" w:hAnsi="宋体" w:eastAsia="宋体"/>
          <w:b/>
          <w:color w:val="000000"/>
          <w:sz w:val="24"/>
        </w:rPr>
        <w:t>第一部分 合同书</w:t>
      </w:r>
      <w:bookmarkEnd w:id="72"/>
    </w:p>
    <w:p w14:paraId="2CA2E972">
      <w:pPr>
        <w:spacing w:line="480" w:lineRule="auto"/>
        <w:jc w:val="center"/>
        <w:rPr>
          <w:rFonts w:ascii="宋体" w:hAnsi="宋体" w:eastAsia="宋体" w:cs="Times New Roman"/>
          <w:b/>
          <w:color w:val="000000"/>
          <w:sz w:val="24"/>
          <w:szCs w:val="24"/>
        </w:rPr>
      </w:pPr>
    </w:p>
    <w:p w14:paraId="266E8C18">
      <w:pPr>
        <w:spacing w:line="240" w:lineRule="auto"/>
        <w:jc w:val="center"/>
        <w:rPr>
          <w:rFonts w:ascii="宋体" w:hAnsi="宋体" w:eastAsia="宋体" w:cs="Times New Roman"/>
          <w:b/>
          <w:color w:val="000000"/>
          <w:sz w:val="24"/>
          <w:szCs w:val="24"/>
        </w:rPr>
      </w:pPr>
    </w:p>
    <w:p w14:paraId="7AAD84DC">
      <w:pPr>
        <w:pStyle w:val="3"/>
      </w:pPr>
    </w:p>
    <w:p w14:paraId="426630EC">
      <w:pPr>
        <w:pStyle w:val="3"/>
      </w:pPr>
    </w:p>
    <w:p w14:paraId="6F3E6EA4">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项目名称：</w:t>
      </w:r>
      <w:r>
        <w:rPr>
          <w:rFonts w:hint="eastAsia" w:ascii="宋体" w:hAnsi="宋体" w:eastAsia="宋体" w:cs="Times New Roman"/>
          <w:color w:val="000000"/>
          <w:sz w:val="24"/>
          <w:szCs w:val="24"/>
          <w:u w:val="single"/>
        </w:rPr>
        <w:t>安徽省滁州监狱2026年度民警值班室床上用品及警服洗涤服务项目</w:t>
      </w:r>
    </w:p>
    <w:p w14:paraId="44ADF625">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s="Times New Roman"/>
          <w:color w:val="000000"/>
          <w:sz w:val="24"/>
          <w:szCs w:val="24"/>
          <w:u w:val="single"/>
        </w:rPr>
        <w:t xml:space="preserve">      </w:t>
      </w:r>
    </w:p>
    <w:p w14:paraId="59CCF9C2">
      <w:pPr>
        <w:spacing w:before="120" w:line="480" w:lineRule="auto"/>
        <w:ind w:left="96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乙方（中标人）：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p>
    <w:p w14:paraId="09044CFC">
      <w:pPr>
        <w:spacing w:before="120" w:line="480" w:lineRule="auto"/>
        <w:ind w:firstLine="960" w:firstLineChars="4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签订地：</w:t>
      </w:r>
      <w:r>
        <w:rPr>
          <w:rFonts w:hint="eastAsia" w:ascii="宋体" w:hAnsi="宋体" w:eastAsia="宋体" w:cs="Times New Roman"/>
          <w:color w:val="000000"/>
          <w:sz w:val="24"/>
          <w:szCs w:val="24"/>
          <w:u w:val="single"/>
        </w:rPr>
        <w:t xml:space="preserve">                                     </w:t>
      </w:r>
    </w:p>
    <w:p w14:paraId="25E0F580">
      <w:pPr>
        <w:spacing w:before="120" w:line="480" w:lineRule="auto"/>
        <w:ind w:firstLine="960" w:firstLineChars="400"/>
        <w:rPr>
          <w:rFonts w:ascii="宋体" w:hAnsi="宋体" w:eastAsia="宋体" w:cs="Times New Roman"/>
          <w:color w:val="000000"/>
          <w:sz w:val="24"/>
          <w:szCs w:val="24"/>
        </w:rPr>
      </w:pPr>
      <w:r>
        <w:rPr>
          <w:rFonts w:hint="eastAsia" w:ascii="宋体" w:hAnsi="宋体" w:eastAsia="宋体" w:cs="Times New Roman"/>
          <w:color w:val="000000"/>
          <w:sz w:val="24"/>
          <w:szCs w:val="24"/>
        </w:rPr>
        <w:t>签订日期：</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w:t>
      </w:r>
    </w:p>
    <w:p w14:paraId="2723A63E">
      <w:pPr>
        <w:widowControl/>
        <w:jc w:val="left"/>
        <w:rPr>
          <w:rFonts w:ascii="宋体" w:hAnsi="宋体" w:eastAsia="宋体" w:cs="Times New Roman"/>
          <w:color w:val="000000"/>
          <w:sz w:val="24"/>
          <w:szCs w:val="24"/>
        </w:rPr>
      </w:pPr>
      <w:r>
        <w:rPr>
          <w:rFonts w:ascii="宋体" w:hAnsi="宋体" w:eastAsia="宋体" w:cs="Times New Roman"/>
          <w:color w:val="000000"/>
          <w:sz w:val="24"/>
          <w:szCs w:val="24"/>
        </w:rPr>
        <w:br w:type="page"/>
      </w:r>
    </w:p>
    <w:p w14:paraId="003EE2C3">
      <w:pPr>
        <w:spacing w:line="360" w:lineRule="auto"/>
        <w:ind w:firstLine="435"/>
        <w:rPr>
          <w:rFonts w:ascii="宋体" w:hAnsi="宋体" w:eastAsia="宋体"/>
          <w:color w:val="000000"/>
          <w:sz w:val="24"/>
        </w:rPr>
      </w:pPr>
      <w:r>
        <w:rPr>
          <w:rFonts w:hint="eastAsia" w:ascii="宋体" w:hAnsi="宋体" w:eastAsia="宋体"/>
          <w:color w:val="000000"/>
          <w:sz w:val="24"/>
          <w:u w:val="single"/>
          <w:lang w:val="en-US" w:eastAsia="zh-CN"/>
        </w:rPr>
        <w:t xml:space="preserve">  </w:t>
      </w:r>
      <w:r>
        <w:rPr>
          <w:rFonts w:hint="eastAsia" w:ascii="宋体" w:hAnsi="宋体" w:eastAsia="宋体" w:cs="Times New Roman"/>
          <w:color w:val="000000"/>
          <w:sz w:val="24"/>
          <w:szCs w:val="24"/>
          <w:u w:val="single"/>
          <w:lang w:val="en-US" w:eastAsia="zh-CN"/>
        </w:rPr>
        <w:t>安徽省滁州监狱</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以下简称：甲方</w:t>
      </w:r>
      <w:r>
        <w:rPr>
          <w:rFonts w:hint="eastAsia" w:ascii="宋体" w:hAnsi="宋体" w:eastAsia="宋体"/>
          <w:color w:val="000000"/>
          <w:sz w:val="24"/>
        </w:rPr>
        <w:t>）通过</w:t>
      </w:r>
      <w:r>
        <w:rPr>
          <w:rFonts w:hint="eastAsia" w:ascii="宋体" w:hAnsi="宋体" w:eastAsia="宋体"/>
          <w:color w:val="000000"/>
          <w:sz w:val="24"/>
          <w:u w:val="single"/>
          <w:lang w:val="en-US" w:eastAsia="zh-CN"/>
        </w:rPr>
        <w:t xml:space="preserve"> 滁州市城投工程咨询管理有限公司  </w:t>
      </w:r>
      <w:r>
        <w:rPr>
          <w:rFonts w:hint="eastAsia" w:ascii="宋体" w:hAnsi="宋体" w:eastAsia="宋体"/>
          <w:color w:val="000000"/>
          <w:sz w:val="24"/>
        </w:rPr>
        <w:t>组织的</w:t>
      </w:r>
      <w:r>
        <w:rPr>
          <w:rFonts w:hint="eastAsia" w:ascii="宋体" w:hAnsi="宋体" w:eastAsia="宋体"/>
          <w:color w:val="000000"/>
          <w:sz w:val="24"/>
          <w:u w:val="single"/>
          <w:lang w:val="en-US" w:eastAsia="zh-CN"/>
        </w:rPr>
        <w:t xml:space="preserve">   询价  </w:t>
      </w:r>
      <w:r>
        <w:rPr>
          <w:rFonts w:hint="eastAsia" w:ascii="宋体" w:hAnsi="宋体" w:eastAsia="宋体"/>
          <w:color w:val="000000"/>
          <w:sz w:val="24"/>
        </w:rPr>
        <w:t>方式采购活动，经</w:t>
      </w:r>
      <w:r>
        <w:rPr>
          <w:rFonts w:hint="eastAsia" w:ascii="宋体" w:hAnsi="宋体" w:eastAsia="宋体"/>
          <w:color w:val="000000"/>
          <w:sz w:val="24"/>
          <w:u w:val="single"/>
        </w:rPr>
        <w:t>评标委员会</w:t>
      </w:r>
      <w:r>
        <w:rPr>
          <w:rFonts w:hint="eastAsia" w:ascii="宋体" w:hAnsi="宋体" w:eastAsia="宋体"/>
          <w:color w:val="000000"/>
          <w:sz w:val="24"/>
        </w:rPr>
        <w:t>评定，</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以下简称：乙方</w:t>
      </w:r>
      <w:r>
        <w:rPr>
          <w:rFonts w:hint="eastAsia" w:ascii="宋体" w:hAnsi="宋体" w:eastAsia="宋体"/>
          <w:color w:val="000000"/>
          <w:sz w:val="24"/>
        </w:rPr>
        <w:t>）为本项目</w:t>
      </w:r>
      <w:r>
        <w:rPr>
          <w:rFonts w:hint="eastAsia" w:ascii="宋体" w:hAnsi="宋体" w:eastAsia="宋体"/>
          <w:color w:val="000000"/>
          <w:sz w:val="24"/>
          <w:lang w:val="en-US" w:eastAsia="zh-CN"/>
        </w:rPr>
        <w:t>成交人</w:t>
      </w:r>
      <w:r>
        <w:rPr>
          <w:rFonts w:hint="eastAsia" w:ascii="宋体" w:hAnsi="宋体" w:eastAsia="宋体"/>
          <w:color w:val="000000"/>
          <w:sz w:val="24"/>
        </w:rPr>
        <w:t>，现</w:t>
      </w:r>
      <w:r>
        <w:rPr>
          <w:rFonts w:hint="eastAsia" w:ascii="宋体" w:hAnsi="宋体" w:eastAsia="宋体" w:cs="Times New Roman"/>
          <w:color w:val="000000"/>
          <w:sz w:val="24"/>
          <w:szCs w:val="24"/>
        </w:rPr>
        <w:t>按照采购文件确定的事项签订本合同。</w:t>
      </w:r>
    </w:p>
    <w:p w14:paraId="7DDB93DF">
      <w:pPr>
        <w:spacing w:line="360" w:lineRule="auto"/>
        <w:ind w:firstLine="435"/>
        <w:rPr>
          <w:rFonts w:ascii="宋体" w:hAnsi="宋体" w:eastAsia="宋体" w:cs="Times New Roman"/>
          <w:color w:val="000000"/>
          <w:sz w:val="24"/>
          <w:szCs w:val="24"/>
          <w:lang w:val="zh-CN"/>
        </w:rPr>
      </w:pPr>
      <w:r>
        <w:rPr>
          <w:rFonts w:hint="eastAsia" w:ascii="宋体" w:hAnsi="宋体" w:eastAsia="宋体"/>
          <w:color w:val="000000"/>
          <w:sz w:val="24"/>
        </w:rPr>
        <w:t>根据《中华人民共和国民法典》、《中华人民共和国政府采购法》等相关法律法规之规定，按照平等、自愿、公平和诚实信用的原则，经甲方和乙方协商一致，约定以下合同条款，以兹共同遵守、全面履行。</w:t>
      </w:r>
    </w:p>
    <w:p w14:paraId="6C7A177A">
      <w:pPr>
        <w:spacing w:line="360" w:lineRule="auto"/>
        <w:ind w:firstLine="437"/>
        <w:outlineLvl w:val="2"/>
        <w:rPr>
          <w:rFonts w:ascii="宋体" w:hAnsi="宋体" w:eastAsia="宋体" w:cs="Times New Roman"/>
          <w:b/>
          <w:bCs/>
          <w:color w:val="000000"/>
          <w:sz w:val="24"/>
          <w:szCs w:val="24"/>
          <w:lang w:val="zh-CN"/>
        </w:rPr>
      </w:pPr>
      <w:bookmarkStart w:id="73" w:name="_Toc3029"/>
      <w:bookmarkStart w:id="74" w:name="_Toc24059"/>
      <w:bookmarkStart w:id="75" w:name="_Toc2232"/>
      <w:r>
        <w:rPr>
          <w:rFonts w:hint="eastAsia" w:ascii="宋体" w:hAnsi="宋体" w:eastAsia="宋体" w:cs="Times New Roman"/>
          <w:b/>
          <w:bCs/>
          <w:color w:val="000000"/>
          <w:sz w:val="24"/>
          <w:szCs w:val="24"/>
          <w:lang w:val="zh-CN"/>
        </w:rPr>
        <w:t>1.1</w:t>
      </w:r>
      <w:r>
        <w:rPr>
          <w:rFonts w:ascii="宋体" w:hAnsi="宋体" w:eastAsia="宋体" w:cs="Times New Roman"/>
          <w:b/>
          <w:bCs/>
          <w:color w:val="000000"/>
          <w:sz w:val="24"/>
          <w:szCs w:val="24"/>
          <w:lang w:val="zh-CN"/>
        </w:rPr>
        <w:t xml:space="preserve"> </w:t>
      </w:r>
      <w:r>
        <w:rPr>
          <w:rFonts w:hint="eastAsia" w:ascii="宋体" w:hAnsi="宋体" w:eastAsia="宋体" w:cs="Times New Roman"/>
          <w:b/>
          <w:bCs/>
          <w:color w:val="000000"/>
          <w:sz w:val="24"/>
          <w:szCs w:val="24"/>
          <w:lang w:val="zh-CN"/>
        </w:rPr>
        <w:t>合同组成部分</w:t>
      </w:r>
      <w:bookmarkEnd w:id="73"/>
      <w:bookmarkEnd w:id="74"/>
      <w:bookmarkEnd w:id="75"/>
    </w:p>
    <w:p w14:paraId="0C30E726">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83353C">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1.1.1本合同及其补充合同、变更协议；</w:t>
      </w:r>
    </w:p>
    <w:p w14:paraId="735C32C3">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1.1.2</w:t>
      </w:r>
      <w:r>
        <w:rPr>
          <w:rFonts w:hint="eastAsia" w:ascii="宋体" w:hAnsi="宋体" w:eastAsia="宋体" w:cs="Times New Roman"/>
          <w:color w:val="000000"/>
          <w:sz w:val="24"/>
          <w:szCs w:val="24"/>
          <w:lang w:val="en-US" w:eastAsia="zh-CN"/>
        </w:rPr>
        <w:t>成交</w:t>
      </w:r>
      <w:r>
        <w:rPr>
          <w:rFonts w:hint="eastAsia" w:ascii="宋体" w:hAnsi="宋体" w:eastAsia="宋体" w:cs="Times New Roman"/>
          <w:color w:val="000000"/>
          <w:sz w:val="24"/>
          <w:szCs w:val="24"/>
          <w:lang w:val="zh-CN"/>
        </w:rPr>
        <w:t>通知书；</w:t>
      </w:r>
    </w:p>
    <w:p w14:paraId="7EA88DA8">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1.1.3</w:t>
      </w:r>
      <w:r>
        <w:rPr>
          <w:rFonts w:hint="eastAsia" w:ascii="宋体" w:hAnsi="宋体" w:eastAsia="宋体" w:cs="Times New Roman"/>
          <w:color w:val="000000"/>
          <w:sz w:val="24"/>
          <w:szCs w:val="24"/>
          <w:lang w:val="en-US" w:eastAsia="zh-CN"/>
        </w:rPr>
        <w:t>响应</w:t>
      </w:r>
      <w:r>
        <w:rPr>
          <w:rFonts w:hint="eastAsia" w:ascii="宋体" w:hAnsi="宋体" w:eastAsia="宋体" w:cs="Times New Roman"/>
          <w:color w:val="000000"/>
          <w:sz w:val="24"/>
          <w:szCs w:val="24"/>
          <w:lang w:val="zh-CN"/>
        </w:rPr>
        <w:t>文件（含澄清或者说明文件）；</w:t>
      </w:r>
    </w:p>
    <w:p w14:paraId="2109FF6F">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1.1.4</w:t>
      </w:r>
      <w:r>
        <w:rPr>
          <w:rFonts w:hint="eastAsia" w:ascii="宋体" w:hAnsi="宋体" w:eastAsia="宋体" w:cs="Times New Roman"/>
          <w:color w:val="000000"/>
          <w:sz w:val="24"/>
          <w:szCs w:val="24"/>
          <w:lang w:val="en-US" w:eastAsia="zh-CN"/>
        </w:rPr>
        <w:t>采购</w:t>
      </w:r>
      <w:r>
        <w:rPr>
          <w:rFonts w:hint="eastAsia" w:ascii="宋体" w:hAnsi="宋体" w:eastAsia="宋体" w:cs="Times New Roman"/>
          <w:color w:val="000000"/>
          <w:sz w:val="24"/>
          <w:szCs w:val="24"/>
          <w:lang w:val="zh-CN"/>
        </w:rPr>
        <w:t>文件（含澄清或者修改文件）；</w:t>
      </w:r>
    </w:p>
    <w:p w14:paraId="4B48A18D">
      <w:pPr>
        <w:spacing w:line="360" w:lineRule="auto"/>
        <w:ind w:firstLine="435"/>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1.1.5其他相关采购文件。</w:t>
      </w:r>
    </w:p>
    <w:p w14:paraId="1123B695">
      <w:pPr>
        <w:spacing w:line="360" w:lineRule="auto"/>
        <w:ind w:firstLine="437"/>
        <w:outlineLvl w:val="2"/>
        <w:rPr>
          <w:rFonts w:ascii="宋体" w:hAnsi="宋体" w:eastAsia="宋体" w:cs="Times New Roman"/>
          <w:b/>
          <w:bCs/>
          <w:color w:val="000000"/>
          <w:sz w:val="24"/>
          <w:szCs w:val="24"/>
          <w:lang w:val="zh-CN"/>
        </w:rPr>
      </w:pPr>
      <w:bookmarkStart w:id="76" w:name="_Toc22185"/>
      <w:bookmarkStart w:id="77" w:name="_Toc6311"/>
      <w:bookmarkStart w:id="78" w:name="_Toc18585"/>
      <w:bookmarkStart w:id="79" w:name="_Toc2918"/>
      <w:bookmarkStart w:id="80" w:name="_Toc6773"/>
      <w:r>
        <w:rPr>
          <w:rFonts w:hint="eastAsia" w:ascii="宋体" w:hAnsi="宋体" w:eastAsia="宋体" w:cs="Times New Roman"/>
          <w:b/>
          <w:bCs/>
          <w:color w:val="000000"/>
          <w:sz w:val="24"/>
          <w:szCs w:val="24"/>
          <w:lang w:val="zh-CN"/>
        </w:rPr>
        <w:t xml:space="preserve">1.2 </w:t>
      </w:r>
      <w:bookmarkEnd w:id="76"/>
      <w:bookmarkEnd w:id="77"/>
      <w:bookmarkEnd w:id="78"/>
      <w:bookmarkEnd w:id="79"/>
      <w:bookmarkEnd w:id="80"/>
      <w:r>
        <w:rPr>
          <w:rFonts w:hint="eastAsia" w:ascii="宋体" w:hAnsi="宋体" w:eastAsia="宋体" w:cs="Times New Roman"/>
          <w:b/>
          <w:bCs/>
          <w:color w:val="000000"/>
          <w:sz w:val="24"/>
          <w:szCs w:val="24"/>
          <w:lang w:val="zh-CN"/>
        </w:rPr>
        <w:t>服务</w:t>
      </w:r>
    </w:p>
    <w:p w14:paraId="5B8D632E">
      <w:pPr>
        <w:spacing w:line="360" w:lineRule="auto"/>
        <w:ind w:right="-475" w:rightChars="-226"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1.2.1服务</w:t>
      </w:r>
      <w:r>
        <w:rPr>
          <w:rFonts w:ascii="宋体" w:hAnsi="宋体" w:eastAsia="宋体" w:cs="Times New Roman"/>
          <w:color w:val="000000"/>
          <w:sz w:val="24"/>
          <w:szCs w:val="24"/>
        </w:rPr>
        <w:t>名称：</w:t>
      </w:r>
      <w:r>
        <w:rPr>
          <w:rFonts w:hint="eastAsia" w:ascii="宋体" w:hAnsi="宋体" w:eastAsia="宋体" w:cs="Times New Roman"/>
          <w:color w:val="000000"/>
          <w:sz w:val="24"/>
          <w:szCs w:val="24"/>
          <w:u w:val="single"/>
        </w:rPr>
        <w:t xml:space="preserve">安徽省滁州监狱2026年度民警值班室床上用品及警服洗涤服务项目 </w:t>
      </w:r>
      <w:r>
        <w:rPr>
          <w:rFonts w:hint="eastAsia" w:ascii="宋体" w:hAnsi="宋体" w:eastAsia="宋体" w:cs="Times New Roman"/>
          <w:color w:val="000000"/>
          <w:sz w:val="24"/>
          <w:szCs w:val="24"/>
        </w:rPr>
        <w:t>；</w:t>
      </w:r>
    </w:p>
    <w:p w14:paraId="389B8B31">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1.2.2服务内容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4A070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1.2.3服务质量：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6DA4CF64">
      <w:pPr>
        <w:spacing w:line="360" w:lineRule="auto"/>
        <w:ind w:firstLine="437"/>
        <w:outlineLvl w:val="2"/>
        <w:rPr>
          <w:rFonts w:ascii="宋体" w:hAnsi="宋体" w:eastAsia="宋体" w:cs="Times New Roman"/>
          <w:b/>
          <w:bCs/>
          <w:color w:val="000000"/>
          <w:sz w:val="24"/>
          <w:szCs w:val="24"/>
          <w:lang w:val="zh-CN"/>
        </w:rPr>
      </w:pPr>
      <w:bookmarkStart w:id="81" w:name="_Toc21631"/>
      <w:bookmarkStart w:id="82" w:name="_Toc21551"/>
      <w:bookmarkStart w:id="83" w:name="_Toc23292"/>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3 </w:t>
      </w:r>
      <w:r>
        <w:rPr>
          <w:rFonts w:hint="eastAsia" w:ascii="宋体" w:hAnsi="宋体" w:eastAsia="宋体" w:cs="Times New Roman"/>
          <w:b/>
          <w:bCs/>
          <w:color w:val="000000"/>
          <w:sz w:val="24"/>
          <w:szCs w:val="24"/>
          <w:lang w:val="zh-CN"/>
        </w:rPr>
        <w:t>价款</w:t>
      </w:r>
      <w:bookmarkEnd w:id="81"/>
      <w:bookmarkEnd w:id="82"/>
      <w:bookmarkEnd w:id="83"/>
    </w:p>
    <w:p w14:paraId="451690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本合同总价为</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元</w:t>
      </w:r>
      <w:r>
        <w:rPr>
          <w:rFonts w:hint="eastAsia" w:ascii="宋体" w:hAnsi="宋体" w:eastAsia="宋体" w:cs="Times New Roman"/>
          <w:color w:val="000000"/>
          <w:sz w:val="24"/>
          <w:szCs w:val="24"/>
        </w:rPr>
        <w:t>（大写：人民币</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元）</w:t>
      </w:r>
      <w:r>
        <w:rPr>
          <w:rFonts w:ascii="宋体" w:hAnsi="宋体" w:eastAsia="宋体" w:cs="Times New Roman"/>
          <w:color w:val="000000"/>
          <w:sz w:val="24"/>
          <w:szCs w:val="24"/>
        </w:rPr>
        <w:t>。</w:t>
      </w:r>
    </w:p>
    <w:p w14:paraId="2B2D4572">
      <w:pPr>
        <w:spacing w:line="360" w:lineRule="auto"/>
        <w:ind w:firstLine="435"/>
        <w:rPr>
          <w:rFonts w:ascii="宋体" w:hAnsi="宋体" w:eastAsia="宋体" w:cs="Times New Roman"/>
          <w:color w:val="000000"/>
          <w:sz w:val="24"/>
          <w:szCs w:val="24"/>
          <w:u w:val="single"/>
        </w:rPr>
      </w:pPr>
      <w:r>
        <w:rPr>
          <w:rFonts w:ascii="宋体" w:hAnsi="宋体" w:eastAsia="宋体" w:cs="Times New Roman"/>
          <w:color w:val="000000"/>
          <w:sz w:val="24"/>
          <w:szCs w:val="24"/>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EA9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E0A4635">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序号</w:t>
            </w:r>
          </w:p>
        </w:tc>
        <w:tc>
          <w:tcPr>
            <w:tcW w:w="4316" w:type="dxa"/>
            <w:noWrap w:val="0"/>
            <w:vAlign w:val="center"/>
          </w:tcPr>
          <w:p w14:paraId="7EDB8E91">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分项名称</w:t>
            </w:r>
          </w:p>
        </w:tc>
        <w:tc>
          <w:tcPr>
            <w:tcW w:w="3237" w:type="dxa"/>
            <w:gridSpan w:val="2"/>
            <w:noWrap w:val="0"/>
            <w:vAlign w:val="center"/>
          </w:tcPr>
          <w:p w14:paraId="68DF9F4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rPr>
            </w:pPr>
            <w:r>
              <w:rPr>
                <w:rFonts w:hint="default" w:ascii="宋体" w:hAnsi="宋体" w:eastAsia="宋体" w:cs="Times New Roman"/>
                <w:color w:val="000000"/>
                <w:sz w:val="24"/>
                <w:szCs w:val="24"/>
              </w:rPr>
              <w:t>分项价格</w:t>
            </w:r>
          </w:p>
        </w:tc>
      </w:tr>
      <w:tr w14:paraId="690D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9A3EF01">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w:t>
            </w:r>
          </w:p>
        </w:tc>
        <w:tc>
          <w:tcPr>
            <w:tcW w:w="4316" w:type="dxa"/>
            <w:noWrap w:val="0"/>
            <w:vAlign w:val="center"/>
          </w:tcPr>
          <w:p w14:paraId="1934BFD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0B917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072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57EDB1E">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2</w:t>
            </w:r>
          </w:p>
        </w:tc>
        <w:tc>
          <w:tcPr>
            <w:tcW w:w="4316" w:type="dxa"/>
            <w:noWrap w:val="0"/>
            <w:vAlign w:val="center"/>
          </w:tcPr>
          <w:p w14:paraId="430F92B5">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6DA7EB30">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289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58638BD">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default" w:ascii="宋体" w:hAnsi="宋体" w:eastAsia="宋体" w:cs="Times New Roman"/>
                <w:color w:val="000000"/>
                <w:sz w:val="24"/>
                <w:szCs w:val="24"/>
                <w:lang w:val="zh-CN"/>
              </w:rPr>
              <w:t>3</w:t>
            </w:r>
          </w:p>
        </w:tc>
        <w:tc>
          <w:tcPr>
            <w:tcW w:w="4316" w:type="dxa"/>
            <w:noWrap w:val="0"/>
            <w:vAlign w:val="center"/>
          </w:tcPr>
          <w:p w14:paraId="067934A8">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34A72FE">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0DF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E294CDA">
            <w:pPr>
              <w:keepNext w:val="0"/>
              <w:keepLines w:val="0"/>
              <w:suppressLineNumbers w:val="0"/>
              <w:spacing w:before="0" w:beforeAutospacing="0" w:after="0" w:afterAutospacing="0"/>
              <w:ind w:left="0" w:right="0"/>
              <w:jc w:val="center"/>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w:t>
            </w:r>
          </w:p>
        </w:tc>
        <w:tc>
          <w:tcPr>
            <w:tcW w:w="4316" w:type="dxa"/>
            <w:noWrap w:val="0"/>
            <w:vAlign w:val="center"/>
          </w:tcPr>
          <w:p w14:paraId="5744FE29">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c>
          <w:tcPr>
            <w:tcW w:w="3237" w:type="dxa"/>
            <w:gridSpan w:val="2"/>
            <w:noWrap w:val="0"/>
            <w:vAlign w:val="center"/>
          </w:tcPr>
          <w:p w14:paraId="551EBB22">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r w14:paraId="7D2A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3247B8C">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总价</w:t>
            </w:r>
          </w:p>
        </w:tc>
        <w:tc>
          <w:tcPr>
            <w:tcW w:w="3237" w:type="dxa"/>
            <w:gridSpan w:val="2"/>
            <w:noWrap w:val="0"/>
            <w:vAlign w:val="center"/>
          </w:tcPr>
          <w:p w14:paraId="03B72E4F">
            <w:pPr>
              <w:keepNext w:val="0"/>
              <w:keepLines w:val="0"/>
              <w:suppressLineNumbers w:val="0"/>
              <w:spacing w:before="0" w:beforeAutospacing="0" w:after="0" w:afterAutospacing="0"/>
              <w:ind w:left="0" w:right="0" w:firstLine="200"/>
              <w:jc w:val="center"/>
              <w:rPr>
                <w:rFonts w:hint="default" w:ascii="宋体" w:hAnsi="宋体" w:eastAsia="宋体" w:cs="Times New Roman"/>
                <w:color w:val="000000"/>
                <w:sz w:val="24"/>
                <w:szCs w:val="24"/>
              </w:rPr>
            </w:pPr>
          </w:p>
        </w:tc>
      </w:tr>
    </w:tbl>
    <w:p w14:paraId="1662DA0B">
      <w:pPr>
        <w:spacing w:line="360" w:lineRule="auto"/>
        <w:ind w:firstLine="437"/>
        <w:outlineLvl w:val="2"/>
        <w:rPr>
          <w:rFonts w:ascii="宋体" w:hAnsi="宋体" w:eastAsia="宋体" w:cs="Times New Roman"/>
          <w:b/>
          <w:bCs/>
          <w:color w:val="000000"/>
          <w:sz w:val="24"/>
          <w:szCs w:val="24"/>
          <w:lang w:val="zh-CN"/>
        </w:rPr>
      </w:pPr>
      <w:bookmarkStart w:id="84" w:name="_Toc22618"/>
      <w:bookmarkStart w:id="85" w:name="_Toc1814"/>
      <w:bookmarkStart w:id="86" w:name="_Toc10340"/>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4 付款方式和发票开具方式</w:t>
      </w:r>
      <w:bookmarkEnd w:id="84"/>
      <w:bookmarkEnd w:id="85"/>
      <w:bookmarkEnd w:id="86"/>
    </w:p>
    <w:p w14:paraId="3DD7D16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1.4.1</w:t>
      </w:r>
      <w:r>
        <w:rPr>
          <w:rFonts w:ascii="宋体" w:hAnsi="宋体" w:eastAsia="宋体" w:cs="Times New Roman"/>
          <w:color w:val="000000"/>
          <w:sz w:val="24"/>
          <w:szCs w:val="24"/>
        </w:rPr>
        <w:t>付款方式：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27D526F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1.4.2发票开具方式：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58A47B35">
      <w:pPr>
        <w:spacing w:line="360" w:lineRule="auto"/>
        <w:ind w:firstLine="437"/>
        <w:outlineLvl w:val="2"/>
        <w:rPr>
          <w:rFonts w:ascii="宋体" w:hAnsi="宋体" w:eastAsia="宋体" w:cs="Times New Roman"/>
          <w:b/>
          <w:bCs/>
          <w:color w:val="000000"/>
          <w:sz w:val="24"/>
          <w:szCs w:val="24"/>
          <w:lang w:val="zh-CN"/>
        </w:rPr>
      </w:pPr>
      <w:bookmarkStart w:id="87" w:name="_Toc19304"/>
      <w:bookmarkStart w:id="88" w:name="_Toc32071"/>
      <w:bookmarkStart w:id="89" w:name="_Toc2846"/>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5 </w:t>
      </w:r>
      <w:r>
        <w:rPr>
          <w:rFonts w:hint="eastAsia" w:ascii="宋体" w:hAnsi="宋体" w:eastAsia="宋体" w:cs="Times New Roman"/>
          <w:b/>
          <w:bCs/>
          <w:color w:val="000000"/>
          <w:sz w:val="24"/>
          <w:szCs w:val="24"/>
          <w:lang w:val="zh-CN"/>
        </w:rPr>
        <w:t>服务</w:t>
      </w:r>
      <w:r>
        <w:rPr>
          <w:rFonts w:ascii="宋体" w:hAnsi="宋体" w:eastAsia="宋体" w:cs="Times New Roman"/>
          <w:b/>
          <w:bCs/>
          <w:color w:val="000000"/>
          <w:sz w:val="24"/>
          <w:szCs w:val="24"/>
          <w:lang w:val="zh-CN"/>
        </w:rPr>
        <w:t>期限</w:t>
      </w:r>
      <w:r>
        <w:rPr>
          <w:rFonts w:hint="eastAsia" w:ascii="宋体" w:hAnsi="宋体" w:eastAsia="宋体" w:cs="Times New Roman"/>
          <w:b/>
          <w:bCs/>
          <w:color w:val="000000"/>
          <w:sz w:val="24"/>
          <w:szCs w:val="24"/>
          <w:lang w:val="zh-CN"/>
        </w:rPr>
        <w:t>、地点和方式</w:t>
      </w:r>
      <w:bookmarkEnd w:id="87"/>
      <w:bookmarkEnd w:id="88"/>
      <w:bookmarkEnd w:id="89"/>
    </w:p>
    <w:p w14:paraId="5A050920">
      <w:pPr>
        <w:spacing w:line="360" w:lineRule="auto"/>
        <w:ind w:firstLine="435"/>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1.5.1服务期限</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1AD3EC7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1.5.2服务地点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3EFF770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1.5.3服务方式：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9E6B207">
      <w:pPr>
        <w:spacing w:line="360" w:lineRule="auto"/>
        <w:ind w:firstLine="437"/>
        <w:outlineLvl w:val="2"/>
        <w:rPr>
          <w:rFonts w:ascii="宋体" w:hAnsi="宋体" w:eastAsia="宋体" w:cs="Times New Roman"/>
          <w:b/>
          <w:bCs/>
          <w:color w:val="000000"/>
          <w:sz w:val="24"/>
          <w:szCs w:val="24"/>
          <w:lang w:val="zh-CN"/>
        </w:rPr>
      </w:pPr>
      <w:bookmarkStart w:id="90" w:name="_Toc19554"/>
      <w:bookmarkStart w:id="91" w:name="_Toc21423"/>
      <w:bookmarkStart w:id="92" w:name="_Toc27250"/>
      <w:r>
        <w:rPr>
          <w:rFonts w:hint="eastAsia" w:ascii="宋体" w:hAnsi="宋体" w:eastAsia="宋体" w:cs="Times New Roman"/>
          <w:b/>
          <w:bCs/>
          <w:color w:val="000000"/>
          <w:sz w:val="24"/>
          <w:szCs w:val="24"/>
          <w:lang w:val="zh-CN"/>
        </w:rPr>
        <w:t>1.6 违约责任</w:t>
      </w:r>
      <w:bookmarkEnd w:id="90"/>
      <w:bookmarkEnd w:id="91"/>
      <w:bookmarkEnd w:id="92"/>
    </w:p>
    <w:p w14:paraId="43EBFE7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1.6.1</w:t>
      </w:r>
      <w:r>
        <w:rPr>
          <w:rFonts w:ascii="宋体" w:hAnsi="宋体" w:eastAsia="宋体" w:cs="Times New Roman"/>
          <w:color w:val="000000"/>
          <w:sz w:val="24"/>
          <w:szCs w:val="24"/>
        </w:rPr>
        <w:t>除不可抗力外，如果乙方没有按照本合同约定的期限</w:t>
      </w:r>
      <w:r>
        <w:rPr>
          <w:rFonts w:hint="eastAsia" w:ascii="宋体" w:hAnsi="宋体" w:eastAsia="宋体" w:cs="Times New Roman"/>
          <w:color w:val="000000"/>
          <w:sz w:val="24"/>
          <w:szCs w:val="24"/>
        </w:rPr>
        <w:t>、</w:t>
      </w:r>
      <w:r>
        <w:rPr>
          <w:rFonts w:ascii="宋体" w:hAnsi="宋体" w:eastAsia="宋体" w:cs="Times New Roman"/>
          <w:color w:val="000000"/>
          <w:sz w:val="24"/>
          <w:szCs w:val="24"/>
        </w:rPr>
        <w:t>地点和方式</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，那么甲方可要求乙方支付违约金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一日的应提供而未</w:t>
      </w:r>
      <w:r>
        <w:rPr>
          <w:rFonts w:hint="eastAsia" w:ascii="宋体" w:hAnsi="宋体" w:eastAsia="宋体" w:cs="Times New Roman"/>
          <w:color w:val="000000"/>
          <w:sz w:val="24"/>
          <w:szCs w:val="24"/>
        </w:rPr>
        <w:t>提供</w:t>
      </w:r>
      <w:r>
        <w:rPr>
          <w:rFonts w:ascii="宋体" w:hAnsi="宋体" w:eastAsia="宋体" w:cs="Times New Roman"/>
          <w:color w:val="000000"/>
          <w:sz w:val="24"/>
          <w:szCs w:val="24"/>
        </w:rPr>
        <w:t>服务价格的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w:t>
      </w:r>
      <w:r>
        <w:rPr>
          <w:rFonts w:ascii="宋体" w:hAnsi="宋体" w:eastAsia="宋体" w:cs="Times New Roman"/>
          <w:color w:val="000000"/>
          <w:sz w:val="24"/>
          <w:szCs w:val="24"/>
        </w:rPr>
        <w:t>甲方有权在要求乙方支付违约金的同时</w:t>
      </w:r>
      <w:r>
        <w:rPr>
          <w:rFonts w:hint="eastAsia" w:ascii="宋体" w:hAnsi="宋体" w:eastAsia="宋体" w:cs="Times New Roman"/>
          <w:color w:val="000000"/>
          <w:sz w:val="24"/>
          <w:szCs w:val="24"/>
        </w:rPr>
        <w:t>，书面通知乙方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247B311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1.6.2</w:t>
      </w:r>
      <w:r>
        <w:rPr>
          <w:rFonts w:ascii="宋体" w:hAnsi="宋体" w:eastAsia="宋体" w:cs="Times New Roman"/>
          <w:color w:val="000000"/>
          <w:sz w:val="24"/>
          <w:szCs w:val="24"/>
        </w:rPr>
        <w:t>除不可抗力外，如果甲方没有按照本合同约定的付款方式付款，那么乙方可要求甲方支付违约金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一日的应付而未付款的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，乙</w:t>
      </w:r>
      <w:r>
        <w:rPr>
          <w:rFonts w:ascii="宋体" w:hAnsi="宋体" w:eastAsia="宋体" w:cs="Times New Roman"/>
          <w:color w:val="000000"/>
          <w:sz w:val="24"/>
          <w:szCs w:val="24"/>
        </w:rPr>
        <w:t>方有权在要求甲方支付违约金的同时</w:t>
      </w:r>
      <w:r>
        <w:rPr>
          <w:rFonts w:hint="eastAsia" w:ascii="宋体" w:hAnsi="宋体" w:eastAsia="宋体" w:cs="Times New Roman"/>
          <w:color w:val="000000"/>
          <w:sz w:val="24"/>
          <w:szCs w:val="24"/>
        </w:rPr>
        <w:t>，书面通知甲方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5B04AD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F73DE4">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325985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E4550">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rPr>
        <w:t>1.6.6如果出现政府采购监督管理部门在处理投诉事项期间，书面通知甲方暂停采购活动的情形，或者询问或质疑事项可能影响中标结果的，导致甲方中止履行合同的情</w:t>
      </w:r>
      <w:r>
        <w:rPr>
          <w:rFonts w:hint="eastAsia" w:ascii="宋体" w:hAnsi="宋体" w:eastAsia="宋体" w:cs="Times New Roman"/>
          <w:color w:val="000000"/>
          <w:sz w:val="24"/>
          <w:szCs w:val="24"/>
          <w:highlight w:val="none"/>
        </w:rPr>
        <w:t>形，均不视为甲方违约。</w:t>
      </w:r>
    </w:p>
    <w:p w14:paraId="3CCFDEEE">
      <w:pPr>
        <w:spacing w:line="360" w:lineRule="auto"/>
        <w:ind w:firstLine="435"/>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1.6.7因甲方未按合同约定支付价款、未按合同约定受领标的物、擅自解除合同</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逾期退还履约保证金</w:t>
      </w:r>
      <w:r>
        <w:rPr>
          <w:rFonts w:ascii="宋体" w:hAnsi="宋体" w:eastAsia="宋体" w:cs="Times New Roman"/>
          <w:color w:val="000000"/>
          <w:sz w:val="24"/>
          <w:szCs w:val="24"/>
          <w:highlight w:val="none"/>
        </w:rPr>
        <w:t>导致乙方遭受的直接损失，乙方可向甲方申请赔偿，赔偿金额由双方协商一致；</w:t>
      </w:r>
      <w:r>
        <w:rPr>
          <w:rFonts w:hint="eastAsia" w:ascii="宋体" w:hAnsi="宋体" w:eastAsia="宋体" w:cs="Times New Roman"/>
          <w:color w:val="000000"/>
          <w:sz w:val="24"/>
          <w:szCs w:val="24"/>
          <w:highlight w:val="none"/>
        </w:rPr>
        <w:t>针对因政策变化等原因不能签订合同或解除合同时，造成乙方合法利益受损的情形，可以给予乙方合理补偿，补偿金额不得超过乙方的直接损失。</w:t>
      </w:r>
    </w:p>
    <w:p w14:paraId="3707F966">
      <w:pPr>
        <w:spacing w:line="360" w:lineRule="auto"/>
        <w:ind w:firstLine="437"/>
        <w:outlineLvl w:val="2"/>
        <w:rPr>
          <w:rFonts w:ascii="宋体" w:hAnsi="宋体" w:eastAsia="宋体" w:cs="Times New Roman"/>
          <w:b/>
          <w:bCs/>
          <w:color w:val="000000"/>
          <w:sz w:val="24"/>
          <w:szCs w:val="24"/>
          <w:highlight w:val="none"/>
          <w:lang w:val="zh-CN"/>
        </w:rPr>
      </w:pPr>
      <w:bookmarkStart w:id="93" w:name="_Toc15583"/>
      <w:bookmarkStart w:id="94" w:name="_Toc16021"/>
      <w:bookmarkStart w:id="95" w:name="_Toc28375"/>
      <w:r>
        <w:rPr>
          <w:rFonts w:hint="eastAsia" w:ascii="宋体" w:hAnsi="宋体" w:eastAsia="宋体" w:cs="Times New Roman"/>
          <w:b/>
          <w:bCs/>
          <w:color w:val="000000"/>
          <w:sz w:val="24"/>
          <w:szCs w:val="24"/>
          <w:highlight w:val="none"/>
          <w:lang w:val="zh-CN"/>
        </w:rPr>
        <w:t>1.7</w:t>
      </w:r>
      <w:r>
        <w:rPr>
          <w:rFonts w:ascii="宋体" w:hAnsi="宋体" w:eastAsia="宋体" w:cs="Times New Roman"/>
          <w:b/>
          <w:bCs/>
          <w:color w:val="000000"/>
          <w:sz w:val="24"/>
          <w:szCs w:val="24"/>
          <w:highlight w:val="none"/>
          <w:lang w:val="zh-CN"/>
        </w:rPr>
        <w:t xml:space="preserve"> </w:t>
      </w:r>
      <w:r>
        <w:rPr>
          <w:rFonts w:hint="eastAsia" w:ascii="宋体" w:hAnsi="宋体" w:eastAsia="宋体" w:cs="Times New Roman"/>
          <w:b/>
          <w:bCs/>
          <w:color w:val="000000"/>
          <w:sz w:val="24"/>
          <w:szCs w:val="24"/>
          <w:highlight w:val="none"/>
          <w:lang w:val="zh-CN"/>
        </w:rPr>
        <w:t>合同</w:t>
      </w:r>
      <w:r>
        <w:rPr>
          <w:rFonts w:ascii="宋体" w:hAnsi="宋体" w:eastAsia="宋体" w:cs="Times New Roman"/>
          <w:b/>
          <w:bCs/>
          <w:color w:val="000000"/>
          <w:sz w:val="24"/>
          <w:szCs w:val="24"/>
          <w:highlight w:val="none"/>
          <w:lang w:val="zh-CN"/>
        </w:rPr>
        <w:t>争议的解决</w:t>
      </w:r>
      <w:bookmarkEnd w:id="93"/>
      <w:bookmarkEnd w:id="94"/>
      <w:bookmarkEnd w:id="95"/>
    </w:p>
    <w:p w14:paraId="6E4CFC9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本合</w:t>
      </w:r>
      <w:r>
        <w:rPr>
          <w:rFonts w:ascii="宋体" w:hAnsi="宋体" w:eastAsia="宋体" w:cs="Times New Roman"/>
          <w:color w:val="000000"/>
          <w:sz w:val="24"/>
          <w:szCs w:val="24"/>
        </w:rPr>
        <w:t>同履行过程中发生的任何争议，双方当事人均可</w:t>
      </w:r>
      <w:r>
        <w:rPr>
          <w:rFonts w:hint="eastAsia" w:ascii="宋体" w:hAnsi="宋体" w:eastAsia="宋体" w:cs="Times New Roman"/>
          <w:color w:val="000000"/>
          <w:sz w:val="24"/>
          <w:szCs w:val="24"/>
        </w:rPr>
        <w:t>通过和解或者调解解决；不愿和解、调解或者和解、调解不成的，可以选择下列第</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种方式解决：</w:t>
      </w:r>
    </w:p>
    <w:p w14:paraId="38FBC8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1.7.1将争议提交</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仲裁委员会依申请仲裁时其现行有效的仲裁规则裁决；</w:t>
      </w:r>
    </w:p>
    <w:p w14:paraId="164D1CB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1.7.2向</w:t>
      </w:r>
      <w:r>
        <w:rPr>
          <w:rFonts w:hint="eastAsia"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人民法院起诉。</w:t>
      </w:r>
    </w:p>
    <w:p w14:paraId="04256232">
      <w:pPr>
        <w:spacing w:line="360" w:lineRule="auto"/>
        <w:ind w:firstLine="437"/>
        <w:outlineLvl w:val="2"/>
        <w:rPr>
          <w:rFonts w:ascii="宋体" w:hAnsi="宋体" w:eastAsia="宋体" w:cs="Times New Roman"/>
          <w:b/>
          <w:bCs/>
          <w:color w:val="000000"/>
          <w:sz w:val="24"/>
          <w:szCs w:val="24"/>
          <w:lang w:val="zh-CN"/>
        </w:rPr>
      </w:pPr>
      <w:bookmarkStart w:id="96" w:name="_Toc7245"/>
      <w:bookmarkStart w:id="97" w:name="_Toc11173"/>
      <w:bookmarkStart w:id="98" w:name="_Toc15322"/>
      <w:r>
        <w:rPr>
          <w:rFonts w:hint="eastAsia" w:ascii="宋体" w:hAnsi="宋体" w:eastAsia="宋体" w:cs="Times New Roman"/>
          <w:b/>
          <w:bCs/>
          <w:color w:val="000000"/>
          <w:sz w:val="24"/>
          <w:szCs w:val="24"/>
          <w:lang w:val="zh-CN"/>
        </w:rPr>
        <w:t>1.8</w:t>
      </w:r>
      <w:r>
        <w:rPr>
          <w:rFonts w:ascii="宋体" w:hAnsi="宋体" w:eastAsia="宋体" w:cs="Times New Roman"/>
          <w:b/>
          <w:bCs/>
          <w:color w:val="000000"/>
          <w:sz w:val="24"/>
          <w:szCs w:val="24"/>
          <w:lang w:val="zh-CN"/>
        </w:rPr>
        <w:t xml:space="preserve"> 合同生效</w:t>
      </w:r>
      <w:bookmarkEnd w:id="96"/>
      <w:bookmarkEnd w:id="97"/>
      <w:bookmarkEnd w:id="98"/>
    </w:p>
    <w:p w14:paraId="6D1841BE">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本合同自</w:t>
      </w:r>
      <w:r>
        <w:rPr>
          <w:rFonts w:hint="eastAsia" w:ascii="宋体" w:hAnsi="宋体" w:eastAsia="宋体" w:cs="Times New Roman"/>
          <w:color w:val="000000"/>
          <w:sz w:val="24"/>
          <w:szCs w:val="24"/>
        </w:rPr>
        <w:t>双方当事人盖章时</w:t>
      </w:r>
      <w:r>
        <w:rPr>
          <w:rFonts w:ascii="宋体" w:hAnsi="宋体" w:eastAsia="宋体" w:cs="Times New Roman"/>
          <w:color w:val="000000"/>
          <w:sz w:val="24"/>
          <w:szCs w:val="24"/>
        </w:rPr>
        <w:t>生效。</w:t>
      </w:r>
    </w:p>
    <w:p w14:paraId="2D9A3519">
      <w:pPr>
        <w:autoSpaceDE w:val="0"/>
        <w:autoSpaceDN w:val="0"/>
        <w:adjustRightInd w:val="0"/>
        <w:spacing w:line="560" w:lineRule="exact"/>
        <w:rPr>
          <w:rFonts w:ascii="宋体" w:hAnsi="宋体" w:eastAsia="宋体" w:cs="Times New Roman"/>
          <w:color w:val="000000"/>
          <w:sz w:val="24"/>
          <w:szCs w:val="24"/>
          <w:lang w:val="zh-CN"/>
        </w:rPr>
      </w:pPr>
    </w:p>
    <w:p w14:paraId="18B295B9">
      <w:pPr>
        <w:autoSpaceDE w:val="0"/>
        <w:autoSpaceDN w:val="0"/>
        <w:adjustRightInd w:val="0"/>
        <w:spacing w:line="560" w:lineRule="exact"/>
        <w:rPr>
          <w:rFonts w:ascii="宋体" w:hAnsi="宋体" w:eastAsia="宋体" w:cs="Times New Roman"/>
          <w:color w:val="000000"/>
          <w:sz w:val="24"/>
          <w:szCs w:val="24"/>
          <w:lang w:val="zh-CN"/>
        </w:rPr>
      </w:pPr>
    </w:p>
    <w:p w14:paraId="72DB61F2">
      <w:pPr>
        <w:autoSpaceDE w:val="0"/>
        <w:autoSpaceDN w:val="0"/>
        <w:adjustRightInd w:val="0"/>
        <w:spacing w:line="560" w:lineRule="exact"/>
        <w:rPr>
          <w:rFonts w:ascii="宋体" w:hAnsi="宋体" w:eastAsia="宋体" w:cs="Times New Roman"/>
          <w:color w:val="000000"/>
          <w:sz w:val="24"/>
          <w:szCs w:val="24"/>
          <w:lang w:val="zh-CN"/>
        </w:rPr>
      </w:pPr>
    </w:p>
    <w:p w14:paraId="3435CF98">
      <w:pPr>
        <w:autoSpaceDE w:val="0"/>
        <w:autoSpaceDN w:val="0"/>
        <w:adjustRightInd w:val="0"/>
        <w:spacing w:line="560" w:lineRule="exact"/>
        <w:rPr>
          <w:rFonts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 xml:space="preserve">甲 </w:t>
      </w:r>
      <w:r>
        <w:rPr>
          <w:rFonts w:ascii="宋体" w:hAnsi="宋体" w:eastAsia="宋体" w:cs="Times New Roman"/>
          <w:bCs/>
          <w:color w:val="000000"/>
          <w:sz w:val="24"/>
          <w:szCs w:val="24"/>
          <w:lang w:val="zh-CN"/>
        </w:rPr>
        <w:t xml:space="preserve">   </w:t>
      </w:r>
      <w:r>
        <w:rPr>
          <w:rFonts w:hint="eastAsia" w:ascii="宋体" w:hAnsi="宋体" w:eastAsia="宋体" w:cs="Times New Roman"/>
          <w:bCs/>
          <w:color w:val="000000"/>
          <w:sz w:val="24"/>
          <w:szCs w:val="24"/>
          <w:lang w:val="zh-CN"/>
        </w:rPr>
        <w:t>方：</w:t>
      </w:r>
      <w:r>
        <w:rPr>
          <w:rFonts w:hint="eastAsia" w:ascii="宋体" w:hAnsi="宋体" w:eastAsia="宋体" w:cs="Times New Roman"/>
          <w:bCs/>
          <w:color w:val="000000"/>
          <w:sz w:val="24"/>
          <w:szCs w:val="24"/>
          <w:u w:val="single"/>
          <w:lang w:val="zh-CN"/>
        </w:rPr>
        <w:t xml:space="preserve">    （单位盖章）     </w:t>
      </w:r>
      <w:r>
        <w:rPr>
          <w:rFonts w:hint="eastAsia" w:ascii="宋体" w:hAnsi="宋体" w:eastAsia="宋体" w:cs="Times New Roman"/>
          <w:bCs/>
          <w:color w:val="000000"/>
          <w:sz w:val="24"/>
          <w:szCs w:val="24"/>
          <w:lang w:val="zh-CN"/>
        </w:rPr>
        <w:t xml:space="preserve">          乙方：</w:t>
      </w:r>
      <w:r>
        <w:rPr>
          <w:rFonts w:hint="eastAsia" w:ascii="宋体" w:hAnsi="宋体" w:eastAsia="宋体" w:cs="Times New Roman"/>
          <w:bCs/>
          <w:color w:val="000000"/>
          <w:sz w:val="24"/>
          <w:szCs w:val="24"/>
          <w:u w:val="single"/>
          <w:lang w:val="zh-CN"/>
        </w:rPr>
        <w:t xml:space="preserve">    （单位盖章）     </w:t>
      </w:r>
    </w:p>
    <w:p w14:paraId="51EC5556">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 xml:space="preserve">法定代表人                             </w:t>
      </w:r>
      <w:r>
        <w:rPr>
          <w:rFonts w:ascii="宋体" w:hAnsi="宋体" w:eastAsia="宋体" w:cs="Times New Roman"/>
          <w:color w:val="000000"/>
          <w:sz w:val="24"/>
          <w:szCs w:val="24"/>
          <w:lang w:val="zh-CN"/>
        </w:rPr>
        <w:t xml:space="preserve">  </w:t>
      </w:r>
      <w:r>
        <w:rPr>
          <w:rFonts w:hint="eastAsia" w:ascii="宋体" w:hAnsi="宋体" w:eastAsia="宋体" w:cs="Times New Roman"/>
          <w:color w:val="000000"/>
          <w:sz w:val="24"/>
          <w:szCs w:val="24"/>
          <w:lang w:val="zh-CN"/>
        </w:rPr>
        <w:t>法定代表人</w:t>
      </w:r>
    </w:p>
    <w:p w14:paraId="232E54D5">
      <w:pPr>
        <w:autoSpaceDE w:val="0"/>
        <w:autoSpaceDN w:val="0"/>
        <w:adjustRightInd w:val="0"/>
        <w:spacing w:line="560" w:lineRule="exact"/>
        <w:rPr>
          <w:rFonts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或授权代表（签字）：                      或授权代表（签字）：</w:t>
      </w:r>
    </w:p>
    <w:p w14:paraId="6F28C67B">
      <w:pPr>
        <w:widowControl/>
        <w:spacing w:line="560" w:lineRule="exact"/>
        <w:jc w:val="left"/>
        <w:rPr>
          <w:rFonts w:ascii="宋体" w:hAnsi="宋体" w:eastAsia="宋体" w:cs="Times New Roman"/>
          <w:bCs/>
          <w:color w:val="000000"/>
          <w:sz w:val="24"/>
          <w:szCs w:val="24"/>
        </w:rPr>
      </w:pPr>
      <w:bookmarkStart w:id="99" w:name="_Toc331685783"/>
      <w:r>
        <w:rPr>
          <w:rFonts w:hint="eastAsia" w:ascii="宋体" w:hAnsi="宋体" w:eastAsia="宋体" w:cs="Times New Roman"/>
          <w:bCs/>
          <w:color w:val="000000"/>
          <w:sz w:val="24"/>
          <w:szCs w:val="24"/>
        </w:rPr>
        <w:t>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               时间：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年</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月</w:t>
      </w:r>
      <w:r>
        <w:rPr>
          <w:rFonts w:hint="eastAsia" w:ascii="宋体" w:hAnsi="宋体" w:eastAsia="宋体" w:cs="Times New Roman"/>
          <w:bCs/>
          <w:color w:val="000000"/>
          <w:sz w:val="24"/>
          <w:szCs w:val="24"/>
          <w:u w:val="single"/>
        </w:rPr>
        <w:t xml:space="preserve"> </w:t>
      </w:r>
      <w:r>
        <w:rPr>
          <w:rFonts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u w:val="single"/>
        </w:rPr>
        <w:t xml:space="preserve">  </w:t>
      </w:r>
      <w:r>
        <w:rPr>
          <w:rFonts w:hint="eastAsia" w:ascii="宋体" w:hAnsi="宋体" w:eastAsia="宋体" w:cs="Times New Roman"/>
          <w:bCs/>
          <w:color w:val="000000"/>
          <w:sz w:val="24"/>
          <w:szCs w:val="24"/>
        </w:rPr>
        <w:t>日</w:t>
      </w:r>
    </w:p>
    <w:p w14:paraId="7856EB31">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w:t>
      </w:r>
      <w:bookmarkStart w:id="100" w:name="_Hlk110099149"/>
      <w:r>
        <w:rPr>
          <w:rFonts w:hint="eastAsia" w:ascii="宋体" w:hAnsi="宋体" w:eastAsia="宋体"/>
          <w:color w:val="000000"/>
          <w:sz w:val="24"/>
          <w:szCs w:val="24"/>
        </w:rPr>
        <w:t>乙方账户信息</w:t>
      </w:r>
    </w:p>
    <w:p w14:paraId="73948CA9">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 户名：</w:t>
      </w:r>
      <w:r>
        <w:rPr>
          <w:rFonts w:hint="eastAsia" w:ascii="宋体" w:hAnsi="宋体" w:eastAsia="宋体"/>
          <w:color w:val="000000"/>
          <w:sz w:val="24"/>
          <w:szCs w:val="24"/>
          <w:u w:val="single"/>
        </w:rPr>
        <w:t xml:space="preserve">            </w:t>
      </w:r>
    </w:p>
    <w:p w14:paraId="3781168E">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账号：</w:t>
      </w:r>
      <w:r>
        <w:rPr>
          <w:rFonts w:hint="eastAsia" w:ascii="宋体" w:hAnsi="宋体" w:eastAsia="宋体"/>
          <w:color w:val="000000"/>
          <w:sz w:val="24"/>
          <w:szCs w:val="24"/>
          <w:u w:val="single"/>
        </w:rPr>
        <w:t xml:space="preserve">            </w:t>
      </w:r>
    </w:p>
    <w:p w14:paraId="229CA52B">
      <w:pPr>
        <w:spacing w:line="560" w:lineRule="exact"/>
        <w:rPr>
          <w:rFonts w:ascii="宋体" w:hAnsi="宋体" w:eastAsia="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开户银行：</w:t>
      </w:r>
      <w:r>
        <w:rPr>
          <w:rFonts w:hint="eastAsia" w:ascii="宋体" w:hAnsi="宋体" w:eastAsia="宋体"/>
          <w:color w:val="000000"/>
          <w:sz w:val="24"/>
          <w:szCs w:val="24"/>
          <w:u w:val="single"/>
        </w:rPr>
        <w:t xml:space="preserve">        </w:t>
      </w:r>
    </w:p>
    <w:bookmarkEnd w:id="100"/>
    <w:p w14:paraId="3D1FF5CA">
      <w:pPr>
        <w:widowControl/>
        <w:jc w:val="left"/>
        <w:rPr>
          <w:rFonts w:ascii="宋体" w:hAnsi="宋体" w:eastAsia="宋体" w:cs="Times New Roman"/>
          <w:b/>
          <w:color w:val="000000"/>
          <w:sz w:val="24"/>
          <w:szCs w:val="24"/>
        </w:rPr>
      </w:pPr>
      <w:r>
        <w:rPr>
          <w:rFonts w:ascii="宋体" w:hAnsi="宋体" w:eastAsia="宋体" w:cs="Times New Roman"/>
          <w:b/>
          <w:color w:val="000000"/>
          <w:sz w:val="24"/>
          <w:szCs w:val="24"/>
        </w:rPr>
        <w:br w:type="page"/>
      </w:r>
    </w:p>
    <w:p w14:paraId="02026587">
      <w:pPr>
        <w:spacing w:line="360" w:lineRule="auto"/>
        <w:jc w:val="center"/>
        <w:outlineLvl w:val="1"/>
        <w:rPr>
          <w:rFonts w:ascii="宋体" w:hAnsi="宋体" w:eastAsia="宋体"/>
          <w:b/>
          <w:color w:val="000000"/>
          <w:sz w:val="24"/>
        </w:rPr>
      </w:pPr>
      <w:bookmarkStart w:id="101" w:name="_Toc415"/>
      <w:r>
        <w:rPr>
          <w:rFonts w:hint="eastAsia" w:ascii="宋体" w:hAnsi="宋体" w:eastAsia="宋体"/>
          <w:b/>
          <w:color w:val="000000"/>
          <w:sz w:val="24"/>
        </w:rPr>
        <w:t>第二部分</w:t>
      </w:r>
      <w:r>
        <w:rPr>
          <w:rFonts w:ascii="宋体" w:hAnsi="宋体" w:eastAsia="宋体"/>
          <w:b/>
          <w:color w:val="000000"/>
          <w:sz w:val="24"/>
        </w:rPr>
        <w:t xml:space="preserve"> </w:t>
      </w:r>
      <w:r>
        <w:rPr>
          <w:rFonts w:hint="eastAsia" w:ascii="宋体" w:hAnsi="宋体" w:eastAsia="宋体"/>
          <w:b/>
          <w:color w:val="000000"/>
          <w:sz w:val="24"/>
        </w:rPr>
        <w:t>合同一般条款</w:t>
      </w:r>
      <w:bookmarkEnd w:id="99"/>
      <w:bookmarkEnd w:id="101"/>
    </w:p>
    <w:p w14:paraId="0CCF3F78">
      <w:pPr>
        <w:spacing w:line="360" w:lineRule="auto"/>
        <w:ind w:firstLine="437"/>
        <w:outlineLvl w:val="2"/>
        <w:rPr>
          <w:rFonts w:ascii="宋体" w:hAnsi="宋体" w:eastAsia="宋体" w:cs="Times New Roman"/>
          <w:b/>
          <w:bCs/>
          <w:color w:val="000000"/>
          <w:sz w:val="24"/>
          <w:szCs w:val="24"/>
          <w:lang w:val="zh-CN"/>
        </w:rPr>
      </w:pPr>
      <w:bookmarkStart w:id="102" w:name="_Ref467379109"/>
      <w:bookmarkStart w:id="103" w:name="_Ref467379225"/>
      <w:bookmarkStart w:id="104" w:name="_Toc487900349"/>
      <w:bookmarkStart w:id="105" w:name="_Toc279701240"/>
      <w:bookmarkStart w:id="106" w:name="_Ref467378404"/>
      <w:bookmarkStart w:id="107" w:name="_Ref467379205"/>
      <w:bookmarkStart w:id="108" w:name="_Ref467379101"/>
      <w:bookmarkStart w:id="109" w:name="_Ref467378463"/>
      <w:bookmarkStart w:id="110" w:name="_Toc16917"/>
      <w:bookmarkStart w:id="111" w:name="_Ref467379195"/>
      <w:bookmarkStart w:id="112" w:name="_Ref467378499"/>
      <w:bookmarkStart w:id="113" w:name="_Ref467379094"/>
      <w:bookmarkStart w:id="114" w:name="_Toc19614"/>
      <w:bookmarkStart w:id="115" w:name="_Toc259093669"/>
      <w:bookmarkStart w:id="116" w:name="_Toc28763"/>
      <w:bookmarkStart w:id="117" w:name="_Ref467379214"/>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 xml:space="preserve">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6979AA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本合同中的下列</w:t>
      </w:r>
      <w:r>
        <w:rPr>
          <w:rFonts w:hint="eastAsia" w:ascii="宋体" w:hAnsi="宋体" w:eastAsia="宋体" w:cs="Times New Roman"/>
          <w:color w:val="000000"/>
          <w:sz w:val="24"/>
          <w:szCs w:val="24"/>
        </w:rPr>
        <w:t>词</w:t>
      </w:r>
      <w:r>
        <w:rPr>
          <w:rFonts w:ascii="宋体" w:hAnsi="宋体" w:eastAsia="宋体" w:cs="Times New Roman"/>
          <w:color w:val="000000"/>
          <w:sz w:val="24"/>
          <w:szCs w:val="24"/>
        </w:rPr>
        <w:t>语应</w:t>
      </w:r>
      <w:r>
        <w:rPr>
          <w:rFonts w:hint="eastAsia" w:ascii="宋体" w:hAnsi="宋体" w:eastAsia="宋体" w:cs="Times New Roman"/>
          <w:color w:val="000000"/>
          <w:sz w:val="24"/>
          <w:szCs w:val="24"/>
        </w:rPr>
        <w:t>按以下内容进行</w:t>
      </w:r>
      <w:r>
        <w:rPr>
          <w:rFonts w:ascii="宋体" w:hAnsi="宋体" w:eastAsia="宋体" w:cs="Times New Roman"/>
          <w:color w:val="000000"/>
          <w:sz w:val="24"/>
          <w:szCs w:val="24"/>
        </w:rPr>
        <w:t>解释：</w:t>
      </w:r>
    </w:p>
    <w:p w14:paraId="5CE6C9A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“合同”系指采购人和中标人签订的载明双方当事人所达成的协议，并包括所有的附件、附录和构成合同的其他文件。</w:t>
      </w:r>
    </w:p>
    <w:p w14:paraId="1BF262F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1.2“合同价”系指根据合同约定，中标人在完全履行合同义务后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采购人应支付给中标人的价格。</w:t>
      </w:r>
    </w:p>
    <w:p w14:paraId="22D65C9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1.3“</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”系指</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根据合同约定应向采购人</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w:t>
      </w:r>
      <w:r>
        <w:rPr>
          <w:rFonts w:hint="eastAsia" w:ascii="宋体" w:hAnsi="宋体" w:eastAsia="宋体" w:cs="Times New Roman"/>
          <w:color w:val="000000"/>
          <w:sz w:val="24"/>
          <w:szCs w:val="24"/>
        </w:rPr>
        <w:t>除货物和工程以外的其他政府采购对象，包括采购人自身需要的服务和向社会公众提供的公共服务。</w:t>
      </w:r>
    </w:p>
    <w:p w14:paraId="56CB731F">
      <w:pPr>
        <w:spacing w:line="360" w:lineRule="auto"/>
        <w:ind w:firstLine="435"/>
        <w:rPr>
          <w:rFonts w:ascii="宋体" w:hAnsi="宋体" w:eastAsia="宋体" w:cs="Times New Roman"/>
          <w:color w:val="000000"/>
          <w:sz w:val="24"/>
          <w:szCs w:val="24"/>
        </w:rPr>
      </w:pPr>
      <w:bookmarkStart w:id="118" w:name="_Ref46737884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rPr>
        <w:t>甲方</w:t>
      </w:r>
      <w:r>
        <w:rPr>
          <w:rFonts w:ascii="宋体" w:hAnsi="宋体" w:eastAsia="宋体" w:cs="Times New Roman"/>
          <w:color w:val="000000"/>
          <w:sz w:val="24"/>
          <w:szCs w:val="24"/>
        </w:rPr>
        <w:t>”系指与</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签署合同的采购人</w:t>
      </w:r>
      <w:bookmarkEnd w:id="118"/>
      <w:r>
        <w:rPr>
          <w:rFonts w:hint="eastAsia" w:ascii="宋体" w:hAnsi="宋体" w:eastAsia="宋体" w:cs="Times New Roman"/>
          <w:color w:val="000000"/>
          <w:sz w:val="24"/>
          <w:szCs w:val="24"/>
        </w:rPr>
        <w:t>；采购人委托采购代理机构代表其与乙方签订合同的，采购人的授权委托书作为合同附件。</w:t>
      </w:r>
    </w:p>
    <w:p w14:paraId="42D8DD21">
      <w:pPr>
        <w:spacing w:line="360" w:lineRule="auto"/>
        <w:ind w:firstLine="435"/>
        <w:rPr>
          <w:rFonts w:ascii="宋体" w:hAnsi="宋体" w:eastAsia="宋体" w:cs="Times New Roman"/>
          <w:color w:val="000000"/>
          <w:sz w:val="24"/>
          <w:szCs w:val="24"/>
        </w:rPr>
      </w:pPr>
      <w:bookmarkStart w:id="119" w:name="_Ref46737940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“乙方”系指根据合同约定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的中标人</w:t>
      </w:r>
      <w:bookmarkEnd w:id="119"/>
      <w:r>
        <w:rPr>
          <w:rFonts w:hint="eastAsia" w:ascii="宋体" w:hAnsi="宋体" w:eastAsia="宋体" w:cs="Times New Roman"/>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7FE9004">
      <w:pPr>
        <w:spacing w:line="360" w:lineRule="auto"/>
        <w:ind w:firstLine="435"/>
        <w:rPr>
          <w:rFonts w:ascii="宋体" w:hAnsi="宋体" w:eastAsia="宋体" w:cs="Times New Roman"/>
          <w:color w:val="000000"/>
          <w:sz w:val="24"/>
          <w:szCs w:val="24"/>
        </w:rPr>
      </w:pPr>
      <w:bookmarkStart w:id="120" w:name="_Ref467379436"/>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6</w:t>
      </w:r>
      <w:r>
        <w:rPr>
          <w:rFonts w:ascii="宋体" w:hAnsi="宋体" w:eastAsia="宋体" w:cs="Times New Roman"/>
          <w:color w:val="000000"/>
          <w:sz w:val="24"/>
          <w:szCs w:val="24"/>
        </w:rPr>
        <w:t>“现场”系指合同约定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的地点。</w:t>
      </w:r>
      <w:bookmarkEnd w:id="120"/>
    </w:p>
    <w:p w14:paraId="6EC1B2F5">
      <w:pPr>
        <w:spacing w:line="360" w:lineRule="auto"/>
        <w:ind w:firstLine="437"/>
        <w:outlineLvl w:val="2"/>
        <w:rPr>
          <w:rFonts w:ascii="宋体" w:hAnsi="宋体" w:eastAsia="宋体" w:cs="Times New Roman"/>
          <w:b/>
          <w:bCs/>
          <w:color w:val="000000"/>
          <w:sz w:val="24"/>
          <w:szCs w:val="24"/>
          <w:lang w:val="zh-CN"/>
        </w:rPr>
      </w:pPr>
      <w:bookmarkStart w:id="121" w:name="_Toc13336"/>
      <w:bookmarkStart w:id="122" w:name="_Toc259093670"/>
      <w:bookmarkStart w:id="123" w:name="_Toc279701241"/>
      <w:bookmarkStart w:id="124" w:name="_Toc32504"/>
      <w:bookmarkStart w:id="125" w:name="_Toc487900350"/>
      <w:bookmarkStart w:id="126" w:name="_Toc27635"/>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2 技术规范</w:t>
      </w:r>
      <w:bookmarkEnd w:id="121"/>
      <w:bookmarkEnd w:id="122"/>
      <w:bookmarkEnd w:id="123"/>
      <w:bookmarkEnd w:id="124"/>
      <w:bookmarkEnd w:id="125"/>
      <w:bookmarkEnd w:id="126"/>
    </w:p>
    <w:p w14:paraId="4F37B40B">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如果采购文件中没有技术规范的相应说明，那么应以国家有关部门最新颁布的相应标准</w:t>
      </w:r>
      <w:r>
        <w:rPr>
          <w:rFonts w:hint="eastAsia" w:ascii="宋体" w:hAnsi="宋体" w:eastAsia="宋体" w:cs="Times New Roman"/>
          <w:color w:val="000000"/>
          <w:sz w:val="24"/>
          <w:szCs w:val="24"/>
        </w:rPr>
        <w:t>和</w:t>
      </w:r>
      <w:r>
        <w:rPr>
          <w:rFonts w:ascii="宋体" w:hAnsi="宋体" w:eastAsia="宋体" w:cs="Times New Roman"/>
          <w:color w:val="000000"/>
          <w:sz w:val="24"/>
          <w:szCs w:val="24"/>
        </w:rPr>
        <w:t>规范为准。</w:t>
      </w:r>
    </w:p>
    <w:p w14:paraId="4D49E21F">
      <w:pPr>
        <w:spacing w:line="360" w:lineRule="auto"/>
        <w:ind w:firstLine="437"/>
        <w:outlineLvl w:val="2"/>
        <w:rPr>
          <w:rFonts w:ascii="宋体" w:hAnsi="宋体" w:eastAsia="宋体" w:cs="Times New Roman"/>
          <w:b/>
          <w:bCs/>
          <w:color w:val="000000"/>
          <w:sz w:val="24"/>
          <w:szCs w:val="24"/>
          <w:lang w:val="zh-CN"/>
        </w:rPr>
      </w:pPr>
      <w:bookmarkStart w:id="127" w:name="_Toc487900351"/>
      <w:bookmarkStart w:id="128" w:name="_Toc9829"/>
      <w:bookmarkStart w:id="129" w:name="_Toc27853"/>
      <w:bookmarkStart w:id="130" w:name="_Toc279701242"/>
      <w:bookmarkStart w:id="131" w:name="_Toc259093671"/>
      <w:bookmarkStart w:id="132" w:name="_Toc3163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3 知识产权</w:t>
      </w:r>
      <w:bookmarkEnd w:id="127"/>
      <w:bookmarkEnd w:id="128"/>
      <w:bookmarkEnd w:id="129"/>
      <w:bookmarkEnd w:id="130"/>
      <w:bookmarkEnd w:id="131"/>
      <w:bookmarkEnd w:id="132"/>
    </w:p>
    <w:p w14:paraId="36CBB5E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2.3.1乙</w:t>
      </w:r>
      <w:r>
        <w:rPr>
          <w:rFonts w:ascii="宋体" w:hAnsi="宋体" w:eastAsia="宋体" w:cs="Times New Roman"/>
          <w:color w:val="000000"/>
          <w:sz w:val="24"/>
          <w:szCs w:val="24"/>
        </w:rPr>
        <w:t>方应保证</w:t>
      </w:r>
      <w:r>
        <w:rPr>
          <w:rFonts w:hint="eastAsia" w:ascii="宋体" w:hAnsi="宋体" w:eastAsia="宋体" w:cs="Times New Roman"/>
          <w:color w:val="000000"/>
          <w:sz w:val="24"/>
          <w:szCs w:val="24"/>
        </w:rPr>
        <w:t>其提供的服务</w:t>
      </w:r>
      <w:r>
        <w:rPr>
          <w:rFonts w:ascii="宋体" w:hAnsi="宋体" w:eastAsia="宋体" w:cs="Times New Roman"/>
          <w:color w:val="000000"/>
          <w:sz w:val="24"/>
          <w:szCs w:val="24"/>
        </w:rPr>
        <w:t>不受任何第三方提出的侵犯其著作权、商标权、专利权等知识产权方面的起诉</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如果任何第三方提出侵权</w:t>
      </w:r>
      <w:r>
        <w:rPr>
          <w:rFonts w:hint="eastAsia" w:ascii="宋体" w:hAnsi="宋体" w:eastAsia="宋体" w:cs="Times New Roman"/>
          <w:color w:val="000000"/>
          <w:sz w:val="24"/>
          <w:szCs w:val="24"/>
        </w:rPr>
        <w:t>指控</w:t>
      </w:r>
      <w:r>
        <w:rPr>
          <w:rFonts w:ascii="宋体" w:hAnsi="宋体" w:eastAsia="宋体" w:cs="Times New Roman"/>
          <w:color w:val="000000"/>
          <w:sz w:val="24"/>
          <w:szCs w:val="24"/>
        </w:rPr>
        <w:t>，那么乙方须与该第三方交涉并承担由此发生的一切责任、费用和赔偿</w:t>
      </w:r>
      <w:r>
        <w:rPr>
          <w:rFonts w:hint="eastAsia" w:ascii="宋体" w:hAnsi="宋体" w:eastAsia="宋体" w:cs="Times New Roman"/>
          <w:color w:val="000000"/>
          <w:sz w:val="24"/>
          <w:szCs w:val="24"/>
        </w:rPr>
        <w:t>；</w:t>
      </w:r>
    </w:p>
    <w:p w14:paraId="1B3C23A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2.3.2具有知识产权的计算机软件等货物的知识产权归属，</w:t>
      </w: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357AF97F">
      <w:pPr>
        <w:spacing w:line="360" w:lineRule="auto"/>
        <w:ind w:firstLine="437"/>
        <w:outlineLvl w:val="2"/>
        <w:rPr>
          <w:rFonts w:ascii="宋体" w:hAnsi="宋体" w:eastAsia="宋体" w:cs="Times New Roman"/>
          <w:b/>
          <w:bCs/>
          <w:color w:val="000000"/>
          <w:sz w:val="24"/>
          <w:szCs w:val="24"/>
          <w:lang w:val="zh-CN"/>
        </w:rPr>
      </w:pPr>
      <w:bookmarkStart w:id="133" w:name="_Toc259093674"/>
      <w:bookmarkStart w:id="134" w:name="_Toc487900354"/>
      <w:bookmarkStart w:id="135" w:name="_Ref467379536"/>
      <w:bookmarkStart w:id="136" w:name="_Ref467379542"/>
      <w:bookmarkStart w:id="137" w:name="_Toc279701245"/>
      <w:bookmarkStart w:id="138" w:name="_Ref467379527"/>
      <w:bookmarkStart w:id="139" w:name="_Ref467378591"/>
      <w:bookmarkStart w:id="140" w:name="_Ref467378541"/>
      <w:bookmarkStart w:id="141" w:name="_Toc26182"/>
      <w:bookmarkStart w:id="142" w:name="_Toc30272"/>
      <w:bookmarkStart w:id="143" w:name="_Toc19074"/>
      <w:r>
        <w:rPr>
          <w:rFonts w:hint="eastAsia" w:ascii="宋体" w:hAnsi="宋体" w:eastAsia="宋体" w:cs="Times New Roman"/>
          <w:b/>
          <w:bCs/>
          <w:color w:val="000000"/>
          <w:sz w:val="24"/>
          <w:szCs w:val="24"/>
          <w:lang w:val="zh-CN"/>
        </w:rPr>
        <w:t>2.</w:t>
      </w:r>
      <w:bookmarkEnd w:id="133"/>
      <w:bookmarkEnd w:id="134"/>
      <w:bookmarkEnd w:id="135"/>
      <w:bookmarkEnd w:id="136"/>
      <w:bookmarkEnd w:id="137"/>
      <w:bookmarkEnd w:id="138"/>
      <w:bookmarkEnd w:id="139"/>
      <w:bookmarkEnd w:id="140"/>
      <w:r>
        <w:rPr>
          <w:rFonts w:ascii="宋体" w:hAnsi="宋体" w:eastAsia="宋体" w:cs="Times New Roman"/>
          <w:b/>
          <w:bCs/>
          <w:color w:val="000000"/>
          <w:sz w:val="24"/>
          <w:szCs w:val="24"/>
          <w:lang w:val="zh-CN"/>
        </w:rPr>
        <w:t xml:space="preserve">4 </w:t>
      </w:r>
      <w:r>
        <w:rPr>
          <w:rFonts w:hint="eastAsia" w:ascii="宋体" w:hAnsi="宋体" w:eastAsia="宋体" w:cs="Times New Roman"/>
          <w:b/>
          <w:bCs/>
          <w:color w:val="000000"/>
          <w:sz w:val="24"/>
          <w:szCs w:val="24"/>
          <w:lang w:val="zh-CN"/>
        </w:rPr>
        <w:t>履约检查和问题反馈</w:t>
      </w:r>
      <w:bookmarkEnd w:id="141"/>
      <w:bookmarkEnd w:id="142"/>
      <w:bookmarkEnd w:id="143"/>
    </w:p>
    <w:p w14:paraId="016BB785">
      <w:pPr>
        <w:spacing w:line="360" w:lineRule="auto"/>
        <w:ind w:firstLine="435"/>
        <w:rPr>
          <w:rFonts w:ascii="宋体" w:hAnsi="宋体" w:eastAsia="宋体" w:cs="Times New Roman"/>
          <w:color w:val="000000"/>
          <w:sz w:val="24"/>
          <w:szCs w:val="24"/>
        </w:rPr>
      </w:pPr>
      <w:bookmarkStart w:id="144" w:name="_Toc186431854"/>
      <w:bookmarkStart w:id="145" w:name="_Toc487900357"/>
      <w:bookmarkStart w:id="146" w:name="_Toc279701247"/>
      <w:bookmarkStart w:id="147" w:name="_Ref467379793"/>
      <w:bookmarkStart w:id="148" w:name="_Toc259093676"/>
      <w:bookmarkStart w:id="149" w:name="_Ref467379807"/>
      <w:r>
        <w:rPr>
          <w:rFonts w:hint="eastAsia" w:ascii="宋体" w:hAnsi="宋体" w:eastAsia="宋体" w:cs="Times New Roman"/>
          <w:color w:val="000000"/>
          <w:sz w:val="24"/>
          <w:szCs w:val="24"/>
        </w:rPr>
        <w:t>2.4</w:t>
      </w:r>
      <w:r>
        <w:rPr>
          <w:rFonts w:ascii="宋体" w:hAnsi="宋体" w:eastAsia="宋体" w:cs="Times New Roman"/>
          <w:color w:val="000000"/>
          <w:sz w:val="24"/>
          <w:szCs w:val="24"/>
        </w:rPr>
        <w:t>.1甲方</w:t>
      </w:r>
      <w:r>
        <w:rPr>
          <w:rFonts w:hint="eastAsia" w:ascii="宋体" w:hAnsi="宋体" w:eastAsia="宋体" w:cs="Times New Roman"/>
          <w:color w:val="000000"/>
          <w:sz w:val="24"/>
          <w:szCs w:val="24"/>
        </w:rPr>
        <w:t>有权</w:t>
      </w:r>
      <w:r>
        <w:rPr>
          <w:rFonts w:ascii="宋体" w:hAnsi="宋体" w:eastAsia="宋体" w:cs="Times New Roman"/>
          <w:color w:val="000000"/>
          <w:sz w:val="24"/>
          <w:szCs w:val="24"/>
        </w:rPr>
        <w:t>在其认为必要时</w:t>
      </w:r>
      <w:r>
        <w:rPr>
          <w:rFonts w:hint="eastAsia" w:ascii="宋体" w:hAnsi="宋体" w:eastAsia="宋体" w:cs="Times New Roman"/>
          <w:color w:val="000000"/>
          <w:sz w:val="24"/>
          <w:szCs w:val="24"/>
        </w:rPr>
        <w:t>，对乙方是否能够按照合同约定提供服务进行履约检查，以确保乙方所提供的服务能够依约满足甲方项目需求，但不得因履约检查妨碍乙方的正常工作，乙方应予积极配合；</w:t>
      </w:r>
    </w:p>
    <w:p w14:paraId="19738BF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.2合同履行期间，甲方有权将履行过程中出现的问题反馈给乙方，双方当事人应以书面形式约定需要完善和改进的内容</w:t>
      </w:r>
      <w:bookmarkEnd w:id="144"/>
      <w:bookmarkStart w:id="150" w:name="_Toc186431855"/>
      <w:r>
        <w:rPr>
          <w:rFonts w:hint="eastAsia" w:ascii="宋体" w:hAnsi="宋体" w:eastAsia="宋体" w:cs="Times New Roman"/>
          <w:color w:val="000000"/>
          <w:sz w:val="24"/>
          <w:szCs w:val="24"/>
        </w:rPr>
        <w:t>。</w:t>
      </w:r>
    </w:p>
    <w:bookmarkEnd w:id="150"/>
    <w:p w14:paraId="76C528A2">
      <w:pPr>
        <w:spacing w:line="360" w:lineRule="auto"/>
        <w:ind w:firstLine="437"/>
        <w:outlineLvl w:val="2"/>
        <w:rPr>
          <w:rFonts w:ascii="宋体" w:hAnsi="宋体" w:eastAsia="宋体" w:cs="Times New Roman"/>
          <w:b/>
          <w:bCs/>
          <w:color w:val="000000"/>
          <w:sz w:val="24"/>
          <w:szCs w:val="24"/>
          <w:lang w:val="zh-CN"/>
        </w:rPr>
      </w:pPr>
      <w:bookmarkStart w:id="151" w:name="_Toc28451"/>
      <w:bookmarkStart w:id="152" w:name="_Toc19219"/>
      <w:bookmarkStart w:id="153" w:name="_Toc7836"/>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结算方式和付款条件</w:t>
      </w:r>
      <w:bookmarkEnd w:id="145"/>
      <w:bookmarkEnd w:id="146"/>
      <w:bookmarkEnd w:id="147"/>
      <w:bookmarkEnd w:id="148"/>
      <w:bookmarkEnd w:id="149"/>
      <w:bookmarkEnd w:id="151"/>
      <w:bookmarkEnd w:id="152"/>
      <w:bookmarkEnd w:id="153"/>
    </w:p>
    <w:p w14:paraId="1FE85BC6">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0BC9A8F8">
      <w:pPr>
        <w:spacing w:line="360" w:lineRule="auto"/>
        <w:ind w:firstLine="437"/>
        <w:outlineLvl w:val="2"/>
        <w:rPr>
          <w:rFonts w:ascii="宋体" w:hAnsi="宋体" w:eastAsia="宋体" w:cs="Times New Roman"/>
          <w:b/>
          <w:bCs/>
          <w:color w:val="000000"/>
          <w:sz w:val="24"/>
          <w:szCs w:val="24"/>
          <w:lang w:val="zh-CN"/>
        </w:rPr>
      </w:pPr>
      <w:bookmarkStart w:id="154" w:name="_Toc259093677"/>
      <w:bookmarkStart w:id="155" w:name="_Ref467379852"/>
      <w:bookmarkStart w:id="156" w:name="_Ref467379863"/>
      <w:bookmarkStart w:id="157" w:name="_Ref467379923"/>
      <w:bookmarkStart w:id="158" w:name="_Toc279701248"/>
      <w:bookmarkStart w:id="159" w:name="_Toc487900358"/>
      <w:bookmarkStart w:id="160" w:name="_Toc3225"/>
      <w:bookmarkStart w:id="161" w:name="_Toc16110"/>
      <w:bookmarkStart w:id="162" w:name="_Toc7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6</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技术资料</w:t>
      </w:r>
      <w:bookmarkEnd w:id="154"/>
      <w:bookmarkEnd w:id="155"/>
      <w:bookmarkEnd w:id="156"/>
      <w:bookmarkEnd w:id="157"/>
      <w:bookmarkEnd w:id="158"/>
      <w:bookmarkEnd w:id="159"/>
      <w:r>
        <w:rPr>
          <w:rFonts w:ascii="宋体" w:hAnsi="宋体" w:eastAsia="宋体" w:cs="Times New Roman"/>
          <w:b/>
          <w:bCs/>
          <w:color w:val="000000"/>
          <w:sz w:val="24"/>
          <w:szCs w:val="24"/>
          <w:lang w:val="zh-CN"/>
        </w:rPr>
        <w:t>和保密义务</w:t>
      </w:r>
      <w:bookmarkEnd w:id="160"/>
      <w:bookmarkEnd w:id="161"/>
      <w:bookmarkEnd w:id="162"/>
    </w:p>
    <w:p w14:paraId="7054AC1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6.1</w:t>
      </w:r>
      <w:r>
        <w:rPr>
          <w:rFonts w:hint="eastAsia" w:ascii="宋体" w:hAnsi="宋体" w:eastAsia="宋体" w:cs="Times New Roman"/>
          <w:color w:val="000000"/>
          <w:sz w:val="24"/>
          <w:szCs w:val="24"/>
        </w:rPr>
        <w:t>乙方有权依据合同约定和项目需要，向甲方了解有关情况，调阅有关资料等，甲方应予积极配合；</w:t>
      </w:r>
    </w:p>
    <w:p w14:paraId="2712C79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.2乙方有义务妥善保管和保护由甲方提供的前款信息和资料等；</w:t>
      </w:r>
    </w:p>
    <w:p w14:paraId="1708E5D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sz w:val="24"/>
          <w:szCs w:val="24"/>
        </w:rPr>
        <w:t>技术情报</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技术资料</w:t>
      </w:r>
      <w:r>
        <w:rPr>
          <w:rFonts w:hint="eastAsia" w:ascii="宋体" w:hAnsi="宋体" w:eastAsia="宋体" w:cs="Times New Roman"/>
          <w:color w:val="000000"/>
          <w:sz w:val="24"/>
          <w:szCs w:val="24"/>
        </w:rPr>
        <w:t>、商业秘密和商业信息等，并采取一切合理和必要措施和方式防止任何第三方接触到对方当事人的上述保密信息和资料。</w:t>
      </w:r>
    </w:p>
    <w:p w14:paraId="2C73B408">
      <w:pPr>
        <w:spacing w:line="360" w:lineRule="auto"/>
        <w:ind w:firstLine="437"/>
        <w:outlineLvl w:val="2"/>
        <w:rPr>
          <w:rFonts w:ascii="宋体" w:hAnsi="宋体" w:eastAsia="宋体" w:cs="Times New Roman"/>
          <w:b/>
          <w:bCs/>
          <w:color w:val="000000"/>
          <w:sz w:val="24"/>
          <w:szCs w:val="24"/>
          <w:lang w:val="zh-CN"/>
        </w:rPr>
      </w:pPr>
      <w:bookmarkStart w:id="163" w:name="_Toc7860"/>
      <w:r>
        <w:rPr>
          <w:rFonts w:ascii="宋体" w:hAnsi="宋体" w:eastAsia="宋体" w:cs="Times New Roman"/>
          <w:b/>
          <w:bCs/>
          <w:color w:val="000000"/>
          <w:sz w:val="24"/>
          <w:szCs w:val="24"/>
          <w:lang w:val="zh-CN"/>
        </w:rPr>
        <w:t>2.7 质量保证</w:t>
      </w:r>
      <w:bookmarkEnd w:id="163"/>
    </w:p>
    <w:p w14:paraId="6D2CBEE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.1乙方应建立和完善履行合同的内部质量保证体系，并提供相关内部规章制度给甲方，以便甲方进行监督检查；</w:t>
      </w:r>
    </w:p>
    <w:p w14:paraId="1A6756E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.2乙方应保证履行合同的人员数量和素质、软件和硬件设备的配置、场地、环境和设施等满足全面履行合同的要求，并应接受甲方的监督检查。</w:t>
      </w:r>
    </w:p>
    <w:p w14:paraId="337074E7">
      <w:pPr>
        <w:spacing w:line="360" w:lineRule="auto"/>
        <w:ind w:firstLine="437"/>
        <w:outlineLvl w:val="2"/>
        <w:rPr>
          <w:rFonts w:ascii="宋体" w:hAnsi="宋体" w:eastAsia="宋体" w:cs="Times New Roman"/>
          <w:b/>
          <w:color w:val="000000"/>
          <w:sz w:val="24"/>
          <w:szCs w:val="24"/>
        </w:rPr>
      </w:pPr>
      <w:bookmarkStart w:id="164" w:name="_Toc22267"/>
      <w:r>
        <w:rPr>
          <w:rFonts w:hint="eastAsia" w:ascii="宋体" w:hAnsi="宋体" w:eastAsia="宋体" w:cs="Times New Roman"/>
          <w:b/>
          <w:color w:val="000000"/>
          <w:sz w:val="24"/>
          <w:szCs w:val="24"/>
        </w:rPr>
        <w:t>2.8 延迟履行</w:t>
      </w:r>
      <w:bookmarkEnd w:id="164"/>
    </w:p>
    <w:p w14:paraId="64285E2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在合同履行过程中，如果乙方遇到不能按时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的情况，应及时以书面形式将不能按时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的理由、预期延误时间通知甲方</w:t>
      </w:r>
      <w:r>
        <w:rPr>
          <w:rFonts w:hint="eastAsia" w:ascii="宋体" w:hAnsi="宋体" w:eastAsia="宋体" w:cs="Times New Roman"/>
          <w:color w:val="000000"/>
          <w:sz w:val="24"/>
          <w:szCs w:val="24"/>
        </w:rPr>
        <w:t>；甲</w:t>
      </w:r>
      <w:r>
        <w:rPr>
          <w:rFonts w:ascii="宋体" w:hAnsi="宋体" w:eastAsia="宋体" w:cs="Times New Roman"/>
          <w:color w:val="000000"/>
          <w:sz w:val="24"/>
          <w:szCs w:val="24"/>
        </w:rPr>
        <w:t>方收到乙方通知后，认为其理由正当的，可以书面形式酌情同意乙方可以延长</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的具体时间。</w:t>
      </w:r>
    </w:p>
    <w:p w14:paraId="1F4C48F0">
      <w:pPr>
        <w:spacing w:line="360" w:lineRule="auto"/>
        <w:ind w:firstLine="437"/>
        <w:outlineLvl w:val="2"/>
        <w:rPr>
          <w:rFonts w:ascii="宋体" w:hAnsi="宋体" w:eastAsia="宋体" w:cs="Times New Roman"/>
          <w:b/>
          <w:bCs/>
          <w:color w:val="000000"/>
          <w:sz w:val="24"/>
          <w:szCs w:val="24"/>
          <w:lang w:val="zh-CN"/>
        </w:rPr>
      </w:pPr>
      <w:bookmarkStart w:id="165" w:name="_Toc7502"/>
      <w:bookmarkStart w:id="166" w:name="_Toc487900364"/>
      <w:bookmarkStart w:id="167" w:name="_Toc259093683"/>
      <w:bookmarkStart w:id="168" w:name="_Toc279701254"/>
      <w:bookmarkStart w:id="169" w:name="_Ref467378121"/>
      <w:r>
        <w:rPr>
          <w:rFonts w:ascii="宋体" w:hAnsi="宋体" w:eastAsia="宋体" w:cs="Times New Roman"/>
          <w:b/>
          <w:bCs/>
          <w:color w:val="000000"/>
          <w:sz w:val="24"/>
          <w:szCs w:val="24"/>
          <w:lang w:val="zh-CN"/>
        </w:rPr>
        <w:t>2.9 合同变更</w:t>
      </w:r>
      <w:bookmarkEnd w:id="165"/>
    </w:p>
    <w:p w14:paraId="7DB4DBAC">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.1双方当事人协商一致，可以签订书面补充合同的形式变更合同，但不得违背采购文件确定的事项；</w:t>
      </w:r>
    </w:p>
    <w:p w14:paraId="2CA81597">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.2合同继续履行将损害国家利益和社会公共利益的，双方当事人应当以书面形式变更合同。有过错的一方应当承担赔偿责任，双方当事人都有过错的，各自承担相应的责任。</w:t>
      </w:r>
      <w:bookmarkStart w:id="170" w:name="_Toc279701259"/>
      <w:bookmarkStart w:id="171" w:name="_Toc259093688"/>
      <w:bookmarkStart w:id="172" w:name="_Toc487900369"/>
    </w:p>
    <w:p w14:paraId="0AE4218F">
      <w:pPr>
        <w:spacing w:line="360" w:lineRule="auto"/>
        <w:ind w:firstLine="437"/>
        <w:outlineLvl w:val="2"/>
        <w:rPr>
          <w:rFonts w:ascii="宋体" w:hAnsi="宋体" w:eastAsia="宋体" w:cs="Times New Roman"/>
          <w:b/>
          <w:bCs/>
          <w:color w:val="000000"/>
          <w:sz w:val="24"/>
          <w:szCs w:val="24"/>
          <w:lang w:val="zh-CN"/>
        </w:rPr>
      </w:pPr>
      <w:bookmarkStart w:id="173" w:name="_Toc10366"/>
      <w:bookmarkStart w:id="174" w:name="_Toc15237"/>
      <w:bookmarkStart w:id="175" w:name="_Toc22955"/>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0</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合同转让</w:t>
      </w:r>
      <w:bookmarkEnd w:id="170"/>
      <w:bookmarkEnd w:id="171"/>
      <w:bookmarkEnd w:id="172"/>
      <w:r>
        <w:rPr>
          <w:rFonts w:ascii="宋体" w:hAnsi="宋体" w:eastAsia="宋体" w:cs="Times New Roman"/>
          <w:b/>
          <w:bCs/>
          <w:color w:val="000000"/>
          <w:sz w:val="24"/>
          <w:szCs w:val="24"/>
          <w:lang w:val="zh-CN"/>
        </w:rPr>
        <w:t>和分包</w:t>
      </w:r>
      <w:bookmarkEnd w:id="173"/>
      <w:bookmarkEnd w:id="174"/>
      <w:bookmarkEnd w:id="175"/>
    </w:p>
    <w:p w14:paraId="5D1F437A">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合同的权利义务依法不</w:t>
      </w:r>
      <w:r>
        <w:rPr>
          <w:rFonts w:hint="eastAsia" w:ascii="宋体" w:hAnsi="宋体" w:eastAsia="宋体" w:cs="Times New Roman"/>
          <w:color w:val="000000"/>
          <w:sz w:val="24"/>
          <w:szCs w:val="24"/>
        </w:rPr>
        <w:t>得</w:t>
      </w:r>
      <w:r>
        <w:rPr>
          <w:rFonts w:ascii="宋体" w:hAnsi="宋体" w:eastAsia="宋体" w:cs="Times New Roman"/>
          <w:color w:val="000000"/>
          <w:sz w:val="24"/>
          <w:szCs w:val="24"/>
        </w:rPr>
        <w:t>转让</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但经甲方</w:t>
      </w:r>
      <w:r>
        <w:rPr>
          <w:rFonts w:hint="eastAsia" w:ascii="宋体" w:hAnsi="宋体" w:eastAsia="宋体" w:cs="Times New Roman"/>
          <w:color w:val="000000"/>
          <w:sz w:val="24"/>
          <w:szCs w:val="24"/>
        </w:rPr>
        <w:t>同意，乙方可以依法采取分包方式履行合同，即：依法可以</w:t>
      </w:r>
      <w:r>
        <w:rPr>
          <w:rFonts w:ascii="宋体" w:hAnsi="宋体" w:eastAsia="宋体" w:cs="Times New Roman"/>
          <w:color w:val="000000"/>
          <w:sz w:val="24"/>
          <w:szCs w:val="24"/>
        </w:rPr>
        <w:t>将合同项下的部分非主体、非关键性工作分包给他人完成</w:t>
      </w:r>
      <w:r>
        <w:rPr>
          <w:rFonts w:hint="eastAsia" w:ascii="宋体" w:hAnsi="宋体" w:eastAsia="宋体" w:cs="Times New Roman"/>
          <w:color w:val="000000"/>
          <w:sz w:val="24"/>
          <w:szCs w:val="24"/>
        </w:rPr>
        <w:t>，</w:t>
      </w:r>
      <w:r>
        <w:rPr>
          <w:rFonts w:ascii="宋体" w:hAnsi="宋体" w:eastAsia="宋体" w:cs="Times New Roman"/>
          <w:color w:val="000000"/>
          <w:sz w:val="24"/>
          <w:szCs w:val="24"/>
        </w:rPr>
        <w:t>接受分包的人应当具备相应的资格条件，并不得再次分包</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且乙方应就分包项目向甲方负责</w:t>
      </w:r>
      <w:r>
        <w:rPr>
          <w:rFonts w:hint="eastAsia" w:ascii="宋体" w:hAnsi="宋体" w:eastAsia="宋体" w:cs="Times New Roman"/>
          <w:color w:val="000000"/>
          <w:sz w:val="24"/>
          <w:szCs w:val="24"/>
        </w:rPr>
        <w:t>，</w:t>
      </w:r>
      <w:r>
        <w:rPr>
          <w:rFonts w:ascii="宋体" w:hAnsi="宋体" w:eastAsia="宋体" w:cs="Times New Roman"/>
          <w:color w:val="000000"/>
          <w:sz w:val="24"/>
          <w:szCs w:val="24"/>
        </w:rPr>
        <w:t>并</w:t>
      </w:r>
      <w:r>
        <w:rPr>
          <w:rFonts w:hint="eastAsia" w:ascii="宋体" w:hAnsi="宋体" w:eastAsia="宋体" w:cs="Times New Roman"/>
          <w:color w:val="000000"/>
          <w:sz w:val="24"/>
          <w:szCs w:val="24"/>
        </w:rPr>
        <w:t>与分包供应商就分包项目向甲方承担连带责任。</w:t>
      </w:r>
    </w:p>
    <w:p w14:paraId="3981639E">
      <w:pPr>
        <w:spacing w:line="360" w:lineRule="auto"/>
        <w:ind w:firstLine="437"/>
        <w:outlineLvl w:val="2"/>
        <w:rPr>
          <w:rFonts w:ascii="宋体" w:hAnsi="宋体" w:eastAsia="宋体" w:cs="Times New Roman"/>
          <w:b/>
          <w:bCs/>
          <w:color w:val="000000"/>
          <w:sz w:val="24"/>
          <w:szCs w:val="24"/>
          <w:lang w:val="zh-CN"/>
        </w:rPr>
      </w:pPr>
      <w:bookmarkStart w:id="176" w:name="_Toc16508"/>
      <w:bookmarkStart w:id="177" w:name="_Toc14066"/>
      <w:bookmarkStart w:id="178" w:name="_Toc13566"/>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1 不可抗力</w:t>
      </w:r>
      <w:bookmarkEnd w:id="176"/>
      <w:bookmarkEnd w:id="177"/>
      <w:bookmarkEnd w:id="178"/>
    </w:p>
    <w:p w14:paraId="7D6985D9">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sz w:val="24"/>
          <w:szCs w:val="24"/>
        </w:rPr>
        <w:t>；</w:t>
      </w:r>
    </w:p>
    <w:p w14:paraId="2D356576">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.2因不可抗力致使不能实现合同目的的，当事人可以解除合同；</w:t>
      </w:r>
    </w:p>
    <w:p w14:paraId="75D144B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.3因</w:t>
      </w:r>
      <w:r>
        <w:rPr>
          <w:rFonts w:ascii="宋体" w:hAnsi="宋体" w:eastAsia="宋体" w:cs="Times New Roman"/>
          <w:color w:val="000000"/>
          <w:sz w:val="24"/>
          <w:szCs w:val="24"/>
        </w:rPr>
        <w:t>不可抗力致使合同有变更必要的，双方当事人应在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约定时间内以书面形式变更合同</w:t>
      </w:r>
      <w:r>
        <w:rPr>
          <w:rFonts w:hint="eastAsia" w:ascii="宋体" w:hAnsi="宋体" w:eastAsia="宋体" w:cs="Times New Roman"/>
          <w:color w:val="000000"/>
          <w:sz w:val="24"/>
          <w:szCs w:val="24"/>
        </w:rPr>
        <w:t>；</w:t>
      </w:r>
    </w:p>
    <w:p w14:paraId="0B49B21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受</w:t>
      </w:r>
      <w:r>
        <w:rPr>
          <w:rFonts w:hint="eastAsia" w:ascii="宋体" w:hAnsi="宋体" w:eastAsia="宋体" w:cs="Times New Roman"/>
          <w:color w:val="000000"/>
          <w:sz w:val="24"/>
          <w:szCs w:val="24"/>
        </w:rPr>
        <w:t>不可抗力</w:t>
      </w:r>
      <w:r>
        <w:rPr>
          <w:rFonts w:ascii="宋体" w:hAnsi="宋体" w:eastAsia="宋体" w:cs="Times New Roman"/>
          <w:color w:val="000000"/>
          <w:sz w:val="24"/>
          <w:szCs w:val="24"/>
        </w:rPr>
        <w:t>影响的一方在不可抗力发生后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约定时间内以书面形式通知</w:t>
      </w:r>
      <w:r>
        <w:rPr>
          <w:rFonts w:hint="eastAsia" w:ascii="宋体" w:hAnsi="宋体" w:eastAsia="宋体" w:cs="Times New Roman"/>
          <w:color w:val="000000"/>
          <w:sz w:val="24"/>
          <w:szCs w:val="24"/>
        </w:rPr>
        <w:t>对</w:t>
      </w:r>
      <w:r>
        <w:rPr>
          <w:rFonts w:ascii="宋体" w:hAnsi="宋体" w:eastAsia="宋体" w:cs="Times New Roman"/>
          <w:color w:val="000000"/>
          <w:sz w:val="24"/>
          <w:szCs w:val="24"/>
        </w:rPr>
        <w:t>方当事人，并在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约定时间内，将有关部门出具的证明文件送达</w:t>
      </w:r>
      <w:r>
        <w:rPr>
          <w:rFonts w:hint="eastAsia" w:ascii="宋体" w:hAnsi="宋体" w:eastAsia="宋体" w:cs="Times New Roman"/>
          <w:color w:val="000000"/>
          <w:sz w:val="24"/>
          <w:szCs w:val="24"/>
        </w:rPr>
        <w:t>对方当事人</w:t>
      </w:r>
      <w:r>
        <w:rPr>
          <w:rFonts w:ascii="宋体" w:hAnsi="宋体" w:eastAsia="宋体" w:cs="Times New Roman"/>
          <w:color w:val="000000"/>
          <w:sz w:val="24"/>
          <w:szCs w:val="24"/>
        </w:rPr>
        <w:t>。</w:t>
      </w:r>
    </w:p>
    <w:p w14:paraId="7610A53B">
      <w:pPr>
        <w:spacing w:line="360" w:lineRule="auto"/>
        <w:ind w:firstLine="437"/>
        <w:outlineLvl w:val="2"/>
        <w:rPr>
          <w:rFonts w:ascii="宋体" w:hAnsi="宋体" w:eastAsia="宋体" w:cs="Times New Roman"/>
          <w:b/>
          <w:bCs/>
          <w:color w:val="000000"/>
          <w:sz w:val="24"/>
          <w:szCs w:val="24"/>
          <w:lang w:val="zh-CN"/>
        </w:rPr>
      </w:pPr>
      <w:bookmarkStart w:id="179" w:name="_Toc279701255"/>
      <w:bookmarkStart w:id="180" w:name="_Toc487900365"/>
      <w:bookmarkStart w:id="181" w:name="_Toc30676"/>
      <w:bookmarkStart w:id="182" w:name="_Toc6969"/>
      <w:bookmarkStart w:id="183" w:name="_Toc259093684"/>
      <w:bookmarkStart w:id="184" w:name="_Toc689"/>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12</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税费</w:t>
      </w:r>
      <w:bookmarkEnd w:id="179"/>
      <w:bookmarkEnd w:id="180"/>
      <w:bookmarkEnd w:id="181"/>
      <w:bookmarkEnd w:id="182"/>
      <w:bookmarkEnd w:id="183"/>
      <w:bookmarkEnd w:id="184"/>
    </w:p>
    <w:p w14:paraId="51E41E71">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与合同有关的一切税费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均按照中华人民共和国法律的相关规定</w:t>
      </w:r>
      <w:r>
        <w:rPr>
          <w:rFonts w:hint="eastAsia" w:ascii="宋体" w:hAnsi="宋体" w:eastAsia="宋体" w:cs="Times New Roman"/>
          <w:color w:val="000000"/>
          <w:sz w:val="24"/>
          <w:szCs w:val="24"/>
        </w:rPr>
        <w:t>缴纳</w:t>
      </w:r>
      <w:r>
        <w:rPr>
          <w:rFonts w:ascii="宋体" w:hAnsi="宋体" w:eastAsia="宋体" w:cs="Times New Roman"/>
          <w:color w:val="000000"/>
          <w:sz w:val="24"/>
          <w:szCs w:val="24"/>
        </w:rPr>
        <w:t>。</w:t>
      </w:r>
    </w:p>
    <w:p w14:paraId="1A184DB6">
      <w:pPr>
        <w:spacing w:line="360" w:lineRule="auto"/>
        <w:ind w:firstLine="437"/>
        <w:outlineLvl w:val="2"/>
        <w:rPr>
          <w:rFonts w:ascii="宋体" w:hAnsi="宋体" w:eastAsia="宋体" w:cs="Times New Roman"/>
          <w:b/>
          <w:bCs/>
          <w:color w:val="000000"/>
          <w:sz w:val="24"/>
          <w:szCs w:val="24"/>
          <w:lang w:val="zh-CN"/>
        </w:rPr>
      </w:pPr>
      <w:bookmarkStart w:id="185" w:name="_Toc8298"/>
      <w:bookmarkStart w:id="186" w:name="_Toc259093687"/>
      <w:bookmarkStart w:id="187" w:name="_Toc7102"/>
      <w:bookmarkStart w:id="188" w:name="_Toc279701258"/>
      <w:bookmarkStart w:id="189" w:name="_Toc16959"/>
      <w:bookmarkStart w:id="190" w:name="_Toc487900368"/>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13</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乙方破产</w:t>
      </w:r>
      <w:bookmarkEnd w:id="185"/>
      <w:bookmarkEnd w:id="186"/>
      <w:bookmarkEnd w:id="187"/>
      <w:bookmarkEnd w:id="188"/>
      <w:bookmarkEnd w:id="189"/>
      <w:bookmarkEnd w:id="190"/>
    </w:p>
    <w:p w14:paraId="5E7614F7">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如果乙方破产导致合同无法履行时，甲方可以书面形式通知乙方终止合同且不给予乙方任何补偿和赔偿</w:t>
      </w:r>
      <w:r>
        <w:rPr>
          <w:rFonts w:hint="eastAsia" w:ascii="宋体" w:hAnsi="宋体" w:eastAsia="宋体" w:cs="Times New Roman"/>
          <w:color w:val="000000"/>
          <w:sz w:val="24"/>
          <w:szCs w:val="24"/>
        </w:rPr>
        <w:t>，但合同的</w:t>
      </w:r>
      <w:r>
        <w:rPr>
          <w:rFonts w:ascii="宋体" w:hAnsi="宋体" w:eastAsia="宋体" w:cs="Times New Roman"/>
          <w:color w:val="000000"/>
          <w:sz w:val="24"/>
          <w:szCs w:val="24"/>
        </w:rPr>
        <w:t>终止不损害或不影响甲方已经采取或将要采取的任何要求乙方支付违约金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赔偿损失等的行动或补救措施的权利</w:t>
      </w:r>
      <w:r>
        <w:rPr>
          <w:rFonts w:hint="eastAsia" w:ascii="宋体" w:hAnsi="宋体" w:eastAsia="宋体" w:cs="Times New Roman"/>
          <w:color w:val="000000"/>
          <w:sz w:val="24"/>
          <w:szCs w:val="24"/>
        </w:rPr>
        <w:t>。</w:t>
      </w:r>
    </w:p>
    <w:p w14:paraId="4232EDB4">
      <w:pPr>
        <w:spacing w:line="360" w:lineRule="auto"/>
        <w:ind w:firstLine="437"/>
        <w:outlineLvl w:val="2"/>
        <w:rPr>
          <w:rFonts w:ascii="宋体" w:hAnsi="宋体" w:eastAsia="宋体" w:cs="Times New Roman"/>
          <w:b/>
          <w:color w:val="000000"/>
          <w:sz w:val="24"/>
          <w:szCs w:val="24"/>
        </w:rPr>
      </w:pPr>
      <w:bookmarkStart w:id="191" w:name="_Toc6134"/>
      <w:bookmarkStart w:id="192" w:name="_Toc15387"/>
      <w:bookmarkStart w:id="193" w:name="_Toc29333"/>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4</w:t>
      </w:r>
      <w:r>
        <w:rPr>
          <w:rFonts w:hint="eastAsia" w:ascii="宋体" w:hAnsi="宋体" w:eastAsia="宋体" w:cs="Times New Roman"/>
          <w:b/>
          <w:bCs/>
          <w:color w:val="000000"/>
          <w:sz w:val="24"/>
          <w:szCs w:val="24"/>
          <w:lang w:val="zh-CN"/>
        </w:rPr>
        <w:t xml:space="preserve"> 合同中止、终止</w:t>
      </w:r>
      <w:bookmarkEnd w:id="191"/>
      <w:bookmarkEnd w:id="192"/>
      <w:bookmarkEnd w:id="193"/>
    </w:p>
    <w:p w14:paraId="5E699D3D">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.1双方当事人不得擅自中止或者终止合同；</w:t>
      </w:r>
    </w:p>
    <w:p w14:paraId="09639528">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.2合同继续履行将损害国家利益和社会公共利益的，双方当事人应当中止或者终止合同。有过错的一方应当承担赔偿责任，双方当事人都有过错的，各自承担相应的责任。</w:t>
      </w:r>
    </w:p>
    <w:p w14:paraId="3F19D5E2">
      <w:pPr>
        <w:spacing w:line="360" w:lineRule="auto"/>
        <w:ind w:firstLine="437"/>
        <w:outlineLvl w:val="2"/>
        <w:rPr>
          <w:rFonts w:ascii="宋体" w:hAnsi="宋体" w:eastAsia="宋体" w:cs="Times New Roman"/>
          <w:b/>
          <w:bCs/>
          <w:color w:val="000000"/>
          <w:sz w:val="24"/>
          <w:szCs w:val="24"/>
          <w:lang w:val="zh-CN"/>
        </w:rPr>
      </w:pPr>
      <w:bookmarkStart w:id="194" w:name="_Toc14563"/>
      <w:bookmarkStart w:id="195" w:name="_Toc6596"/>
      <w:bookmarkStart w:id="196" w:name="_Toc1125"/>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检验和验收</w:t>
      </w:r>
      <w:bookmarkEnd w:id="194"/>
      <w:bookmarkEnd w:id="195"/>
      <w:bookmarkEnd w:id="196"/>
    </w:p>
    <w:p w14:paraId="18DD834A">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1乙方按照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定期提交服务报告</w:t>
      </w:r>
      <w:r>
        <w:rPr>
          <w:rFonts w:hint="eastAsia" w:ascii="宋体" w:hAnsi="宋体" w:eastAsia="宋体" w:cs="Times New Roman"/>
          <w:color w:val="000000"/>
          <w:sz w:val="24"/>
          <w:szCs w:val="24"/>
        </w:rPr>
        <w:t>，甲方按照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的约定进行定期验收</w:t>
      </w:r>
      <w:r>
        <w:rPr>
          <w:rFonts w:hint="eastAsia" w:ascii="宋体" w:hAnsi="宋体" w:eastAsia="宋体" w:cs="Times New Roman"/>
          <w:color w:val="000000"/>
          <w:sz w:val="24"/>
          <w:szCs w:val="24"/>
        </w:rPr>
        <w:t>；</w:t>
      </w:r>
    </w:p>
    <w:p w14:paraId="1B15D88B">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E4B628E">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2.15.3检验和验收标准、程序等具体内容以及前述验收书的效力详见</w:t>
      </w:r>
      <w:r>
        <w:rPr>
          <w:rFonts w:ascii="宋体" w:hAnsi="宋体" w:eastAsia="宋体" w:cs="Times New Roman"/>
          <w:b/>
          <w:i/>
          <w:color w:val="000000"/>
          <w:sz w:val="24"/>
          <w:szCs w:val="24"/>
          <w:u w:val="single"/>
        </w:rPr>
        <w:t>合同专用条款</w:t>
      </w:r>
      <w:r>
        <w:rPr>
          <w:rFonts w:hint="eastAsia" w:ascii="宋体" w:hAnsi="宋体" w:eastAsia="宋体" w:cs="Times New Roman"/>
          <w:i/>
          <w:color w:val="000000"/>
          <w:sz w:val="24"/>
          <w:szCs w:val="24"/>
        </w:rPr>
        <w:t>。</w:t>
      </w:r>
    </w:p>
    <w:bookmarkEnd w:id="166"/>
    <w:bookmarkEnd w:id="167"/>
    <w:bookmarkEnd w:id="168"/>
    <w:bookmarkEnd w:id="169"/>
    <w:p w14:paraId="58289A21">
      <w:pPr>
        <w:spacing w:line="360" w:lineRule="auto"/>
        <w:ind w:firstLine="437"/>
        <w:outlineLvl w:val="2"/>
        <w:rPr>
          <w:rFonts w:ascii="宋体" w:hAnsi="宋体" w:eastAsia="宋体" w:cs="Times New Roman"/>
          <w:b/>
          <w:bCs/>
          <w:color w:val="000000"/>
          <w:sz w:val="24"/>
          <w:szCs w:val="24"/>
        </w:rPr>
      </w:pPr>
      <w:bookmarkStart w:id="197" w:name="_Toc18567"/>
      <w:bookmarkStart w:id="198" w:name="_Toc487900373"/>
      <w:bookmarkStart w:id="199" w:name="_Toc12773"/>
      <w:bookmarkStart w:id="200" w:name="_Toc279701263"/>
      <w:bookmarkStart w:id="201" w:name="_Toc10330"/>
      <w:bookmarkStart w:id="202" w:name="_Toc259093692"/>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16</w:t>
      </w:r>
      <w:r>
        <w:rPr>
          <w:rFonts w:hint="eastAsia"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lang w:val="zh-CN"/>
        </w:rPr>
        <w:t>合同使用的文字和</w:t>
      </w:r>
      <w:r>
        <w:rPr>
          <w:rFonts w:ascii="宋体" w:hAnsi="宋体" w:eastAsia="宋体" w:cs="Times New Roman"/>
          <w:b/>
          <w:bCs/>
          <w:color w:val="000000"/>
          <w:sz w:val="24"/>
          <w:szCs w:val="24"/>
          <w:lang w:val="zh-CN"/>
        </w:rPr>
        <w:t>适用的法律</w:t>
      </w:r>
      <w:bookmarkEnd w:id="197"/>
      <w:bookmarkEnd w:id="198"/>
      <w:bookmarkEnd w:id="199"/>
      <w:bookmarkEnd w:id="200"/>
      <w:bookmarkEnd w:id="201"/>
      <w:bookmarkEnd w:id="202"/>
    </w:p>
    <w:p w14:paraId="614C0A02">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16.1合同使用汉语书就</w:t>
      </w:r>
      <w:r>
        <w:rPr>
          <w:rFonts w:hint="eastAsia" w:ascii="宋体" w:hAnsi="宋体" w:eastAsia="宋体" w:cs="Times New Roman"/>
          <w:color w:val="000000"/>
          <w:sz w:val="24"/>
          <w:szCs w:val="24"/>
        </w:rPr>
        <w:t>、</w:t>
      </w:r>
      <w:r>
        <w:rPr>
          <w:rFonts w:ascii="宋体" w:hAnsi="宋体" w:eastAsia="宋体" w:cs="Times New Roman"/>
          <w:color w:val="000000"/>
          <w:sz w:val="24"/>
          <w:szCs w:val="24"/>
        </w:rPr>
        <w:t>变更和解释</w:t>
      </w:r>
      <w:r>
        <w:rPr>
          <w:rFonts w:hint="eastAsia" w:ascii="宋体" w:hAnsi="宋体" w:eastAsia="宋体" w:cs="Times New Roman"/>
          <w:color w:val="000000"/>
          <w:sz w:val="24"/>
          <w:szCs w:val="24"/>
        </w:rPr>
        <w:t>；</w:t>
      </w:r>
    </w:p>
    <w:p w14:paraId="7F6390DF">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w:t>
      </w:r>
      <w:r>
        <w:rPr>
          <w:rFonts w:hint="eastAsia" w:ascii="宋体" w:hAnsi="宋体" w:eastAsia="宋体" w:cs="Times New Roman"/>
          <w:color w:val="000000"/>
          <w:sz w:val="24"/>
          <w:szCs w:val="24"/>
        </w:rPr>
        <w:t>.2合同适用</w:t>
      </w:r>
      <w:r>
        <w:rPr>
          <w:rFonts w:ascii="宋体" w:hAnsi="宋体" w:eastAsia="宋体" w:cs="Times New Roman"/>
          <w:color w:val="000000"/>
          <w:sz w:val="24"/>
          <w:szCs w:val="24"/>
        </w:rPr>
        <w:t>中华人民共和国法律。</w:t>
      </w:r>
    </w:p>
    <w:p w14:paraId="1AE9FA8F">
      <w:pPr>
        <w:spacing w:line="360" w:lineRule="auto"/>
        <w:ind w:firstLine="437"/>
        <w:outlineLvl w:val="2"/>
        <w:rPr>
          <w:rFonts w:ascii="宋体" w:hAnsi="宋体" w:eastAsia="宋体" w:cs="Times New Roman"/>
          <w:b/>
          <w:color w:val="000000"/>
          <w:sz w:val="24"/>
          <w:szCs w:val="24"/>
        </w:rPr>
      </w:pPr>
      <w:bookmarkStart w:id="203" w:name="_Toc12004"/>
      <w:bookmarkStart w:id="204" w:name="_Toc259093693"/>
      <w:bookmarkStart w:id="205" w:name="_Toc16673"/>
      <w:bookmarkStart w:id="206" w:name="_Toc3148"/>
      <w:bookmarkStart w:id="207" w:name="_Toc279701264"/>
      <w:bookmarkStart w:id="208" w:name="_Toc4879003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17</w:t>
      </w:r>
      <w:r>
        <w:rPr>
          <w:rFonts w:hint="eastAsia" w:ascii="宋体" w:hAnsi="宋体" w:eastAsia="宋体" w:cs="Times New Roman"/>
          <w:b/>
          <w:bCs/>
          <w:color w:val="000000"/>
          <w:sz w:val="24"/>
          <w:szCs w:val="24"/>
          <w:lang w:val="zh-CN"/>
        </w:rPr>
        <w:t xml:space="preserve"> </w:t>
      </w:r>
      <w:r>
        <w:rPr>
          <w:rFonts w:ascii="宋体" w:hAnsi="宋体" w:eastAsia="宋体" w:cs="Times New Roman"/>
          <w:b/>
          <w:bCs/>
          <w:color w:val="000000"/>
          <w:sz w:val="24"/>
          <w:szCs w:val="24"/>
          <w:lang w:val="zh-CN"/>
        </w:rPr>
        <w:t>履约保证金</w:t>
      </w:r>
      <w:bookmarkEnd w:id="203"/>
      <w:bookmarkEnd w:id="204"/>
      <w:bookmarkEnd w:id="205"/>
      <w:bookmarkEnd w:id="206"/>
      <w:bookmarkEnd w:id="207"/>
    </w:p>
    <w:p w14:paraId="58C70C21">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w:t>
      </w:r>
      <w:r>
        <w:rPr>
          <w:rFonts w:hint="eastAsia" w:ascii="宋体" w:hAnsi="宋体" w:eastAsia="宋体" w:cs="Times New Roman"/>
          <w:color w:val="000000"/>
          <w:sz w:val="24"/>
          <w:szCs w:val="24"/>
        </w:rPr>
        <w:t>.1采购文件要求乙方提交履约保证金的，乙方</w:t>
      </w:r>
      <w:r>
        <w:rPr>
          <w:rFonts w:ascii="宋体" w:hAnsi="宋体" w:eastAsia="宋体" w:cs="Times New Roman"/>
          <w:color w:val="000000"/>
          <w:sz w:val="24"/>
          <w:szCs w:val="24"/>
        </w:rPr>
        <w:t>应按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约定的方式</w:t>
      </w:r>
      <w:r>
        <w:rPr>
          <w:rFonts w:hint="eastAsia" w:ascii="宋体" w:hAnsi="宋体" w:eastAsia="宋体" w:cs="Times New Roman"/>
          <w:color w:val="000000"/>
          <w:sz w:val="24"/>
          <w:szCs w:val="24"/>
        </w:rPr>
        <w:t>，以支票、汇票、本票或者金融机构、担保机构出具的保函等非现金形式提交；</w:t>
      </w:r>
    </w:p>
    <w:p w14:paraId="3190665C">
      <w:pPr>
        <w:spacing w:line="360" w:lineRule="auto"/>
        <w:ind w:firstLine="435"/>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17.2履约保证金在</w:t>
      </w:r>
      <w:r>
        <w:rPr>
          <w:rFonts w:ascii="宋体" w:hAnsi="宋体" w:eastAsia="宋体" w:cs="Times New Roman"/>
          <w:b/>
          <w:i/>
          <w:color w:val="000000"/>
          <w:sz w:val="24"/>
          <w:szCs w:val="24"/>
          <w:highlight w:val="none"/>
          <w:u w:val="single"/>
        </w:rPr>
        <w:t>合同专用条款</w:t>
      </w:r>
      <w:r>
        <w:rPr>
          <w:rFonts w:ascii="宋体" w:hAnsi="宋体" w:eastAsia="宋体" w:cs="Times New Roman"/>
          <w:color w:val="000000"/>
          <w:sz w:val="24"/>
          <w:szCs w:val="24"/>
          <w:highlight w:val="none"/>
        </w:rPr>
        <w:t>约定期间内不予退还或者应完全有效</w:t>
      </w:r>
      <w:r>
        <w:rPr>
          <w:rFonts w:hint="eastAsia" w:ascii="宋体" w:hAnsi="宋体" w:eastAsia="宋体" w:cs="Times New Roman"/>
          <w:color w:val="000000"/>
          <w:sz w:val="24"/>
          <w:szCs w:val="24"/>
          <w:highlight w:val="none"/>
        </w:rPr>
        <w:t>，前述约定期间届满</w:t>
      </w:r>
      <w:r>
        <w:rPr>
          <w:rFonts w:ascii="宋体" w:hAnsi="宋体" w:eastAsia="宋体" w:cs="Times New Roman"/>
          <w:color w:val="000000"/>
          <w:sz w:val="24"/>
          <w:szCs w:val="24"/>
          <w:highlight w:val="none"/>
        </w:rPr>
        <w:t>之日起</w:t>
      </w:r>
      <w:r>
        <w:rPr>
          <w:rFonts w:hint="eastAsia" w:ascii="宋体" w:hAnsi="宋体" w:eastAsia="宋体" w:cs="Times New Roman"/>
          <w:color w:val="000000"/>
          <w:sz w:val="24"/>
          <w:szCs w:val="24"/>
          <w:highlight w:val="none"/>
          <w:u w:val="single"/>
        </w:rPr>
        <w:t xml:space="preserve"> </w:t>
      </w:r>
      <w:r>
        <w:rPr>
          <w:rFonts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个</w:t>
      </w:r>
      <w:r>
        <w:rPr>
          <w:rFonts w:ascii="宋体" w:hAnsi="宋体" w:eastAsia="宋体" w:cs="Times New Roman"/>
          <w:color w:val="000000"/>
          <w:sz w:val="24"/>
          <w:szCs w:val="24"/>
          <w:highlight w:val="none"/>
        </w:rPr>
        <w:t>工作日内，甲方应将履约保证金退还乙方</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lang w:val="en-US" w:eastAsia="zh-CN"/>
        </w:rPr>
        <w:t>甲方</w:t>
      </w:r>
      <w:r>
        <w:rPr>
          <w:rFonts w:hint="eastAsia" w:ascii="宋体" w:hAnsi="宋体" w:eastAsia="宋体" w:cs="Times New Roman"/>
          <w:color w:val="000000"/>
          <w:sz w:val="24"/>
          <w:szCs w:val="24"/>
          <w:highlight w:val="none"/>
        </w:rPr>
        <w:t>逾期退还履约保证金</w:t>
      </w:r>
      <w:r>
        <w:rPr>
          <w:rFonts w:hint="eastAsia" w:ascii="宋体" w:hAnsi="宋体" w:eastAsia="宋体" w:cs="Times New Roman"/>
          <w:color w:val="000000"/>
          <w:sz w:val="24"/>
          <w:szCs w:val="24"/>
          <w:highlight w:val="none"/>
          <w:lang w:val="en-US" w:eastAsia="zh-CN"/>
        </w:rPr>
        <w:t>应承担违约责任。</w:t>
      </w:r>
    </w:p>
    <w:p w14:paraId="188C7585">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rPr>
        <w:t>2.</w:t>
      </w:r>
      <w:r>
        <w:rPr>
          <w:rFonts w:ascii="宋体" w:hAnsi="宋体" w:eastAsia="宋体" w:cs="Times New Roman"/>
          <w:color w:val="000000"/>
          <w:sz w:val="24"/>
          <w:szCs w:val="24"/>
          <w:highlight w:val="none"/>
        </w:rPr>
        <w:t>17</w:t>
      </w:r>
      <w:r>
        <w:rPr>
          <w:rFonts w:hint="eastAsia" w:ascii="宋体" w:hAnsi="宋体" w:eastAsia="宋体" w:cs="Times New Roman"/>
          <w:color w:val="000000"/>
          <w:sz w:val="24"/>
          <w:szCs w:val="24"/>
          <w:highlight w:val="none"/>
        </w:rPr>
        <w:t>.3</w:t>
      </w:r>
      <w:r>
        <w:rPr>
          <w:rFonts w:ascii="宋体" w:hAnsi="宋体" w:eastAsia="宋体" w:cs="Times New Roman"/>
          <w:color w:val="000000"/>
          <w:sz w:val="24"/>
          <w:szCs w:val="24"/>
          <w:highlight w:val="none"/>
        </w:rPr>
        <w:t>如果乙方不履行合同</w:t>
      </w:r>
      <w:r>
        <w:rPr>
          <w:rFonts w:hint="eastAsia" w:ascii="宋体" w:hAnsi="宋体" w:eastAsia="宋体" w:cs="Times New Roman"/>
          <w:color w:val="000000"/>
          <w:sz w:val="24"/>
          <w:szCs w:val="24"/>
          <w:highlight w:val="none"/>
        </w:rPr>
        <w:t>，履约保证金不予退还；如果乙方</w:t>
      </w:r>
      <w:r>
        <w:rPr>
          <w:rFonts w:ascii="宋体" w:hAnsi="宋体" w:eastAsia="宋体" w:cs="Times New Roman"/>
          <w:color w:val="000000"/>
          <w:sz w:val="24"/>
          <w:szCs w:val="24"/>
          <w:highlight w:val="none"/>
        </w:rPr>
        <w:t>未能按合同</w:t>
      </w:r>
      <w:r>
        <w:rPr>
          <w:rFonts w:hint="eastAsia" w:ascii="宋体" w:hAnsi="宋体" w:eastAsia="宋体" w:cs="Times New Roman"/>
          <w:color w:val="000000"/>
          <w:sz w:val="24"/>
          <w:szCs w:val="24"/>
          <w:highlight w:val="none"/>
        </w:rPr>
        <w:t>约</w:t>
      </w:r>
      <w:r>
        <w:rPr>
          <w:rFonts w:ascii="宋体" w:hAnsi="宋体" w:eastAsia="宋体" w:cs="Times New Roman"/>
          <w:color w:val="000000"/>
          <w:sz w:val="24"/>
          <w:szCs w:val="24"/>
          <w:highlight w:val="none"/>
        </w:rPr>
        <w:t>定全面履行义务，那么甲方有权从履约保证金中取得补偿</w:t>
      </w:r>
      <w:r>
        <w:rPr>
          <w:rFonts w:ascii="宋体" w:hAnsi="宋体" w:eastAsia="宋体" w:cs="Times New Roman"/>
          <w:color w:val="000000"/>
          <w:sz w:val="24"/>
          <w:szCs w:val="24"/>
        </w:rPr>
        <w:t>或赔偿</w:t>
      </w:r>
      <w:r>
        <w:rPr>
          <w:rFonts w:hint="eastAsia" w:ascii="宋体" w:hAnsi="宋体" w:eastAsia="宋体" w:cs="Times New Roman"/>
          <w:color w:val="000000"/>
          <w:sz w:val="24"/>
          <w:szCs w:val="24"/>
        </w:rPr>
        <w:t>，同时不影响甲方要求乙方承担合同约定的超过履约保证金的违约责任的权利。</w:t>
      </w:r>
    </w:p>
    <w:bookmarkEnd w:id="208"/>
    <w:p w14:paraId="61C38751">
      <w:pPr>
        <w:spacing w:line="360" w:lineRule="auto"/>
        <w:ind w:firstLine="437"/>
        <w:outlineLvl w:val="2"/>
        <w:rPr>
          <w:rFonts w:ascii="宋体" w:hAnsi="宋体" w:eastAsia="宋体" w:cs="Times New Roman"/>
          <w:b/>
          <w:color w:val="000000"/>
          <w:sz w:val="24"/>
          <w:szCs w:val="24"/>
        </w:rPr>
      </w:pPr>
      <w:bookmarkStart w:id="209" w:name="_Toc6885"/>
      <w:bookmarkStart w:id="210" w:name="_Toc14001"/>
      <w:bookmarkStart w:id="211" w:name="_Toc19890"/>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18</w:t>
      </w:r>
      <w:r>
        <w:rPr>
          <w:rFonts w:hint="eastAsia" w:ascii="宋体" w:hAnsi="宋体" w:eastAsia="宋体" w:cs="Times New Roman"/>
          <w:b/>
          <w:bCs/>
          <w:color w:val="000000"/>
          <w:sz w:val="24"/>
          <w:szCs w:val="24"/>
          <w:lang w:val="zh-CN"/>
        </w:rPr>
        <w:t xml:space="preserve"> 合同份数</w:t>
      </w:r>
      <w:bookmarkEnd w:id="209"/>
      <w:bookmarkEnd w:id="210"/>
      <w:bookmarkEnd w:id="211"/>
    </w:p>
    <w:p w14:paraId="415101CC">
      <w:pPr>
        <w:spacing w:line="360" w:lineRule="auto"/>
        <w:ind w:firstLine="435"/>
        <w:rPr>
          <w:rFonts w:ascii="宋体" w:hAnsi="宋体" w:eastAsia="宋体" w:cs="Times New Roman"/>
          <w:color w:val="000000"/>
          <w:sz w:val="24"/>
          <w:szCs w:val="24"/>
        </w:rPr>
      </w:pPr>
      <w:r>
        <w:rPr>
          <w:rFonts w:ascii="宋体" w:hAnsi="宋体" w:eastAsia="宋体" w:cs="Times New Roman"/>
          <w:color w:val="000000"/>
          <w:sz w:val="24"/>
          <w:szCs w:val="24"/>
        </w:rPr>
        <w:t>合同份数按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规定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每份均具有同等法律效力</w:t>
      </w:r>
      <w:r>
        <w:rPr>
          <w:rFonts w:hint="eastAsia" w:ascii="宋体" w:hAnsi="宋体" w:eastAsia="宋体" w:cs="Times New Roman"/>
          <w:color w:val="000000"/>
          <w:sz w:val="24"/>
          <w:szCs w:val="24"/>
        </w:rPr>
        <w:t>。</w:t>
      </w:r>
    </w:p>
    <w:p w14:paraId="342CEDD9">
      <w:pPr>
        <w:spacing w:line="360" w:lineRule="auto"/>
        <w:jc w:val="center"/>
        <w:outlineLvl w:val="1"/>
        <w:rPr>
          <w:rFonts w:ascii="宋体" w:hAnsi="宋体" w:eastAsia="宋体"/>
          <w:b/>
          <w:color w:val="000000"/>
          <w:sz w:val="24"/>
        </w:rPr>
      </w:pPr>
      <w:r>
        <w:rPr>
          <w:rFonts w:ascii="宋体" w:hAnsi="宋体" w:eastAsia="宋体" w:cs="Times New Roman"/>
          <w:color w:val="000000"/>
          <w:sz w:val="24"/>
          <w:szCs w:val="24"/>
        </w:rPr>
        <w:br w:type="page"/>
      </w:r>
      <w:bookmarkStart w:id="212" w:name="_Toc3736"/>
      <w:r>
        <w:rPr>
          <w:rFonts w:hint="eastAsia" w:ascii="宋体" w:hAnsi="宋体" w:eastAsia="宋体"/>
          <w:b/>
          <w:color w:val="000000"/>
          <w:sz w:val="24"/>
        </w:rPr>
        <w:t>第三部分</w:t>
      </w:r>
      <w:r>
        <w:rPr>
          <w:rFonts w:ascii="宋体" w:hAnsi="宋体" w:eastAsia="宋体"/>
          <w:b/>
          <w:color w:val="000000"/>
          <w:sz w:val="24"/>
        </w:rPr>
        <w:t xml:space="preserve"> </w:t>
      </w:r>
      <w:r>
        <w:rPr>
          <w:rFonts w:hint="eastAsia" w:ascii="宋体" w:hAnsi="宋体" w:eastAsia="宋体"/>
          <w:b/>
          <w:color w:val="000000"/>
          <w:sz w:val="24"/>
        </w:rPr>
        <w:t>合同专用条款</w:t>
      </w:r>
      <w:bookmarkEnd w:id="212"/>
    </w:p>
    <w:p w14:paraId="3ED87930">
      <w:pPr>
        <w:spacing w:line="360" w:lineRule="auto"/>
        <w:ind w:firstLine="435"/>
        <w:rPr>
          <w:rFonts w:ascii="宋体" w:hAnsi="宋体" w:eastAsia="宋体" w:cs="Times New Roman"/>
          <w:color w:val="000000"/>
          <w:sz w:val="24"/>
          <w:szCs w:val="24"/>
        </w:rPr>
      </w:pPr>
      <w:r>
        <w:rPr>
          <w:rFonts w:hint="eastAsia" w:ascii="宋体" w:hAnsi="宋体" w:eastAsia="宋体" w:cs="Times New Roman"/>
          <w:color w:val="000000"/>
          <w:sz w:val="24"/>
          <w:szCs w:val="24"/>
        </w:rPr>
        <w:t>本部分</w:t>
      </w:r>
      <w:r>
        <w:rPr>
          <w:rFonts w:ascii="宋体" w:hAnsi="宋体" w:eastAsia="宋体" w:cs="Times New Roman"/>
          <w:color w:val="000000"/>
          <w:sz w:val="24"/>
          <w:szCs w:val="24"/>
        </w:rPr>
        <w:t>是对</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部分的补充和修改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部分和本部分的约定不一致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应以本部分的约定为准</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本部分的条款号应与</w:t>
      </w:r>
      <w:r>
        <w:rPr>
          <w:rFonts w:hint="eastAsia" w:ascii="宋体" w:hAnsi="宋体" w:eastAsia="宋体" w:cs="Times New Roman"/>
          <w:color w:val="000000"/>
          <w:sz w:val="24"/>
          <w:szCs w:val="24"/>
        </w:rPr>
        <w:t>前两部分</w:t>
      </w:r>
      <w:r>
        <w:rPr>
          <w:rFonts w:ascii="宋体" w:hAnsi="宋体" w:eastAsia="宋体" w:cs="Times New Roman"/>
          <w:color w:val="000000"/>
          <w:sz w:val="24"/>
          <w:szCs w:val="24"/>
        </w:rPr>
        <w:t>的条款号保持对应</w:t>
      </w:r>
      <w:r>
        <w:rPr>
          <w:rFonts w:hint="eastAsia" w:ascii="宋体" w:hAnsi="宋体" w:eastAsia="宋体" w:cs="Times New Roman"/>
          <w:color w:val="000000"/>
          <w:sz w:val="24"/>
          <w:szCs w:val="24"/>
        </w:rPr>
        <w:t>；与前两部分</w:t>
      </w:r>
      <w:r>
        <w:rPr>
          <w:rFonts w:ascii="宋体" w:hAnsi="宋体" w:eastAsia="宋体" w:cs="Times New Roman"/>
          <w:color w:val="000000"/>
          <w:sz w:val="24"/>
          <w:szCs w:val="24"/>
        </w:rPr>
        <w:t>无对应关系的内容可另行编制条款号</w:t>
      </w:r>
      <w:r>
        <w:rPr>
          <w:rFonts w:hint="eastAsia" w:ascii="宋体" w:hAnsi="宋体" w:eastAsia="宋体" w:cs="Times New Roman"/>
          <w:color w:val="000000"/>
          <w:sz w:val="24"/>
          <w:szCs w:val="24"/>
        </w:rPr>
        <w:t>。</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D6E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A566447">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条款号</w:t>
            </w:r>
          </w:p>
        </w:tc>
        <w:tc>
          <w:tcPr>
            <w:tcW w:w="7568" w:type="dxa"/>
            <w:noWrap w:val="0"/>
            <w:vAlign w:val="center"/>
          </w:tcPr>
          <w:p w14:paraId="55BCC158">
            <w:pPr>
              <w:keepNext w:val="0"/>
              <w:keepLines w:val="0"/>
              <w:suppressLineNumbers w:val="0"/>
              <w:spacing w:before="0" w:beforeAutospacing="0" w:after="0" w:afterAutospacing="0"/>
              <w:ind w:left="0" w:right="0"/>
              <w:jc w:val="center"/>
              <w:rPr>
                <w:rFonts w:hint="default" w:ascii="宋体" w:hAnsi="宋体" w:eastAsia="宋体" w:cs="Times New Roman"/>
                <w:b/>
                <w:color w:val="000000"/>
                <w:sz w:val="24"/>
                <w:szCs w:val="24"/>
              </w:rPr>
            </w:pPr>
            <w:r>
              <w:rPr>
                <w:rFonts w:hint="default" w:ascii="宋体" w:hAnsi="宋体" w:eastAsia="宋体" w:cs="Times New Roman"/>
                <w:b/>
                <w:color w:val="000000"/>
                <w:sz w:val="24"/>
                <w:szCs w:val="24"/>
              </w:rPr>
              <w:t>约定内容</w:t>
            </w:r>
          </w:p>
        </w:tc>
      </w:tr>
      <w:tr w14:paraId="7F40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5755A87B">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30FBFED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A26D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8BE3B9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70DA5BF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EC7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4360911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484FB7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708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A29585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74C6B7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0201C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545F8CE">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4311564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05B83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6C0ACA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202C5B8D">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41BA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706E38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7294617">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u w:val="single"/>
              </w:rPr>
            </w:pPr>
          </w:p>
        </w:tc>
      </w:tr>
      <w:tr w14:paraId="3773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5695E1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50196FB8">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2E60E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DF61C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690B213A">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5ACD3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7D05DAB6">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noWrap w:val="0"/>
            <w:vAlign w:val="center"/>
          </w:tcPr>
          <w:p w14:paraId="0012B4D2">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10BF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6D073CF3">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5E81515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r w14:paraId="7578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065ED021">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647E71FF">
            <w:pPr>
              <w:keepNext w:val="0"/>
              <w:keepLines w:val="0"/>
              <w:suppressLineNumbers w:val="0"/>
              <w:spacing w:before="0" w:beforeAutospacing="0" w:after="0" w:afterAutospacing="0" w:line="560" w:lineRule="exact"/>
              <w:ind w:left="0" w:right="0"/>
              <w:rPr>
                <w:rFonts w:hint="default" w:ascii="宋体" w:hAnsi="宋体" w:eastAsia="宋体" w:cs="Times New Roman"/>
                <w:color w:val="000000"/>
                <w:sz w:val="24"/>
                <w:szCs w:val="24"/>
              </w:rPr>
            </w:pPr>
          </w:p>
        </w:tc>
      </w:tr>
    </w:tbl>
    <w:p w14:paraId="5E6B3A2D">
      <w:pPr>
        <w:pStyle w:val="19"/>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820" w:firstLineChars="650"/>
        <w:jc w:val="left"/>
        <w:textAlignment w:val="auto"/>
        <w:rPr>
          <w:color w:val="auto"/>
          <w:highlight w:val="none"/>
        </w:rPr>
      </w:pPr>
      <w:r>
        <w:rPr>
          <w:rFonts w:hint="eastAsia" w:ascii="仿宋_GB2312" w:hAnsi="仿宋" w:eastAsia="仿宋_GB2312" w:cs="Times New Roman"/>
          <w:color w:val="auto"/>
          <w:kern w:val="2"/>
          <w:sz w:val="28"/>
          <w:szCs w:val="28"/>
          <w:highlight w:val="none"/>
        </w:rPr>
        <w:t xml:space="preserve"> </w:t>
      </w:r>
    </w:p>
    <w:p w14:paraId="0C114543">
      <w:pPr>
        <w:pStyle w:val="5"/>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bookmarkEnd w:id="67"/>
    <w:bookmarkEnd w:id="68"/>
    <w:bookmarkEnd w:id="69"/>
    <w:p w14:paraId="4725DE7A">
      <w:pPr>
        <w:pStyle w:val="5"/>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56ECF446">
      <w:pPr>
        <w:spacing w:line="1200" w:lineRule="exact"/>
        <w:jc w:val="center"/>
        <w:rPr>
          <w:rFonts w:hint="default" w:ascii="宋体" w:eastAsia="宋体"/>
          <w:color w:val="auto"/>
          <w:sz w:val="44"/>
          <w:szCs w:val="44"/>
          <w:highlight w:val="none"/>
          <w:lang w:val="en-US" w:eastAsia="zh-CN"/>
        </w:rPr>
      </w:pPr>
      <w:r>
        <w:rPr>
          <w:rFonts w:hint="eastAsia" w:ascii="宋体" w:eastAsia="仿宋_GB2312"/>
          <w:color w:val="auto"/>
          <w:sz w:val="36"/>
          <w:szCs w:val="36"/>
          <w:highlight w:val="none"/>
          <w:lang w:eastAsia="zh-CN"/>
        </w:rPr>
        <w:t>安徽省滁州监狱2026年度民警值班室床上用品及警服洗涤服务项目</w:t>
      </w: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22"/>
        <w:rPr>
          <w:color w:val="auto"/>
          <w:highlight w:val="none"/>
        </w:rPr>
      </w:pPr>
    </w:p>
    <w:p w14:paraId="4125F654">
      <w:pPr>
        <w:pStyle w:val="22"/>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07F719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bookmarkStart w:id="213" w:name="_Toc56962913"/>
      <w:bookmarkStart w:id="214" w:name="_Toc488780208"/>
      <w:bookmarkStart w:id="215" w:name="_Toc15300917"/>
      <w:r>
        <w:rPr>
          <w:rFonts w:hint="eastAsia" w:ascii="宋体" w:hAnsi="宋体" w:eastAsia="宋体" w:cs="宋体"/>
          <w:color w:val="auto"/>
          <w:sz w:val="22"/>
          <w:szCs w:val="22"/>
          <w:highlight w:val="none"/>
          <w:lang w:val="en-US" w:eastAsia="zh-CN"/>
        </w:rPr>
        <w:t>1.报价函（格式见附件）；</w:t>
      </w:r>
    </w:p>
    <w:p w14:paraId="4919255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2.分项报价清单（格式见附件）；</w:t>
      </w:r>
    </w:p>
    <w:p w14:paraId="7D55153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3.有效营业执照；</w:t>
      </w:r>
    </w:p>
    <w:p w14:paraId="15BE8D3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4.市场门店证明材料；</w:t>
      </w:r>
    </w:p>
    <w:p w14:paraId="5031FA8B">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5.供应商诚信响应承诺书（格式见附件）；</w:t>
      </w:r>
    </w:p>
    <w:p w14:paraId="60C7A487">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6.法定代表人身份证明文件和本人身份证(或法定代表人授权委托书和委托代理人身份证)（格式见附件）；</w:t>
      </w:r>
    </w:p>
    <w:p w14:paraId="4683D0B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7.供应商认为需要提交的其他相关资料。</w:t>
      </w:r>
    </w:p>
    <w:p w14:paraId="7AEB1E8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60931D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p>
    <w:p w14:paraId="597A9F97">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29FA78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5B6289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ascii="宋体" w:hAnsi="宋体" w:cs="宋体"/>
          <w:color w:val="auto"/>
          <w:spacing w:val="56"/>
          <w:highlight w:val="none"/>
          <w:u w:val="single"/>
        </w:rPr>
        <w:t xml:space="preserve">  </w:t>
      </w:r>
      <w:r>
        <w:rPr>
          <w:rFonts w:hint="eastAsia" w:ascii="Arial" w:hAnsi="Arial" w:cs="Arial"/>
          <w:color w:val="auto"/>
          <w:highlight w:val="none"/>
          <w:u w:val="single"/>
          <w:lang w:val="en-US" w:eastAsia="zh-CN"/>
        </w:rPr>
        <w:t xml:space="preserve">        </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szCs w:val="21"/>
          <w:highlight w:val="none"/>
        </w:rPr>
        <w:t>。服务期满足采购人要求。</w:t>
      </w:r>
    </w:p>
    <w:p w14:paraId="012764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215011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65302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75897A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7EE778C0">
      <w:pPr>
        <w:spacing w:line="600" w:lineRule="exact"/>
        <w:ind w:firstLine="2293" w:firstLineChars="1092"/>
        <w:jc w:val="left"/>
        <w:rPr>
          <w:rFonts w:ascii="宋体" w:hAnsi="宋体" w:cs="宋体"/>
          <w:color w:val="auto"/>
          <w:szCs w:val="21"/>
          <w:highlight w:val="none"/>
        </w:rPr>
      </w:pPr>
    </w:p>
    <w:p w14:paraId="52F2E07A">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36DFF77A">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46695DFB">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0B38ABF7">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1E06A461">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506BA1">
      <w:pPr>
        <w:rPr>
          <w:rFonts w:hint="eastAsia"/>
          <w:b/>
          <w:color w:val="auto"/>
          <w:sz w:val="28"/>
          <w:szCs w:val="28"/>
          <w:highlight w:val="none"/>
        </w:rPr>
      </w:pPr>
    </w:p>
    <w:p w14:paraId="0501A6BD">
      <w:pPr>
        <w:numPr>
          <w:ilvl w:val="0"/>
          <w:numId w:val="2"/>
        </w:num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分项报价清单</w:t>
      </w:r>
    </w:p>
    <w:tbl>
      <w:tblPr>
        <w:tblStyle w:val="2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4905"/>
        <w:gridCol w:w="1094"/>
        <w:gridCol w:w="1094"/>
        <w:gridCol w:w="1312"/>
      </w:tblGrid>
      <w:tr w14:paraId="6AE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top"/>
          </w:tcPr>
          <w:p w14:paraId="1D7B1C93">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名称</w:t>
            </w:r>
          </w:p>
        </w:tc>
        <w:tc>
          <w:tcPr>
            <w:tcW w:w="4905" w:type="dxa"/>
            <w:noWrap w:val="0"/>
            <w:vAlign w:val="top"/>
          </w:tcPr>
          <w:p w14:paraId="5FC39F1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1094" w:type="dxa"/>
            <w:noWrap w:val="0"/>
            <w:vAlign w:val="top"/>
          </w:tcPr>
          <w:p w14:paraId="3747FF54">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c>
          <w:tcPr>
            <w:tcW w:w="1094" w:type="dxa"/>
            <w:noWrap w:val="0"/>
            <w:vAlign w:val="top"/>
          </w:tcPr>
          <w:p w14:paraId="1CF3E99D">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综合单价（元/套）</w:t>
            </w:r>
          </w:p>
        </w:tc>
        <w:tc>
          <w:tcPr>
            <w:tcW w:w="1312" w:type="dxa"/>
            <w:noWrap w:val="0"/>
            <w:vAlign w:val="top"/>
          </w:tcPr>
          <w:p w14:paraId="4412CF3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小计</w:t>
            </w:r>
          </w:p>
          <w:p w14:paraId="61291282">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（元）</w:t>
            </w:r>
          </w:p>
        </w:tc>
      </w:tr>
      <w:tr w14:paraId="5066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4B0BA7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床上用品</w:t>
            </w:r>
          </w:p>
        </w:tc>
        <w:tc>
          <w:tcPr>
            <w:tcW w:w="4905" w:type="dxa"/>
            <w:noWrap w:val="0"/>
            <w:vAlign w:val="top"/>
          </w:tcPr>
          <w:p w14:paraId="1F08C9DE">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承担整套床上用品洗涤服务，包括但不限于床单、被套、枕套等，具体数量和规格根据值班室实际床位配置确定。</w:t>
            </w:r>
          </w:p>
          <w:p w14:paraId="5A8F551C">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注：床上用品每三天洗一次，每次50套</w:t>
            </w:r>
          </w:p>
        </w:tc>
        <w:tc>
          <w:tcPr>
            <w:tcW w:w="1094" w:type="dxa"/>
            <w:noWrap w:val="0"/>
            <w:vAlign w:val="center"/>
          </w:tcPr>
          <w:p w14:paraId="0075C3C6">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default"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6100套</w:t>
            </w:r>
          </w:p>
        </w:tc>
        <w:tc>
          <w:tcPr>
            <w:tcW w:w="1094" w:type="dxa"/>
            <w:noWrap w:val="0"/>
            <w:vAlign w:val="center"/>
          </w:tcPr>
          <w:p w14:paraId="46C4FB6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29225D8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5B8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5ABDF87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警服洗涤</w:t>
            </w:r>
          </w:p>
        </w:tc>
        <w:tc>
          <w:tcPr>
            <w:tcW w:w="4905" w:type="dxa"/>
            <w:noWrap w:val="0"/>
            <w:vAlign w:val="top"/>
          </w:tcPr>
          <w:p w14:paraId="4EA60CB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承担民警各类警服（包括常服、执勤服、作训服等）的洗涤、熨烫、整形、修补及特殊污渍处理等工作，确保警服整洁、挺括，无破损变形，并严格遵守警服管理相关规定，妥善保管警服及警用标识，防止丢失或损坏。</w:t>
            </w:r>
          </w:p>
          <w:p w14:paraId="32B37916">
            <w:pPr>
              <w:pStyle w:val="2"/>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rPr>
              <w:t>注：本项目服务民警共125人，警服洗涤服务费按“西服套装”单次洗涤费用的标准计算，每张“洗涤卡”清洗次数不少于12次。</w:t>
            </w:r>
          </w:p>
        </w:tc>
        <w:tc>
          <w:tcPr>
            <w:tcW w:w="1094" w:type="dxa"/>
            <w:noWrap w:val="0"/>
            <w:vAlign w:val="center"/>
          </w:tcPr>
          <w:p w14:paraId="301DE2D1">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r>
              <w:rPr>
                <w:rFonts w:hint="eastAsia" w:ascii="宋体" w:hAnsi="宋体" w:eastAsia="宋体" w:cs="宋体"/>
                <w:kern w:val="0"/>
                <w:sz w:val="21"/>
                <w:szCs w:val="21"/>
                <w:vertAlign w:val="baseline"/>
                <w:lang w:val="en-US" w:eastAsia="zh-CN"/>
              </w:rPr>
              <w:t>1500套</w:t>
            </w:r>
          </w:p>
        </w:tc>
        <w:tc>
          <w:tcPr>
            <w:tcW w:w="1094" w:type="dxa"/>
            <w:noWrap w:val="0"/>
            <w:vAlign w:val="center"/>
          </w:tcPr>
          <w:p w14:paraId="7FA239E0">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c>
          <w:tcPr>
            <w:tcW w:w="1312" w:type="dxa"/>
            <w:noWrap w:val="0"/>
            <w:vAlign w:val="center"/>
          </w:tcPr>
          <w:p w14:paraId="01BA1F57">
            <w:pPr>
              <w:keepNext w:val="0"/>
              <w:keepLines w:val="0"/>
              <w:pageBreakBefore w:val="0"/>
              <w:widowControl/>
              <w:numPr>
                <w:ilvl w:val="0"/>
                <w:numId w:val="0"/>
              </w:numPr>
              <w:kinsoku/>
              <w:overflowPunct/>
              <w:topLinePunct w:val="0"/>
              <w:autoSpaceDE/>
              <w:autoSpaceDN/>
              <w:bidi w:val="0"/>
              <w:adjustRightInd/>
              <w:snapToGrid/>
              <w:spacing w:line="560" w:lineRule="exact"/>
              <w:jc w:val="center"/>
              <w:textAlignment w:val="auto"/>
              <w:rPr>
                <w:rFonts w:hint="eastAsia" w:ascii="宋体" w:hAnsi="宋体" w:eastAsia="宋体" w:cs="宋体"/>
                <w:kern w:val="0"/>
                <w:sz w:val="21"/>
                <w:szCs w:val="21"/>
                <w:vertAlign w:val="baseline"/>
                <w:lang w:val="en-US" w:eastAsia="zh-CN"/>
              </w:rPr>
            </w:pPr>
          </w:p>
        </w:tc>
      </w:tr>
      <w:tr w14:paraId="0775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14:paraId="6C41B5C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总价</w:t>
            </w:r>
          </w:p>
        </w:tc>
        <w:tc>
          <w:tcPr>
            <w:tcW w:w="8405" w:type="dxa"/>
            <w:gridSpan w:val="4"/>
            <w:noWrap w:val="0"/>
            <w:vAlign w:val="top"/>
          </w:tcPr>
          <w:p w14:paraId="0652B1E9">
            <w:pPr>
              <w:keepNext w:val="0"/>
              <w:keepLines w:val="0"/>
              <w:pageBreakBefore w:val="0"/>
              <w:widowControl/>
              <w:numPr>
                <w:ilvl w:val="0"/>
                <w:numId w:val="0"/>
              </w:numPr>
              <w:kinsoku/>
              <w:overflowPunct/>
              <w:topLinePunct w:val="0"/>
              <w:autoSpaceDE/>
              <w:autoSpaceDN/>
              <w:bidi w:val="0"/>
              <w:adjustRightInd/>
              <w:snapToGrid/>
              <w:spacing w:line="560" w:lineRule="exact"/>
              <w:jc w:val="both"/>
              <w:textAlignment w:val="auto"/>
              <w:rPr>
                <w:rFonts w:hint="default" w:ascii="宋体" w:hAnsi="宋体" w:eastAsia="宋体" w:cs="宋体"/>
                <w:b/>
                <w:bCs/>
                <w:kern w:val="0"/>
                <w:sz w:val="22"/>
                <w:szCs w:val="22"/>
                <w:vertAlign w:val="baseline"/>
                <w:lang w:val="en-US" w:eastAsia="zh-CN"/>
              </w:rPr>
            </w:pPr>
            <w:r>
              <w:rPr>
                <w:rFonts w:hint="eastAsia" w:ascii="宋体" w:hAnsi="宋体" w:eastAsia="宋体" w:cs="宋体"/>
                <w:b/>
                <w:bCs/>
                <w:kern w:val="0"/>
                <w:sz w:val="22"/>
                <w:szCs w:val="22"/>
                <w:vertAlign w:val="baseline"/>
                <w:lang w:val="en-US" w:eastAsia="zh-CN"/>
              </w:rPr>
              <w:t>大写：                            小写：</w:t>
            </w:r>
          </w:p>
        </w:tc>
      </w:tr>
    </w:tbl>
    <w:p w14:paraId="5F4FFCD2">
      <w:pPr>
        <w:pStyle w:val="2"/>
        <w:numPr>
          <w:ilvl w:val="0"/>
          <w:numId w:val="0"/>
        </w:numPr>
        <w:jc w:val="left"/>
        <w:rPr>
          <w:rFonts w:hint="eastAsia" w:ascii="宋体" w:hAnsi="宋体" w:eastAsia="宋体" w:cs="宋体"/>
          <w:sz w:val="21"/>
          <w:szCs w:val="18"/>
          <w:lang w:val="en-US" w:eastAsia="zh-CN"/>
        </w:rPr>
      </w:pPr>
      <w:r>
        <w:rPr>
          <w:rFonts w:hint="eastAsia" w:ascii="宋体" w:hAnsi="宋体" w:eastAsia="宋体" w:cs="宋体"/>
          <w:sz w:val="21"/>
          <w:szCs w:val="18"/>
          <w:lang w:val="en-US" w:eastAsia="zh-CN"/>
        </w:rPr>
        <w:t>注：在项目实施过程中，上述采购数量和实际发生的数量不一致时，按采购实际发生数量为准，成交综合单价不作任何调整，请各供应商报价时自行考虑,否则自行承担一切后果及损失。</w:t>
      </w:r>
    </w:p>
    <w:p w14:paraId="236190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23EB5C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p>
    <w:p w14:paraId="7891C4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54F278B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561487C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2E7C06CA">
      <w:pPr>
        <w:rPr>
          <w:rFonts w:hint="eastAsia" w:ascii="宋体" w:hAnsi="宋体" w:eastAsia="宋体" w:cs="宋体"/>
          <w:b/>
          <w:color w:val="auto"/>
          <w:sz w:val="32"/>
          <w:szCs w:val="32"/>
          <w:highlight w:val="none"/>
        </w:rPr>
      </w:pPr>
    </w:p>
    <w:p w14:paraId="76EA87D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rPr>
        <w:t>）法定代表人身份证明或授权委托书</w:t>
      </w:r>
    </w:p>
    <w:p w14:paraId="21F63CD1">
      <w:pPr>
        <w:pStyle w:val="40"/>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22"/>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01248B9E">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p>
    <w:bookmarkEnd w:id="213"/>
    <w:bookmarkEnd w:id="214"/>
    <w:bookmarkEnd w:id="215"/>
    <w:p w14:paraId="67AE1910">
      <w:pPr>
        <w:rPr>
          <w:rFonts w:ascii="宋体"/>
          <w:color w:val="auto"/>
          <w:sz w:val="24"/>
          <w:highlight w:val="none"/>
        </w:rPr>
      </w:pPr>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216" w:name="OLE_LINK7"/>
      <w:bookmarkStart w:id="217" w:name="OLE_LINK25"/>
      <w:bookmarkStart w:id="218" w:name="OLE_LINK24"/>
      <w:r>
        <w:rPr>
          <w:rFonts w:hint="eastAsia" w:ascii="黑体" w:hAnsi="黑体" w:eastAsia="黑体"/>
          <w:b/>
          <w:bCs/>
          <w:color w:val="auto"/>
          <w:kern w:val="44"/>
          <w:sz w:val="36"/>
          <w:szCs w:val="28"/>
          <w:highlight w:val="none"/>
        </w:rPr>
        <w:t>附件1 关于联合惩戒失信行为加强信用查询管理的通知</w:t>
      </w:r>
    </w:p>
    <w:bookmarkEnd w:id="216"/>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17"/>
    <w:bookmarkEnd w:id="218"/>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19" w:name="OLE_LINK91"/>
      <w:bookmarkStart w:id="220" w:name="OLE_LINK93"/>
      <w:bookmarkStart w:id="221" w:name="OLE_LINK92"/>
      <w:bookmarkStart w:id="222" w:name="OLE_LINK103"/>
      <w:r>
        <w:rPr>
          <w:rFonts w:hint="eastAsia" w:ascii="仿宋_GB2312" w:hAnsi="宋体" w:eastAsia="仿宋_GB2312"/>
          <w:color w:val="auto"/>
          <w:sz w:val="28"/>
          <w:szCs w:val="28"/>
          <w:highlight w:val="none"/>
        </w:rPr>
        <w:t>投标人、法定代表人及其项目经理(建造师)</w:t>
      </w:r>
      <w:bookmarkEnd w:id="219"/>
      <w:bookmarkEnd w:id="220"/>
      <w:bookmarkEnd w:id="221"/>
      <w:bookmarkEnd w:id="222"/>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223" w:name="OLE_LINK86"/>
      <w:bookmarkStart w:id="224" w:name="OLE_LINK87"/>
      <w:bookmarkStart w:id="225" w:name="OLE_LINK94"/>
      <w:bookmarkStart w:id="226" w:name="OLE_LINK119"/>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27" w:name="OLE_LINK115"/>
      <w:bookmarkStart w:id="228" w:name="OLE_LINK116"/>
      <w:bookmarkStart w:id="229" w:name="OLE_LINK118"/>
      <w:bookmarkStart w:id="230" w:name="OLE_LINK117"/>
      <w:r>
        <w:rPr>
          <w:rFonts w:hint="eastAsia" w:ascii="仿宋_GB2312" w:hAnsi="宋体" w:eastAsia="仿宋_GB2312"/>
          <w:color w:val="auto"/>
          <w:sz w:val="28"/>
          <w:szCs w:val="28"/>
          <w:highlight w:val="none"/>
        </w:rPr>
        <w:t>“重大税收违法失信主体”</w:t>
      </w:r>
      <w:bookmarkEnd w:id="227"/>
      <w:bookmarkEnd w:id="228"/>
      <w:bookmarkEnd w:id="229"/>
      <w:bookmarkEnd w:id="230"/>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31" w:name="OLE_LINK85"/>
      <w:bookmarkStart w:id="232" w:name="OLE_LINK84"/>
      <w:r>
        <w:rPr>
          <w:rFonts w:hint="eastAsia" w:ascii="仿宋_GB2312" w:hAnsi="宋体" w:eastAsia="仿宋_GB2312"/>
          <w:color w:val="auto"/>
          <w:sz w:val="28"/>
          <w:szCs w:val="28"/>
          <w:highlight w:val="none"/>
        </w:rPr>
        <w:t>农民工工资失信联合惩戒对象</w:t>
      </w:r>
      <w:bookmarkEnd w:id="231"/>
      <w:bookmarkEnd w:id="232"/>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23"/>
    <w:bookmarkEnd w:id="224"/>
    <w:bookmarkEnd w:id="225"/>
    <w:bookmarkEnd w:id="226"/>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33" w:name="OLE_LINK130"/>
      <w:r>
        <w:rPr>
          <w:rFonts w:hint="eastAsia" w:ascii="仿宋_GB2312" w:hAnsi="宋体" w:eastAsia="仿宋_GB2312"/>
          <w:color w:val="auto"/>
          <w:sz w:val="28"/>
          <w:szCs w:val="28"/>
          <w:highlight w:val="none"/>
        </w:rPr>
        <w:t>国家企业信用信息公示系统网站</w:t>
      </w:r>
      <w:bookmarkEnd w:id="233"/>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34" w:name="OLE_LINK89"/>
      <w:bookmarkStart w:id="235" w:name="OLE_LINK90"/>
      <w:r>
        <w:rPr>
          <w:rStyle w:val="34"/>
          <w:rFonts w:hint="eastAsia" w:ascii="仿宋_GB2312" w:hAnsi="宋体" w:eastAsia="仿宋_GB2312"/>
          <w:color w:val="auto"/>
          <w:sz w:val="28"/>
          <w:szCs w:val="28"/>
          <w:highlight w:val="none"/>
        </w:rPr>
        <w:t>www.gsxt.gov.cn</w:t>
      </w:r>
      <w:bookmarkEnd w:id="234"/>
      <w:bookmarkEnd w:id="235"/>
      <w:r>
        <w:rPr>
          <w:rStyle w:val="34"/>
          <w:rFonts w:hint="eastAsia" w:ascii="仿宋_GB2312" w:hAnsi="宋体" w:eastAsia="仿宋_GB2312"/>
          <w:color w:val="auto"/>
          <w:sz w:val="28"/>
          <w:szCs w:val="28"/>
          <w:highlight w:val="none"/>
        </w:rPr>
        <w:t>）</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236" w:name="OLE_LINK121"/>
      <w:bookmarkStart w:id="237" w:name="OLE_LINK120"/>
      <w:bookmarkStart w:id="238" w:name="OLE_LINK122"/>
      <w:r>
        <w:rPr>
          <w:rFonts w:hint="eastAsia" w:ascii="仿宋_GB2312" w:hAnsi="宋体" w:eastAsia="仿宋_GB2312"/>
          <w:color w:val="auto"/>
          <w:sz w:val="28"/>
          <w:szCs w:val="28"/>
          <w:highlight w:val="none"/>
        </w:rPr>
        <w:t>①被列入“经营异常名录”或者“严重违法失信名单”的。</w:t>
      </w:r>
      <w:bookmarkEnd w:id="236"/>
      <w:bookmarkEnd w:id="237"/>
      <w:bookmarkEnd w:id="238"/>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39" w:name="OLE_LINK124"/>
      <w:bookmarkStart w:id="240"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41" w:name="OLE_LINK108"/>
      <w:bookmarkStart w:id="242" w:name="OLE_LINK107"/>
      <w:r>
        <w:rPr>
          <w:rFonts w:hint="eastAsia" w:ascii="仿宋_GB2312" w:hAnsi="宋体" w:eastAsia="仿宋_GB2312"/>
          <w:color w:val="auto"/>
          <w:sz w:val="28"/>
          <w:szCs w:val="28"/>
          <w:highlight w:val="none"/>
        </w:rPr>
        <w:t>县级及以上有关行政主管部门限制投标资格且在限制期限内的</w:t>
      </w:r>
      <w:bookmarkEnd w:id="241"/>
      <w:bookmarkEnd w:id="242"/>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39"/>
    <w:bookmarkEnd w:id="240"/>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4"/>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4"/>
          <w:rFonts w:hint="eastAsia" w:ascii="仿宋" w:hAnsi="仿宋" w:eastAsia="仿宋"/>
          <w:color w:val="auto"/>
          <w:sz w:val="28"/>
          <w:szCs w:val="28"/>
          <w:highlight w:val="none"/>
        </w:rPr>
        <w:t>www.gsxt.gov.cn）</w:t>
      </w:r>
      <w:r>
        <w:rPr>
          <w:rStyle w:val="34"/>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43" w:name="OLE_LINK102"/>
      <w:bookmarkStart w:id="244" w:name="OLE_LINK100"/>
      <w:bookmarkStart w:id="245" w:name="OLE_LINK101"/>
      <w:r>
        <w:rPr>
          <w:rFonts w:hint="eastAsia" w:ascii="仿宋_GB2312" w:hAnsi="宋体" w:eastAsia="仿宋_GB2312"/>
          <w:color w:val="auto"/>
          <w:sz w:val="28"/>
          <w:szCs w:val="28"/>
          <w:highlight w:val="none"/>
        </w:rPr>
        <w:t>被列入“经营异常名录”或者“严重违法失信名单”的</w:t>
      </w:r>
      <w:bookmarkEnd w:id="243"/>
      <w:bookmarkEnd w:id="244"/>
      <w:bookmarkEnd w:id="245"/>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46" w:name="OLE_LINK95"/>
      <w:bookmarkStart w:id="247"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4"/>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46"/>
      <w:bookmarkEnd w:id="247"/>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48" w:name="OLE_LINK105"/>
      <w:bookmarkStart w:id="249" w:name="OLE_LINK106"/>
      <w:bookmarkStart w:id="250" w:name="OLE_LINK104"/>
      <w:r>
        <w:rPr>
          <w:rFonts w:hint="eastAsia" w:ascii="仿宋_GB2312" w:hAnsi="宋体" w:eastAsia="仿宋_GB2312"/>
          <w:color w:val="auto"/>
          <w:sz w:val="28"/>
          <w:szCs w:val="28"/>
          <w:highlight w:val="none"/>
        </w:rPr>
        <w:t>被列入“政府采购严重违法失信行为信息记录”的</w:t>
      </w:r>
      <w:bookmarkEnd w:id="248"/>
      <w:bookmarkEnd w:id="249"/>
      <w:bookmarkEnd w:id="250"/>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251" w:name="_Toc95223549"/>
      <w:bookmarkStart w:id="252" w:name="OLE_LINK32"/>
      <w:bookmarkStart w:id="253" w:name="OLE_LINK31"/>
      <w:bookmarkStart w:id="254" w:name="OLE_LINK41"/>
      <w:r>
        <w:rPr>
          <w:rFonts w:hint="eastAsia" w:ascii="黑体" w:hAnsi="黑体" w:eastAsia="黑体"/>
          <w:b/>
          <w:bCs/>
          <w:color w:val="auto"/>
          <w:kern w:val="44"/>
          <w:sz w:val="36"/>
          <w:szCs w:val="28"/>
          <w:highlight w:val="none"/>
        </w:rPr>
        <w:t xml:space="preserve">附件2 </w:t>
      </w:r>
      <w:bookmarkStart w:id="255" w:name="OLE_LINK74"/>
      <w:bookmarkStart w:id="256" w:name="OLE_LINK75"/>
      <w:r>
        <w:rPr>
          <w:rFonts w:hint="eastAsia" w:ascii="黑体" w:hAnsi="黑体" w:eastAsia="黑体"/>
          <w:b/>
          <w:bCs/>
          <w:color w:val="auto"/>
          <w:kern w:val="44"/>
          <w:sz w:val="36"/>
          <w:szCs w:val="28"/>
          <w:highlight w:val="none"/>
        </w:rPr>
        <w:t>“信用中国”查询的严重失信行为</w:t>
      </w:r>
      <w:bookmarkStart w:id="257" w:name="OLE_LINK38"/>
      <w:bookmarkStart w:id="258" w:name="OLE_LINK76"/>
      <w:bookmarkStart w:id="259" w:name="OLE_LINK39"/>
      <w:bookmarkStart w:id="260" w:name="OLE_LINK40"/>
      <w:r>
        <w:rPr>
          <w:rFonts w:hint="eastAsia" w:ascii="黑体" w:hAnsi="黑体" w:eastAsia="黑体"/>
          <w:b/>
          <w:bCs/>
          <w:color w:val="auto"/>
          <w:kern w:val="44"/>
          <w:sz w:val="36"/>
          <w:szCs w:val="28"/>
          <w:highlight w:val="none"/>
        </w:rPr>
        <w:t>类别及判定依据</w:t>
      </w:r>
      <w:bookmarkEnd w:id="251"/>
      <w:bookmarkEnd w:id="255"/>
      <w:bookmarkEnd w:id="256"/>
      <w:bookmarkEnd w:id="257"/>
      <w:bookmarkEnd w:id="258"/>
      <w:bookmarkEnd w:id="259"/>
      <w:bookmarkEnd w:id="260"/>
    </w:p>
    <w:bookmarkEnd w:id="252"/>
    <w:bookmarkEnd w:id="253"/>
    <w:bookmarkEnd w:id="254"/>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环境犯罪</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建设项目环境影响评价</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竣工环保验收</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渗井</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大气污染物</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经营许可证</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环境违法行为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国家重点生态功能区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4"/>
          <w:rFonts w:hint="eastAsia" w:ascii="仿宋_GB2312" w:hAnsi="宋体" w:eastAsia="仿宋_GB2312"/>
          <w:color w:val="auto"/>
          <w:sz w:val="28"/>
          <w:szCs w:val="28"/>
          <w:highlight w:val="none"/>
        </w:rPr>
        <w:t>基本农田保护区</w:t>
      </w:r>
      <w:r>
        <w:rPr>
          <w:rStyle w:val="34"/>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1" w:name="OLE_LINK9"/>
      <w:bookmarkStart w:id="262"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261"/>
      <w:bookmarkEnd w:id="262"/>
      <w:r>
        <w:rPr>
          <w:rFonts w:hint="eastAsia" w:ascii="仿宋_GB2312" w:hAnsi="宋体" w:eastAsia="仿宋_GB2312"/>
          <w:b/>
          <w:color w:val="auto"/>
          <w:sz w:val="28"/>
          <w:szCs w:val="28"/>
          <w:highlight w:val="none"/>
        </w:rPr>
        <w:t>》、《</w:t>
      </w:r>
      <w:bookmarkStart w:id="263" w:name="OLE_LINK11"/>
      <w:bookmarkStart w:id="264" w:name="OLE_LINK12"/>
      <w:r>
        <w:rPr>
          <w:rFonts w:hint="eastAsia" w:ascii="仿宋_GB2312" w:hAnsi="宋体" w:eastAsia="仿宋_GB2312"/>
          <w:b/>
          <w:color w:val="auto"/>
          <w:sz w:val="28"/>
          <w:szCs w:val="28"/>
          <w:highlight w:val="none"/>
        </w:rPr>
        <w:t>企业环境信用评价办法（试行）</w:t>
      </w:r>
      <w:bookmarkEnd w:id="263"/>
      <w:bookmarkEnd w:id="264"/>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65" w:name="OLE_LINK13"/>
      <w:bookmarkStart w:id="266" w:name="OLE_LINK14"/>
      <w:r>
        <w:rPr>
          <w:rFonts w:hint="eastAsia" w:ascii="仿宋_GB2312" w:hAnsi="宋体" w:eastAsia="仿宋_GB2312"/>
          <w:b/>
          <w:color w:val="auto"/>
          <w:sz w:val="28"/>
          <w:szCs w:val="28"/>
          <w:highlight w:val="none"/>
        </w:rPr>
        <w:t>关于对公共资源交易领域严重失信主体开展联合惩戒的备忘录</w:t>
      </w:r>
      <w:bookmarkEnd w:id="265"/>
      <w:bookmarkEnd w:id="266"/>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267" w:name="OLE_LINK15"/>
      <w:bookmarkStart w:id="268"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267"/>
      <w:bookmarkEnd w:id="268"/>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269" w:name="OLE_LINK18"/>
      <w:bookmarkStart w:id="270" w:name="OLE_LINK17"/>
      <w:r>
        <w:rPr>
          <w:rFonts w:hint="eastAsia" w:ascii="仿宋_GB2312" w:hAnsi="Calibri" w:eastAsia="仿宋_GB2312"/>
          <w:b/>
          <w:color w:val="auto"/>
          <w:sz w:val="28"/>
          <w:szCs w:val="28"/>
          <w:highlight w:val="none"/>
        </w:rPr>
        <w:t>建筑市场信用管理暂行办法</w:t>
      </w:r>
      <w:bookmarkEnd w:id="269"/>
      <w:bookmarkEnd w:id="270"/>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271" w:name="OLE_LINK20"/>
      <w:bookmarkStart w:id="272" w:name="OLE_LINK19"/>
      <w:r>
        <w:rPr>
          <w:rFonts w:hint="eastAsia" w:ascii="仿宋_GB2312" w:hAnsi="宋体" w:eastAsia="仿宋_GB2312"/>
          <w:b/>
          <w:color w:val="auto"/>
          <w:sz w:val="28"/>
          <w:szCs w:val="28"/>
          <w:highlight w:val="none"/>
        </w:rPr>
        <w:t>政府采购严重失信行为</w:t>
      </w:r>
      <w:bookmarkEnd w:id="271"/>
      <w:bookmarkEnd w:id="272"/>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429EF0D">
      <w:pPr>
        <w:pStyle w:val="21"/>
        <w:rPr>
          <w:rFonts w:hint="default" w:ascii="宋体"/>
          <w:color w:val="auto"/>
          <w:sz w:val="24"/>
          <w:highlight w:val="none"/>
          <w:lang w:val="en-US" w:eastAsia="zh-CN"/>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sectPr>
      <w:footerReference r:id="rId6"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50F529-0094-461E-B6E3-28C666261062}"/>
  </w:font>
  <w:font w:name="黑体">
    <w:panose1 w:val="02010609060101010101"/>
    <w:charset w:val="86"/>
    <w:family w:val="auto"/>
    <w:pitch w:val="default"/>
    <w:sig w:usb0="800002BF" w:usb1="38CF7CFA" w:usb2="00000016" w:usb3="00000000" w:csb0="00040001" w:csb1="00000000"/>
    <w:embedRegular r:id="rId2" w:fontKey="{63D66485-D15F-4210-8B70-C9F06CD802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5C328BA-D092-4BB5-8E67-1A172F9C05E1}"/>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77570718-50AB-440E-8169-2A8CD1718FFB}"/>
  </w:font>
  <w:font w:name="仿宋">
    <w:panose1 w:val="02010609060101010101"/>
    <w:charset w:val="86"/>
    <w:family w:val="modern"/>
    <w:pitch w:val="default"/>
    <w:sig w:usb0="800002BF" w:usb1="38CF7CFA" w:usb2="00000016" w:usb3="00000000" w:csb0="00040001" w:csb1="00000000"/>
    <w:embedRegular r:id="rId5" w:fontKey="{8144A75E-C9E2-4D9E-A039-AF100C1DB88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6" w:fontKey="{4D627AA1-0DC6-4D6C-8C82-63264389E0E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6"/>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6"/>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6"/>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47B">
    <w:pPr>
      <w:pStyle w:val="16"/>
      <w:ind w:right="360" w:firstLine="360"/>
      <w:jc w:val="right"/>
      <w:rPr>
        <w:rFonts w:hint="default" w:eastAsia="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34F839">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334F839">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8BA4F4B">
    <w:pPr>
      <w:pStyle w:val="16"/>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5"/>
      <w:lvlText w:val="（%2）"/>
      <w:lvlJc w:val="left"/>
      <w:pPr>
        <w:tabs>
          <w:tab w:val="left" w:pos="1920"/>
        </w:tabs>
        <w:ind w:left="150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3058080"/>
    <w:multiLevelType w:val="singleLevel"/>
    <w:tmpl w:val="0305808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90272"/>
    <w:rsid w:val="02E96621"/>
    <w:rsid w:val="04373394"/>
    <w:rsid w:val="04E80ACC"/>
    <w:rsid w:val="0617322F"/>
    <w:rsid w:val="07402ACD"/>
    <w:rsid w:val="07E325AA"/>
    <w:rsid w:val="089D4136"/>
    <w:rsid w:val="0B2F60B6"/>
    <w:rsid w:val="0B6E5916"/>
    <w:rsid w:val="0C0B13B7"/>
    <w:rsid w:val="0D2564A8"/>
    <w:rsid w:val="0EF84409"/>
    <w:rsid w:val="0EF8691F"/>
    <w:rsid w:val="0F707EAE"/>
    <w:rsid w:val="10142E7B"/>
    <w:rsid w:val="10D83060"/>
    <w:rsid w:val="11AA046C"/>
    <w:rsid w:val="12AF0CEE"/>
    <w:rsid w:val="12EB443D"/>
    <w:rsid w:val="13491142"/>
    <w:rsid w:val="137B3D8B"/>
    <w:rsid w:val="13C7650B"/>
    <w:rsid w:val="16A9257C"/>
    <w:rsid w:val="175F3BED"/>
    <w:rsid w:val="18982224"/>
    <w:rsid w:val="1B041DF3"/>
    <w:rsid w:val="1C1642E7"/>
    <w:rsid w:val="1CFF6D16"/>
    <w:rsid w:val="222245A6"/>
    <w:rsid w:val="22F00AAC"/>
    <w:rsid w:val="26881B2A"/>
    <w:rsid w:val="27AF4163"/>
    <w:rsid w:val="28153D7B"/>
    <w:rsid w:val="28E219C5"/>
    <w:rsid w:val="293F7A8A"/>
    <w:rsid w:val="2AC65BDC"/>
    <w:rsid w:val="2C314230"/>
    <w:rsid w:val="2C67596C"/>
    <w:rsid w:val="2D3379FB"/>
    <w:rsid w:val="2E644C2A"/>
    <w:rsid w:val="2E814125"/>
    <w:rsid w:val="2E9F3EB4"/>
    <w:rsid w:val="2F236894"/>
    <w:rsid w:val="2F59444C"/>
    <w:rsid w:val="2F725125"/>
    <w:rsid w:val="2F7F55C4"/>
    <w:rsid w:val="302A3C52"/>
    <w:rsid w:val="305C6274"/>
    <w:rsid w:val="311F5076"/>
    <w:rsid w:val="31745184"/>
    <w:rsid w:val="33896EE1"/>
    <w:rsid w:val="344621B6"/>
    <w:rsid w:val="35447564"/>
    <w:rsid w:val="388E1417"/>
    <w:rsid w:val="38A96204"/>
    <w:rsid w:val="38DA74E2"/>
    <w:rsid w:val="38DD5D05"/>
    <w:rsid w:val="3B1D688D"/>
    <w:rsid w:val="3B9F3746"/>
    <w:rsid w:val="3C1C6B44"/>
    <w:rsid w:val="3C2E0626"/>
    <w:rsid w:val="3C991F43"/>
    <w:rsid w:val="3CDE3DFA"/>
    <w:rsid w:val="3DB63470"/>
    <w:rsid w:val="3DCC64CE"/>
    <w:rsid w:val="3E0C635B"/>
    <w:rsid w:val="3EB13DAC"/>
    <w:rsid w:val="3F6597F3"/>
    <w:rsid w:val="3F780EC3"/>
    <w:rsid w:val="40550324"/>
    <w:rsid w:val="41BB7839"/>
    <w:rsid w:val="41C63A37"/>
    <w:rsid w:val="439879CD"/>
    <w:rsid w:val="43AF3144"/>
    <w:rsid w:val="47DB5B06"/>
    <w:rsid w:val="481F4F7E"/>
    <w:rsid w:val="48D2515B"/>
    <w:rsid w:val="4931370B"/>
    <w:rsid w:val="496E3BEE"/>
    <w:rsid w:val="49CA4688"/>
    <w:rsid w:val="4A2F2139"/>
    <w:rsid w:val="4AA819D3"/>
    <w:rsid w:val="4B4614E8"/>
    <w:rsid w:val="4BEB5162"/>
    <w:rsid w:val="4C1B0BC7"/>
    <w:rsid w:val="4C9E5354"/>
    <w:rsid w:val="4CBC3C00"/>
    <w:rsid w:val="4CD33F2A"/>
    <w:rsid w:val="4DBF5582"/>
    <w:rsid w:val="4DCF7234"/>
    <w:rsid w:val="4E881E71"/>
    <w:rsid w:val="4E882EF9"/>
    <w:rsid w:val="50DC4A9C"/>
    <w:rsid w:val="50E05F3B"/>
    <w:rsid w:val="51C74E30"/>
    <w:rsid w:val="52B46F5A"/>
    <w:rsid w:val="52C553E8"/>
    <w:rsid w:val="52F470D5"/>
    <w:rsid w:val="53034162"/>
    <w:rsid w:val="538B4884"/>
    <w:rsid w:val="5444216A"/>
    <w:rsid w:val="54C37572"/>
    <w:rsid w:val="56E04EE6"/>
    <w:rsid w:val="56ED7364"/>
    <w:rsid w:val="582C38B7"/>
    <w:rsid w:val="58920462"/>
    <w:rsid w:val="59222897"/>
    <w:rsid w:val="598D5E93"/>
    <w:rsid w:val="5ADF75D8"/>
    <w:rsid w:val="5BCB77E7"/>
    <w:rsid w:val="5C03770A"/>
    <w:rsid w:val="5CAE4944"/>
    <w:rsid w:val="5D467A6D"/>
    <w:rsid w:val="5DDF8E1A"/>
    <w:rsid w:val="5E0B036F"/>
    <w:rsid w:val="5E3A09E8"/>
    <w:rsid w:val="5F7A64AD"/>
    <w:rsid w:val="5F95714F"/>
    <w:rsid w:val="607C7302"/>
    <w:rsid w:val="617B03EF"/>
    <w:rsid w:val="638A14E2"/>
    <w:rsid w:val="63D34EDF"/>
    <w:rsid w:val="641E2BAA"/>
    <w:rsid w:val="65A60E34"/>
    <w:rsid w:val="67AF051E"/>
    <w:rsid w:val="695B664F"/>
    <w:rsid w:val="69730E60"/>
    <w:rsid w:val="6A010FA4"/>
    <w:rsid w:val="6A582CA1"/>
    <w:rsid w:val="6A8A2327"/>
    <w:rsid w:val="6C9E1DFA"/>
    <w:rsid w:val="6CD528B1"/>
    <w:rsid w:val="6D5FBFB6"/>
    <w:rsid w:val="6D85749C"/>
    <w:rsid w:val="6D8E2F3F"/>
    <w:rsid w:val="6E2B4328"/>
    <w:rsid w:val="6F394D3C"/>
    <w:rsid w:val="729F75AC"/>
    <w:rsid w:val="735F0AE9"/>
    <w:rsid w:val="73EA4857"/>
    <w:rsid w:val="74DB0DA6"/>
    <w:rsid w:val="757351FF"/>
    <w:rsid w:val="760B290B"/>
    <w:rsid w:val="76796366"/>
    <w:rsid w:val="76843035"/>
    <w:rsid w:val="76FB04D4"/>
    <w:rsid w:val="78A90439"/>
    <w:rsid w:val="78C62DD1"/>
    <w:rsid w:val="79074B53"/>
    <w:rsid w:val="79087D9C"/>
    <w:rsid w:val="79E56A30"/>
    <w:rsid w:val="7B8F7FEA"/>
    <w:rsid w:val="7C5E5DE2"/>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qFormat/>
    <w:uiPriority w:val="0"/>
    <w:pPr>
      <w:keepNext/>
      <w:keepLines/>
      <w:spacing w:before="340" w:after="330" w:line="360" w:lineRule="auto"/>
      <w:jc w:val="center"/>
      <w:outlineLvl w:val="0"/>
    </w:pPr>
    <w:rPr>
      <w:b/>
      <w:bCs/>
      <w:kern w:val="44"/>
      <w:sz w:val="24"/>
      <w:szCs w:val="44"/>
    </w:rPr>
  </w:style>
  <w:style w:type="paragraph" w:styleId="5">
    <w:name w:val="heading 2"/>
    <w:basedOn w:val="1"/>
    <w:next w:val="1"/>
    <w:qFormat/>
    <w:uiPriority w:val="0"/>
    <w:pPr>
      <w:keepNext/>
      <w:keepLines/>
      <w:spacing w:before="260" w:after="260"/>
      <w:jc w:val="left"/>
      <w:outlineLvl w:val="1"/>
    </w:pPr>
    <w:rPr>
      <w:rFonts w:ascii="Arial" w:hAnsi="Arial"/>
      <w:b/>
      <w:bCs/>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一级标题"/>
    <w:basedOn w:val="1"/>
    <w:next w:val="3"/>
    <w:qFormat/>
    <w:uiPriority w:val="0"/>
    <w:pPr>
      <w:outlineLvl w:val="0"/>
    </w:pPr>
    <w:rPr>
      <w:b/>
      <w:bCs/>
      <w:sz w:val="32"/>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6">
    <w:name w:val="toc 7"/>
    <w:basedOn w:val="1"/>
    <w:next w:val="1"/>
    <w:semiHidden/>
    <w:qFormat/>
    <w:uiPriority w:val="0"/>
    <w:pPr>
      <w:ind w:left="2520" w:leftChars="1200"/>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qFormat/>
    <w:uiPriority w:val="0"/>
    <w:rPr>
      <w:rFonts w:ascii="宋体"/>
      <w:sz w:val="24"/>
      <w:szCs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6"/>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Body Text Indent 2"/>
    <w:basedOn w:val="1"/>
    <w:qFormat/>
    <w:uiPriority w:val="0"/>
    <w:pPr>
      <w:numPr>
        <w:ilvl w:val="1"/>
        <w:numId w:val="1"/>
      </w:numPr>
      <w:tabs>
        <w:tab w:val="clear" w:pos="1920"/>
      </w:tabs>
      <w:spacing w:after="120" w:line="480" w:lineRule="auto"/>
      <w:ind w:left="420" w:leftChars="200" w:firstLine="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Normal (Web)"/>
    <w:basedOn w:val="1"/>
    <w:next w:val="20"/>
    <w:qFormat/>
    <w:uiPriority w:val="99"/>
    <w:rPr>
      <w:sz w:val="24"/>
    </w:rPr>
  </w:style>
  <w:style w:type="paragraph" w:customStyle="1" w:styleId="20">
    <w:name w:val="正文文字 8"/>
    <w:basedOn w:val="1"/>
    <w:next w:val="1"/>
    <w:autoRedefine/>
    <w:qFormat/>
    <w:uiPriority w:val="99"/>
    <w:pPr>
      <w:ind w:left="240"/>
    </w:pPr>
    <w:rPr>
      <w:sz w:val="16"/>
    </w:rPr>
  </w:style>
  <w:style w:type="paragraph" w:styleId="21">
    <w:name w:val="Body Text First Indent"/>
    <w:basedOn w:val="3"/>
    <w:unhideWhenUsed/>
    <w:qFormat/>
    <w:uiPriority w:val="99"/>
    <w:pPr>
      <w:ind w:firstLine="420" w:firstLineChars="100"/>
    </w:pPr>
  </w:style>
  <w:style w:type="paragraph" w:styleId="22">
    <w:name w:val="Body Text First Indent 2"/>
    <w:basedOn w:val="10"/>
    <w:next w:val="1"/>
    <w:qFormat/>
    <w:uiPriority w:val="0"/>
    <w:pPr>
      <w:spacing w:after="120" w:line="240" w:lineRule="auto"/>
      <w:ind w:left="420" w:leftChars="200"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99"/>
    <w:rPr>
      <w:b/>
      <w:bCs/>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rFonts w:ascii="Times New Roman" w:hAnsi="Times New Roman" w:eastAsia="宋体" w:cs="Times New Roman"/>
      <w:color w:val="333333"/>
      <w:u w:val="none"/>
      <w:lang w:eastAsia="en-US"/>
    </w:rPr>
  </w:style>
  <w:style w:type="character" w:styleId="35">
    <w:name w:val="HTML Code"/>
    <w:basedOn w:val="25"/>
    <w:qFormat/>
    <w:uiPriority w:val="0"/>
    <w:rPr>
      <w:rFonts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节标题"/>
    <w:basedOn w:val="1"/>
    <w:qFormat/>
    <w:uiPriority w:val="0"/>
    <w:pPr>
      <w:widowControl/>
      <w:spacing w:line="289" w:lineRule="atLeast"/>
      <w:jc w:val="center"/>
    </w:pPr>
    <w:rPr>
      <w:color w:val="000000"/>
      <w:kern w:val="0"/>
      <w:sz w:val="28"/>
      <w:szCs w:val="20"/>
      <w:u w:color="000000"/>
    </w:rPr>
  </w:style>
  <w:style w:type="character" w:customStyle="1" w:styleId="41">
    <w:name w:val="layui-this"/>
    <w:basedOn w:val="25"/>
    <w:qFormat/>
    <w:uiPriority w:val="0"/>
    <w:rPr>
      <w:bdr w:val="single" w:color="EEEEEE" w:sz="6" w:space="0"/>
      <w:shd w:val="clear" w:color="auto" w:fill="FFFFFF"/>
    </w:rPr>
  </w:style>
  <w:style w:type="character" w:customStyle="1" w:styleId="42">
    <w:name w:val="first-child"/>
    <w:basedOn w:val="25"/>
    <w:qFormat/>
    <w:uiPriority w:val="0"/>
  </w:style>
  <w:style w:type="paragraph" w:customStyle="1" w:styleId="4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status"/>
    <w:basedOn w:val="25"/>
    <w:qFormat/>
    <w:uiPriority w:val="0"/>
    <w:rPr>
      <w:color w:val="0776DD"/>
    </w:rPr>
  </w:style>
  <w:style w:type="character" w:customStyle="1" w:styleId="45">
    <w:name w:val="time"/>
    <w:basedOn w:val="25"/>
    <w:qFormat/>
    <w:uiPriority w:val="0"/>
  </w:style>
  <w:style w:type="character" w:customStyle="1" w:styleId="46">
    <w:name w:val="mini-outputtext1"/>
    <w:basedOn w:val="25"/>
    <w:qFormat/>
    <w:uiPriority w:val="0"/>
  </w:style>
  <w:style w:type="character" w:customStyle="1" w:styleId="47">
    <w:name w:val="layui-layer-tabnow"/>
    <w:basedOn w:val="2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11366</Words>
  <Characters>12706</Characters>
  <Lines>104</Lines>
  <Paragraphs>29</Paragraphs>
  <TotalTime>2</TotalTime>
  <ScaleCrop>false</ScaleCrop>
  <LinksUpToDate>false</LinksUpToDate>
  <CharactersWithSpaces>14057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2026-05-06T05:18:32Z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