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滁州市创业培训服务项目（二）</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czsjcg202608-038    </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滁州市人力资源和社会保障局</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4A556FDF">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174E26AC">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both"/>
        <w:rPr>
          <w:rFonts w:ascii="宋体" w:hAnsi="宋体" w:eastAsia="宋体"/>
          <w:b/>
          <w:color w:val="auto"/>
          <w:sz w:val="36"/>
          <w:highlight w:val="none"/>
        </w:rPr>
      </w:pP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28</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43</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53</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eastAsia="zh-CN"/>
        </w:rPr>
        <w:t>滁州市创业培训服务项目（二）</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622"/>
      <w:bookmarkEnd w:id="4"/>
      <w:bookmarkStart w:id="5" w:name="_Toc35393791"/>
      <w:bookmarkEnd w:id="5"/>
      <w:bookmarkStart w:id="6" w:name="_Toc58430306"/>
      <w:bookmarkEnd w:id="6"/>
      <w:bookmarkStart w:id="7" w:name="_Toc28359003"/>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czsjcg202608-038</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滁州市创业培训服务项目（二）</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金额：每年9000000元</w:t>
      </w:r>
    </w:p>
    <w:p w14:paraId="1AF04369">
      <w:pPr>
        <w:spacing w:line="614" w:lineRule="exact"/>
        <w:ind w:firstLine="560" w:firstLineChars="200"/>
        <w:jc w:val="both"/>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最高限价：本项目单价采用固定单价，按照《安徽省创业培训管理办法》（皖人社发【2023】19号）规定的</w:t>
      </w:r>
      <w:r>
        <w:rPr>
          <w:rFonts w:hint="eastAsia" w:ascii="宋体" w:hAnsi="宋体" w:eastAsia="宋体" w:cs="宋体"/>
          <w:color w:val="auto"/>
          <w:sz w:val="28"/>
          <w:szCs w:val="28"/>
          <w:highlight w:val="none"/>
        </w:rPr>
        <w:t>创业培训</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rPr>
        <w:t>补贴标准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具体为：创办企业培训1000元/人；创业模拟实训、网络创业培训(含电商版、直播版)1300元/人(含300元/人的教学辅助平台服务费)；</w:t>
      </w:r>
      <w:r>
        <w:rPr>
          <w:rFonts w:hint="eastAsia" w:ascii="宋体" w:hAnsi="宋体" w:eastAsia="宋体" w:cs="宋体"/>
          <w:color w:val="auto"/>
          <w:sz w:val="28"/>
          <w:szCs w:val="28"/>
          <w:highlight w:val="none"/>
        </w:rPr>
        <w:t>改善企业培训1300元/人。</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创业培训服务</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28359082"/>
      <w:bookmarkEnd w:id="12"/>
      <w:bookmarkStart w:id="13" w:name="_Toc35393624"/>
      <w:bookmarkEnd w:id="13"/>
      <w:bookmarkStart w:id="14" w:name="_Toc35393793"/>
      <w:bookmarkEnd w:id="14"/>
      <w:bookmarkStart w:id="15" w:name="_Toc28359005"/>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20</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58430309"/>
      <w:bookmarkEnd w:id="17"/>
      <w:bookmarkStart w:id="18" w:name="_Toc35393625"/>
      <w:bookmarkEnd w:id="18"/>
      <w:bookmarkStart w:id="19" w:name="_Toc35393794"/>
      <w:bookmarkEnd w:id="19"/>
      <w:bookmarkStart w:id="20" w:name="_Toc28359007"/>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795"/>
      <w:bookmarkStart w:id="24" w:name="_Toc35393626"/>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7265"/>
      <w:bookmarkStart w:id="26" w:name="_Toc3854"/>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滁州市人力资源和社会保障局</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滁州市南谯区龙蟠大道99号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0550-3011053</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13589"/>
      <w:bookmarkStart w:id="29"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41F179B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不分包</w:t>
            </w:r>
            <w:r>
              <w:rPr>
                <w:rFonts w:hint="eastAsia" w:ascii="宋体" w:hAnsi="宋体" w:eastAsia="宋体"/>
                <w:bCs w:val="0"/>
                <w:color w:val="auto"/>
                <w:sz w:val="24"/>
                <w:highlight w:val="none"/>
                <w:lang w:val="en-US" w:eastAsia="zh-CN"/>
              </w:rPr>
              <w:t xml:space="preserve">   </w:t>
            </w: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分为</w:t>
            </w:r>
            <w:r>
              <w:rPr>
                <w:rFonts w:hint="eastAsia" w:ascii="宋体" w:hAnsi="宋体" w:eastAsia="宋体"/>
                <w:bCs w:val="0"/>
                <w:color w:val="auto"/>
                <w:sz w:val="24"/>
                <w:highlight w:val="none"/>
                <w:lang w:val="en-US" w:eastAsia="zh-CN"/>
              </w:rPr>
              <w:t>3</w:t>
            </w:r>
            <w:r>
              <w:rPr>
                <w:rFonts w:hint="eastAsia" w:ascii="宋体" w:hAnsi="宋体" w:eastAsia="宋体"/>
                <w:bCs w:val="0"/>
                <w:color w:val="auto"/>
                <w:sz w:val="24"/>
                <w:highlight w:val="none"/>
              </w:rPr>
              <w:t>个包</w:t>
            </w:r>
          </w:p>
          <w:p w14:paraId="0A3F28A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01包为：滁州职业技术学院毕业年度高校毕业生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47710C7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02包为：滁州城市职业学院毕业年度高校毕业生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1D09ABE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03包为：滁州市机电工程学校毕业年度高校毕业生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2D37875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投标人对多个包进行投标的中标</w:t>
            </w:r>
            <w:r>
              <w:rPr>
                <w:rFonts w:hint="default" w:ascii="宋体" w:hAnsi="宋体" w:eastAsia="宋体"/>
                <w:bCs w:val="0"/>
                <w:color w:val="auto"/>
                <w:sz w:val="24"/>
                <w:highlight w:val="none"/>
              </w:rPr>
              <w:t>包</w:t>
            </w:r>
            <w:r>
              <w:rPr>
                <w:rFonts w:hint="eastAsia" w:ascii="宋体" w:hAnsi="宋体" w:eastAsia="宋体"/>
                <w:bCs w:val="0"/>
                <w:color w:val="auto"/>
                <w:sz w:val="24"/>
                <w:highlight w:val="none"/>
              </w:rPr>
              <w:t>数规定：</w:t>
            </w:r>
          </w:p>
          <w:p w14:paraId="4331B83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val="0"/>
                <w:color w:val="auto"/>
                <w:sz w:val="24"/>
                <w:highlight w:val="none"/>
                <w:u w:val="single"/>
                <w:lang w:eastAsia="zh-CN"/>
              </w:rPr>
            </w:pPr>
            <w:r>
              <w:rPr>
                <w:rFonts w:hint="eastAsia" w:ascii="宋体" w:hAnsi="宋体" w:eastAsia="宋体"/>
                <w:bCs w:val="0"/>
                <w:color w:val="auto"/>
                <w:sz w:val="24"/>
                <w:highlight w:val="none"/>
                <w:lang w:val="en-US" w:eastAsia="zh-CN"/>
              </w:rPr>
              <w:t>投标人可以同时投任意一个或多个包。也可同时中取多个包。</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5048C5F">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本项目为固定价格，故本条不适用。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w:t>
            </w:r>
            <w:r>
              <w:rPr>
                <w:rFonts w:hint="eastAsia" w:ascii="宋体" w:hAnsi="宋体" w:eastAsia="宋体" w:cs="宋体"/>
                <w:b/>
                <w:bCs w:val="0"/>
                <w:color w:val="auto"/>
                <w:sz w:val="24"/>
                <w:szCs w:val="24"/>
                <w:highlight w:val="none"/>
                <w:lang w:val="en-US" w:eastAsia="zh-CN"/>
              </w:rPr>
              <w:t>每包</w:t>
            </w:r>
            <w:r>
              <w:rPr>
                <w:rFonts w:hint="eastAsia" w:ascii="宋体" w:hAnsi="宋体" w:eastAsia="宋体" w:cs="宋体"/>
                <w:b/>
                <w:bCs w:val="0"/>
                <w:color w:val="auto"/>
                <w:sz w:val="24"/>
                <w:szCs w:val="24"/>
                <w:highlight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lang w:val="en-US" w:eastAsia="zh-CN"/>
              </w:rPr>
              <w:t>中标人</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 xml:space="preserve"> 9000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lang w:val="en-US" w:eastAsia="zh-CN"/>
              </w:rPr>
              <w:t>每包3000元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0550-3011053、0550-351959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滁州市南谯区龙蟠大道99号</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24882"/>
      <w:bookmarkStart w:id="31"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518923101"/>
      <w:bookmarkStart w:id="38"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4148"/>
      <w:bookmarkStart w:id="41" w:name="_Toc2179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00B28CF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开展培训结束后，应按季度及时向采购人申报补贴资金，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kern w:val="0"/>
                <w:sz w:val="24"/>
                <w:szCs w:val="24"/>
                <w:highlight w:val="none"/>
                <w:lang w:eastAsia="zh-CN"/>
              </w:rPr>
              <w:t>滁州市创业培训服务项目（二）</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bookmarkStart w:id="43"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3"/>
      <w:r>
        <w:rPr>
          <w:rFonts w:hint="eastAsia" w:ascii="宋体" w:hAnsi="宋体" w:eastAsia="宋体"/>
          <w:b/>
          <w:color w:val="auto"/>
          <w:sz w:val="24"/>
          <w:szCs w:val="18"/>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大力推进创业滁州建设，努力形成创业环境一流、创业主体活跃、创业成果迸发、创业氛围浓厚的新格局，进一步做好我市各类创业培训工作,提升培训促进就业、创业带动就业的示范作用，拟通过公开中标方式确定中标人，对滁州市毕业年度高校毕业生(含技工院校高级工班、预备技师班、技师班和特殊教育院校职业教育类毕业生）、城乡未继续升学的应届初高中毕业生、农村转移就业劳动者、城镇登记失业人员、就业困难人员等五类人员进行激发创业意识、培养创新精神、普及创业知识、提升创业能力等系列培训活动。培训课时标准、补贴标准以及补贴对象均按照《财政部 人力资源社会保障部关于印发&lt;就业补助资金管理办法&gt;的通知》（财社〔2026〕1号）、《安徽省创业培训管理办法》（皖人社发〔2023〕19 号）文件执行。</w:t>
      </w:r>
    </w:p>
    <w:p w14:paraId="0492F8A1">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w:t>
      </w:r>
    </w:p>
    <w:p w14:paraId="1A4795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bookmarkStart w:id="44" w:name="_Toc30824"/>
      <w:r>
        <w:rPr>
          <w:rFonts w:hint="eastAsia" w:ascii="宋体" w:hAnsi="宋体" w:eastAsia="宋体" w:cs="宋体"/>
          <w:color w:val="auto"/>
          <w:sz w:val="24"/>
          <w:szCs w:val="24"/>
          <w:highlight w:val="none"/>
          <w:lang w:val="en-US" w:eastAsia="zh-CN"/>
        </w:rPr>
        <w:t>服务内容严格按照《安徽省创业培训管理办法》（皖人社发〔2023〕19 号）文件及相关文件执行。</w:t>
      </w:r>
    </w:p>
    <w:p w14:paraId="677141E0">
      <w:pPr>
        <w:pStyle w:val="2"/>
        <w:keepNext w:val="0"/>
        <w:keepLines w:val="0"/>
        <w:pageBreakBefore w:val="0"/>
        <w:widowControl w:val="0"/>
        <w:kinsoku/>
        <w:overflowPunct/>
        <w:topLinePunct w:val="0"/>
        <w:autoSpaceDE/>
        <w:autoSpaceDN/>
        <w:bidi w:val="0"/>
        <w:adjustRightInd/>
        <w:snapToGrid/>
        <w:spacing w:after="0"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招标对象：根据《关于印发&lt;安徽省创业培训管理办法&gt;的通知》(皖人社发[2023]19号)文件要求，经审核确定的创业培训机构。</w:t>
      </w:r>
    </w:p>
    <w:p w14:paraId="2E7C116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本项目共划分为3个包，具体如下：</w:t>
      </w:r>
    </w:p>
    <w:p w14:paraId="5DB25E3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01包为：滁州职业技术学院毕业年度高校毕业生（含技工院校高级工班、预备技师班、技师班和特殊教育院校职业教育类毕业生）创业培训服务；</w:t>
      </w:r>
    </w:p>
    <w:p w14:paraId="09E35AB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02包为：滁州城市职业学院毕业年度高校毕业生（含技工院校高级工班、预备技师班、技师班和特殊教育院校职业教育类毕业生）创业培训服务；</w:t>
      </w:r>
    </w:p>
    <w:p w14:paraId="7C8417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03包为：滁州市机电工程学校毕业年度高校毕业生（含技工院校高级工班、预备技师班、技师班和特殊教育院校职业教育类毕业生）创业培训服务；</w:t>
      </w:r>
    </w:p>
    <w:p w14:paraId="23307A6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包均面向院校自有学员，培训对象为该校毕业年度高校毕业生(含技工院校高级工班、预备技师班、技师班和特殊教育院校职业教育类毕业生），学员由中标单位自行组织，不限最低线下培训人数。投标时提供承诺学员组织能力(组织学员培训人数等方面)的证明材料并加盖投标单位公章（承诺函格式自拟），否则按无效标处理。若后期培训人数未达到承诺，采购人有权单方面终止合同。</w:t>
      </w:r>
    </w:p>
    <w:p w14:paraId="7CDDBC4A">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每包每合同年度最高限额300万元/年（3000人左右），最终根据实际培训人数，验收合格后按标准拨付。</w:t>
      </w:r>
    </w:p>
    <w:p w14:paraId="0F0BA2FE">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四、其他要求</w:t>
      </w:r>
    </w:p>
    <w:p w14:paraId="4E4DAE4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FEEA3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报价。未按报价要求视为报价无效。本项目所涉及的报价，包括培训费、授课专家劳务费、交通工具、人员福利、税费、管理费等为完成本项目服务内容的一切费用开支，投标人应在报价时考虑本项目所有服务内容的费用开支，采购人不再另行支付其他费用。</w:t>
      </w:r>
    </w:p>
    <w:p w14:paraId="5C0D0B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最终费用结算标准：创业培训服务费用=各类培训实际培训合格人数*各类培训补贴标准。有任务要求的，需根据任务完成情况拨付。</w:t>
      </w:r>
    </w:p>
    <w:p w14:paraId="1492E3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2、中标人需满足安徽省人力资源和社会保障厅、安徽省财政厅《关于印发〈安徽省创业培训管理办法〉的通知》（皖人社发〔2023〕19号）规定,方可开展创业培训。</w:t>
      </w:r>
    </w:p>
    <w:p w14:paraId="5538FFC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3、供应商必须按照《安徽省创业培训管理办法》（皖人社发〔2023〕19 号）以及我市创业培训工作的相关规定组织开展教学工作，需接受采购人的监督与管理；</w:t>
      </w:r>
    </w:p>
    <w:p w14:paraId="269CE09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4、供应商教学管理和规范符合《安徽省创业培训管理办法》（皖人社发〔2023〕19号）规定。</w:t>
      </w:r>
    </w:p>
    <w:p w14:paraId="78C47D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由采购人统一招标，后期实施中各县市区分别管理，各类培训由当地人社部门和中标人共同组织。合同采用统招统签分付，合同签订由采购人与中标人签订，付款时由中标人按照实际培训人数和标准，向人社部门申请补贴，市级部门可根据各县（市、区）就业资金使用情况，统筹协调请款单位。</w:t>
      </w:r>
    </w:p>
    <w:p w14:paraId="59641C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档案管理要求。对培训全过程纸质资料按序打孔装订，装入档案盒，妥善保管年限10年。装订前对纸质档案全部逐项扫描编号成电子版，连同监控视频等电子材料每个培训班单独建立文件夹（备注培训单位、开班时间等信息），刻录进光盘后由中标单位和甲方各留存1份。刻录光盘规格为一次性写入（BD-R）档案级蓝光光盘，单片50GB容量及以上（或能够完整写入1-2个培训班材料），理论保存年限30年及以上。【国家档案局令第8号：《机关文件材料归档范围和文书档案保管期限规定》8.7行政管理、执法活动中形成的文件材料 8.7.4行政管理工作中形成的备案文件材料（10年）】</w:t>
      </w:r>
    </w:p>
    <w:p w14:paraId="71C3761F">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472524DE">
      <w:pPr>
        <w:pStyle w:val="2"/>
        <w:rPr>
          <w:rFonts w:hint="eastAsia" w:asciiTheme="minorEastAsia" w:hAnsiTheme="minorEastAsia" w:eastAsiaTheme="minorEastAsia"/>
          <w:b/>
          <w:color w:val="auto"/>
          <w:sz w:val="28"/>
          <w:highlight w:val="none"/>
        </w:rPr>
      </w:pPr>
    </w:p>
    <w:p w14:paraId="523932F4">
      <w:pPr>
        <w:pStyle w:val="3"/>
        <w:rPr>
          <w:rFonts w:hint="eastAsia" w:asciiTheme="minorEastAsia" w:hAnsiTheme="minorEastAsia" w:eastAsiaTheme="minorEastAsia"/>
          <w:b/>
          <w:color w:val="auto"/>
          <w:sz w:val="28"/>
          <w:highlight w:val="none"/>
        </w:rPr>
      </w:pPr>
    </w:p>
    <w:p w14:paraId="00E24102">
      <w:pPr>
        <w:rPr>
          <w:rFonts w:hint="eastAsia" w:asciiTheme="minorEastAsia" w:hAnsiTheme="minorEastAsia" w:eastAsiaTheme="minorEastAsia"/>
          <w:b/>
          <w:color w:val="auto"/>
          <w:sz w:val="28"/>
          <w:highlight w:val="none"/>
        </w:rPr>
      </w:pPr>
    </w:p>
    <w:p w14:paraId="23AC4EEF">
      <w:pPr>
        <w:pStyle w:val="2"/>
        <w:rPr>
          <w:rFonts w:hint="eastAsia" w:asciiTheme="minorEastAsia" w:hAnsiTheme="minorEastAsia" w:eastAsiaTheme="minorEastAsia"/>
          <w:b/>
          <w:color w:val="auto"/>
          <w:sz w:val="28"/>
          <w:highlight w:val="none"/>
        </w:rPr>
      </w:pPr>
    </w:p>
    <w:p w14:paraId="619E23DB">
      <w:pPr>
        <w:pStyle w:val="3"/>
        <w:rPr>
          <w:rFonts w:hint="eastAsia" w:asciiTheme="minorEastAsia" w:hAnsiTheme="minorEastAsia" w:eastAsiaTheme="minorEastAsia"/>
          <w:b/>
          <w:color w:val="auto"/>
          <w:sz w:val="28"/>
          <w:highlight w:val="none"/>
        </w:rPr>
      </w:pPr>
    </w:p>
    <w:p w14:paraId="02D686BE">
      <w:pPr>
        <w:rPr>
          <w:rFonts w:hint="eastAsia" w:asciiTheme="minorEastAsia" w:hAnsiTheme="minorEastAsia" w:eastAsiaTheme="minorEastAsia"/>
          <w:b/>
          <w:color w:val="auto"/>
          <w:sz w:val="28"/>
          <w:highlight w:val="none"/>
        </w:rPr>
      </w:pPr>
    </w:p>
    <w:p w14:paraId="797CBFF9">
      <w:pPr>
        <w:pStyle w:val="2"/>
        <w:rPr>
          <w:rFonts w:hint="eastAsia" w:asciiTheme="minorEastAsia" w:hAnsiTheme="minorEastAsia" w:eastAsiaTheme="minorEastAsia"/>
          <w:b/>
          <w:color w:val="auto"/>
          <w:sz w:val="28"/>
          <w:highlight w:val="none"/>
        </w:rPr>
      </w:pPr>
    </w:p>
    <w:p w14:paraId="2CE8D2DB">
      <w:pPr>
        <w:pStyle w:val="3"/>
        <w:rPr>
          <w:rFonts w:hint="eastAsia" w:asciiTheme="minorEastAsia" w:hAnsiTheme="minorEastAsia" w:eastAsiaTheme="minorEastAsia"/>
          <w:b/>
          <w:color w:val="auto"/>
          <w:sz w:val="28"/>
          <w:highlight w:val="none"/>
        </w:rPr>
      </w:pPr>
    </w:p>
    <w:p w14:paraId="6FB0A108">
      <w:pPr>
        <w:rPr>
          <w:rFonts w:hint="eastAsia" w:asciiTheme="minorEastAsia" w:hAnsiTheme="minorEastAsia" w:eastAsiaTheme="minorEastAsia"/>
          <w:b/>
          <w:color w:val="auto"/>
          <w:sz w:val="28"/>
          <w:highlight w:val="none"/>
        </w:rPr>
      </w:pPr>
    </w:p>
    <w:p w14:paraId="0B41B10E">
      <w:pPr>
        <w:pStyle w:val="2"/>
        <w:rPr>
          <w:rFonts w:hint="eastAsia" w:asciiTheme="minorEastAsia" w:hAnsiTheme="minorEastAsia" w:eastAsiaTheme="minorEastAsia"/>
          <w:b/>
          <w:color w:val="auto"/>
          <w:sz w:val="28"/>
          <w:highlight w:val="none"/>
        </w:rPr>
      </w:pPr>
    </w:p>
    <w:p w14:paraId="5398C207">
      <w:pPr>
        <w:pStyle w:val="3"/>
        <w:rPr>
          <w:rFonts w:hint="eastAsia" w:asciiTheme="minorEastAsia" w:hAnsiTheme="minorEastAsia" w:eastAsiaTheme="minorEastAsia"/>
          <w:b/>
          <w:color w:val="auto"/>
          <w:sz w:val="28"/>
          <w:highlight w:val="none"/>
        </w:rPr>
      </w:pPr>
    </w:p>
    <w:p w14:paraId="7DC1E9A0">
      <w:pPr>
        <w:rPr>
          <w:rFonts w:hint="eastAsia" w:asciiTheme="minorEastAsia" w:hAnsiTheme="minorEastAsia" w:eastAsiaTheme="minorEastAsia"/>
          <w:b/>
          <w:color w:val="auto"/>
          <w:sz w:val="28"/>
          <w:highlight w:val="none"/>
        </w:rPr>
      </w:pPr>
    </w:p>
    <w:p w14:paraId="59E14237">
      <w:pPr>
        <w:pStyle w:val="2"/>
        <w:rPr>
          <w:rFonts w:hint="eastAsia" w:asciiTheme="minorEastAsia" w:hAnsiTheme="minorEastAsia" w:eastAsiaTheme="minorEastAsia"/>
          <w:b/>
          <w:color w:val="auto"/>
          <w:sz w:val="28"/>
          <w:highlight w:val="none"/>
        </w:rPr>
      </w:pPr>
    </w:p>
    <w:p w14:paraId="58858D5A">
      <w:pPr>
        <w:pStyle w:val="3"/>
        <w:rPr>
          <w:rFonts w:hint="eastAsia" w:asciiTheme="minorEastAsia" w:hAnsiTheme="minorEastAsia" w:eastAsiaTheme="minorEastAsia"/>
          <w:b/>
          <w:color w:val="auto"/>
          <w:sz w:val="28"/>
          <w:highlight w:val="none"/>
        </w:rPr>
      </w:pPr>
    </w:p>
    <w:p w14:paraId="500CA1D7">
      <w:pPr>
        <w:rPr>
          <w:rFonts w:hint="eastAsia" w:asciiTheme="minorEastAsia" w:hAnsiTheme="minorEastAsia" w:eastAsiaTheme="minorEastAsia"/>
          <w:b/>
          <w:color w:val="auto"/>
          <w:sz w:val="28"/>
          <w:highlight w:val="none"/>
        </w:rPr>
      </w:pPr>
    </w:p>
    <w:p w14:paraId="726FF6E3">
      <w:pPr>
        <w:pStyle w:val="2"/>
        <w:rPr>
          <w:rFonts w:hint="eastAsia" w:asciiTheme="minorEastAsia" w:hAnsiTheme="minorEastAsia" w:eastAsiaTheme="minorEastAsia"/>
          <w:b/>
          <w:color w:val="auto"/>
          <w:sz w:val="28"/>
          <w:highlight w:val="none"/>
        </w:rPr>
      </w:pPr>
    </w:p>
    <w:p w14:paraId="0D74895A">
      <w:pPr>
        <w:pStyle w:val="3"/>
        <w:rPr>
          <w:rFonts w:hint="eastAsia" w:asciiTheme="minorEastAsia" w:hAnsiTheme="minorEastAsia" w:eastAsiaTheme="minorEastAsia"/>
          <w:b/>
          <w:color w:val="auto"/>
          <w:sz w:val="28"/>
          <w:highlight w:val="none"/>
        </w:rPr>
      </w:pPr>
    </w:p>
    <w:p w14:paraId="3745654C">
      <w:pPr>
        <w:rPr>
          <w:rFonts w:hint="eastAsia"/>
          <w:color w:val="auto"/>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4705"/>
      <w:bookmarkStart w:id="46" w:name="_Toc11823"/>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2410"/>
      <w:bookmarkStart w:id="48" w:name="_Toc31871"/>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48"/>
        <w:gridCol w:w="4551"/>
        <w:gridCol w:w="190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0"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0"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0"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0"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0"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0"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10"/>
        <w:gridCol w:w="3252"/>
        <w:gridCol w:w="257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4"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0"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4"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0"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0"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0"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0"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4"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0"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4"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0"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4"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99"/>
        <w:gridCol w:w="5267"/>
        <w:gridCol w:w="12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69"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3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8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100</w:t>
            </w:r>
            <w:r>
              <w:rPr>
                <w:rFonts w:hint="eastAsia" w:asciiTheme="minorEastAsia" w:hAnsiTheme="minorEastAsia" w:eastAsiaTheme="minorEastAsia"/>
                <w:color w:val="auto"/>
                <w:sz w:val="24"/>
                <w:highlight w:val="none"/>
              </w:rPr>
              <w:t>分）</w:t>
            </w:r>
          </w:p>
        </w:tc>
        <w:tc>
          <w:tcPr>
            <w:tcW w:w="669"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val="zh-CN"/>
              </w:rPr>
              <w:t>业绩</w:t>
            </w:r>
          </w:p>
        </w:tc>
        <w:tc>
          <w:tcPr>
            <w:tcW w:w="2938"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投标人自2021年1月1日至投标文件递交截止时间承担过创业培训项目业绩的，每提供1个业绩得2分，其他的不得分，最高得4分。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或加盖人社部门印章的创业培训补贴资金申报报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68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149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B2A8B65">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Theme="minorEastAsia" w:hAnsiTheme="minorEastAsia" w:eastAsiaTheme="minorEastAsia"/>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5EBEBA5">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2.服务团队</w:t>
            </w:r>
          </w:p>
        </w:tc>
        <w:tc>
          <w:tcPr>
            <w:tcW w:w="2938" w:type="pct"/>
            <w:tcBorders>
              <w:top w:val="single" w:color="auto" w:sz="4" w:space="0"/>
              <w:left w:val="single" w:color="auto" w:sz="4" w:space="0"/>
              <w:bottom w:val="single" w:color="auto" w:sz="4" w:space="0"/>
              <w:right w:val="single" w:color="auto" w:sz="4" w:space="0"/>
            </w:tcBorders>
            <w:vAlign w:val="center"/>
          </w:tcPr>
          <w:p w14:paraId="2545384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拟派驻的服务团队，具有以下证书的：</w:t>
            </w:r>
          </w:p>
          <w:p w14:paraId="03608A90">
            <w:pPr>
              <w:keepNext w:val="0"/>
              <w:keepLines w:val="0"/>
              <w:pageBreakBefore w:val="0"/>
              <w:widowControl w:val="0"/>
              <w:numPr>
                <w:ilvl w:val="0"/>
                <w:numId w:val="3"/>
              </w:numPr>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具有创业培训助理讲师证书的，每提供1个得2分，本条最高得4分；</w:t>
            </w:r>
          </w:p>
          <w:p w14:paraId="3DE93AC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（2）具有创业培训讲师证书的，每提供1个得2分，本条最高得6分；</w:t>
            </w:r>
          </w:p>
          <w:p w14:paraId="2AA063B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（3）具有省级创业培训讲师大赛获奖证书的，每提供1个得2分，本条最高得6分；</w:t>
            </w:r>
          </w:p>
          <w:p w14:paraId="58E612F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提供相应证书扫描件</w:t>
            </w:r>
            <w:r>
              <w:rPr>
                <w:rFonts w:hint="eastAsia" w:ascii="宋体" w:hAnsi="宋体" w:eastAsia="宋体" w:cs="宋体"/>
                <w:b/>
                <w:bCs w:val="0"/>
                <w:strike w:val="0"/>
                <w:dstrike w:val="0"/>
                <w:color w:val="auto"/>
                <w:sz w:val="21"/>
                <w:szCs w:val="21"/>
                <w:highlight w:val="none"/>
                <w:lang w:val="en-US" w:eastAsia="zh-CN"/>
              </w:rPr>
              <w:t>和讲师合作协议</w:t>
            </w:r>
            <w:r>
              <w:rPr>
                <w:rFonts w:hint="eastAsia" w:ascii="宋体" w:hAnsi="宋体" w:eastAsia="宋体" w:cs="宋体"/>
                <w:b/>
                <w:bCs w:val="0"/>
                <w:color w:val="auto"/>
                <w:sz w:val="21"/>
                <w:szCs w:val="21"/>
                <w:highlight w:val="none"/>
                <w:lang w:val="en-US" w:eastAsia="zh-CN"/>
              </w:rPr>
              <w:t>。一人多证的仅计取一次。</w:t>
            </w:r>
          </w:p>
        </w:tc>
        <w:tc>
          <w:tcPr>
            <w:tcW w:w="689" w:type="pct"/>
            <w:tcBorders>
              <w:top w:val="single" w:color="auto" w:sz="4" w:space="0"/>
              <w:left w:val="single" w:color="auto" w:sz="4" w:space="0"/>
              <w:bottom w:val="single" w:color="auto" w:sz="4" w:space="0"/>
              <w:right w:val="single" w:color="auto" w:sz="4" w:space="0"/>
            </w:tcBorders>
            <w:vAlign w:val="center"/>
          </w:tcPr>
          <w:p w14:paraId="242BF4A2">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0-16分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702" w:type="pct"/>
            <w:vMerge w:val="continue"/>
            <w:tcBorders>
              <w:left w:val="single" w:color="auto" w:sz="4" w:space="0"/>
              <w:right w:val="single" w:color="auto" w:sz="4" w:space="0"/>
            </w:tcBorders>
            <w:vAlign w:val="center"/>
          </w:tcPr>
          <w:p w14:paraId="48FDE29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3.培训情况</w:t>
            </w:r>
          </w:p>
        </w:tc>
        <w:tc>
          <w:tcPr>
            <w:tcW w:w="2938" w:type="pct"/>
            <w:tcBorders>
              <w:top w:val="single" w:color="auto" w:sz="4" w:space="0"/>
              <w:left w:val="single" w:color="auto" w:sz="4" w:space="0"/>
              <w:right w:val="single" w:color="auto" w:sz="4" w:space="0"/>
            </w:tcBorders>
            <w:vAlign w:val="center"/>
          </w:tcPr>
          <w:p w14:paraId="1BFCA73F">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投标人承诺创业培训人数培训合格率达90%（含）及以上的，得5分；承诺创业培训人数培训合格率达85%（含）-90%（不含）的，得3分；承诺创业培训人数培训合格率达80%（含）-85%（不含）的，得1分。未提供得0分。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highlight w:val="none"/>
                <w:lang w:val="en-US" w:eastAsia="zh-CN"/>
              </w:rPr>
              <w:t>提供培训人数培训合格率承诺函，格式自拟。如在履约过程中培训人员未达到投标人所承诺的培训合格率，未合格人员不计算在培训补贴人数之内。</w:t>
            </w:r>
          </w:p>
        </w:tc>
        <w:tc>
          <w:tcPr>
            <w:tcW w:w="68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4.背景分析</w:t>
            </w:r>
          </w:p>
        </w:tc>
        <w:tc>
          <w:tcPr>
            <w:tcW w:w="2938" w:type="pct"/>
            <w:tcBorders>
              <w:top w:val="single" w:color="auto" w:sz="4" w:space="0"/>
              <w:left w:val="single" w:color="auto" w:sz="4" w:space="0"/>
              <w:bottom w:val="single" w:color="auto" w:sz="4" w:space="0"/>
              <w:right w:val="single" w:color="auto" w:sz="4" w:space="0"/>
            </w:tcBorders>
            <w:vAlign w:val="center"/>
          </w:tcPr>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1.对本项目政策背景（《安徽省创业培训管理办法》皖人社发〔2023〕19号、《财政部 人力资源社会保障部关于印发&lt;就业补助资金管理办法&gt;的通知》（财社〔2026〕1号）等）、滁州市创业培训工作现状、项目整体定位等充分全面了解、认识深刻、分析透彻，背景分析内容优于本项目采购需求，完整详细，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2.对本项目背景、意义及整体定位认识清晰，描述及分析内容完整，背景分析满足本项目采购需求，得3分；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3.对本项目背景、意义、整体定位等理解及分析有缺陷、考虑不周，背景分析内容仅能部分满足本项目采购需求，得1分；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5.现状分析</w:t>
            </w:r>
          </w:p>
        </w:tc>
        <w:tc>
          <w:tcPr>
            <w:tcW w:w="2938" w:type="pct"/>
            <w:tcBorders>
              <w:top w:val="single" w:color="auto" w:sz="4" w:space="0"/>
              <w:left w:val="single" w:color="auto" w:sz="4" w:space="0"/>
              <w:bottom w:val="single" w:color="auto" w:sz="4" w:space="0"/>
              <w:right w:val="single" w:color="auto" w:sz="4" w:space="0"/>
            </w:tcBorders>
            <w:vAlign w:val="center"/>
          </w:tcPr>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对滁州市创业培训现状（培训对象分布、历年培训规模、培训资源布局、各院校及县市区培训需求等）分析全面深入、数据详实、问题把握准确，现状分析内容优于本项目采购需求，得5分；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2.对现状分析内容完整，数据详实，现状分析满足本项目采购需求，得3分；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3.对现状分析内容不全面、数据不充分，仅能部分满足本项目采购需求，得1分；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B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3121CED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CE905C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6.总体工作方案</w:t>
            </w:r>
          </w:p>
        </w:tc>
        <w:tc>
          <w:tcPr>
            <w:tcW w:w="2938" w:type="pct"/>
            <w:tcBorders>
              <w:top w:val="single" w:color="auto" w:sz="4" w:space="0"/>
              <w:left w:val="single" w:color="auto" w:sz="4" w:space="0"/>
              <w:bottom w:val="single" w:color="auto" w:sz="4" w:space="0"/>
              <w:right w:val="single" w:color="auto" w:sz="4" w:space="0"/>
            </w:tcBorders>
            <w:vAlign w:val="center"/>
          </w:tcPr>
          <w:p w14:paraId="34A5C4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1.总体工作方案（项目整体规划、工作目标、实施路径、组织架构、人员配置、时间安排等）完整详细、目标明确、路径清晰、责任分工到位，方案内容优于本项目采购需求，得5分；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2.总体工作方案完整，目标明确，分工到位，方案满足本项目采购需求，得3分；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3.总体工作方案不完整，目标不明确，仅能部分满足本项目采购需求，得1分；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D38E1B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F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987EBF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AA191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7.本项目课程安排</w:t>
            </w:r>
          </w:p>
        </w:tc>
        <w:tc>
          <w:tcPr>
            <w:tcW w:w="2938" w:type="pct"/>
            <w:tcBorders>
              <w:top w:val="single" w:color="auto" w:sz="4" w:space="0"/>
              <w:left w:val="single" w:color="auto" w:sz="4" w:space="0"/>
              <w:bottom w:val="single" w:color="auto" w:sz="4" w:space="0"/>
              <w:right w:val="single" w:color="auto" w:sz="4" w:space="0"/>
            </w:tcBorders>
            <w:vAlign w:val="center"/>
          </w:tcPr>
          <w:p w14:paraId="37C97E2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1.课程安排完全符合《安徽省创业培训管理办法》要求，课程体系科学合理、教学内容详实、教学方法多样，课程安排优于本项目采购需求，得5分；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2.课程安排符合《安徽省创业培训管理办法》要求，课时标准和班额要求明确，课程安排满足本项目采购需求，得3分；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3.课程安排不符合《安徽省创业培训管理办法》要求，课时标准或班额要求不明确，仅能部分满足本项目采购需求，得1分；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4.未提供或课时标准、班额要求均不符合采购需求，得0分。</w:t>
            </w:r>
          </w:p>
        </w:tc>
        <w:tc>
          <w:tcPr>
            <w:tcW w:w="689" w:type="pct"/>
            <w:tcBorders>
              <w:top w:val="single" w:color="auto" w:sz="4" w:space="0"/>
              <w:left w:val="single" w:color="auto" w:sz="4" w:space="0"/>
              <w:bottom w:val="single" w:color="auto" w:sz="4" w:space="0"/>
              <w:right w:val="single" w:color="auto" w:sz="4" w:space="0"/>
            </w:tcBorders>
            <w:vAlign w:val="center"/>
          </w:tcPr>
          <w:p w14:paraId="4F167A1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0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966C1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2EF4F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8.学员管理方案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A61FA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1.学员管理方案（学员招募与筛选、注册认证管理（安徽省创业服务云平台）、考勤管理、学习过程管理、考核管理、结业管理等）完整详细、管理流程规范、措施具体，方案内容优于本项目采购需求，得5分；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2.学员管理方案完整，管理流程规范，方案满足本项目采购需求，得3分；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3.学员管理方案不完整，管理流程不规范，仅能部分满足本项目采购需求，得1分；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1EBE32D">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FB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612779A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C492F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9.档案管理方案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E6150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1.档案管理方案（学员档案、教学管理台账、成功创业学员档案、培训教学相关基础资料的分类保管等）完整详细、分类科学、保管规范、可追溯性强，方案内容优于本项目采购需求，得5分；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2.档案管理方案完整，分类科学，方案满足本项目采购需求，得3分；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3.档案管理方案不完整，分类不科学，仅能部分满足本项目采购需求，得1分；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E4EBC71">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534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CA8B25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178149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10.后续跟踪服务方案</w:t>
            </w:r>
          </w:p>
        </w:tc>
        <w:tc>
          <w:tcPr>
            <w:tcW w:w="2938" w:type="pct"/>
            <w:tcBorders>
              <w:top w:val="single" w:color="auto" w:sz="4" w:space="0"/>
              <w:left w:val="single" w:color="auto" w:sz="4" w:space="0"/>
              <w:bottom w:val="single" w:color="auto" w:sz="4" w:space="0"/>
              <w:right w:val="single" w:color="auto" w:sz="4" w:space="0"/>
            </w:tcBorders>
            <w:vAlign w:val="center"/>
          </w:tcPr>
          <w:p w14:paraId="3A774D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1.后续跟踪服务方案（跟踪服务的方式、内容、目的，半年内不少于1次跟踪回访及台账记录，协助办理营业执照、创业担保贷款等）完整详细、服务方式多样、内容具体，方案内容优于本项目采购需求，得5分；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2.后续跟踪服务方案完整，服务方式多样，方案满足本项目采购需求，得3分；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3.后续跟踪服务方案不完整，服务方式单一，仅能部分满足本项目采购需求，得1分；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3D47F8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7B60B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1444C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11.应急事件处理方案</w:t>
            </w:r>
          </w:p>
        </w:tc>
        <w:tc>
          <w:tcPr>
            <w:tcW w:w="2938" w:type="pct"/>
            <w:tcBorders>
              <w:top w:val="single" w:color="auto" w:sz="4" w:space="0"/>
              <w:left w:val="single" w:color="auto" w:sz="4" w:space="0"/>
              <w:bottom w:val="single" w:color="auto" w:sz="4" w:space="0"/>
              <w:right w:val="single" w:color="auto" w:sz="4" w:space="0"/>
            </w:tcBorders>
            <w:vAlign w:val="center"/>
          </w:tcPr>
          <w:p w14:paraId="6EB342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1.应急事件处理方案（突发公共卫生事件、教学安全事故、学员突发状况、自然灾害等的预防与处置）完整详细、预案科学、响应迅速、措施有效，方案内容优于本项目采购需求，得5分；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2.应急事件处理方案完整，预案科学，方案满足本项目采购需求，得3分；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3.应急事件处理方案不完整，预案不科学，仅能部分满足本项目采购需求，得1分；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4F0D4F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407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64AD70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9D9719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12.投诉处理协调方案</w:t>
            </w:r>
          </w:p>
        </w:tc>
        <w:tc>
          <w:tcPr>
            <w:tcW w:w="2938" w:type="pct"/>
            <w:tcBorders>
              <w:top w:val="single" w:color="auto" w:sz="4" w:space="0"/>
              <w:left w:val="single" w:color="auto" w:sz="4" w:space="0"/>
              <w:bottom w:val="single" w:color="auto" w:sz="4" w:space="0"/>
              <w:right w:val="single" w:color="auto" w:sz="4" w:space="0"/>
            </w:tcBorders>
            <w:vAlign w:val="center"/>
          </w:tcPr>
          <w:p w14:paraId="1A3FD5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1.投诉处理协调方案（投诉接收记录、调查解决、回访与满意度调查、人员培训与提升等）完整详细、处理流程规范、反馈机制健全、改进措施有力，方案内容优于本项目采购需求，得5分；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2.投诉处理协调方案完整，处理流程规范，方案满足本项目采购需求，得3分；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3.投诉处理协调方案不完整，处理流程不规范，仅能部分满足本项目采购需求，得1分；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856EFB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0C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A76A37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E4BB1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13.教学管理、学员管理、服务管理、财务及安全管理等相关规章制度</w:t>
            </w:r>
          </w:p>
        </w:tc>
        <w:tc>
          <w:tcPr>
            <w:tcW w:w="2938" w:type="pct"/>
            <w:tcBorders>
              <w:top w:val="single" w:color="auto" w:sz="4" w:space="0"/>
              <w:left w:val="single" w:color="auto" w:sz="4" w:space="0"/>
              <w:bottom w:val="single" w:color="auto" w:sz="4" w:space="0"/>
              <w:right w:val="single" w:color="auto" w:sz="4" w:space="0"/>
            </w:tcBorders>
            <w:vAlign w:val="center"/>
          </w:tcPr>
          <w:p w14:paraId="57DC15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1.规章制度（涵盖教学管理、学员管理、服务管理、财务管理、安全管理五大类）健全完善、内容详实、操作性强，制度内容优于本项目采购需求，得5分；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2.规章制度健全，内容详实，制度满足本项目采购需求，得3分；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3.规章制度不健全、内容不完整，仅能部分满足本项目采购需求，得1分；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96AFD5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D1ABDC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E0759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14.培训重点与难点分析及措施</w:t>
            </w:r>
          </w:p>
        </w:tc>
        <w:tc>
          <w:tcPr>
            <w:tcW w:w="2938" w:type="pct"/>
            <w:tcBorders>
              <w:top w:val="single" w:color="auto" w:sz="4" w:space="0"/>
              <w:left w:val="single" w:color="auto" w:sz="4" w:space="0"/>
              <w:bottom w:val="single" w:color="auto" w:sz="4" w:space="0"/>
              <w:right w:val="single" w:color="auto" w:sz="4" w:space="0"/>
            </w:tcBorders>
            <w:vAlign w:val="center"/>
          </w:tcPr>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1.对本项目培训重点与难点（</w:t>
            </w:r>
            <w:r>
              <w:rPr>
                <w:rFonts w:hint="eastAsia" w:ascii="宋体" w:hAnsi="宋体" w:eastAsia="宋体" w:cs="宋体"/>
                <w:b w:val="0"/>
                <w:bCs/>
                <w:color w:val="auto"/>
                <w:kern w:val="0"/>
                <w:sz w:val="21"/>
                <w:szCs w:val="21"/>
                <w:highlight w:val="none"/>
                <w:lang w:val="en-US" w:eastAsia="zh-CN" w:bidi="ar-SA"/>
              </w:rPr>
              <w:t>五</w:t>
            </w:r>
            <w:r>
              <w:rPr>
                <w:rFonts w:hint="default" w:ascii="宋体" w:hAnsi="宋体" w:eastAsia="宋体" w:cs="宋体"/>
                <w:b w:val="0"/>
                <w:bCs/>
                <w:color w:val="auto"/>
                <w:kern w:val="0"/>
                <w:sz w:val="21"/>
                <w:szCs w:val="21"/>
                <w:highlight w:val="none"/>
                <w:lang w:val="en-US" w:eastAsia="zh-CN" w:bidi="ar-SA"/>
              </w:rPr>
              <w:t>类培训对象的差异化需求、培训合格率保障、教学过程全程录像及远程监管配合、补贴资金申报审核配合等）分析透彻、预判准确，应对措施具体有效、针对性强，方案内容优于本项目采购需求，得5分；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2.对重点与难点分析到位，应对措施具体，方案满足本项目采购需求，得3分；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3.对重点与难点分析不到位，应对措施不具体，仅能部分满足本项目采购需求，得1分；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6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2" w:type="pct"/>
            <w:vMerge w:val="continue"/>
            <w:tcBorders>
              <w:left w:val="single" w:color="auto" w:sz="4" w:space="0"/>
              <w:right w:val="single" w:color="auto" w:sz="4" w:space="0"/>
            </w:tcBorders>
            <w:vAlign w:val="center"/>
          </w:tcPr>
          <w:p w14:paraId="0AB4F5B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6CB5A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15.进度保障体系和工作组织计划</w:t>
            </w:r>
          </w:p>
        </w:tc>
        <w:tc>
          <w:tcPr>
            <w:tcW w:w="2938" w:type="pct"/>
            <w:tcBorders>
              <w:top w:val="single" w:color="auto" w:sz="4" w:space="0"/>
              <w:left w:val="single" w:color="auto" w:sz="4" w:space="0"/>
              <w:right w:val="single" w:color="auto" w:sz="4" w:space="0"/>
            </w:tcBorders>
            <w:vAlign w:val="center"/>
          </w:tcPr>
          <w:p w14:paraId="1C20E6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1.进度保障体系和工作组织计划（各培训项目的时序安排、里程碑节点、资源配置计划、进度监控与纠偏机制等）完整详细、节点明确、保障有力，方案内容优于本项目采购需求，得5分；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2.进度保障体系和工作组织计划完整，节点明确，方案满足本项目采购需求，得3分；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3.进度保障体系和工作组织计划不完整，节点不明确，仅能部分满足本项目采购需求，得1分；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553BE52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9B3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1AF818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60E62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16.培训质量保障措施</w:t>
            </w:r>
          </w:p>
        </w:tc>
        <w:tc>
          <w:tcPr>
            <w:tcW w:w="2938" w:type="pct"/>
            <w:tcBorders>
              <w:top w:val="single" w:color="auto" w:sz="4" w:space="0"/>
              <w:left w:val="single" w:color="auto" w:sz="4" w:space="0"/>
              <w:right w:val="single" w:color="auto" w:sz="4" w:space="0"/>
            </w:tcBorders>
            <w:vAlign w:val="center"/>
          </w:tcPr>
          <w:p w14:paraId="0968E1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1.培训质量保障措施（教学质量监控、师资授课质量评估、培训合格率保障、教学过程全程录像及存档备查、明察暗访配合机制等）完整详细、措施具体、可量化可考核，方案内容优于本项目采购需求，得5分；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2.培训质量保障措施完整，措施具体，方案满足本项目采购需求，得3分；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3.培训质量保障措施不完整，措施不具体，仅能部分满足本项目采购需求，得1分；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422F104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EE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6245A94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A8186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17.场地设备保障方案</w:t>
            </w:r>
          </w:p>
        </w:tc>
        <w:tc>
          <w:tcPr>
            <w:tcW w:w="2938" w:type="pct"/>
            <w:tcBorders>
              <w:top w:val="single" w:color="auto" w:sz="4" w:space="0"/>
              <w:left w:val="single" w:color="auto" w:sz="4" w:space="0"/>
              <w:right w:val="single" w:color="auto" w:sz="4" w:space="0"/>
            </w:tcBorders>
            <w:vAlign w:val="center"/>
          </w:tcPr>
          <w:p w14:paraId="72E11B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1.场地设备保障方案（理论教学教室、实操教学教室、教学设备配置、消防验收合格证明、远程视频监控设备等）完整详细，场地充足、设备齐全、符合消防安全要求，方案内容优于本项目采购需求，得5分；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2.场地设备保障方案完整，场地设备满足本项目采购需求，得3分；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3.场地设备保障方案不完整，场地设备不充足，仅能部分满足本项目采购需求，得1分；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4.未提供或办学场所未通过消防验收合格，得0分。</w:t>
            </w:r>
          </w:p>
        </w:tc>
        <w:tc>
          <w:tcPr>
            <w:tcW w:w="689" w:type="pct"/>
            <w:tcBorders>
              <w:top w:val="single" w:color="auto" w:sz="4" w:space="0"/>
              <w:left w:val="single" w:color="auto" w:sz="4" w:space="0"/>
              <w:right w:val="single" w:color="auto" w:sz="4" w:space="0"/>
            </w:tcBorders>
            <w:vAlign w:val="center"/>
          </w:tcPr>
          <w:p w14:paraId="59FC0C50">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2" w:type="pct"/>
            <w:vMerge w:val="continue"/>
            <w:tcBorders>
              <w:left w:val="single" w:color="auto" w:sz="4" w:space="0"/>
              <w:right w:val="single" w:color="auto" w:sz="4" w:space="0"/>
            </w:tcBorders>
            <w:vAlign w:val="center"/>
          </w:tcPr>
          <w:p w14:paraId="1987B27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E7E2D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18.培训对象组织招募方案</w:t>
            </w:r>
          </w:p>
        </w:tc>
        <w:tc>
          <w:tcPr>
            <w:tcW w:w="2938" w:type="pct"/>
            <w:tcBorders>
              <w:top w:val="single" w:color="auto" w:sz="4" w:space="0"/>
              <w:left w:val="single" w:color="auto" w:sz="4" w:space="0"/>
              <w:right w:val="single" w:color="auto" w:sz="4" w:space="0"/>
            </w:tcBorders>
            <w:vAlign w:val="center"/>
          </w:tcPr>
          <w:p w14:paraId="38D686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对象组织招募方案（针对投标人所中标包对应的培训对象群体，包括与对应院校或县市区人社部门的对接渠道、宣传发动方式等）完整详细、渠道明确、流程清晰、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2.培训对象组织招募方案完整，对接渠道明确、报名流程清晰，方案内容满足本项目采购需求，得3分；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3.培训对象组织招募方案不完整，对接渠道不明确、流程不清晰，存在明显遗漏，待进一步完善，得1分；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24D5631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2"/>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2"/>
        <w:pageBreakBefore w:val="0"/>
        <w:widowControl w:val="0"/>
        <w:kinsoku/>
        <w:wordWrap w:val="0"/>
        <w:topLinePunct w:val="0"/>
        <w:bidi w:val="0"/>
        <w:rPr>
          <w:color w:val="auto"/>
          <w:highlight w:val="none"/>
        </w:rPr>
      </w:pPr>
    </w:p>
    <w:p w14:paraId="6694D951">
      <w:pPr>
        <w:pStyle w:val="2"/>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2232"/>
      <w:bookmarkStart w:id="55" w:name="_Toc24059"/>
      <w:bookmarkStart w:id="56" w:name="_Toc3029"/>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6773"/>
      <w:bookmarkStart w:id="58" w:name="_Toc2918"/>
      <w:bookmarkStart w:id="59" w:name="_Toc18585"/>
      <w:bookmarkStart w:id="60" w:name="_Toc6311"/>
      <w:bookmarkStart w:id="61" w:name="_Toc22185"/>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3292"/>
      <w:bookmarkStart w:id="63" w:name="_Toc21631"/>
      <w:bookmarkStart w:id="64"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22618"/>
      <w:bookmarkStart w:id="66" w:name="_Toc1814"/>
      <w:bookmarkStart w:id="67" w:name="_Toc10340"/>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2846"/>
      <w:bookmarkStart w:id="69" w:name="_Toc32071"/>
      <w:bookmarkStart w:id="70" w:name="_Toc1930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19554"/>
      <w:bookmarkStart w:id="72" w:name="_Toc27250"/>
      <w:bookmarkStart w:id="73" w:name="_Toc21423"/>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16021"/>
      <w:bookmarkStart w:id="75" w:name="_Toc15583"/>
      <w:bookmarkStart w:id="76" w:name="_Toc28375"/>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15322"/>
      <w:bookmarkStart w:id="78" w:name="_Toc7245"/>
      <w:bookmarkStart w:id="79" w:name="_Toc11173"/>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Ref467379094"/>
      <w:bookmarkStart w:id="84" w:name="_Toc16917"/>
      <w:bookmarkStart w:id="85" w:name="_Ref467378499"/>
      <w:bookmarkStart w:id="86" w:name="_Ref467379195"/>
      <w:bookmarkStart w:id="87" w:name="_Toc28763"/>
      <w:bookmarkStart w:id="88" w:name="_Ref467379101"/>
      <w:bookmarkStart w:id="89" w:name="_Ref467378404"/>
      <w:bookmarkStart w:id="90" w:name="_Toc279701240"/>
      <w:bookmarkStart w:id="91" w:name="_Ref467379214"/>
      <w:bookmarkStart w:id="92" w:name="_Ref467379225"/>
      <w:bookmarkStart w:id="93" w:name="_Ref467379109"/>
      <w:bookmarkStart w:id="94" w:name="_Ref467378463"/>
      <w:bookmarkStart w:id="95" w:name="_Toc259093669"/>
      <w:bookmarkStart w:id="96" w:name="_Ref467379205"/>
      <w:bookmarkStart w:id="97" w:name="_Toc19614"/>
      <w:bookmarkStart w:id="98" w:name="_Toc487900349"/>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13336"/>
      <w:bookmarkStart w:id="103" w:name="_Toc259093670"/>
      <w:bookmarkStart w:id="104" w:name="_Toc27635"/>
      <w:bookmarkStart w:id="105" w:name="_Toc279701241"/>
      <w:bookmarkStart w:id="106" w:name="_Toc32504"/>
      <w:bookmarkStart w:id="107" w:name="_Toc48790035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259093671"/>
      <w:bookmarkStart w:id="109" w:name="_Toc487900351"/>
      <w:bookmarkStart w:id="110" w:name="_Toc279701242"/>
      <w:bookmarkStart w:id="111" w:name="_Toc31634"/>
      <w:bookmarkStart w:id="112" w:name="_Toc9829"/>
      <w:bookmarkStart w:id="113" w:name="_Toc27853"/>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Toc259093674"/>
      <w:bookmarkStart w:id="115" w:name="_Ref467379542"/>
      <w:bookmarkStart w:id="116" w:name="_Toc487900354"/>
      <w:bookmarkStart w:id="117" w:name="_Ref467379527"/>
      <w:bookmarkStart w:id="118" w:name="_Ref467379536"/>
      <w:bookmarkStart w:id="119" w:name="_Ref467378591"/>
      <w:bookmarkStart w:id="120" w:name="_Toc279701245"/>
      <w:bookmarkStart w:id="121" w:name="_Ref467378541"/>
      <w:bookmarkStart w:id="122" w:name="_Toc19074"/>
      <w:bookmarkStart w:id="123" w:name="_Toc30272"/>
      <w:bookmarkStart w:id="124" w:name="_Toc26182"/>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Toc259093676"/>
      <w:bookmarkStart w:id="127" w:name="_Toc487900357"/>
      <w:bookmarkStart w:id="128" w:name="_Toc279701247"/>
      <w:bookmarkStart w:id="129" w:name="_Ref467379807"/>
      <w:bookmarkStart w:id="130" w:name="_Ref467379793"/>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28451"/>
      <w:bookmarkStart w:id="133" w:name="_Toc19219"/>
      <w:bookmarkStart w:id="134" w:name="_Toc7836"/>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Ref467379852"/>
      <w:bookmarkStart w:id="136" w:name="_Toc259093677"/>
      <w:bookmarkStart w:id="137" w:name="_Ref467379863"/>
      <w:bookmarkStart w:id="138" w:name="_Ref467379923"/>
      <w:bookmarkStart w:id="139" w:name="_Toc487900358"/>
      <w:bookmarkStart w:id="140" w:name="_Toc279701248"/>
      <w:bookmarkStart w:id="141" w:name="_Toc774"/>
      <w:bookmarkStart w:id="142" w:name="_Toc3225"/>
      <w:bookmarkStart w:id="143" w:name="_Toc1611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Ref467378121"/>
      <w:bookmarkStart w:id="148" w:name="_Toc487900364"/>
      <w:bookmarkStart w:id="149" w:name="_Toc279701254"/>
      <w:bookmarkStart w:id="150" w:name="_Toc259093683"/>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279701259"/>
      <w:bookmarkStart w:id="152" w:name="_Toc487900369"/>
      <w:bookmarkStart w:id="153" w:name="_Toc259093688"/>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10366"/>
      <w:bookmarkStart w:id="155" w:name="_Toc15237"/>
      <w:bookmarkStart w:id="156" w:name="_Toc2295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4066"/>
      <w:bookmarkStart w:id="158" w:name="_Toc16508"/>
      <w:bookmarkStart w:id="159" w:name="_Toc135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30676"/>
      <w:bookmarkStart w:id="161" w:name="_Toc6969"/>
      <w:bookmarkStart w:id="162" w:name="_Toc487900365"/>
      <w:bookmarkStart w:id="163" w:name="_Toc279701255"/>
      <w:bookmarkStart w:id="164" w:name="_Toc259093684"/>
      <w:bookmarkStart w:id="165" w:name="_Toc68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16959"/>
      <w:bookmarkStart w:id="167" w:name="_Toc279701258"/>
      <w:bookmarkStart w:id="168" w:name="_Toc259093687"/>
      <w:bookmarkStart w:id="169" w:name="_Toc487900368"/>
      <w:bookmarkStart w:id="170" w:name="_Toc8298"/>
      <w:bookmarkStart w:id="171" w:name="_Toc710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15387"/>
      <w:bookmarkStart w:id="173" w:name="_Toc29333"/>
      <w:bookmarkStart w:id="174" w:name="_Toc613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6596"/>
      <w:bookmarkStart w:id="176" w:name="_Toc1125"/>
      <w:bookmarkStart w:id="177"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18567"/>
      <w:bookmarkStart w:id="179" w:name="_Toc259093692"/>
      <w:bookmarkStart w:id="180" w:name="_Toc279701263"/>
      <w:bookmarkStart w:id="181" w:name="_Toc10330"/>
      <w:bookmarkStart w:id="182" w:name="_Toc487900373"/>
      <w:bookmarkStart w:id="183" w:name="_Toc1277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16673"/>
      <w:bookmarkStart w:id="185" w:name="_Toc12004"/>
      <w:bookmarkStart w:id="186" w:name="_Toc259093693"/>
      <w:bookmarkStart w:id="187" w:name="_Toc279701264"/>
      <w:bookmarkStart w:id="188" w:name="_Toc3148"/>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6885"/>
      <w:bookmarkStart w:id="191" w:name="_Toc19890"/>
      <w:bookmarkStart w:id="192" w:name="_Toc1400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73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6600"/>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6600"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6600"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6600"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B78E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bottom w:val="single" w:color="auto" w:sz="4" w:space="0"/>
            </w:tcBorders>
            <w:vAlign w:val="center"/>
          </w:tcPr>
          <w:p w14:paraId="2D7AD1C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6600" w:type="dxa"/>
            <w:tcBorders>
              <w:bottom w:val="single" w:color="auto" w:sz="4" w:space="0"/>
            </w:tcBorders>
            <w:vAlign w:val="center"/>
          </w:tcPr>
          <w:p w14:paraId="1BB0E758">
            <w:pPr>
              <w:pageBreakBefore w:val="0"/>
              <w:widowControl w:val="0"/>
              <w:kinsoku/>
              <w:wordWrap w:val="0"/>
              <w:topLinePunct w:val="0"/>
              <w:bidi w:val="0"/>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监督检查方式方法</w:t>
            </w:r>
          </w:p>
          <w:p w14:paraId="0643A48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甲方对乙方实行</w:t>
            </w:r>
            <w:r>
              <w:rPr>
                <w:rFonts w:hint="eastAsia" w:ascii="宋体" w:hAnsi="宋体" w:eastAsia="宋体" w:cs="宋体"/>
                <w:b/>
                <w:bCs/>
                <w:color w:val="auto"/>
                <w:sz w:val="24"/>
                <w:szCs w:val="24"/>
                <w:highlight w:val="none"/>
                <w:lang w:val="en-US" w:eastAsia="zh-CN"/>
              </w:rPr>
              <w:t>监督检查</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根据《安徽省创业培训管理办法》（皖人社发〔2023〕19号）规定，监督检查</w:t>
            </w:r>
            <w:r>
              <w:rPr>
                <w:rFonts w:hint="eastAsia" w:ascii="宋体" w:hAnsi="宋体" w:eastAsia="宋体" w:cs="宋体"/>
                <w:b/>
                <w:bCs/>
                <w:color w:val="auto"/>
                <w:sz w:val="24"/>
                <w:szCs w:val="24"/>
                <w:highlight w:val="none"/>
              </w:rPr>
              <w:t>工作由甲方</w:t>
            </w:r>
            <w:r>
              <w:rPr>
                <w:rFonts w:hint="eastAsia" w:ascii="宋体" w:hAnsi="宋体" w:eastAsia="宋体" w:cs="宋体"/>
                <w:b/>
                <w:bCs/>
                <w:color w:val="auto"/>
                <w:sz w:val="24"/>
                <w:szCs w:val="24"/>
                <w:highlight w:val="none"/>
                <w:lang w:val="en-US" w:eastAsia="zh-CN"/>
              </w:rPr>
              <w:t>或甲方委托相关单位</w:t>
            </w:r>
            <w:r>
              <w:rPr>
                <w:rFonts w:hint="eastAsia" w:ascii="宋体" w:hAnsi="宋体" w:eastAsia="宋体" w:cs="宋体"/>
                <w:b/>
                <w:bCs/>
                <w:color w:val="auto"/>
                <w:sz w:val="24"/>
                <w:szCs w:val="24"/>
                <w:highlight w:val="none"/>
              </w:rPr>
              <w:t>组织实施，可采取</w:t>
            </w:r>
            <w:r>
              <w:rPr>
                <w:rFonts w:hint="eastAsia" w:ascii="宋体" w:hAnsi="宋体" w:eastAsia="宋体" w:cs="宋体"/>
                <w:b/>
                <w:bCs/>
                <w:color w:val="auto"/>
                <w:sz w:val="24"/>
                <w:szCs w:val="24"/>
                <w:highlight w:val="none"/>
                <w:lang w:val="en-US" w:eastAsia="zh-CN"/>
              </w:rPr>
              <w:t>远程视频检查</w:t>
            </w:r>
            <w:r>
              <w:rPr>
                <w:rFonts w:hint="eastAsia" w:ascii="宋体" w:hAnsi="宋体" w:eastAsia="宋体" w:cs="宋体"/>
                <w:b/>
                <w:bCs/>
                <w:color w:val="auto"/>
                <w:sz w:val="24"/>
                <w:szCs w:val="24"/>
                <w:highlight w:val="none"/>
              </w:rPr>
              <w:t>、现场检查</w:t>
            </w:r>
            <w:r>
              <w:rPr>
                <w:rFonts w:hint="eastAsia" w:ascii="宋体" w:hAnsi="宋体" w:eastAsia="宋体" w:cs="宋体"/>
                <w:b/>
                <w:bCs/>
                <w:color w:val="auto"/>
                <w:sz w:val="24"/>
                <w:szCs w:val="24"/>
                <w:highlight w:val="none"/>
                <w:lang w:val="en-US" w:eastAsia="zh-CN"/>
              </w:rPr>
              <w:t>和电话回访</w:t>
            </w:r>
            <w:r>
              <w:rPr>
                <w:rFonts w:hint="eastAsia" w:ascii="宋体" w:hAnsi="宋体" w:eastAsia="宋体" w:cs="宋体"/>
                <w:b/>
                <w:bCs/>
                <w:color w:val="auto"/>
                <w:sz w:val="24"/>
                <w:szCs w:val="24"/>
                <w:highlight w:val="none"/>
              </w:rPr>
              <w:t>等方式进行。</w:t>
            </w:r>
          </w:p>
        </w:tc>
      </w:tr>
      <w:tr w14:paraId="1B9C4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BBBF496">
            <w:pPr>
              <w:pageBreakBefore w:val="0"/>
              <w:widowControl w:val="0"/>
              <w:kinsoku/>
              <w:wordWrap w:val="0"/>
              <w:topLinePunct w:val="0"/>
              <w:bidi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2.15.2</w:t>
            </w:r>
          </w:p>
        </w:tc>
        <w:tc>
          <w:tcPr>
            <w:tcW w:w="6600" w:type="dxa"/>
            <w:vAlign w:val="center"/>
          </w:tcPr>
          <w:p w14:paraId="6C025E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监督检查结果运用</w:t>
            </w:r>
          </w:p>
          <w:p w14:paraId="039AE4D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在检查过程中，存在下列情形之一的，须监督创业培训机构立即整改，整改合格后方可继续开班。对于情节严重或违规的，根据检查结果扣减补贴资金</w:t>
            </w:r>
            <w:r>
              <w:rPr>
                <w:rFonts w:hint="eastAsia" w:ascii="宋体" w:hAnsi="宋体" w:eastAsia="宋体" w:cs="宋体"/>
                <w:b/>
                <w:bCs/>
                <w:color w:val="auto"/>
                <w:kern w:val="2"/>
                <w:sz w:val="24"/>
                <w:szCs w:val="24"/>
                <w:highlight w:val="none"/>
                <w:lang w:val="en-US" w:eastAsia="zh-CN" w:bidi="ar-SA"/>
              </w:rPr>
              <w:t>：</w:t>
            </w:r>
          </w:p>
          <w:p w14:paraId="6511658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(一)视频监控设备未按时开启的</w:t>
            </w:r>
            <w:r>
              <w:rPr>
                <w:rFonts w:hint="eastAsia" w:ascii="宋体" w:hAnsi="宋体" w:eastAsia="宋体" w:cs="宋体"/>
                <w:b/>
                <w:bCs/>
                <w:color w:val="auto"/>
                <w:kern w:val="2"/>
                <w:sz w:val="24"/>
                <w:szCs w:val="24"/>
                <w:highlight w:val="none"/>
                <w:lang w:val="en-US" w:eastAsia="zh-CN" w:bidi="ar-SA"/>
              </w:rPr>
              <w:t>；</w:t>
            </w:r>
          </w:p>
          <w:p w14:paraId="0E45A5D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(二)未经同意，擅自改变课程方案和课时计划的</w:t>
            </w:r>
            <w:r>
              <w:rPr>
                <w:rFonts w:hint="eastAsia" w:ascii="宋体" w:hAnsi="宋体" w:eastAsia="宋体" w:cs="宋体"/>
                <w:b/>
                <w:bCs/>
                <w:color w:val="auto"/>
                <w:kern w:val="2"/>
                <w:sz w:val="24"/>
                <w:szCs w:val="24"/>
                <w:highlight w:val="none"/>
                <w:lang w:val="en-US" w:eastAsia="zh-CN" w:bidi="ar-SA"/>
              </w:rPr>
              <w:t>；</w:t>
            </w:r>
          </w:p>
          <w:p w14:paraId="79132A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未提前备案的</w:t>
            </w:r>
            <w:r>
              <w:rPr>
                <w:rFonts w:hint="eastAsia" w:ascii="宋体" w:hAnsi="宋体" w:eastAsia="宋体" w:cs="宋体"/>
                <w:b/>
                <w:bCs/>
                <w:color w:val="auto"/>
                <w:kern w:val="2"/>
                <w:sz w:val="24"/>
                <w:szCs w:val="24"/>
                <w:highlight w:val="none"/>
                <w:lang w:val="en-US" w:eastAsia="zh-CN" w:bidi="ar-SA"/>
              </w:rPr>
              <w:t>；</w:t>
            </w:r>
          </w:p>
          <w:p w14:paraId="0027D40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(三)培训场地和授课讲师、班主任人选与开班申请不符，且</w:t>
            </w:r>
          </w:p>
          <w:p w14:paraId="751C97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(四)教室环境布置不规范，教学设施不完善的;(五)学员出勤率低于85%的</w:t>
            </w:r>
            <w:r>
              <w:rPr>
                <w:rFonts w:hint="eastAsia" w:ascii="宋体" w:hAnsi="宋体" w:eastAsia="宋体" w:cs="宋体"/>
                <w:b/>
                <w:bCs/>
                <w:color w:val="auto"/>
                <w:kern w:val="2"/>
                <w:sz w:val="24"/>
                <w:szCs w:val="24"/>
                <w:highlight w:val="none"/>
                <w:lang w:val="en-US" w:eastAsia="zh-CN" w:bidi="ar-SA"/>
              </w:rPr>
              <w:t>；</w:t>
            </w:r>
          </w:p>
          <w:p w14:paraId="26CBCF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(六)存在其他违反创业培训规定和要求的情形，造成严重后</w:t>
            </w:r>
          </w:p>
          <w:p w14:paraId="7324AEE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果的</w:t>
            </w:r>
            <w:r>
              <w:rPr>
                <w:rFonts w:hint="eastAsia" w:ascii="宋体" w:hAnsi="宋体" w:eastAsia="宋体" w:cs="宋体"/>
                <w:b/>
                <w:bCs/>
                <w:color w:val="auto"/>
                <w:kern w:val="2"/>
                <w:sz w:val="24"/>
                <w:szCs w:val="24"/>
                <w:highlight w:val="none"/>
                <w:lang w:val="en-US" w:eastAsia="zh-CN" w:bidi="ar-SA"/>
              </w:rPr>
              <w:t>。</w:t>
            </w:r>
          </w:p>
        </w:tc>
      </w:tr>
      <w:tr w14:paraId="6C1F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BD141F1">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2.15.3</w:t>
            </w:r>
          </w:p>
        </w:tc>
        <w:tc>
          <w:tcPr>
            <w:tcW w:w="6600" w:type="dxa"/>
            <w:vAlign w:val="center"/>
          </w:tcPr>
          <w:p w14:paraId="6C886DD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即时退出情形</w:t>
            </w:r>
          </w:p>
          <w:p w14:paraId="0D58A35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合同履行期间，乙方出现下列情形之一的，甲方有权立即解除合同，乙方无条件退出：</w:t>
            </w:r>
          </w:p>
          <w:p w14:paraId="52C94A3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（1）将政府采购合同转包或未经甲方同意进行分包的；</w:t>
            </w:r>
          </w:p>
          <w:p w14:paraId="26C8528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（2）提供虚假培训材料、虚报培训人数、套取或骗取培训补贴资金的；</w:t>
            </w:r>
          </w:p>
          <w:p w14:paraId="70E059C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（3）办学场所存在重大安全隐患，经甲方书面通知后未在限期内整改到位的；</w:t>
            </w:r>
          </w:p>
          <w:p w14:paraId="15687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（4）因违法违规行为被取消创业培训定点机构资格的；</w:t>
            </w:r>
          </w:p>
          <w:p w14:paraId="6099C5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（5）年度内累计三个月或连续两个月月度考核不合格的；</w:t>
            </w:r>
          </w:p>
          <w:p w14:paraId="63937CC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（6）其他严重违反合同约定，致使合同目的无法实现的情形</w:t>
            </w:r>
            <w:r>
              <w:rPr>
                <w:rFonts w:hint="eastAsia" w:ascii="宋体" w:hAnsi="宋体" w:eastAsia="宋体" w:cs="宋体"/>
                <w:b/>
                <w:bCs/>
                <w:color w:val="auto"/>
                <w:kern w:val="2"/>
                <w:sz w:val="24"/>
                <w:szCs w:val="24"/>
                <w:highlight w:val="none"/>
                <w:lang w:val="en-US" w:eastAsia="zh-CN" w:bidi="ar-SA"/>
              </w:rPr>
              <w:t>。</w:t>
            </w:r>
          </w:p>
        </w:tc>
      </w:tr>
      <w:tr w14:paraId="70236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8BF9FB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2.15.4</w:t>
            </w:r>
          </w:p>
        </w:tc>
        <w:tc>
          <w:tcPr>
            <w:tcW w:w="6600" w:type="dxa"/>
            <w:vAlign w:val="center"/>
          </w:tcPr>
          <w:p w14:paraId="0D342F1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退出后的衔接与结算</w:t>
            </w:r>
          </w:p>
          <w:p w14:paraId="71F670A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（1）合同解除后，乙方应在甲方指定的合理期限内（不超过15个工作日）完成已开展培训项目的收尾工作及全部档案资料的移交。</w:t>
            </w:r>
          </w:p>
          <w:p w14:paraId="67636D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（2）乙方已完成的合格培训，按合同约定单价据实结算；因乙方原因导致合同解除的，甲方有权扣除当年应付服务费的5%作为违约金。</w:t>
            </w:r>
          </w:p>
          <w:p w14:paraId="5A6F01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（3）因乙方退出造成的服务中断，甲方有权依法重新组织采购，乙方不得参与该重新采购活动。</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p>
        </w:tc>
        <w:tc>
          <w:tcPr>
            <w:tcW w:w="6600"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6</w:t>
            </w:r>
          </w:p>
        </w:tc>
        <w:tc>
          <w:tcPr>
            <w:tcW w:w="6600"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E7116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2E721B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0EAF124C">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1BD6BBCE">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497DB16">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016631B0">
      <w:pPr>
        <w:rPr>
          <w:color w:val="auto"/>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6"/>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19687"/>
      <w:bookmarkStart w:id="20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28960"/>
      <w:bookmarkStart w:id="202" w:name="_Toc17986"/>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pageBreakBefore w:val="0"/>
              <w:widowControl w:val="0"/>
              <w:kinsoku/>
              <w:wordWrap w:val="0"/>
              <w:topLinePunct w:val="0"/>
              <w:bidi w:val="0"/>
              <w:spacing w:line="360" w:lineRule="exact"/>
              <w:jc w:val="both"/>
              <w:rPr>
                <w:rFonts w:hint="default" w:eastAsia="宋体" w:asciiTheme="minorEastAsia" w:hAnsiTheme="minorEastAsia"/>
                <w:color w:val="auto"/>
                <w:sz w:val="24"/>
                <w:highlight w:val="none"/>
                <w:u w:val="single"/>
                <w:lang w:val="en-US" w:eastAsia="zh-CN"/>
              </w:rPr>
            </w:pPr>
            <w:r>
              <w:rPr>
                <w:rFonts w:hint="eastAsia" w:asciiTheme="minorEastAsia" w:hAnsiTheme="minorEastAsia" w:eastAsiaTheme="minorEastAsia"/>
                <w:b/>
                <w:color w:val="auto"/>
                <w:sz w:val="24"/>
                <w:highlight w:val="non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441"/>
      <w:bookmarkStart w:id="204" w:name="_Toc6120"/>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80" w:firstLineChars="200"/>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1027"/>
      <w:bookmarkStart w:id="209" w:name="_Toc32226"/>
      <w:r>
        <w:rPr>
          <w:rFonts w:hint="eastAsia" w:asciiTheme="minorEastAsia" w:hAnsiTheme="minorEastAsia" w:eastAsiaTheme="minorEastAsia"/>
          <w:b/>
          <w:color w:val="auto"/>
          <w:sz w:val="24"/>
          <w:highlight w:val="none"/>
          <w:lang w:val="en-US" w:eastAsia="zh-CN"/>
        </w:rPr>
        <w:t>五、响应</w:t>
      </w:r>
      <w:bookmarkStart w:id="235" w:name="_GoBack"/>
      <w:bookmarkEnd w:id="235"/>
      <w:r>
        <w:rPr>
          <w:rFonts w:hint="eastAsia" w:asciiTheme="minorEastAsia" w:hAnsiTheme="minorEastAsia" w:eastAsiaTheme="minorEastAsia"/>
          <w:b/>
          <w:color w:val="auto"/>
          <w:sz w:val="24"/>
          <w:highlight w:val="none"/>
        </w:rPr>
        <w:t>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7315"/>
      <w:bookmarkStart w:id="212" w:name="_Toc16713"/>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300210382"/>
      <w:bookmarkStart w:id="214" w:name="_Toc520299348"/>
      <w:bookmarkStart w:id="215" w:name="_Toc457768004"/>
      <w:bookmarkStart w:id="216" w:name="_Toc23860"/>
      <w:bookmarkStart w:id="217" w:name="_Toc26536"/>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1807"/>
      <w:bookmarkStart w:id="220" w:name="_Toc32633"/>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20819"/>
      <w:bookmarkStart w:id="22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6955"/>
      <w:bookmarkStart w:id="224" w:name="_Toc27159"/>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857"/>
      <w:bookmarkStart w:id="228" w:name="_Toc1575"/>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9754"/>
      <w:bookmarkStart w:id="234" w:name="_Toc22239"/>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C7104CB">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1B629FC-D7D2-4540-915D-E00BB0D9C7DA}"/>
  </w:font>
  <w:font w:name="Arial">
    <w:panose1 w:val="020B0604020202020204"/>
    <w:charset w:val="01"/>
    <w:family w:val="swiss"/>
    <w:pitch w:val="default"/>
    <w:sig w:usb0="E0002EFF" w:usb1="C000785B" w:usb2="00000009" w:usb3="00000000" w:csb0="400001FF" w:csb1="FFFF0000"/>
    <w:embedRegular r:id="rId2" w:fontKey="{1D5077C8-23B7-4E93-9D7E-0C59AFE74BE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70898A2D-6578-4CF6-BE97-1379D7B49633}"/>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BC6EC2A8-8663-41A8-84CB-9DB1E7378333}"/>
  </w:font>
  <w:font w:name="仿宋">
    <w:panose1 w:val="02010609060101010101"/>
    <w:charset w:val="86"/>
    <w:family w:val="auto"/>
    <w:pitch w:val="default"/>
    <w:sig w:usb0="800002BF" w:usb1="38CF7CFA" w:usb2="00000016" w:usb3="00000000" w:csb0="00040001" w:csb1="00000000"/>
    <w:embedRegular r:id="rId5" w:fontKey="{FFD94C03-90AC-4379-A878-ADE3CB31F8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39E55"/>
    <w:multiLevelType w:val="singleLevel"/>
    <w:tmpl w:val="B5839E55"/>
    <w:lvl w:ilvl="0" w:tentative="0">
      <w:start w:val="1"/>
      <w:numFmt w:val="decimal"/>
      <w:suff w:val="space"/>
      <w:lvlText w:val="%1."/>
      <w:lvlJc w:val="left"/>
    </w:lvl>
  </w:abstractNum>
  <w:abstractNum w:abstractNumId="1">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7A3751"/>
    <w:multiLevelType w:val="singleLevel"/>
    <w:tmpl w:val="1D7A3751"/>
    <w:lvl w:ilvl="0" w:tentative="0">
      <w:start w:val="1"/>
      <w:numFmt w:val="decimal"/>
      <w:suff w:val="space"/>
      <w:lvlText w:val="%1."/>
      <w:lvlJc w:val="left"/>
    </w:lvl>
  </w:abstractNum>
  <w:abstractNum w:abstractNumId="3">
    <w:nsid w:val="2A064A37"/>
    <w:multiLevelType w:val="singleLevel"/>
    <w:tmpl w:val="2A064A37"/>
    <w:lvl w:ilvl="0" w:tentative="0">
      <w:start w:val="3"/>
      <w:numFmt w:val="chineseCounting"/>
      <w:suff w:val="space"/>
      <w:lvlText w:val="第%1章"/>
      <w:lvlJc w:val="left"/>
      <w:rPr>
        <w:rFonts w:hint="eastAsia"/>
      </w:rPr>
    </w:lvl>
  </w:abstractNum>
  <w:abstractNum w:abstractNumId="4">
    <w:nsid w:val="7F505099"/>
    <w:multiLevelType w:val="singleLevel"/>
    <w:tmpl w:val="7F505099"/>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35717DD"/>
    <w:rsid w:val="03575C81"/>
    <w:rsid w:val="040A094E"/>
    <w:rsid w:val="041C7B7F"/>
    <w:rsid w:val="044B7594"/>
    <w:rsid w:val="04E36C96"/>
    <w:rsid w:val="056800F4"/>
    <w:rsid w:val="056F201D"/>
    <w:rsid w:val="05B664D4"/>
    <w:rsid w:val="07076C01"/>
    <w:rsid w:val="071C12AC"/>
    <w:rsid w:val="074E231E"/>
    <w:rsid w:val="07A934B3"/>
    <w:rsid w:val="07BD6760"/>
    <w:rsid w:val="087B0CF3"/>
    <w:rsid w:val="08B15E54"/>
    <w:rsid w:val="092B1C76"/>
    <w:rsid w:val="0980799C"/>
    <w:rsid w:val="09C40B0E"/>
    <w:rsid w:val="0A0F6376"/>
    <w:rsid w:val="0A353CEA"/>
    <w:rsid w:val="0A6A18DB"/>
    <w:rsid w:val="0AEF3828"/>
    <w:rsid w:val="0BB62F04"/>
    <w:rsid w:val="0BBB665B"/>
    <w:rsid w:val="0C222B39"/>
    <w:rsid w:val="0CB7664E"/>
    <w:rsid w:val="0D5152A5"/>
    <w:rsid w:val="0E6C55F8"/>
    <w:rsid w:val="0E816EC5"/>
    <w:rsid w:val="0EEA6FC1"/>
    <w:rsid w:val="0F4277C2"/>
    <w:rsid w:val="0F954485"/>
    <w:rsid w:val="0FBA55CD"/>
    <w:rsid w:val="0FBF344F"/>
    <w:rsid w:val="0FD56B4E"/>
    <w:rsid w:val="101C30CB"/>
    <w:rsid w:val="10505F32"/>
    <w:rsid w:val="105A27E6"/>
    <w:rsid w:val="119B0711"/>
    <w:rsid w:val="12197477"/>
    <w:rsid w:val="121A05A5"/>
    <w:rsid w:val="12F933E5"/>
    <w:rsid w:val="13587E2C"/>
    <w:rsid w:val="1466407E"/>
    <w:rsid w:val="147677B7"/>
    <w:rsid w:val="14834E28"/>
    <w:rsid w:val="148E7D65"/>
    <w:rsid w:val="151D4243"/>
    <w:rsid w:val="15231BF9"/>
    <w:rsid w:val="15EA39A1"/>
    <w:rsid w:val="179F5278"/>
    <w:rsid w:val="18200F67"/>
    <w:rsid w:val="1A3B68AA"/>
    <w:rsid w:val="1A3E1C1E"/>
    <w:rsid w:val="1C141836"/>
    <w:rsid w:val="1E6B6A14"/>
    <w:rsid w:val="1E8079E2"/>
    <w:rsid w:val="1EBB53BC"/>
    <w:rsid w:val="1F7458BE"/>
    <w:rsid w:val="1FE741BD"/>
    <w:rsid w:val="202C350B"/>
    <w:rsid w:val="20550D9A"/>
    <w:rsid w:val="21714B53"/>
    <w:rsid w:val="218E2416"/>
    <w:rsid w:val="226915FE"/>
    <w:rsid w:val="22DC0F0C"/>
    <w:rsid w:val="22E14C32"/>
    <w:rsid w:val="247D172D"/>
    <w:rsid w:val="24B97929"/>
    <w:rsid w:val="2520252D"/>
    <w:rsid w:val="253908EB"/>
    <w:rsid w:val="26163BC1"/>
    <w:rsid w:val="262221C3"/>
    <w:rsid w:val="27906EE8"/>
    <w:rsid w:val="284F15D5"/>
    <w:rsid w:val="285F40CA"/>
    <w:rsid w:val="28701A4C"/>
    <w:rsid w:val="28C01ECB"/>
    <w:rsid w:val="28E90C12"/>
    <w:rsid w:val="28EC3ECC"/>
    <w:rsid w:val="29537E8E"/>
    <w:rsid w:val="29BF71E3"/>
    <w:rsid w:val="2A127B63"/>
    <w:rsid w:val="2AAA4765"/>
    <w:rsid w:val="2AC21606"/>
    <w:rsid w:val="2AF63C5E"/>
    <w:rsid w:val="2B2E0C3C"/>
    <w:rsid w:val="2B7E7608"/>
    <w:rsid w:val="2B7F04E9"/>
    <w:rsid w:val="2BCA5C66"/>
    <w:rsid w:val="2C305555"/>
    <w:rsid w:val="2C324425"/>
    <w:rsid w:val="2C9A21B9"/>
    <w:rsid w:val="2CDC6672"/>
    <w:rsid w:val="2CE20523"/>
    <w:rsid w:val="2D3D6E26"/>
    <w:rsid w:val="2D496D68"/>
    <w:rsid w:val="2E6672CB"/>
    <w:rsid w:val="2E7A48DE"/>
    <w:rsid w:val="2EDC3ED8"/>
    <w:rsid w:val="2F2D046C"/>
    <w:rsid w:val="2F6351B4"/>
    <w:rsid w:val="2FCF199E"/>
    <w:rsid w:val="302E4A7C"/>
    <w:rsid w:val="30483E83"/>
    <w:rsid w:val="30AA0E97"/>
    <w:rsid w:val="30BD4AC6"/>
    <w:rsid w:val="31FC1669"/>
    <w:rsid w:val="323B4877"/>
    <w:rsid w:val="330064C0"/>
    <w:rsid w:val="334E4CD8"/>
    <w:rsid w:val="33A67DCB"/>
    <w:rsid w:val="33AF6948"/>
    <w:rsid w:val="343C0775"/>
    <w:rsid w:val="34AA76A9"/>
    <w:rsid w:val="356C50EC"/>
    <w:rsid w:val="361108CD"/>
    <w:rsid w:val="3700166C"/>
    <w:rsid w:val="3727617F"/>
    <w:rsid w:val="375969FE"/>
    <w:rsid w:val="377260D5"/>
    <w:rsid w:val="38694EE9"/>
    <w:rsid w:val="38C12275"/>
    <w:rsid w:val="38F80D91"/>
    <w:rsid w:val="393C6E91"/>
    <w:rsid w:val="3AAF3166"/>
    <w:rsid w:val="3AAF722D"/>
    <w:rsid w:val="3B365CC9"/>
    <w:rsid w:val="3B813AFD"/>
    <w:rsid w:val="3B9A7B88"/>
    <w:rsid w:val="3BC114FF"/>
    <w:rsid w:val="3C114756"/>
    <w:rsid w:val="3C2660C6"/>
    <w:rsid w:val="3D2C7AC8"/>
    <w:rsid w:val="3D855D12"/>
    <w:rsid w:val="3D8B42FF"/>
    <w:rsid w:val="3D8C02DD"/>
    <w:rsid w:val="3D9409D6"/>
    <w:rsid w:val="3DC20089"/>
    <w:rsid w:val="3DF36A6E"/>
    <w:rsid w:val="3F1138E1"/>
    <w:rsid w:val="3F792F1E"/>
    <w:rsid w:val="3F7B0475"/>
    <w:rsid w:val="3FCF2A56"/>
    <w:rsid w:val="407A3E67"/>
    <w:rsid w:val="40824826"/>
    <w:rsid w:val="40E63923"/>
    <w:rsid w:val="411E0097"/>
    <w:rsid w:val="4140333C"/>
    <w:rsid w:val="42545C34"/>
    <w:rsid w:val="42B443F4"/>
    <w:rsid w:val="42F43FD4"/>
    <w:rsid w:val="433569A4"/>
    <w:rsid w:val="43A91E5B"/>
    <w:rsid w:val="44042543"/>
    <w:rsid w:val="44330E67"/>
    <w:rsid w:val="44BC3308"/>
    <w:rsid w:val="44C935E1"/>
    <w:rsid w:val="4574613B"/>
    <w:rsid w:val="45BA48DB"/>
    <w:rsid w:val="45BE11FB"/>
    <w:rsid w:val="463A3650"/>
    <w:rsid w:val="469F0116"/>
    <w:rsid w:val="47402999"/>
    <w:rsid w:val="475259B7"/>
    <w:rsid w:val="47544337"/>
    <w:rsid w:val="48831CF9"/>
    <w:rsid w:val="49845D76"/>
    <w:rsid w:val="49A165B8"/>
    <w:rsid w:val="49B1408D"/>
    <w:rsid w:val="49BE3444"/>
    <w:rsid w:val="4A7D4FD2"/>
    <w:rsid w:val="4A913C9A"/>
    <w:rsid w:val="4AE22D2F"/>
    <w:rsid w:val="4B1F70AC"/>
    <w:rsid w:val="4B240F94"/>
    <w:rsid w:val="4B386AE5"/>
    <w:rsid w:val="4B876D11"/>
    <w:rsid w:val="4BA75287"/>
    <w:rsid w:val="4BDC6EAE"/>
    <w:rsid w:val="4BED70D6"/>
    <w:rsid w:val="4C0E05BB"/>
    <w:rsid w:val="4C3C565C"/>
    <w:rsid w:val="4C936C5D"/>
    <w:rsid w:val="4CCC79C7"/>
    <w:rsid w:val="4D7555C7"/>
    <w:rsid w:val="4E2D13A4"/>
    <w:rsid w:val="4EAE6DA0"/>
    <w:rsid w:val="4EB15F74"/>
    <w:rsid w:val="4F002A5F"/>
    <w:rsid w:val="4F854DA4"/>
    <w:rsid w:val="4FB17138"/>
    <w:rsid w:val="4FD037EF"/>
    <w:rsid w:val="5016514B"/>
    <w:rsid w:val="502857C7"/>
    <w:rsid w:val="50476D3D"/>
    <w:rsid w:val="50F72CFD"/>
    <w:rsid w:val="51CB1C78"/>
    <w:rsid w:val="51FD6A51"/>
    <w:rsid w:val="526B680A"/>
    <w:rsid w:val="52AA4A52"/>
    <w:rsid w:val="52C90BE7"/>
    <w:rsid w:val="52FB705C"/>
    <w:rsid w:val="53150D15"/>
    <w:rsid w:val="5352083E"/>
    <w:rsid w:val="541A5D30"/>
    <w:rsid w:val="54A46A33"/>
    <w:rsid w:val="54F24195"/>
    <w:rsid w:val="54F66B38"/>
    <w:rsid w:val="552F56E3"/>
    <w:rsid w:val="553E632F"/>
    <w:rsid w:val="55F068CD"/>
    <w:rsid w:val="563165DB"/>
    <w:rsid w:val="565E1758"/>
    <w:rsid w:val="566C3136"/>
    <w:rsid w:val="568D04F2"/>
    <w:rsid w:val="57B9325C"/>
    <w:rsid w:val="57B976AF"/>
    <w:rsid w:val="588D6DD7"/>
    <w:rsid w:val="58943156"/>
    <w:rsid w:val="59246BE1"/>
    <w:rsid w:val="59930AE1"/>
    <w:rsid w:val="59AA13FC"/>
    <w:rsid w:val="5A282BA9"/>
    <w:rsid w:val="5A526582"/>
    <w:rsid w:val="5A5F5C77"/>
    <w:rsid w:val="5A933291"/>
    <w:rsid w:val="5B6534AE"/>
    <w:rsid w:val="5B900F3C"/>
    <w:rsid w:val="5BBE39CD"/>
    <w:rsid w:val="5BC11A60"/>
    <w:rsid w:val="5BD97645"/>
    <w:rsid w:val="5C7A4D54"/>
    <w:rsid w:val="5CD23B73"/>
    <w:rsid w:val="5D483260"/>
    <w:rsid w:val="5D997B0D"/>
    <w:rsid w:val="5F127819"/>
    <w:rsid w:val="5F63752A"/>
    <w:rsid w:val="5FD90934"/>
    <w:rsid w:val="60F1503F"/>
    <w:rsid w:val="60F905F7"/>
    <w:rsid w:val="61025188"/>
    <w:rsid w:val="61057D5F"/>
    <w:rsid w:val="614D4977"/>
    <w:rsid w:val="61A704EA"/>
    <w:rsid w:val="63962CDC"/>
    <w:rsid w:val="63C60FC0"/>
    <w:rsid w:val="642F2C68"/>
    <w:rsid w:val="64BA3D7A"/>
    <w:rsid w:val="64F179BC"/>
    <w:rsid w:val="65C94C55"/>
    <w:rsid w:val="665704D3"/>
    <w:rsid w:val="672A2FC6"/>
    <w:rsid w:val="673148E2"/>
    <w:rsid w:val="675445CD"/>
    <w:rsid w:val="675608AD"/>
    <w:rsid w:val="675A23DE"/>
    <w:rsid w:val="676F1E29"/>
    <w:rsid w:val="67C065A4"/>
    <w:rsid w:val="67D359C9"/>
    <w:rsid w:val="68DF53B3"/>
    <w:rsid w:val="68F14A8C"/>
    <w:rsid w:val="68F4200C"/>
    <w:rsid w:val="68FE36DD"/>
    <w:rsid w:val="694E60FC"/>
    <w:rsid w:val="69691254"/>
    <w:rsid w:val="69EF4042"/>
    <w:rsid w:val="6A465D34"/>
    <w:rsid w:val="6B2E0222"/>
    <w:rsid w:val="6C410A63"/>
    <w:rsid w:val="6C675CE6"/>
    <w:rsid w:val="6CEF35AF"/>
    <w:rsid w:val="6D0D7C60"/>
    <w:rsid w:val="6D0E49F2"/>
    <w:rsid w:val="6D4F4321"/>
    <w:rsid w:val="6DFF7360"/>
    <w:rsid w:val="6E7A5F73"/>
    <w:rsid w:val="6F2E3798"/>
    <w:rsid w:val="6F8455DF"/>
    <w:rsid w:val="6FA22640"/>
    <w:rsid w:val="6FAD5732"/>
    <w:rsid w:val="6FD74228"/>
    <w:rsid w:val="70074E3A"/>
    <w:rsid w:val="70B33744"/>
    <w:rsid w:val="70FE5EDF"/>
    <w:rsid w:val="71633091"/>
    <w:rsid w:val="72C76B74"/>
    <w:rsid w:val="72DA4450"/>
    <w:rsid w:val="73081CA5"/>
    <w:rsid w:val="73483525"/>
    <w:rsid w:val="736A5E0C"/>
    <w:rsid w:val="736D39CA"/>
    <w:rsid w:val="73754572"/>
    <w:rsid w:val="73C45C4A"/>
    <w:rsid w:val="74545B7C"/>
    <w:rsid w:val="7487762D"/>
    <w:rsid w:val="74BD640F"/>
    <w:rsid w:val="75385498"/>
    <w:rsid w:val="75EE3EFC"/>
    <w:rsid w:val="769962BD"/>
    <w:rsid w:val="76BC207F"/>
    <w:rsid w:val="76CA0F85"/>
    <w:rsid w:val="76EB4904"/>
    <w:rsid w:val="777378F5"/>
    <w:rsid w:val="777A2D3C"/>
    <w:rsid w:val="77F04406"/>
    <w:rsid w:val="78537BEA"/>
    <w:rsid w:val="78961451"/>
    <w:rsid w:val="79074B81"/>
    <w:rsid w:val="791C6B47"/>
    <w:rsid w:val="794F0939"/>
    <w:rsid w:val="79AF0FCA"/>
    <w:rsid w:val="79EF2560"/>
    <w:rsid w:val="7AD505CC"/>
    <w:rsid w:val="7AE658BA"/>
    <w:rsid w:val="7AF9279C"/>
    <w:rsid w:val="7C8A45E3"/>
    <w:rsid w:val="7CC51958"/>
    <w:rsid w:val="7CEC40B6"/>
    <w:rsid w:val="7E2936C3"/>
    <w:rsid w:val="7E2E365C"/>
    <w:rsid w:val="7E4347F3"/>
    <w:rsid w:val="7E6411B9"/>
    <w:rsid w:val="7E967741"/>
    <w:rsid w:val="7EA6509E"/>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82"/>
    <w:autoRedefine/>
    <w:qFormat/>
    <w:uiPriority w:val="0"/>
    <w:pPr>
      <w:spacing w:after="120"/>
    </w:pPr>
    <w:rPr>
      <w:rFonts w:ascii="@微软简标宋" w:hAnsi="@微软简标宋" w:eastAsia="@微软简标宋" w:cs="@微软简标宋"/>
      <w:szCs w:val="24"/>
      <w:lang w:val="zh-CN"/>
    </w:rPr>
  </w:style>
  <w:style w:type="paragraph" w:styleId="3">
    <w:name w:val="toc 5"/>
    <w:basedOn w:val="1"/>
    <w:next w:val="1"/>
    <w:qFormat/>
    <w:uiPriority w:val="0"/>
    <w:pPr>
      <w:ind w:left="1680"/>
    </w:p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60"/>
    <w:autoRedefine/>
    <w:qFormat/>
    <w:uiPriority w:val="0"/>
    <w:pPr>
      <w:jc w:val="left"/>
    </w:pPr>
    <w:rPr>
      <w:rFonts w:ascii="Arial" w:hAnsi="Arial" w:eastAsia="黑体" w:cs="Arial"/>
    </w:rPr>
  </w:style>
  <w:style w:type="paragraph" w:styleId="11">
    <w:name w:val="Body Text Indent"/>
    <w:basedOn w:val="1"/>
    <w:next w:val="12"/>
    <w:unhideWhenUsed/>
    <w:qFormat/>
    <w:uiPriority w:val="0"/>
    <w:pPr>
      <w:spacing w:after="120"/>
      <w:ind w:left="420" w:leftChars="200"/>
    </w:pPr>
    <w:rPr>
      <w:rFonts w:asciiTheme="minorHAnsi" w:hAnsiTheme="minorHAnsi"/>
      <w:szCs w:val="22"/>
    </w:rPr>
  </w:style>
  <w:style w:type="paragraph" w:styleId="12">
    <w:name w:val="envelope return"/>
    <w:basedOn w:val="1"/>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10"/>
    <w:next w:val="10"/>
    <w:link w:val="71"/>
    <w:autoRedefine/>
    <w:semiHidden/>
    <w:unhideWhenUsed/>
    <w:qFormat/>
    <w:uiPriority w:val="99"/>
    <w:rPr>
      <w:rFonts w:ascii="@仿宋_GB2312" w:hAnsi="@仿宋_GB2312" w:eastAsia="@仿宋_GB2312" w:cs="@仿宋_GB2312"/>
      <w:b/>
      <w:bCs/>
    </w:rPr>
  </w:style>
  <w:style w:type="paragraph" w:styleId="26">
    <w:name w:val="Body Text First Indent"/>
    <w:basedOn w:val="2"/>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10"/>
    <w:autoRedefine/>
    <w:qFormat/>
    <w:uiPriority w:val="0"/>
    <w:rPr>
      <w:rFonts w:ascii="Arial" w:hAnsi="Arial" w:eastAsia="黑体" w:cs="Arial"/>
      <w:szCs w:val="20"/>
    </w:rPr>
  </w:style>
  <w:style w:type="character" w:customStyle="1" w:styleId="61">
    <w:name w:val="标题 1 Char"/>
    <w:basedOn w:val="30"/>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2"/>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6">
    <w:name w:val="card-title"/>
    <w:basedOn w:val="1"/>
    <w:qFormat/>
    <w:uiPriority w:val="0"/>
    <w:pPr>
      <w:spacing w:line="543" w:lineRule="atLeast"/>
      <w:ind w:right="679"/>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2e229-fcc8-4271-b9d9-f02fd6c1427f}">
  <ds:schemaRefs/>
</ds:datastoreItem>
</file>

<file path=customXml/itemProps3.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67</Pages>
  <Words>2114</Words>
  <Characters>2457</Characters>
  <Lines>244</Lines>
  <Paragraphs>68</Paragraphs>
  <TotalTime>16</TotalTime>
  <ScaleCrop>false</ScaleCrop>
  <LinksUpToDate>false</LinksUpToDate>
  <CharactersWithSpaces>2491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2026-08-20T01:40:11Z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422BBB2F60EC4B708C2080A90CF66387_13</vt:lpwstr>
  </property>
  <property fmtid="{D5CDD505-2E9C-101B-9397-08002B2CF9AE}" pid="4" name="KSOTemplateDocerSaveRecord">
    <vt:lpwstr>eyJoZGlkIjoiOTc5MDNjMmIyODczM2YwMGZkZTNjYWY1NjIxZTY5YjciLCJ1c2VySWQiOiI1MDM3MjkwOTMifQ==</vt:lpwstr>
  </property>
</Properties>
</file>