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B148CC9">
      <w:pPr>
        <w:jc w:val="center"/>
        <w:rPr>
          <w:rFonts w:ascii="宋体" w:hAnsi="宋体" w:cs="宋体"/>
          <w:b/>
          <w:kern w:val="0"/>
          <w:sz w:val="44"/>
          <w:szCs w:val="44"/>
          <w:highlight w:val="none"/>
        </w:rPr>
      </w:pPr>
      <w:bookmarkStart w:id="0" w:name="_Toc461631222"/>
      <w:bookmarkStart w:id="1" w:name="_Toc506107265"/>
      <w:bookmarkStart w:id="2" w:name="_Toc15058843"/>
      <w:bookmarkStart w:id="3" w:name="_Toc296602400"/>
      <w:bookmarkStart w:id="4" w:name="_Toc246996898"/>
      <w:bookmarkStart w:id="5" w:name="_Toc247085669"/>
      <w:bookmarkStart w:id="6" w:name="_Toc324404811"/>
      <w:bookmarkStart w:id="7" w:name="OLE_LINK3"/>
      <w:bookmarkStart w:id="8" w:name="OLE_LINK1"/>
      <w:bookmarkStart w:id="9" w:name="OLE_LINK2"/>
      <w:bookmarkStart w:id="10" w:name="OLE_LINK5"/>
      <w:bookmarkStart w:id="11" w:name="OLE_LINK4"/>
    </w:p>
    <w:p w14:paraId="03BEA7F1">
      <w:pPr>
        <w:pStyle w:val="14"/>
        <w:ind w:left="0" w:leftChars="0" w:firstLine="0" w:firstLineChars="0"/>
        <w:jc w:val="center"/>
        <w:rPr>
          <w:rFonts w:hint="eastAsia" w:hAnsi="宋体" w:cs="宋体"/>
          <w:b/>
          <w:color w:val="auto"/>
          <w:kern w:val="0"/>
          <w:sz w:val="52"/>
          <w:szCs w:val="52"/>
          <w:highlight w:val="none"/>
          <w:lang w:eastAsia="zh-CN"/>
        </w:rPr>
      </w:pPr>
    </w:p>
    <w:p w14:paraId="7D884F81">
      <w:pPr>
        <w:jc w:val="center"/>
        <w:rPr>
          <w:rFonts w:hint="default" w:ascii="宋体" w:hAnsi="宋体"/>
          <w:b/>
          <w:bCs/>
          <w:color w:val="auto"/>
          <w:sz w:val="96"/>
          <w:szCs w:val="96"/>
          <w:highlight w:val="none"/>
          <w:lang w:val="en-US"/>
        </w:rPr>
      </w:pPr>
      <w:r>
        <w:rPr>
          <w:rFonts w:hint="eastAsia" w:hAnsi="宋体" w:cs="宋体"/>
          <w:b/>
          <w:color w:val="auto"/>
          <w:kern w:val="0"/>
          <w:sz w:val="56"/>
          <w:szCs w:val="56"/>
          <w:highlight w:val="none"/>
          <w:lang w:eastAsia="zh-CN"/>
        </w:rPr>
        <w:t>202</w:t>
      </w:r>
      <w:r>
        <w:rPr>
          <w:rFonts w:hint="eastAsia" w:hAnsi="宋体" w:cs="宋体"/>
          <w:b/>
          <w:color w:val="auto"/>
          <w:kern w:val="0"/>
          <w:sz w:val="56"/>
          <w:szCs w:val="56"/>
          <w:highlight w:val="none"/>
          <w:lang w:val="en-US" w:eastAsia="zh-CN"/>
        </w:rPr>
        <w:t>6</w:t>
      </w:r>
      <w:r>
        <w:rPr>
          <w:rFonts w:hint="eastAsia" w:hAnsi="宋体" w:cs="宋体"/>
          <w:b/>
          <w:color w:val="auto"/>
          <w:kern w:val="0"/>
          <w:sz w:val="56"/>
          <w:szCs w:val="56"/>
          <w:highlight w:val="none"/>
          <w:lang w:eastAsia="zh-CN"/>
        </w:rPr>
        <w:t>年度</w:t>
      </w:r>
      <w:r>
        <w:rPr>
          <w:rFonts w:hint="eastAsia" w:hAnsi="宋体" w:cs="宋体"/>
          <w:b/>
          <w:color w:val="auto"/>
          <w:kern w:val="0"/>
          <w:sz w:val="56"/>
          <w:szCs w:val="56"/>
          <w:highlight w:val="none"/>
          <w:lang w:val="en-US" w:eastAsia="zh-CN"/>
        </w:rPr>
        <w:t>新能源</w:t>
      </w:r>
      <w:r>
        <w:rPr>
          <w:rFonts w:hint="eastAsia" w:hAnsi="宋体" w:cs="宋体"/>
          <w:b/>
          <w:color w:val="auto"/>
          <w:kern w:val="0"/>
          <w:sz w:val="56"/>
          <w:szCs w:val="56"/>
          <w:highlight w:val="none"/>
          <w:lang w:eastAsia="zh-CN"/>
        </w:rPr>
        <w:t>工程审计项目（</w:t>
      </w:r>
      <w:r>
        <w:rPr>
          <w:rFonts w:hint="eastAsia" w:hAnsi="宋体" w:cs="宋体"/>
          <w:b/>
          <w:color w:val="auto"/>
          <w:kern w:val="0"/>
          <w:sz w:val="56"/>
          <w:szCs w:val="56"/>
          <w:highlight w:val="none"/>
          <w:lang w:val="en-US" w:eastAsia="zh-CN"/>
        </w:rPr>
        <w:t>二次）</w:t>
      </w:r>
    </w:p>
    <w:p w14:paraId="19197C58">
      <w:pPr>
        <w:jc w:val="center"/>
        <w:rPr>
          <w:rFonts w:hint="eastAsia" w:ascii="宋体" w:hAnsi="宋体"/>
          <w:b/>
          <w:bCs/>
          <w:color w:val="auto"/>
          <w:sz w:val="96"/>
          <w:szCs w:val="96"/>
          <w:highlight w:val="none"/>
        </w:rPr>
      </w:pPr>
    </w:p>
    <w:p w14:paraId="4BB8E937">
      <w:pPr>
        <w:jc w:val="center"/>
        <w:rPr>
          <w:color w:val="auto"/>
          <w:sz w:val="28"/>
          <w:szCs w:val="28"/>
          <w:highlight w:val="none"/>
        </w:rPr>
      </w:pPr>
      <w:r>
        <w:rPr>
          <w:rFonts w:hint="eastAsia" w:ascii="宋体" w:hAnsi="宋体"/>
          <w:b/>
          <w:bCs/>
          <w:color w:val="auto"/>
          <w:sz w:val="96"/>
          <w:szCs w:val="96"/>
          <w:highlight w:val="none"/>
        </w:rPr>
        <w:t>招</w:t>
      </w:r>
      <w:r>
        <w:rPr>
          <w:rFonts w:hint="eastAsia" w:ascii="宋体" w:hAnsi="宋体"/>
          <w:b/>
          <w:bCs/>
          <w:color w:val="auto"/>
          <w:sz w:val="96"/>
          <w:szCs w:val="96"/>
          <w:highlight w:val="none"/>
          <w:lang w:val="en-US" w:eastAsia="zh-CN"/>
        </w:rPr>
        <w:t xml:space="preserve"> </w:t>
      </w:r>
      <w:r>
        <w:rPr>
          <w:rFonts w:hint="eastAsia" w:ascii="宋体"/>
          <w:b/>
          <w:bCs/>
          <w:color w:val="auto"/>
          <w:sz w:val="96"/>
          <w:szCs w:val="96"/>
          <w:highlight w:val="none"/>
        </w:rPr>
        <w:t>标</w:t>
      </w:r>
      <w:r>
        <w:rPr>
          <w:rFonts w:hint="eastAsia" w:ascii="宋体"/>
          <w:b/>
          <w:bCs/>
          <w:color w:val="auto"/>
          <w:sz w:val="96"/>
          <w:szCs w:val="96"/>
          <w:highlight w:val="none"/>
          <w:lang w:val="en-US" w:eastAsia="zh-CN"/>
        </w:rPr>
        <w:t xml:space="preserve"> </w:t>
      </w:r>
      <w:r>
        <w:rPr>
          <w:rFonts w:hint="eastAsia" w:ascii="宋体" w:hAnsi="宋体"/>
          <w:b/>
          <w:bCs/>
          <w:color w:val="auto"/>
          <w:sz w:val="96"/>
          <w:szCs w:val="96"/>
          <w:highlight w:val="none"/>
        </w:rPr>
        <w:t>文</w:t>
      </w:r>
      <w:r>
        <w:rPr>
          <w:rFonts w:hint="eastAsia" w:ascii="宋体" w:hAnsi="宋体"/>
          <w:b/>
          <w:bCs/>
          <w:color w:val="auto"/>
          <w:sz w:val="96"/>
          <w:szCs w:val="96"/>
          <w:highlight w:val="none"/>
          <w:lang w:val="en-US" w:eastAsia="zh-CN"/>
        </w:rPr>
        <w:t xml:space="preserve"> </w:t>
      </w:r>
      <w:r>
        <w:rPr>
          <w:rFonts w:hint="eastAsia" w:ascii="宋体" w:hAnsi="宋体"/>
          <w:b/>
          <w:bCs/>
          <w:color w:val="auto"/>
          <w:sz w:val="96"/>
          <w:szCs w:val="96"/>
          <w:highlight w:val="none"/>
        </w:rPr>
        <w:t>件</w:t>
      </w:r>
    </w:p>
    <w:p w14:paraId="201544BF">
      <w:pPr>
        <w:spacing w:line="400" w:lineRule="exact"/>
        <w:jc w:val="center"/>
        <w:rPr>
          <w:rFonts w:ascii="宋体" w:hAnsi="宋体"/>
          <w:b/>
          <w:color w:val="auto"/>
          <w:sz w:val="39"/>
          <w:highlight w:val="none"/>
        </w:rPr>
      </w:pPr>
    </w:p>
    <w:p w14:paraId="3187D452">
      <w:pPr>
        <w:spacing w:line="400" w:lineRule="exact"/>
        <w:rPr>
          <w:color w:val="auto"/>
          <w:highlight w:val="none"/>
        </w:rPr>
      </w:pPr>
    </w:p>
    <w:p w14:paraId="307F53F6">
      <w:pPr>
        <w:pStyle w:val="14"/>
        <w:rPr>
          <w:color w:val="auto"/>
          <w:highlight w:val="none"/>
        </w:rPr>
      </w:pPr>
    </w:p>
    <w:p w14:paraId="691FE4D6">
      <w:pPr>
        <w:jc w:val="center"/>
        <w:rPr>
          <w:rFonts w:hint="eastAsia"/>
          <w:color w:val="auto"/>
          <w:highlight w:val="none"/>
          <w:lang w:val="en-US" w:eastAsia="zh-CN"/>
        </w:rPr>
      </w:pPr>
      <w:r>
        <w:rPr>
          <w:rFonts w:hint="eastAsia"/>
          <w:color w:val="auto"/>
          <w:highlight w:val="none"/>
          <w:lang w:val="en-US" w:eastAsia="zh-CN"/>
        </w:rPr>
        <w:t>项目编号：HXJY1110001064108001</w:t>
      </w:r>
    </w:p>
    <w:p w14:paraId="7E411827">
      <w:pPr>
        <w:pStyle w:val="14"/>
        <w:rPr>
          <w:color w:val="auto"/>
          <w:highlight w:val="none"/>
        </w:rPr>
      </w:pPr>
    </w:p>
    <w:p w14:paraId="6CF62471">
      <w:pPr>
        <w:rPr>
          <w:color w:val="auto"/>
          <w:highlight w:val="none"/>
        </w:rPr>
      </w:pPr>
    </w:p>
    <w:p w14:paraId="276FE2C2">
      <w:pPr>
        <w:pStyle w:val="14"/>
        <w:rPr>
          <w:color w:val="auto"/>
          <w:highlight w:val="none"/>
        </w:rPr>
      </w:pPr>
    </w:p>
    <w:p w14:paraId="3BD0CE75">
      <w:pPr>
        <w:rPr>
          <w:color w:val="auto"/>
          <w:highlight w:val="none"/>
        </w:rPr>
      </w:pPr>
    </w:p>
    <w:p w14:paraId="31EEA548">
      <w:pPr>
        <w:pStyle w:val="14"/>
      </w:pPr>
    </w:p>
    <w:p w14:paraId="6EBADFFD"/>
    <w:p w14:paraId="57C971B3">
      <w:pPr>
        <w:pStyle w:val="14"/>
      </w:pPr>
    </w:p>
    <w:p w14:paraId="34E1CE7D">
      <w:pPr>
        <w:spacing w:line="720" w:lineRule="exact"/>
        <w:rPr>
          <w:b/>
          <w:bCs/>
          <w:color w:val="auto"/>
          <w:sz w:val="28"/>
          <w:szCs w:val="28"/>
          <w:highlight w:val="none"/>
        </w:rPr>
      </w:pPr>
    </w:p>
    <w:p w14:paraId="600C11DF">
      <w:pPr>
        <w:spacing w:line="800" w:lineRule="exact"/>
        <w:ind w:firstLine="600" w:firstLineChars="200"/>
        <w:rPr>
          <w:rFonts w:hint="default" w:ascii="宋体" w:hAnsi="Times New Roman" w:eastAsia="宋体" w:cs="Times New Roman"/>
          <w:sz w:val="30"/>
          <w:szCs w:val="30"/>
          <w:highlight w:val="none"/>
          <w:u w:val="single"/>
          <w:lang w:val="en-US" w:eastAsia="zh-CN"/>
        </w:rPr>
      </w:pPr>
      <w:r>
        <w:rPr>
          <w:rFonts w:hint="eastAsia"/>
          <w:bCs/>
          <w:color w:val="auto"/>
          <w:sz w:val="30"/>
          <w:szCs w:val="30"/>
          <w:highlight w:val="none"/>
        </w:rPr>
        <w:t>招</w:t>
      </w:r>
      <w:r>
        <w:rPr>
          <w:rFonts w:hint="eastAsia"/>
          <w:bCs/>
          <w:color w:val="auto"/>
          <w:sz w:val="30"/>
          <w:szCs w:val="30"/>
          <w:highlight w:val="none"/>
          <w:lang w:val="en-US" w:eastAsia="zh-CN"/>
        </w:rPr>
        <w:t xml:space="preserve">  </w:t>
      </w:r>
      <w:r>
        <w:rPr>
          <w:rFonts w:hint="eastAsia"/>
          <w:bCs/>
          <w:color w:val="auto"/>
          <w:sz w:val="30"/>
          <w:szCs w:val="30"/>
          <w:highlight w:val="none"/>
        </w:rPr>
        <w:t>标</w:t>
      </w:r>
      <w:r>
        <w:rPr>
          <w:rFonts w:hint="eastAsia"/>
          <w:bCs/>
          <w:color w:val="auto"/>
          <w:sz w:val="30"/>
          <w:szCs w:val="30"/>
          <w:highlight w:val="none"/>
          <w:lang w:val="en-US" w:eastAsia="zh-CN"/>
        </w:rPr>
        <w:t xml:space="preserve">  人</w:t>
      </w:r>
      <w:r>
        <w:rPr>
          <w:rFonts w:hint="eastAsia"/>
          <w:bCs/>
          <w:color w:val="auto"/>
          <w:sz w:val="30"/>
          <w:szCs w:val="30"/>
          <w:highlight w:val="none"/>
        </w:rPr>
        <w:t>：</w:t>
      </w:r>
      <w:r>
        <w:rPr>
          <w:rFonts w:hint="eastAsia"/>
          <w:bCs/>
          <w:color w:val="auto"/>
          <w:sz w:val="30"/>
          <w:szCs w:val="30"/>
          <w:highlight w:val="none"/>
          <w:u w:val="single"/>
          <w:lang w:val="en-US" w:eastAsia="zh-CN"/>
        </w:rPr>
        <w:t xml:space="preserve">   </w:t>
      </w:r>
      <w:r>
        <w:rPr>
          <w:rFonts w:hint="eastAsia" w:ascii="宋体" w:cs="Times New Roman"/>
          <w:sz w:val="30"/>
          <w:szCs w:val="30"/>
          <w:highlight w:val="none"/>
          <w:u w:val="single"/>
          <w:lang w:eastAsia="zh-CN"/>
        </w:rPr>
        <w:t>滁州市翼然新能源开发有限公司</w:t>
      </w:r>
      <w:r>
        <w:rPr>
          <w:rFonts w:hint="eastAsia" w:ascii="宋体" w:cs="Times New Roman"/>
          <w:sz w:val="30"/>
          <w:szCs w:val="30"/>
          <w:highlight w:val="none"/>
          <w:u w:val="single"/>
          <w:lang w:val="en-US" w:eastAsia="zh-CN"/>
        </w:rPr>
        <w:t xml:space="preserve"> </w:t>
      </w:r>
    </w:p>
    <w:p w14:paraId="2C39D907">
      <w:pPr>
        <w:spacing w:line="800" w:lineRule="exact"/>
        <w:ind w:firstLine="600" w:firstLineChars="200"/>
        <w:rPr>
          <w:bCs/>
          <w:spacing w:val="-20"/>
          <w:sz w:val="30"/>
          <w:szCs w:val="30"/>
          <w:highlight w:val="none"/>
          <w:u w:val="thick"/>
        </w:rPr>
      </w:pPr>
      <w:r>
        <w:rPr>
          <w:rFonts w:hint="eastAsia"/>
          <w:bCs/>
          <w:sz w:val="30"/>
          <w:szCs w:val="30"/>
          <w:highlight w:val="none"/>
        </w:rPr>
        <w:t>招标代理机构：</w:t>
      </w:r>
      <w:r>
        <w:rPr>
          <w:rFonts w:hint="eastAsia" w:ascii="宋体"/>
          <w:sz w:val="30"/>
          <w:szCs w:val="30"/>
          <w:highlight w:val="none"/>
          <w:u w:val="single"/>
        </w:rPr>
        <w:t>滁州市城投工程咨询管理有限公司</w:t>
      </w:r>
    </w:p>
    <w:p w14:paraId="529E7FC8">
      <w:pPr>
        <w:spacing w:line="720" w:lineRule="exact"/>
        <w:jc w:val="center"/>
        <w:rPr>
          <w:rFonts w:ascii="黑体" w:eastAsia="黑体"/>
          <w:b/>
          <w:color w:val="auto"/>
          <w:sz w:val="32"/>
          <w:szCs w:val="32"/>
          <w:highlight w:val="none"/>
        </w:rPr>
      </w:pPr>
      <w:r>
        <w:rPr>
          <w:rFonts w:ascii="宋体" w:hAnsi="宋体"/>
          <w:color w:val="auto"/>
          <w:sz w:val="30"/>
          <w:szCs w:val="30"/>
          <w:highlight w:val="none"/>
          <w:u w:val="single"/>
        </w:rPr>
        <w:t>202</w:t>
      </w:r>
      <w:r>
        <w:rPr>
          <w:rFonts w:hint="eastAsia" w:ascii="宋体" w:hAnsi="宋体"/>
          <w:color w:val="auto"/>
          <w:sz w:val="30"/>
          <w:szCs w:val="30"/>
          <w:highlight w:val="none"/>
          <w:u w:val="single"/>
          <w:lang w:val="en-US" w:eastAsia="zh-CN"/>
        </w:rPr>
        <w:t>6</w:t>
      </w:r>
      <w:r>
        <w:rPr>
          <w:rFonts w:hint="eastAsia" w:ascii="宋体" w:hAnsi="宋体"/>
          <w:color w:val="auto"/>
          <w:sz w:val="30"/>
          <w:szCs w:val="30"/>
          <w:highlight w:val="none"/>
        </w:rPr>
        <w:t>年</w:t>
      </w:r>
      <w:r>
        <w:rPr>
          <w:rFonts w:hint="eastAsia" w:ascii="宋体" w:hAnsi="宋体"/>
          <w:color w:val="auto"/>
          <w:sz w:val="30"/>
          <w:szCs w:val="30"/>
          <w:highlight w:val="none"/>
          <w:u w:val="single"/>
          <w:lang w:val="en-US" w:eastAsia="zh-CN"/>
        </w:rPr>
        <w:t>10</w:t>
      </w:r>
      <w:r>
        <w:rPr>
          <w:rFonts w:hint="eastAsia" w:ascii="宋体" w:hAnsi="宋体"/>
          <w:color w:val="auto"/>
          <w:sz w:val="30"/>
          <w:szCs w:val="30"/>
          <w:highlight w:val="none"/>
        </w:rPr>
        <w:t>月</w:t>
      </w:r>
    </w:p>
    <w:p w14:paraId="68344BF2">
      <w:pPr>
        <w:jc w:val="center"/>
        <w:rPr>
          <w:sz w:val="44"/>
          <w:szCs w:val="44"/>
          <w:highlight w:val="none"/>
        </w:rPr>
        <w:sectPr>
          <w:headerReference r:id="rId3" w:type="default"/>
          <w:footerReference r:id="rId4" w:type="default"/>
          <w:pgSz w:w="11906" w:h="16838"/>
          <w:pgMar w:top="1134" w:right="1417" w:bottom="1134" w:left="1417" w:header="851" w:footer="992" w:gutter="0"/>
          <w:cols w:space="720" w:num="1"/>
          <w:docGrid w:type="lines" w:linePitch="312" w:charSpace="0"/>
        </w:sectPr>
      </w:pPr>
    </w:p>
    <w:p w14:paraId="738D69FE">
      <w:pPr>
        <w:spacing w:line="700" w:lineRule="exact"/>
        <w:jc w:val="center"/>
        <w:rPr>
          <w:rFonts w:hint="eastAsia"/>
          <w:sz w:val="44"/>
          <w:szCs w:val="44"/>
          <w:highlight w:val="none"/>
        </w:rPr>
      </w:pPr>
    </w:p>
    <w:p w14:paraId="09796EC2">
      <w:pPr>
        <w:spacing w:line="700" w:lineRule="exact"/>
        <w:jc w:val="center"/>
        <w:rPr>
          <w:sz w:val="44"/>
          <w:szCs w:val="44"/>
          <w:highlight w:val="none"/>
        </w:rPr>
      </w:pPr>
      <w:r>
        <w:rPr>
          <w:rFonts w:hint="eastAsia"/>
          <w:sz w:val="44"/>
          <w:szCs w:val="44"/>
          <w:highlight w:val="none"/>
        </w:rPr>
        <w:t>目   录</w:t>
      </w:r>
      <w:bookmarkEnd w:id="0"/>
      <w:bookmarkEnd w:id="1"/>
      <w:bookmarkEnd w:id="2"/>
      <w:bookmarkEnd w:id="3"/>
      <w:bookmarkEnd w:id="4"/>
      <w:bookmarkEnd w:id="5"/>
      <w:bookmarkEnd w:id="6"/>
      <w:bookmarkStart w:id="12" w:name="_Toc179632527"/>
      <w:bookmarkStart w:id="13" w:name="_Toc144974479"/>
      <w:bookmarkStart w:id="14" w:name="_Toc152045511"/>
      <w:bookmarkStart w:id="15" w:name="_Toc152042287"/>
    </w:p>
    <w:p w14:paraId="2AB96290">
      <w:pPr>
        <w:pStyle w:val="31"/>
        <w:tabs>
          <w:tab w:val="right" w:leader="dot" w:pos="9062"/>
        </w:tabs>
        <w:spacing w:line="700" w:lineRule="exact"/>
        <w:ind w:firstLine="480" w:firstLineChars="200"/>
        <w:rPr>
          <w:rFonts w:hint="default" w:ascii="宋体" w:hAnsi="宋体" w:eastAsia="宋体" w:cs="宋体"/>
          <w:b w:val="0"/>
          <w:bCs w:val="0"/>
          <w:caps w:val="0"/>
          <w:sz w:val="24"/>
          <w:szCs w:val="24"/>
          <w:highlight w:val="none"/>
          <w:lang w:val="en-US" w:eastAsia="zh-CN"/>
        </w:rPr>
      </w:pPr>
      <w:r>
        <w:rPr>
          <w:rFonts w:hint="eastAsia" w:ascii="宋体" w:hAnsi="宋体" w:cs="宋体"/>
          <w:b w:val="0"/>
          <w:bCs w:val="0"/>
          <w:caps w:val="0"/>
          <w:sz w:val="24"/>
          <w:szCs w:val="24"/>
          <w:highlight w:val="none"/>
          <w:lang w:val="en-US" w:eastAsia="zh-CN"/>
        </w:rPr>
        <w:t>招标公告信息..................................................1</w:t>
      </w:r>
    </w:p>
    <w:p w14:paraId="71FA9264">
      <w:pPr>
        <w:pStyle w:val="31"/>
        <w:tabs>
          <w:tab w:val="right" w:leader="dot" w:pos="9062"/>
        </w:tabs>
        <w:spacing w:line="700" w:lineRule="exact"/>
        <w:ind w:firstLine="480" w:firstLineChars="200"/>
        <w:rPr>
          <w:rFonts w:hint="default" w:ascii="宋体" w:hAnsi="宋体" w:eastAsia="宋体" w:cs="宋体"/>
          <w:b w:val="0"/>
          <w:bCs w:val="0"/>
          <w:caps w:val="0"/>
          <w:sz w:val="24"/>
          <w:szCs w:val="24"/>
          <w:highlight w:val="none"/>
          <w:lang w:val="en-US" w:eastAsia="zh-CN"/>
        </w:rPr>
      </w:pPr>
      <w:r>
        <w:rPr>
          <w:rFonts w:hint="eastAsia" w:ascii="宋体" w:hAnsi="宋体" w:cs="宋体"/>
          <w:b w:val="0"/>
          <w:bCs w:val="0"/>
          <w:caps w:val="0"/>
          <w:sz w:val="24"/>
          <w:szCs w:val="24"/>
          <w:highlight w:val="none"/>
          <w:lang w:val="en-US" w:eastAsia="zh-CN"/>
        </w:rPr>
        <w:t>第一章 投标人须知.............................................3</w:t>
      </w:r>
    </w:p>
    <w:p w14:paraId="7562FD93">
      <w:pPr>
        <w:pStyle w:val="31"/>
        <w:tabs>
          <w:tab w:val="right" w:leader="dot" w:pos="9062"/>
        </w:tabs>
        <w:spacing w:line="700" w:lineRule="exact"/>
        <w:ind w:firstLine="480" w:firstLineChars="200"/>
        <w:rPr>
          <w:rFonts w:hint="default" w:ascii="宋体" w:hAnsi="宋体" w:eastAsia="宋体" w:cs="宋体"/>
          <w:b w:val="0"/>
          <w:bCs w:val="0"/>
          <w:caps w:val="0"/>
          <w:sz w:val="24"/>
          <w:szCs w:val="24"/>
          <w:highlight w:val="none"/>
          <w:lang w:val="en-US" w:eastAsia="zh-CN"/>
        </w:rPr>
      </w:pPr>
      <w:r>
        <w:rPr>
          <w:rFonts w:hint="eastAsia" w:ascii="宋体" w:hAnsi="宋体" w:cs="宋体"/>
          <w:b w:val="0"/>
          <w:bCs w:val="0"/>
          <w:caps w:val="0"/>
          <w:sz w:val="24"/>
          <w:szCs w:val="24"/>
          <w:highlight w:val="none"/>
          <w:lang w:val="en-US" w:eastAsia="zh-CN"/>
        </w:rPr>
        <w:t xml:space="preserve">第二章 </w:t>
      </w:r>
      <w:r>
        <w:rPr>
          <w:rFonts w:hint="eastAsia" w:ascii="宋体" w:hAnsi="宋体" w:eastAsia="宋体" w:cs="宋体"/>
          <w:b w:val="0"/>
          <w:bCs w:val="0"/>
          <w:caps w:val="0"/>
          <w:sz w:val="24"/>
          <w:szCs w:val="24"/>
          <w:highlight w:val="none"/>
          <w:lang w:val="en-US" w:eastAsia="zh-CN"/>
        </w:rPr>
        <w:t>资格审查办法</w:t>
      </w:r>
      <w:r>
        <w:rPr>
          <w:rFonts w:hint="eastAsia" w:ascii="宋体" w:hAnsi="宋体" w:cs="宋体"/>
          <w:b w:val="0"/>
          <w:bCs w:val="0"/>
          <w:caps w:val="0"/>
          <w:sz w:val="24"/>
          <w:szCs w:val="24"/>
          <w:highlight w:val="none"/>
          <w:lang w:val="en-US" w:eastAsia="zh-CN"/>
        </w:rPr>
        <w:t>...........................................14</w:t>
      </w:r>
    </w:p>
    <w:p w14:paraId="076B34F6">
      <w:pPr>
        <w:pStyle w:val="31"/>
        <w:tabs>
          <w:tab w:val="right" w:leader="dot" w:pos="9062"/>
        </w:tabs>
        <w:spacing w:line="700" w:lineRule="exact"/>
        <w:ind w:firstLine="480" w:firstLineChars="200"/>
        <w:rPr>
          <w:rFonts w:hint="default" w:ascii="宋体" w:hAnsi="宋体" w:eastAsia="宋体" w:cs="宋体"/>
          <w:b w:val="0"/>
          <w:bCs w:val="0"/>
          <w:caps w:val="0"/>
          <w:sz w:val="24"/>
          <w:szCs w:val="24"/>
          <w:highlight w:val="none"/>
          <w:lang w:val="en-US" w:eastAsia="zh-CN"/>
        </w:rPr>
      </w:pPr>
      <w:r>
        <w:rPr>
          <w:rFonts w:hint="eastAsia" w:ascii="宋体" w:hAnsi="宋体" w:cs="宋体"/>
          <w:b w:val="0"/>
          <w:bCs w:val="0"/>
          <w:caps w:val="0"/>
          <w:sz w:val="24"/>
          <w:szCs w:val="24"/>
          <w:highlight w:val="none"/>
          <w:lang w:val="en-US" w:eastAsia="zh-CN"/>
        </w:rPr>
        <w:t>第三章 评标办法...............................................16</w:t>
      </w:r>
    </w:p>
    <w:p w14:paraId="02CBB3F5">
      <w:pPr>
        <w:pStyle w:val="31"/>
        <w:tabs>
          <w:tab w:val="right" w:leader="dot" w:pos="9062"/>
        </w:tabs>
        <w:spacing w:line="700" w:lineRule="exact"/>
        <w:ind w:firstLine="480" w:firstLineChars="200"/>
        <w:rPr>
          <w:rFonts w:hint="default" w:ascii="宋体" w:hAnsi="宋体" w:eastAsia="宋体" w:cs="宋体"/>
          <w:b w:val="0"/>
          <w:bCs w:val="0"/>
          <w:caps w:val="0"/>
          <w:sz w:val="24"/>
          <w:szCs w:val="24"/>
          <w:highlight w:val="none"/>
          <w:lang w:val="en-US" w:eastAsia="zh-CN"/>
        </w:rPr>
      </w:pPr>
      <w:r>
        <w:rPr>
          <w:rFonts w:hint="eastAsia" w:ascii="宋体" w:hAnsi="宋体" w:cs="宋体"/>
          <w:b w:val="0"/>
          <w:bCs w:val="0"/>
          <w:caps w:val="0"/>
          <w:sz w:val="24"/>
          <w:szCs w:val="24"/>
          <w:highlight w:val="none"/>
          <w:lang w:val="en-US" w:eastAsia="zh-CN"/>
        </w:rPr>
        <w:t xml:space="preserve">第四章 </w:t>
      </w:r>
      <w:r>
        <w:rPr>
          <w:rFonts w:hint="eastAsia" w:ascii="宋体" w:hAnsi="宋体" w:eastAsia="宋体" w:cs="宋体"/>
          <w:b w:val="0"/>
          <w:bCs w:val="0"/>
          <w:caps w:val="0"/>
          <w:sz w:val="24"/>
          <w:szCs w:val="24"/>
          <w:highlight w:val="none"/>
          <w:lang w:val="en-US" w:eastAsia="zh-CN"/>
        </w:rPr>
        <w:t>合同条款及格式</w:t>
      </w:r>
      <w:r>
        <w:rPr>
          <w:rFonts w:hint="eastAsia" w:ascii="宋体" w:hAnsi="宋体" w:cs="宋体"/>
          <w:b w:val="0"/>
          <w:bCs w:val="0"/>
          <w:caps w:val="0"/>
          <w:sz w:val="24"/>
          <w:szCs w:val="24"/>
          <w:highlight w:val="none"/>
          <w:lang w:val="en-US" w:eastAsia="zh-CN"/>
        </w:rPr>
        <w:t>.........................................23</w:t>
      </w:r>
    </w:p>
    <w:p w14:paraId="21B1162F">
      <w:pPr>
        <w:pStyle w:val="31"/>
        <w:tabs>
          <w:tab w:val="right" w:leader="dot" w:pos="9062"/>
        </w:tabs>
        <w:spacing w:line="700" w:lineRule="exact"/>
        <w:ind w:firstLine="480" w:firstLineChars="200"/>
        <w:rPr>
          <w:rFonts w:hint="default" w:ascii="宋体" w:hAnsi="宋体" w:eastAsia="宋体" w:cs="宋体"/>
          <w:b w:val="0"/>
          <w:bCs w:val="0"/>
          <w:caps w:val="0"/>
          <w:sz w:val="24"/>
          <w:szCs w:val="24"/>
          <w:highlight w:val="none"/>
          <w:lang w:val="en-US" w:eastAsia="zh-CN"/>
        </w:rPr>
      </w:pPr>
      <w:r>
        <w:rPr>
          <w:rFonts w:hint="eastAsia" w:ascii="宋体" w:hAnsi="宋体" w:eastAsia="宋体" w:cs="宋体"/>
          <w:b w:val="0"/>
          <w:bCs w:val="0"/>
          <w:caps w:val="0"/>
          <w:sz w:val="24"/>
          <w:szCs w:val="24"/>
          <w:highlight w:val="none"/>
          <w:lang w:val="en-US" w:eastAsia="zh-CN"/>
        </w:rPr>
        <w:t>第五章 技术标准和要求</w:t>
      </w:r>
      <w:r>
        <w:rPr>
          <w:rFonts w:hint="eastAsia" w:ascii="宋体" w:hAnsi="宋体" w:cs="宋体"/>
          <w:b w:val="0"/>
          <w:bCs w:val="0"/>
          <w:caps w:val="0"/>
          <w:sz w:val="24"/>
          <w:szCs w:val="24"/>
          <w:highlight w:val="none"/>
          <w:lang w:val="en-US" w:eastAsia="zh-CN"/>
        </w:rPr>
        <w:t>.........................................27</w:t>
      </w:r>
    </w:p>
    <w:p w14:paraId="6BF78672">
      <w:pPr>
        <w:pStyle w:val="31"/>
        <w:tabs>
          <w:tab w:val="right" w:leader="dot" w:pos="9062"/>
        </w:tabs>
        <w:spacing w:line="700" w:lineRule="exact"/>
        <w:ind w:firstLine="480" w:firstLineChars="200"/>
        <w:rPr>
          <w:rFonts w:hint="default" w:ascii="宋体" w:hAnsi="宋体" w:eastAsia="宋体" w:cs="宋体"/>
          <w:b w:val="0"/>
          <w:bCs w:val="0"/>
          <w:caps w:val="0"/>
          <w:sz w:val="24"/>
          <w:szCs w:val="24"/>
          <w:highlight w:val="none"/>
          <w:lang w:val="en-US" w:eastAsia="zh-CN"/>
        </w:rPr>
      </w:pPr>
      <w:r>
        <w:rPr>
          <w:rFonts w:hint="eastAsia" w:ascii="宋体" w:hAnsi="宋体" w:cs="宋体"/>
          <w:b w:val="0"/>
          <w:bCs w:val="0"/>
          <w:caps w:val="0"/>
          <w:sz w:val="24"/>
          <w:szCs w:val="24"/>
          <w:highlight w:val="none"/>
          <w:lang w:val="en-US" w:eastAsia="zh-CN"/>
        </w:rPr>
        <w:t xml:space="preserve">第六章 </w:t>
      </w:r>
      <w:r>
        <w:rPr>
          <w:rFonts w:hint="eastAsia" w:ascii="宋体" w:hAnsi="宋体" w:eastAsia="宋体" w:cs="宋体"/>
          <w:b w:val="0"/>
          <w:bCs w:val="0"/>
          <w:caps w:val="0"/>
          <w:sz w:val="24"/>
          <w:szCs w:val="24"/>
          <w:highlight w:val="none"/>
          <w:lang w:val="en-US" w:eastAsia="zh-CN"/>
        </w:rPr>
        <w:t>投标文件格式</w:t>
      </w:r>
      <w:r>
        <w:rPr>
          <w:rFonts w:hint="eastAsia" w:ascii="宋体" w:hAnsi="宋体" w:cs="宋体"/>
          <w:b w:val="0"/>
          <w:bCs w:val="0"/>
          <w:caps w:val="0"/>
          <w:sz w:val="24"/>
          <w:szCs w:val="24"/>
          <w:highlight w:val="none"/>
          <w:lang w:val="en-US" w:eastAsia="zh-CN"/>
        </w:rPr>
        <w:t>...........................................28</w:t>
      </w:r>
    </w:p>
    <w:p w14:paraId="21286270">
      <w:pPr>
        <w:pStyle w:val="31"/>
        <w:tabs>
          <w:tab w:val="right" w:leader="dot" w:pos="9062"/>
        </w:tabs>
        <w:spacing w:line="700" w:lineRule="exact"/>
        <w:ind w:firstLine="480" w:firstLineChars="200"/>
        <w:rPr>
          <w:rFonts w:hint="default" w:ascii="宋体" w:hAnsi="宋体" w:eastAsia="宋体" w:cs="宋体"/>
          <w:b w:val="0"/>
          <w:bCs w:val="0"/>
          <w:caps w:val="0"/>
          <w:sz w:val="24"/>
          <w:szCs w:val="24"/>
          <w:highlight w:val="none"/>
          <w:lang w:val="en-US" w:eastAsia="zh-CN"/>
        </w:rPr>
      </w:pPr>
      <w:r>
        <w:rPr>
          <w:rFonts w:hint="eastAsia" w:ascii="宋体" w:hAnsi="宋体" w:cs="宋体"/>
          <w:b w:val="0"/>
          <w:bCs w:val="0"/>
          <w:caps w:val="0"/>
          <w:sz w:val="24"/>
          <w:szCs w:val="24"/>
          <w:highlight w:val="none"/>
          <w:lang w:val="en-US" w:eastAsia="zh-CN"/>
        </w:rPr>
        <w:t xml:space="preserve">第七章 </w:t>
      </w:r>
      <w:r>
        <w:rPr>
          <w:rFonts w:hint="eastAsia" w:ascii="宋体" w:hAnsi="宋体" w:eastAsia="宋体" w:cs="宋体"/>
          <w:b w:val="0"/>
          <w:bCs w:val="0"/>
          <w:caps w:val="0"/>
          <w:sz w:val="24"/>
          <w:szCs w:val="24"/>
          <w:highlight w:val="none"/>
          <w:lang w:val="en-US" w:eastAsia="zh-CN"/>
        </w:rPr>
        <w:t>招标单位、招标代理机构对本招标文件的确认</w:t>
      </w:r>
      <w:r>
        <w:rPr>
          <w:rFonts w:hint="eastAsia" w:ascii="宋体" w:hAnsi="宋体" w:cs="宋体"/>
          <w:b w:val="0"/>
          <w:bCs w:val="0"/>
          <w:caps w:val="0"/>
          <w:sz w:val="24"/>
          <w:szCs w:val="24"/>
          <w:highlight w:val="none"/>
          <w:lang w:val="en-US" w:eastAsia="zh-CN"/>
        </w:rPr>
        <w:t>...............38</w:t>
      </w:r>
    </w:p>
    <w:p w14:paraId="35CE4D10">
      <w:pPr>
        <w:pStyle w:val="14"/>
        <w:spacing w:line="700" w:lineRule="exact"/>
        <w:ind w:left="0" w:leftChars="0" w:firstLine="480"/>
        <w:jc w:val="left"/>
        <w:rPr>
          <w:sz w:val="24"/>
          <w:szCs w:val="24"/>
          <w:highlight w:val="none"/>
        </w:rPr>
      </w:pPr>
    </w:p>
    <w:p w14:paraId="3004C8EC">
      <w:pPr>
        <w:pStyle w:val="44"/>
        <w:spacing w:line="700" w:lineRule="exact"/>
        <w:jc w:val="left"/>
        <w:rPr>
          <w:sz w:val="24"/>
          <w:szCs w:val="24"/>
          <w:highlight w:val="none"/>
        </w:rPr>
        <w:sectPr>
          <w:footerReference r:id="rId5" w:type="default"/>
          <w:pgSz w:w="11906" w:h="16838"/>
          <w:pgMar w:top="1134" w:right="1417" w:bottom="1134" w:left="1417" w:header="851" w:footer="992" w:gutter="0"/>
          <w:pgNumType w:start="1"/>
          <w:cols w:space="720" w:num="1"/>
          <w:docGrid w:type="lines" w:linePitch="312" w:charSpace="0"/>
        </w:sectPr>
      </w:pPr>
    </w:p>
    <w:bookmarkEnd w:id="12"/>
    <w:bookmarkEnd w:id="13"/>
    <w:bookmarkEnd w:id="14"/>
    <w:bookmarkEnd w:id="15"/>
    <w:p w14:paraId="2EC261B3">
      <w:pPr>
        <w:pStyle w:val="44"/>
        <w:spacing w:beforeLines="50" w:afterLines="50" w:line="440" w:lineRule="exact"/>
        <w:rPr>
          <w:bCs/>
          <w:szCs w:val="32"/>
          <w:highlight w:val="none"/>
        </w:rPr>
      </w:pPr>
      <w:bookmarkStart w:id="16" w:name="_Toc78803320"/>
      <w:bookmarkStart w:id="17" w:name="_Toc152042303"/>
      <w:bookmarkStart w:id="18" w:name="_Toc324404813"/>
      <w:bookmarkStart w:id="19" w:name="_Toc246996916"/>
      <w:bookmarkStart w:id="20" w:name="_Toc35424883"/>
      <w:bookmarkStart w:id="21" w:name="_Toc246996173"/>
      <w:bookmarkStart w:id="22" w:name="_Toc35425050"/>
      <w:bookmarkStart w:id="23" w:name="_Toc15058844"/>
      <w:bookmarkStart w:id="24" w:name="_Toc247085687"/>
      <w:bookmarkStart w:id="25" w:name="_Toc152045527"/>
      <w:bookmarkStart w:id="26" w:name="_Toc144974495"/>
      <w:bookmarkStart w:id="27" w:name="_Toc506107267"/>
      <w:bookmarkStart w:id="28" w:name="_Toc179632544"/>
      <w:bookmarkStart w:id="923" w:name="_GoBack"/>
      <w:r>
        <w:rPr>
          <w:rFonts w:hint="eastAsia"/>
          <w:bCs/>
          <w:color w:val="auto"/>
          <w:szCs w:val="32"/>
          <w:highlight w:val="none"/>
          <w:lang w:eastAsia="zh-CN"/>
        </w:rPr>
        <w:t>2026年度新能源工程审计项目（</w:t>
      </w:r>
      <w:r>
        <w:rPr>
          <w:rFonts w:hint="eastAsia"/>
          <w:bCs/>
          <w:color w:val="auto"/>
          <w:szCs w:val="32"/>
          <w:highlight w:val="none"/>
          <w:lang w:val="en-US" w:eastAsia="zh-CN"/>
        </w:rPr>
        <w:t>二次）</w:t>
      </w:r>
      <w:r>
        <w:rPr>
          <w:rFonts w:hint="eastAsia"/>
          <w:bCs/>
          <w:color w:val="auto"/>
          <w:szCs w:val="32"/>
          <w:highlight w:val="none"/>
        </w:rPr>
        <w:t>招标</w:t>
      </w:r>
      <w:r>
        <w:rPr>
          <w:rFonts w:hint="eastAsia"/>
          <w:bCs/>
          <w:szCs w:val="32"/>
          <w:highlight w:val="none"/>
        </w:rPr>
        <w:t>公告信息</w:t>
      </w:r>
      <w:bookmarkEnd w:id="16"/>
    </w:p>
    <w:tbl>
      <w:tblPr>
        <w:tblStyle w:val="47"/>
        <w:tblW w:w="99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33"/>
        <w:gridCol w:w="7997"/>
      </w:tblGrid>
      <w:tr w14:paraId="48A33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0" w:type="dxa"/>
            <w:gridSpan w:val="2"/>
            <w:noWrap w:val="0"/>
            <w:vAlign w:val="center"/>
          </w:tcPr>
          <w:p w14:paraId="4E31D11C">
            <w:pPr>
              <w:keepNext w:val="0"/>
              <w:keepLines w:val="0"/>
              <w:pageBreakBefore w:val="0"/>
              <w:kinsoku/>
              <w:wordWrap w:val="0"/>
              <w:overflowPunct/>
              <w:topLinePunct w:val="0"/>
              <w:autoSpaceDE/>
              <w:autoSpaceDN/>
              <w:bidi w:val="0"/>
              <w:adjustRightInd/>
              <w:snapToGrid/>
              <w:spacing w:line="440" w:lineRule="exact"/>
              <w:jc w:val="center"/>
              <w:textAlignment w:val="auto"/>
              <w:rPr>
                <w:rFonts w:hint="eastAsia" w:ascii="宋体" w:hAnsi="宋体" w:eastAsia="宋体" w:cs="宋体"/>
                <w:bCs/>
                <w:color w:val="auto"/>
                <w:kern w:val="1"/>
                <w:sz w:val="21"/>
                <w:szCs w:val="21"/>
                <w:highlight w:val="none"/>
              </w:rPr>
            </w:pPr>
            <w:r>
              <w:rPr>
                <w:rFonts w:hint="eastAsia" w:ascii="宋体" w:hAnsi="宋体" w:eastAsia="宋体" w:cs="宋体"/>
                <w:b/>
                <w:bCs/>
                <w:color w:val="auto"/>
                <w:sz w:val="21"/>
                <w:szCs w:val="21"/>
                <w:highlight w:val="none"/>
              </w:rPr>
              <w:t>招标条件</w:t>
            </w:r>
          </w:p>
        </w:tc>
      </w:tr>
      <w:tr w14:paraId="07E82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1933" w:type="dxa"/>
            <w:noWrap w:val="0"/>
            <w:vAlign w:val="center"/>
          </w:tcPr>
          <w:p w14:paraId="2E39E459">
            <w:pPr>
              <w:keepNext w:val="0"/>
              <w:keepLines w:val="0"/>
              <w:pageBreakBefore w:val="0"/>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Cs/>
                <w:color w:val="auto"/>
                <w:kern w:val="1"/>
                <w:sz w:val="21"/>
                <w:szCs w:val="21"/>
                <w:highlight w:val="none"/>
              </w:rPr>
            </w:pPr>
            <w:r>
              <w:rPr>
                <w:rFonts w:hint="eastAsia" w:ascii="宋体" w:hAnsi="宋体" w:eastAsia="宋体" w:cs="宋体"/>
                <w:bCs/>
                <w:color w:val="auto"/>
                <w:kern w:val="1"/>
                <w:sz w:val="21"/>
                <w:szCs w:val="21"/>
                <w:highlight w:val="none"/>
              </w:rPr>
              <w:t>项目</w:t>
            </w:r>
            <w:r>
              <w:rPr>
                <w:rFonts w:hint="eastAsia" w:ascii="宋体" w:hAnsi="宋体" w:eastAsia="宋体" w:cs="宋体"/>
                <w:color w:val="auto"/>
                <w:kern w:val="0"/>
                <w:sz w:val="21"/>
                <w:szCs w:val="21"/>
                <w:highlight w:val="none"/>
              </w:rPr>
              <w:t>名称</w:t>
            </w:r>
          </w:p>
        </w:tc>
        <w:tc>
          <w:tcPr>
            <w:tcW w:w="7997" w:type="dxa"/>
            <w:noWrap w:val="0"/>
            <w:vAlign w:val="top"/>
          </w:tcPr>
          <w:p w14:paraId="223FE30B">
            <w:pPr>
              <w:keepNext w:val="0"/>
              <w:keepLines w:val="0"/>
              <w:pageBreakBefore w:val="0"/>
              <w:kinsoku/>
              <w:wordWrap w:val="0"/>
              <w:overflowPunct/>
              <w:topLinePunct w:val="0"/>
              <w:autoSpaceDE/>
              <w:autoSpaceDN/>
              <w:bidi w:val="0"/>
              <w:adjustRightInd/>
              <w:snapToGrid/>
              <w:spacing w:line="400" w:lineRule="exact"/>
              <w:jc w:val="left"/>
              <w:textAlignment w:val="auto"/>
              <w:rPr>
                <w:rFonts w:hint="default" w:ascii="宋体" w:hAnsi="宋体" w:eastAsia="宋体" w:cs="宋体"/>
                <w:bCs/>
                <w:color w:val="auto"/>
                <w:kern w:val="1"/>
                <w:sz w:val="21"/>
                <w:szCs w:val="21"/>
                <w:highlight w:val="none"/>
                <w:lang w:val="en-US"/>
              </w:rPr>
            </w:pPr>
            <w:r>
              <w:rPr>
                <w:rFonts w:hint="eastAsia" w:ascii="宋体" w:hAnsi="宋体" w:cs="宋体"/>
                <w:bCs/>
                <w:color w:val="auto"/>
                <w:kern w:val="1"/>
                <w:sz w:val="21"/>
                <w:szCs w:val="21"/>
                <w:highlight w:val="none"/>
                <w:lang w:eastAsia="zh-CN"/>
              </w:rPr>
              <w:t>2026年度新能源工程审计项目（</w:t>
            </w:r>
            <w:r>
              <w:rPr>
                <w:rFonts w:hint="eastAsia" w:ascii="宋体" w:hAnsi="宋体" w:cs="宋体"/>
                <w:bCs/>
                <w:color w:val="auto"/>
                <w:kern w:val="1"/>
                <w:sz w:val="21"/>
                <w:szCs w:val="21"/>
                <w:highlight w:val="none"/>
                <w:lang w:val="en-US" w:eastAsia="zh-CN"/>
              </w:rPr>
              <w:t>二次）</w:t>
            </w:r>
          </w:p>
        </w:tc>
      </w:tr>
      <w:tr w14:paraId="7AEEB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0B4E6DE0">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bCs/>
                <w:snapToGrid w:val="0"/>
                <w:color w:val="auto"/>
                <w:kern w:val="0"/>
                <w:sz w:val="21"/>
                <w:szCs w:val="21"/>
                <w:highlight w:val="none"/>
              </w:rPr>
              <w:t>项目审批、核准或备案机关名称</w:t>
            </w:r>
          </w:p>
        </w:tc>
        <w:tc>
          <w:tcPr>
            <w:tcW w:w="7997" w:type="dxa"/>
            <w:noWrap w:val="0"/>
            <w:vAlign w:val="center"/>
          </w:tcPr>
          <w:p w14:paraId="224D5931">
            <w:pPr>
              <w:keepNext w:val="0"/>
              <w:keepLines w:val="0"/>
              <w:pageBreakBefore w:val="0"/>
              <w:suppressLineNumbers w:val="0"/>
              <w:shd w:val="clear"/>
              <w:kinsoku/>
              <w:wordWrap w:val="0"/>
              <w:overflowPunct/>
              <w:topLinePunct w:val="0"/>
              <w:autoSpaceDE/>
              <w:autoSpaceDN/>
              <w:bidi w:val="0"/>
              <w:adjustRightInd/>
              <w:snapToGrid/>
              <w:spacing w:before="0" w:beforeAutospacing="0" w:after="0" w:afterAutospacing="0" w:line="400" w:lineRule="exact"/>
              <w:ind w:left="0" w:leftChars="0" w:right="0" w:rightChars="0"/>
              <w:jc w:val="left"/>
              <w:textAlignment w:val="auto"/>
              <w:rPr>
                <w:rFonts w:hint="eastAsia" w:ascii="宋体" w:hAnsi="宋体" w:eastAsia="宋体" w:cs="宋体"/>
                <w:color w:val="auto"/>
                <w:sz w:val="21"/>
                <w:szCs w:val="21"/>
                <w:highlight w:val="none"/>
                <w:lang w:val="en-US" w:eastAsia="zh-CN"/>
              </w:rPr>
            </w:pPr>
            <w:r>
              <w:rPr>
                <w:rFonts w:hint="eastAsia" w:ascii="宋体" w:cs="宋体"/>
                <w:bCs/>
                <w:color w:val="auto"/>
                <w:kern w:val="1"/>
                <w:sz w:val="21"/>
                <w:szCs w:val="21"/>
                <w:highlight w:val="none"/>
                <w:lang w:val="en-US" w:eastAsia="zh-CN"/>
              </w:rPr>
              <w:t>/</w:t>
            </w:r>
          </w:p>
        </w:tc>
      </w:tr>
      <w:tr w14:paraId="387B8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191BC43F">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bCs/>
                <w:snapToGrid w:val="0"/>
                <w:color w:val="auto"/>
                <w:kern w:val="0"/>
                <w:sz w:val="21"/>
                <w:szCs w:val="21"/>
                <w:highlight w:val="none"/>
              </w:rPr>
              <w:t>批文名称及编号</w:t>
            </w:r>
          </w:p>
        </w:tc>
        <w:tc>
          <w:tcPr>
            <w:tcW w:w="7997" w:type="dxa"/>
            <w:noWrap w:val="0"/>
            <w:vAlign w:val="center"/>
          </w:tcPr>
          <w:p w14:paraId="7D9E5005">
            <w:pPr>
              <w:keepNext w:val="0"/>
              <w:keepLines w:val="0"/>
              <w:pageBreakBefore w:val="0"/>
              <w:suppressLineNumbers w:val="0"/>
              <w:shd w:val="clear"/>
              <w:kinsoku/>
              <w:wordWrap w:val="0"/>
              <w:overflowPunct/>
              <w:topLinePunct w:val="0"/>
              <w:autoSpaceDE/>
              <w:autoSpaceDN/>
              <w:bidi w:val="0"/>
              <w:adjustRightInd/>
              <w:snapToGrid/>
              <w:spacing w:before="0" w:beforeAutospacing="0" w:after="0" w:afterAutospacing="0" w:line="400" w:lineRule="exact"/>
              <w:ind w:left="0" w:leftChars="0" w:right="0" w:rightChars="0"/>
              <w:jc w:val="left"/>
              <w:textAlignment w:val="auto"/>
              <w:rPr>
                <w:rFonts w:hint="eastAsia" w:ascii="宋体" w:hAnsi="宋体" w:eastAsia="宋体" w:cs="宋体"/>
                <w:color w:val="auto"/>
                <w:sz w:val="21"/>
                <w:szCs w:val="21"/>
                <w:highlight w:val="none"/>
                <w:lang w:val="en-US" w:eastAsia="zh-CN"/>
              </w:rPr>
            </w:pPr>
            <w:r>
              <w:rPr>
                <w:rFonts w:hint="eastAsia" w:ascii="宋体" w:cs="宋体"/>
                <w:bCs/>
                <w:color w:val="auto"/>
                <w:kern w:val="1"/>
                <w:sz w:val="21"/>
                <w:szCs w:val="21"/>
                <w:highlight w:val="none"/>
                <w:lang w:val="en-US" w:eastAsia="zh-CN"/>
              </w:rPr>
              <w:t>/</w:t>
            </w:r>
          </w:p>
        </w:tc>
      </w:tr>
      <w:tr w14:paraId="3EF6D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2832571D">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bCs/>
                <w:snapToGrid w:val="0"/>
                <w:color w:val="auto"/>
                <w:kern w:val="0"/>
                <w:sz w:val="21"/>
                <w:szCs w:val="21"/>
                <w:highlight w:val="none"/>
              </w:rPr>
              <w:t>招标人</w:t>
            </w:r>
          </w:p>
        </w:tc>
        <w:tc>
          <w:tcPr>
            <w:tcW w:w="7997" w:type="dxa"/>
            <w:noWrap w:val="0"/>
            <w:vAlign w:val="center"/>
          </w:tcPr>
          <w:p w14:paraId="41AA07EF">
            <w:pPr>
              <w:keepNext w:val="0"/>
              <w:keepLines w:val="0"/>
              <w:pageBreakBefore w:val="0"/>
              <w:widowControl/>
              <w:shd w:val="clear" w:color="auto" w:fill="auto"/>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滁州市翼然新能源开发有限公司</w:t>
            </w:r>
          </w:p>
        </w:tc>
      </w:tr>
      <w:tr w14:paraId="2A24F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12638D1C">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项目业主</w:t>
            </w:r>
          </w:p>
        </w:tc>
        <w:tc>
          <w:tcPr>
            <w:tcW w:w="7997" w:type="dxa"/>
            <w:noWrap w:val="0"/>
            <w:vAlign w:val="center"/>
          </w:tcPr>
          <w:p w14:paraId="3EF79F1D">
            <w:pPr>
              <w:keepNext w:val="0"/>
              <w:keepLines w:val="0"/>
              <w:pageBreakBefore w:val="0"/>
              <w:widowControl/>
              <w:shd w:val="clear" w:color="auto" w:fill="auto"/>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滁州市翼然新能源开发有限公司</w:t>
            </w:r>
          </w:p>
        </w:tc>
      </w:tr>
      <w:tr w14:paraId="515C1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6ECD1AE3">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资金来源</w:t>
            </w:r>
          </w:p>
        </w:tc>
        <w:tc>
          <w:tcPr>
            <w:tcW w:w="7997" w:type="dxa"/>
            <w:noWrap w:val="0"/>
            <w:vAlign w:val="center"/>
          </w:tcPr>
          <w:p w14:paraId="13E4CD21">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自筹资金</w:t>
            </w:r>
          </w:p>
        </w:tc>
      </w:tr>
      <w:tr w14:paraId="1CA8B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0F489FD2">
            <w:pPr>
              <w:keepNext w:val="0"/>
              <w:keepLines w:val="0"/>
              <w:pageBreakBefore w:val="0"/>
              <w:widowControl/>
              <w:kinsoku/>
              <w:wordWrap w:val="0"/>
              <w:overflowPunct/>
              <w:topLinePunct w:val="0"/>
              <w:autoSpaceDE/>
              <w:autoSpaceDN/>
              <w:bidi w:val="0"/>
              <w:adjustRightInd/>
              <w:snapToGrid/>
              <w:spacing w:line="400" w:lineRule="exact"/>
              <w:jc w:val="both"/>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项目出资比例</w:t>
            </w:r>
          </w:p>
        </w:tc>
        <w:tc>
          <w:tcPr>
            <w:tcW w:w="7997" w:type="dxa"/>
            <w:noWrap w:val="0"/>
            <w:vAlign w:val="center"/>
          </w:tcPr>
          <w:p w14:paraId="612A619C">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100%</w:t>
            </w:r>
          </w:p>
        </w:tc>
      </w:tr>
      <w:tr w14:paraId="2F993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3DEFCFF6">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招标方式</w:t>
            </w:r>
          </w:p>
        </w:tc>
        <w:tc>
          <w:tcPr>
            <w:tcW w:w="7997" w:type="dxa"/>
            <w:noWrap w:val="0"/>
            <w:vAlign w:val="center"/>
          </w:tcPr>
          <w:p w14:paraId="53A0BB3B">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kern w:val="0"/>
                <w:sz w:val="21"/>
                <w:szCs w:val="21"/>
                <w:highlight w:val="none"/>
                <w:lang w:val="en-US" w:eastAsia="zh-CN"/>
              </w:rPr>
              <w:t>公开招标</w:t>
            </w:r>
          </w:p>
        </w:tc>
      </w:tr>
      <w:tr w14:paraId="62884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1933" w:type="dxa"/>
            <w:noWrap w:val="0"/>
            <w:vAlign w:val="center"/>
          </w:tcPr>
          <w:p w14:paraId="70C4438E">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评标办法</w:t>
            </w:r>
          </w:p>
        </w:tc>
        <w:tc>
          <w:tcPr>
            <w:tcW w:w="7997" w:type="dxa"/>
            <w:noWrap w:val="0"/>
            <w:vAlign w:val="center"/>
          </w:tcPr>
          <w:p w14:paraId="64728417">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kern w:val="0"/>
                <w:sz w:val="21"/>
                <w:szCs w:val="21"/>
                <w:highlight w:val="none"/>
                <w:lang w:val="en-US" w:eastAsia="zh-CN"/>
              </w:rPr>
              <w:t>综合评估法</w:t>
            </w:r>
          </w:p>
        </w:tc>
      </w:tr>
      <w:tr w14:paraId="3CB3E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0" w:type="dxa"/>
            <w:gridSpan w:val="2"/>
            <w:noWrap w:val="0"/>
            <w:vAlign w:val="center"/>
          </w:tcPr>
          <w:p w14:paraId="1EBFED8D">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项目概况与招标范围</w:t>
            </w:r>
          </w:p>
        </w:tc>
      </w:tr>
      <w:tr w14:paraId="1B542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4A1F1B52">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招标项目名称</w:t>
            </w:r>
          </w:p>
        </w:tc>
        <w:tc>
          <w:tcPr>
            <w:tcW w:w="7997" w:type="dxa"/>
            <w:noWrap w:val="0"/>
            <w:vAlign w:val="center"/>
          </w:tcPr>
          <w:p w14:paraId="3BB4B767">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eastAsia="zh-CN"/>
              </w:rPr>
              <w:t>2026年度新能源工程审计项目（</w:t>
            </w:r>
            <w:r>
              <w:rPr>
                <w:rFonts w:hint="eastAsia" w:ascii="宋体" w:hAnsi="宋体" w:cs="宋体"/>
                <w:color w:val="auto"/>
                <w:sz w:val="21"/>
                <w:szCs w:val="21"/>
                <w:highlight w:val="none"/>
                <w:lang w:val="en-US" w:eastAsia="zh-CN"/>
              </w:rPr>
              <w:t>二次）</w:t>
            </w:r>
          </w:p>
        </w:tc>
      </w:tr>
      <w:tr w14:paraId="488A5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40B1C46C">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标段划分</w:t>
            </w:r>
          </w:p>
        </w:tc>
        <w:tc>
          <w:tcPr>
            <w:tcW w:w="7997" w:type="dxa"/>
            <w:noWrap w:val="0"/>
            <w:vAlign w:val="center"/>
          </w:tcPr>
          <w:p w14:paraId="062D55A9">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szCs w:val="21"/>
                <w:highlight w:val="none"/>
                <w:lang w:val="en-US" w:eastAsia="zh-CN"/>
              </w:rPr>
              <w:t>一个标段</w:t>
            </w:r>
          </w:p>
        </w:tc>
      </w:tr>
      <w:tr w14:paraId="40733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74A4EA69">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建设地点</w:t>
            </w:r>
          </w:p>
        </w:tc>
        <w:tc>
          <w:tcPr>
            <w:tcW w:w="7997" w:type="dxa"/>
            <w:noWrap w:val="0"/>
            <w:vAlign w:val="center"/>
          </w:tcPr>
          <w:p w14:paraId="2C527A97">
            <w:pPr>
              <w:pStyle w:val="14"/>
              <w:keepNext w:val="0"/>
              <w:keepLines w:val="0"/>
              <w:pageBreakBefore w:val="0"/>
              <w:kinsoku/>
              <w:wordWrap w:val="0"/>
              <w:overflowPunct/>
              <w:topLinePunct w:val="0"/>
              <w:autoSpaceDE/>
              <w:autoSpaceDN/>
              <w:bidi w:val="0"/>
              <w:adjustRightInd/>
              <w:snapToGrid/>
              <w:spacing w:after="0" w:afterLines="0" w:line="400" w:lineRule="exact"/>
              <w:ind w:left="0" w:leftChars="0" w:firstLine="0" w:firstLineChars="0"/>
              <w:textAlignment w:val="auto"/>
              <w:rPr>
                <w:rFonts w:hint="eastAsia" w:ascii="宋体" w:hAnsi="宋体" w:eastAsia="宋体" w:cs="宋体"/>
                <w:szCs w:val="21"/>
                <w:highlight w:val="none"/>
              </w:rPr>
            </w:pPr>
            <w:r>
              <w:rPr>
                <w:rFonts w:hint="eastAsia" w:ascii="宋体" w:hAnsi="宋体" w:eastAsia="宋体" w:cs="宋体"/>
                <w:szCs w:val="21"/>
                <w:highlight w:val="none"/>
                <w:lang w:val="en-US" w:eastAsia="zh-CN"/>
              </w:rPr>
              <w:t>招标人指定</w:t>
            </w:r>
            <w:r>
              <w:rPr>
                <w:rFonts w:hint="eastAsia" w:hAnsi="宋体" w:cs="宋体"/>
                <w:szCs w:val="21"/>
                <w:highlight w:val="none"/>
                <w:lang w:val="en-US" w:eastAsia="zh-CN"/>
              </w:rPr>
              <w:t>项目</w:t>
            </w:r>
            <w:r>
              <w:rPr>
                <w:rFonts w:hint="eastAsia" w:ascii="宋体" w:hAnsi="宋体" w:eastAsia="宋体" w:cs="宋体"/>
                <w:szCs w:val="21"/>
                <w:highlight w:val="none"/>
                <w:lang w:val="en-US" w:eastAsia="zh-CN"/>
              </w:rPr>
              <w:t>地点（不限于滁州市内）</w:t>
            </w:r>
          </w:p>
        </w:tc>
      </w:tr>
      <w:tr w14:paraId="3A6ED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3BBF1A7D">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建设规模</w:t>
            </w:r>
          </w:p>
        </w:tc>
        <w:tc>
          <w:tcPr>
            <w:tcW w:w="7997" w:type="dxa"/>
            <w:noWrap w:val="0"/>
            <w:vAlign w:val="center"/>
          </w:tcPr>
          <w:p w14:paraId="3DB75AE9">
            <w:pPr>
              <w:pStyle w:val="14"/>
              <w:keepNext w:val="0"/>
              <w:keepLines w:val="0"/>
              <w:pageBreakBefore w:val="0"/>
              <w:kinsoku/>
              <w:wordWrap w:val="0"/>
              <w:overflowPunct/>
              <w:topLinePunct w:val="0"/>
              <w:autoSpaceDE/>
              <w:autoSpaceDN/>
              <w:bidi w:val="0"/>
              <w:adjustRightInd/>
              <w:snapToGrid/>
              <w:spacing w:after="0" w:afterLines="0" w:line="400" w:lineRule="exact"/>
              <w:ind w:left="0" w:leftChars="0" w:firstLine="0" w:firstLineChars="0"/>
              <w:textAlignment w:val="auto"/>
              <w:rPr>
                <w:rFonts w:hint="default" w:ascii="宋体" w:hAnsi="宋体" w:eastAsia="宋体" w:cs="宋体"/>
                <w:szCs w:val="21"/>
                <w:highlight w:val="none"/>
                <w:lang w:val="en-US" w:eastAsia="zh-CN"/>
              </w:rPr>
            </w:pPr>
            <w:r>
              <w:rPr>
                <w:rFonts w:hint="eastAsia" w:ascii="宋体" w:hAnsi="宋体" w:eastAsia="宋体" w:cs="宋体"/>
                <w:color w:val="auto"/>
                <w:sz w:val="21"/>
                <w:szCs w:val="21"/>
                <w:highlight w:val="none"/>
                <w:lang w:eastAsia="zh-CN"/>
              </w:rPr>
              <w:t>滁州市翼然新能源开发有限公司</w:t>
            </w:r>
            <w:r>
              <w:rPr>
                <w:rFonts w:hint="eastAsia" w:hAnsi="宋体" w:cs="宋体"/>
                <w:szCs w:val="21"/>
                <w:highlight w:val="none"/>
                <w:lang w:val="en-US" w:eastAsia="zh-CN"/>
              </w:rPr>
              <w:t>合同期内</w:t>
            </w:r>
            <w:r>
              <w:rPr>
                <w:rFonts w:hint="eastAsia" w:ascii="宋体" w:hAnsi="宋体" w:eastAsia="宋体" w:cs="宋体"/>
                <w:szCs w:val="21"/>
                <w:highlight w:val="none"/>
                <w:lang w:val="en-US" w:eastAsia="zh-CN"/>
              </w:rPr>
              <w:t>所有新能源工程的</w:t>
            </w:r>
            <w:r>
              <w:rPr>
                <w:rFonts w:hint="eastAsia" w:hAnsi="宋体" w:cs="宋体"/>
                <w:szCs w:val="21"/>
                <w:highlight w:val="none"/>
                <w:lang w:val="en-US" w:eastAsia="zh-CN"/>
              </w:rPr>
              <w:t>审计</w:t>
            </w:r>
            <w:r>
              <w:rPr>
                <w:rFonts w:hint="eastAsia" w:ascii="宋体" w:hAnsi="宋体" w:eastAsia="宋体" w:cs="宋体"/>
                <w:szCs w:val="21"/>
                <w:highlight w:val="none"/>
                <w:lang w:val="en-US" w:eastAsia="zh-CN"/>
              </w:rPr>
              <w:t>服务。</w:t>
            </w:r>
          </w:p>
        </w:tc>
      </w:tr>
      <w:tr w14:paraId="6BEC3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06F6947A">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计划工期</w:t>
            </w:r>
          </w:p>
        </w:tc>
        <w:tc>
          <w:tcPr>
            <w:tcW w:w="7997" w:type="dxa"/>
            <w:noWrap w:val="0"/>
            <w:vAlign w:val="center"/>
          </w:tcPr>
          <w:p w14:paraId="241300BA">
            <w:pPr>
              <w:keepNext w:val="0"/>
              <w:keepLines w:val="0"/>
              <w:pageBreakBefore w:val="0"/>
              <w:kinsoku/>
              <w:wordWrap w:val="0"/>
              <w:overflowPunct/>
              <w:topLinePunct w:val="0"/>
              <w:autoSpaceDE/>
              <w:autoSpaceDN/>
              <w:bidi w:val="0"/>
              <w:adjustRightInd/>
              <w:snapToGrid/>
              <w:spacing w:line="400" w:lineRule="exac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自签订合同之日起至项目整体交付使用并出具经审核的审核成果文件止，总体服务期一年</w:t>
            </w:r>
          </w:p>
        </w:tc>
      </w:tr>
      <w:tr w14:paraId="42C90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43CAB737">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招标范围</w:t>
            </w:r>
          </w:p>
        </w:tc>
        <w:tc>
          <w:tcPr>
            <w:tcW w:w="7997" w:type="dxa"/>
            <w:noWrap w:val="0"/>
            <w:vAlign w:val="center"/>
          </w:tcPr>
          <w:p w14:paraId="2450FD06">
            <w:pPr>
              <w:pStyle w:val="14"/>
              <w:keepNext w:val="0"/>
              <w:keepLines w:val="0"/>
              <w:pageBreakBefore w:val="0"/>
              <w:kinsoku/>
              <w:wordWrap w:val="0"/>
              <w:overflowPunct/>
              <w:topLinePunct w:val="0"/>
              <w:autoSpaceDE/>
              <w:autoSpaceDN/>
              <w:bidi w:val="0"/>
              <w:adjustRightInd/>
              <w:snapToGrid/>
              <w:spacing w:after="0" w:afterLines="0" w:line="400" w:lineRule="exact"/>
              <w:ind w:left="0" w:leftChars="0" w:firstLine="0" w:firstLineChars="0"/>
              <w:textAlignment w:val="auto"/>
              <w:rPr>
                <w:rFonts w:hint="default" w:ascii="宋体" w:hAnsi="宋体" w:eastAsia="宋体" w:cs="宋体"/>
                <w:color w:val="auto"/>
                <w:sz w:val="21"/>
                <w:szCs w:val="21"/>
                <w:highlight w:val="none"/>
                <w:lang w:val="en-US"/>
              </w:rPr>
            </w:pPr>
            <w:r>
              <w:rPr>
                <w:rFonts w:hint="eastAsia" w:ascii="宋体" w:hAnsi="宋体" w:cs="宋体"/>
                <w:szCs w:val="21"/>
                <w:highlight w:val="none"/>
                <w:lang w:val="en-US" w:eastAsia="zh-CN"/>
              </w:rPr>
              <w:t>20</w:t>
            </w:r>
            <w:r>
              <w:rPr>
                <w:rFonts w:hint="eastAsia" w:hAnsi="宋体" w:cs="宋体"/>
                <w:szCs w:val="21"/>
                <w:highlight w:val="none"/>
                <w:lang w:val="en-US" w:eastAsia="zh-CN"/>
              </w:rPr>
              <w:t>26</w:t>
            </w:r>
            <w:r>
              <w:rPr>
                <w:rFonts w:hint="eastAsia" w:ascii="宋体" w:hAnsi="宋体" w:cs="宋体"/>
                <w:szCs w:val="21"/>
                <w:highlight w:val="none"/>
                <w:lang w:val="en-US" w:eastAsia="zh-CN"/>
              </w:rPr>
              <w:t>年度内各</w:t>
            </w:r>
            <w:r>
              <w:rPr>
                <w:rFonts w:hint="eastAsia" w:ascii="宋体" w:hAnsi="宋体" w:eastAsia="宋体" w:cs="宋体"/>
                <w:szCs w:val="21"/>
                <w:highlight w:val="none"/>
                <w:lang w:val="en-US" w:eastAsia="zh-CN"/>
              </w:rPr>
              <w:t>工程的审计服务，详见技术标准和要求</w:t>
            </w:r>
          </w:p>
        </w:tc>
      </w:tr>
      <w:tr w14:paraId="39737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6B3C45EE">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lang w:eastAsia="zh-CN"/>
              </w:rPr>
            </w:pPr>
            <w:r>
              <w:rPr>
                <w:rFonts w:hint="eastAsia" w:ascii="宋体" w:hAnsi="宋体" w:cs="宋体"/>
                <w:color w:val="auto"/>
                <w:kern w:val="0"/>
                <w:sz w:val="21"/>
                <w:szCs w:val="21"/>
                <w:highlight w:val="none"/>
                <w:lang w:val="en-US" w:eastAsia="zh-CN"/>
              </w:rPr>
              <w:t>项目类别</w:t>
            </w:r>
          </w:p>
        </w:tc>
        <w:tc>
          <w:tcPr>
            <w:tcW w:w="7997" w:type="dxa"/>
            <w:noWrap w:val="0"/>
            <w:vAlign w:val="center"/>
          </w:tcPr>
          <w:p w14:paraId="6D56053B">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工程审计服务</w:t>
            </w:r>
          </w:p>
        </w:tc>
      </w:tr>
      <w:tr w14:paraId="48969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7211EA0D">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其他</w:t>
            </w:r>
          </w:p>
        </w:tc>
        <w:tc>
          <w:tcPr>
            <w:tcW w:w="7997" w:type="dxa"/>
            <w:noWrap w:val="0"/>
            <w:vAlign w:val="center"/>
          </w:tcPr>
          <w:p w14:paraId="27D131B1">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w:t>
            </w:r>
          </w:p>
        </w:tc>
      </w:tr>
      <w:tr w14:paraId="44008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0" w:type="dxa"/>
            <w:gridSpan w:val="2"/>
            <w:noWrap w:val="0"/>
            <w:vAlign w:val="center"/>
          </w:tcPr>
          <w:p w14:paraId="24CBF6E1">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投标人资格要求</w:t>
            </w:r>
          </w:p>
        </w:tc>
      </w:tr>
      <w:tr w14:paraId="54BAD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1933" w:type="dxa"/>
            <w:noWrap w:val="0"/>
            <w:vAlign w:val="center"/>
          </w:tcPr>
          <w:p w14:paraId="3D8EAA9E">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投标人资质要求</w:t>
            </w:r>
          </w:p>
        </w:tc>
        <w:tc>
          <w:tcPr>
            <w:tcW w:w="7997" w:type="dxa"/>
            <w:noWrap w:val="0"/>
            <w:vAlign w:val="center"/>
          </w:tcPr>
          <w:p w14:paraId="2DA74F98">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具有相应服务能力的企业</w:t>
            </w:r>
          </w:p>
        </w:tc>
      </w:tr>
      <w:tr w14:paraId="07C28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15414018">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bCs/>
                <w:snapToGrid w:val="0"/>
                <w:color w:val="auto"/>
                <w:kern w:val="0"/>
                <w:sz w:val="21"/>
                <w:szCs w:val="21"/>
                <w:highlight w:val="none"/>
              </w:rPr>
              <w:t>项目</w:t>
            </w:r>
            <w:r>
              <w:rPr>
                <w:rFonts w:hint="eastAsia" w:ascii="宋体" w:hAnsi="宋体" w:eastAsia="宋体" w:cs="宋体"/>
                <w:bCs/>
                <w:snapToGrid w:val="0"/>
                <w:color w:val="auto"/>
                <w:kern w:val="0"/>
                <w:sz w:val="21"/>
                <w:szCs w:val="21"/>
                <w:highlight w:val="none"/>
                <w:lang w:val="en-US" w:eastAsia="zh-CN"/>
              </w:rPr>
              <w:t>负责人</w:t>
            </w:r>
            <w:r>
              <w:rPr>
                <w:rFonts w:hint="eastAsia" w:ascii="宋体" w:hAnsi="宋体" w:eastAsia="宋体" w:cs="宋体"/>
                <w:bCs/>
                <w:snapToGrid w:val="0"/>
                <w:color w:val="auto"/>
                <w:kern w:val="0"/>
                <w:sz w:val="21"/>
                <w:szCs w:val="21"/>
                <w:highlight w:val="none"/>
              </w:rPr>
              <w:t>资格要求</w:t>
            </w:r>
          </w:p>
        </w:tc>
        <w:tc>
          <w:tcPr>
            <w:tcW w:w="7997" w:type="dxa"/>
            <w:noWrap w:val="0"/>
            <w:vAlign w:val="center"/>
          </w:tcPr>
          <w:p w14:paraId="51B3EE9E">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投标人拟派的项目负责人必须具有建设部颁发的注册在投标单位的</w:t>
            </w:r>
            <w:r>
              <w:rPr>
                <w:rFonts w:hint="eastAsia" w:ascii="宋体" w:hAnsi="宋体" w:cs="宋体"/>
                <w:color w:val="auto"/>
                <w:kern w:val="0"/>
                <w:sz w:val="21"/>
                <w:szCs w:val="21"/>
                <w:highlight w:val="none"/>
                <w:lang w:val="en-US" w:eastAsia="zh-CN"/>
              </w:rPr>
              <w:t>安装工程</w:t>
            </w:r>
            <w:r>
              <w:rPr>
                <w:rFonts w:hint="eastAsia" w:ascii="宋体" w:hAnsi="宋体" w:eastAsia="宋体" w:cs="宋体"/>
                <w:color w:val="auto"/>
                <w:kern w:val="0"/>
                <w:sz w:val="21"/>
                <w:szCs w:val="21"/>
                <w:highlight w:val="none"/>
                <w:lang w:val="en-US" w:eastAsia="zh-CN"/>
              </w:rPr>
              <w:t>专业一级造价工程师注册证书（或原注册造价工程师）</w:t>
            </w:r>
          </w:p>
        </w:tc>
      </w:tr>
      <w:tr w14:paraId="4DC6C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0199D4CC">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联合体投标</w:t>
            </w:r>
          </w:p>
        </w:tc>
        <w:tc>
          <w:tcPr>
            <w:tcW w:w="7997" w:type="dxa"/>
            <w:noWrap w:val="0"/>
            <w:vAlign w:val="center"/>
          </w:tcPr>
          <w:p w14:paraId="74209755">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本次招标不接受联合体投标。</w:t>
            </w:r>
          </w:p>
        </w:tc>
      </w:tr>
      <w:tr w14:paraId="7DAEB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044733C9">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rPr>
              <w:t>多标段投标</w:t>
            </w:r>
          </w:p>
        </w:tc>
        <w:tc>
          <w:tcPr>
            <w:tcW w:w="7997" w:type="dxa"/>
            <w:noWrap w:val="0"/>
            <w:vAlign w:val="center"/>
          </w:tcPr>
          <w:p w14:paraId="42579C26">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w:t>
            </w:r>
          </w:p>
        </w:tc>
      </w:tr>
      <w:tr w14:paraId="7B972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1A907D0C">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
                <w:bCs/>
                <w:color w:val="auto"/>
                <w:kern w:val="0"/>
                <w:sz w:val="21"/>
                <w:szCs w:val="21"/>
                <w:highlight w:val="none"/>
              </w:rPr>
            </w:pPr>
            <w:r>
              <w:rPr>
                <w:rFonts w:hint="eastAsia" w:ascii="宋体" w:hAnsi="宋体" w:eastAsia="宋体" w:cs="宋体"/>
                <w:color w:val="auto"/>
                <w:kern w:val="0"/>
                <w:sz w:val="21"/>
                <w:szCs w:val="21"/>
                <w:highlight w:val="none"/>
              </w:rPr>
              <w:t>其他要求</w:t>
            </w:r>
          </w:p>
        </w:tc>
        <w:tc>
          <w:tcPr>
            <w:tcW w:w="7997" w:type="dxa"/>
            <w:noWrap w:val="0"/>
            <w:vAlign w:val="center"/>
          </w:tcPr>
          <w:p w14:paraId="09940DA2">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1.滁州市翼然新能源开发有限公司202</w:t>
            </w:r>
            <w:r>
              <w:rPr>
                <w:rFonts w:hint="eastAsia" w:ascii="宋体" w:hAnsi="宋体" w:cs="宋体"/>
                <w:color w:val="auto"/>
                <w:kern w:val="0"/>
                <w:sz w:val="21"/>
                <w:szCs w:val="21"/>
                <w:highlight w:val="none"/>
                <w:lang w:val="en-US" w:eastAsia="zh-CN"/>
              </w:rPr>
              <w:t>6</w:t>
            </w:r>
            <w:r>
              <w:rPr>
                <w:rFonts w:hint="eastAsia" w:ascii="宋体" w:hAnsi="宋体" w:eastAsia="宋体" w:cs="宋体"/>
                <w:color w:val="auto"/>
                <w:kern w:val="0"/>
                <w:sz w:val="21"/>
                <w:szCs w:val="21"/>
                <w:highlight w:val="none"/>
                <w:lang w:val="en-US" w:eastAsia="zh-CN"/>
              </w:rPr>
              <w:t>年度工程已中标的监理单位、代理单位、设计单位、施工单位不得参加本项目投标。</w:t>
            </w:r>
          </w:p>
          <w:p w14:paraId="0F529B7A">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default"/>
                <w:highlight w:val="none"/>
                <w:lang w:val="en-US" w:eastAsia="zh-CN"/>
              </w:rPr>
            </w:pPr>
            <w:r>
              <w:rPr>
                <w:rFonts w:hint="eastAsia" w:ascii="宋体" w:hAnsi="宋体" w:eastAsia="宋体" w:cs="宋体"/>
                <w:color w:val="auto"/>
                <w:kern w:val="0"/>
                <w:sz w:val="21"/>
                <w:szCs w:val="21"/>
                <w:highlight w:val="none"/>
                <w:lang w:val="en-US" w:eastAsia="zh-CN"/>
              </w:rPr>
              <w:t>2.单位负责人为同一人或者存在控股、管理关系的不同单位，不得参加同一标段投标或者未划分标段的同一招标项目投标，违反上述规定的，相关单位投标均无效。</w:t>
            </w:r>
          </w:p>
        </w:tc>
      </w:tr>
      <w:tr w14:paraId="23297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0" w:type="dxa"/>
            <w:gridSpan w:val="2"/>
            <w:noWrap w:val="0"/>
            <w:vAlign w:val="center"/>
          </w:tcPr>
          <w:p w14:paraId="2E77D0C0">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招标文件的获取</w:t>
            </w:r>
          </w:p>
        </w:tc>
      </w:tr>
      <w:tr w14:paraId="1729B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933" w:type="dxa"/>
            <w:noWrap w:val="0"/>
            <w:vAlign w:val="center"/>
          </w:tcPr>
          <w:p w14:paraId="00B9B13C">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获取时间</w:t>
            </w:r>
          </w:p>
        </w:tc>
        <w:tc>
          <w:tcPr>
            <w:tcW w:w="7997" w:type="dxa"/>
            <w:noWrap w:val="0"/>
            <w:vAlign w:val="center"/>
          </w:tcPr>
          <w:p w14:paraId="257A5F9C">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bCs/>
                <w:snapToGrid w:val="0"/>
                <w:color w:val="000000"/>
                <w:kern w:val="0"/>
                <w:szCs w:val="21"/>
                <w:highlight w:val="none"/>
                <w:u w:val="single"/>
              </w:rPr>
              <w:t xml:space="preserve"> </w:t>
            </w:r>
            <w:r>
              <w:rPr>
                <w:rFonts w:hint="eastAsia" w:ascii="宋体" w:hAnsi="宋体" w:eastAsia="宋体" w:cs="宋体"/>
                <w:bCs/>
                <w:snapToGrid w:val="0"/>
                <w:color w:val="000000"/>
                <w:kern w:val="0"/>
                <w:szCs w:val="21"/>
                <w:highlight w:val="none"/>
                <w:u w:val="single"/>
                <w:lang w:val="en-US" w:eastAsia="zh-CN"/>
              </w:rPr>
              <w:t>202</w:t>
            </w:r>
            <w:r>
              <w:rPr>
                <w:rFonts w:hint="eastAsia" w:ascii="宋体" w:hAnsi="宋体" w:cs="宋体"/>
                <w:bCs/>
                <w:snapToGrid w:val="0"/>
                <w:color w:val="000000"/>
                <w:kern w:val="0"/>
                <w:szCs w:val="21"/>
                <w:highlight w:val="none"/>
                <w:u w:val="single"/>
                <w:lang w:val="en-US" w:eastAsia="zh-CN"/>
              </w:rPr>
              <w:t>6</w:t>
            </w:r>
            <w:r>
              <w:rPr>
                <w:rFonts w:hint="eastAsia" w:ascii="宋体" w:hAnsi="宋体" w:eastAsia="宋体" w:cs="宋体"/>
                <w:bCs/>
                <w:snapToGrid w:val="0"/>
                <w:color w:val="000000"/>
                <w:kern w:val="0"/>
                <w:szCs w:val="21"/>
                <w:highlight w:val="none"/>
                <w:u w:val="single"/>
              </w:rPr>
              <w:t xml:space="preserve"> </w:t>
            </w:r>
            <w:r>
              <w:rPr>
                <w:rFonts w:hint="eastAsia" w:ascii="宋体" w:hAnsi="宋体" w:eastAsia="宋体" w:cs="宋体"/>
                <w:bCs/>
                <w:snapToGrid w:val="0"/>
                <w:color w:val="000000"/>
                <w:kern w:val="0"/>
                <w:szCs w:val="21"/>
                <w:highlight w:val="none"/>
              </w:rPr>
              <w:t>年</w:t>
            </w:r>
            <w:r>
              <w:rPr>
                <w:rFonts w:hint="eastAsia" w:ascii="宋体" w:hAnsi="宋体" w:cs="宋体"/>
                <w:bCs/>
                <w:snapToGrid w:val="0"/>
                <w:color w:val="000000"/>
                <w:kern w:val="0"/>
                <w:szCs w:val="21"/>
                <w:highlight w:val="none"/>
                <w:u w:val="single"/>
                <w:lang w:val="en-US" w:eastAsia="zh-CN"/>
              </w:rPr>
              <w:t xml:space="preserve"> 10 </w:t>
            </w:r>
            <w:r>
              <w:rPr>
                <w:rFonts w:hint="eastAsia" w:ascii="宋体" w:hAnsi="宋体" w:eastAsia="宋体" w:cs="宋体"/>
                <w:bCs/>
                <w:snapToGrid w:val="0"/>
                <w:color w:val="000000"/>
                <w:kern w:val="0"/>
                <w:szCs w:val="21"/>
                <w:highlight w:val="none"/>
              </w:rPr>
              <w:t>月</w:t>
            </w:r>
            <w:r>
              <w:rPr>
                <w:rFonts w:hint="eastAsia" w:ascii="宋体" w:hAnsi="宋体" w:cs="宋体"/>
                <w:bCs/>
                <w:snapToGrid w:val="0"/>
                <w:color w:val="000000"/>
                <w:kern w:val="0"/>
                <w:szCs w:val="21"/>
                <w:highlight w:val="none"/>
                <w:u w:val="single"/>
                <w:lang w:val="en-US" w:eastAsia="zh-CN"/>
              </w:rPr>
              <w:t xml:space="preserve"> 9 </w:t>
            </w:r>
            <w:r>
              <w:rPr>
                <w:rFonts w:hint="eastAsia" w:ascii="宋体" w:hAnsi="宋体" w:eastAsia="宋体" w:cs="宋体"/>
                <w:bCs/>
                <w:snapToGrid w:val="0"/>
                <w:color w:val="000000"/>
                <w:kern w:val="0"/>
                <w:szCs w:val="21"/>
                <w:highlight w:val="none"/>
              </w:rPr>
              <w:t>日</w:t>
            </w:r>
            <w:r>
              <w:rPr>
                <w:rFonts w:hint="eastAsia" w:ascii="宋体" w:hAnsi="宋体" w:eastAsia="宋体" w:cs="宋体"/>
                <w:bCs/>
                <w:snapToGrid w:val="0"/>
                <w:color w:val="000000"/>
                <w:kern w:val="0"/>
                <w:szCs w:val="21"/>
                <w:highlight w:val="none"/>
                <w:u w:val="single"/>
              </w:rPr>
              <w:t xml:space="preserve"> </w:t>
            </w:r>
            <w:r>
              <w:rPr>
                <w:rFonts w:hint="eastAsia" w:ascii="宋体" w:hAnsi="宋体" w:eastAsia="宋体" w:cs="宋体"/>
                <w:bCs/>
                <w:snapToGrid w:val="0"/>
                <w:color w:val="000000"/>
                <w:kern w:val="0"/>
                <w:szCs w:val="21"/>
                <w:highlight w:val="none"/>
                <w:u w:val="single"/>
                <w:lang w:val="en-US" w:eastAsia="zh-CN"/>
              </w:rPr>
              <w:t>17</w:t>
            </w:r>
            <w:r>
              <w:rPr>
                <w:rFonts w:hint="eastAsia" w:ascii="宋体" w:hAnsi="宋体" w:eastAsia="宋体" w:cs="宋体"/>
                <w:bCs/>
                <w:snapToGrid w:val="0"/>
                <w:color w:val="000000"/>
                <w:kern w:val="0"/>
                <w:szCs w:val="21"/>
                <w:highlight w:val="none"/>
                <w:u w:val="single"/>
              </w:rPr>
              <w:t xml:space="preserve"> </w:t>
            </w:r>
            <w:r>
              <w:rPr>
                <w:rFonts w:hint="eastAsia" w:ascii="宋体" w:hAnsi="宋体" w:eastAsia="宋体" w:cs="宋体"/>
                <w:bCs/>
                <w:snapToGrid w:val="0"/>
                <w:color w:val="000000"/>
                <w:kern w:val="0"/>
                <w:szCs w:val="21"/>
                <w:highlight w:val="none"/>
              </w:rPr>
              <w:t>时</w:t>
            </w:r>
            <w:r>
              <w:rPr>
                <w:rFonts w:hint="eastAsia" w:ascii="宋体" w:hAnsi="宋体" w:eastAsia="宋体" w:cs="宋体"/>
                <w:bCs/>
                <w:snapToGrid w:val="0"/>
                <w:color w:val="000000"/>
                <w:kern w:val="0"/>
                <w:szCs w:val="21"/>
                <w:highlight w:val="none"/>
                <w:u w:val="single"/>
              </w:rPr>
              <w:t xml:space="preserve"> </w:t>
            </w:r>
            <w:r>
              <w:rPr>
                <w:rFonts w:hint="eastAsia" w:ascii="宋体" w:hAnsi="宋体" w:eastAsia="宋体" w:cs="宋体"/>
                <w:bCs/>
                <w:snapToGrid w:val="0"/>
                <w:color w:val="000000"/>
                <w:kern w:val="0"/>
                <w:szCs w:val="21"/>
                <w:highlight w:val="none"/>
                <w:u w:val="single"/>
                <w:lang w:val="en-US" w:eastAsia="zh-CN"/>
              </w:rPr>
              <w:t>00</w:t>
            </w:r>
            <w:r>
              <w:rPr>
                <w:rFonts w:hint="eastAsia" w:ascii="宋体" w:hAnsi="宋体" w:eastAsia="宋体" w:cs="宋体"/>
                <w:bCs/>
                <w:snapToGrid w:val="0"/>
                <w:color w:val="000000"/>
                <w:kern w:val="0"/>
                <w:szCs w:val="21"/>
                <w:highlight w:val="none"/>
                <w:u w:val="single"/>
              </w:rPr>
              <w:t xml:space="preserve"> </w:t>
            </w:r>
            <w:r>
              <w:rPr>
                <w:rFonts w:hint="eastAsia" w:ascii="宋体" w:hAnsi="宋体" w:eastAsia="宋体" w:cs="宋体"/>
                <w:bCs/>
                <w:snapToGrid w:val="0"/>
                <w:color w:val="000000"/>
                <w:kern w:val="0"/>
                <w:szCs w:val="21"/>
                <w:highlight w:val="none"/>
              </w:rPr>
              <w:t>分至</w:t>
            </w:r>
            <w:r>
              <w:rPr>
                <w:rFonts w:hint="eastAsia" w:ascii="宋体" w:hAnsi="宋体" w:eastAsia="宋体" w:cs="宋体"/>
                <w:bCs/>
                <w:snapToGrid w:val="0"/>
                <w:color w:val="000000"/>
                <w:kern w:val="0"/>
                <w:szCs w:val="21"/>
                <w:highlight w:val="none"/>
                <w:u w:val="single"/>
              </w:rPr>
              <w:t xml:space="preserve"> </w:t>
            </w:r>
            <w:r>
              <w:rPr>
                <w:rFonts w:hint="eastAsia" w:ascii="宋体" w:hAnsi="宋体" w:eastAsia="宋体" w:cs="宋体"/>
                <w:bCs/>
                <w:snapToGrid w:val="0"/>
                <w:color w:val="000000"/>
                <w:kern w:val="0"/>
                <w:szCs w:val="21"/>
                <w:highlight w:val="none"/>
                <w:u w:val="single"/>
                <w:lang w:val="en-US" w:eastAsia="zh-CN"/>
              </w:rPr>
              <w:t>202</w:t>
            </w:r>
            <w:r>
              <w:rPr>
                <w:rFonts w:hint="eastAsia" w:ascii="宋体" w:hAnsi="宋体" w:cs="宋体"/>
                <w:bCs/>
                <w:snapToGrid w:val="0"/>
                <w:color w:val="000000"/>
                <w:kern w:val="0"/>
                <w:szCs w:val="21"/>
                <w:highlight w:val="none"/>
                <w:u w:val="single"/>
                <w:lang w:val="en-US" w:eastAsia="zh-CN"/>
              </w:rPr>
              <w:t>6</w:t>
            </w:r>
            <w:r>
              <w:rPr>
                <w:rFonts w:hint="eastAsia" w:ascii="宋体" w:hAnsi="宋体" w:eastAsia="宋体" w:cs="宋体"/>
                <w:bCs/>
                <w:snapToGrid w:val="0"/>
                <w:color w:val="000000"/>
                <w:kern w:val="0"/>
                <w:szCs w:val="21"/>
                <w:highlight w:val="none"/>
                <w:u w:val="single"/>
              </w:rPr>
              <w:t xml:space="preserve"> </w:t>
            </w:r>
            <w:r>
              <w:rPr>
                <w:rFonts w:hint="eastAsia" w:ascii="宋体" w:hAnsi="宋体" w:eastAsia="宋体" w:cs="宋体"/>
                <w:bCs/>
                <w:snapToGrid w:val="0"/>
                <w:color w:val="000000"/>
                <w:kern w:val="0"/>
                <w:szCs w:val="21"/>
                <w:highlight w:val="none"/>
              </w:rPr>
              <w:t>年</w:t>
            </w:r>
            <w:r>
              <w:rPr>
                <w:rFonts w:hint="eastAsia" w:ascii="宋体" w:hAnsi="宋体" w:cs="宋体"/>
                <w:bCs/>
                <w:snapToGrid w:val="0"/>
                <w:color w:val="000000"/>
                <w:kern w:val="0"/>
                <w:szCs w:val="21"/>
                <w:highlight w:val="none"/>
                <w:u w:val="single"/>
                <w:lang w:val="en-US" w:eastAsia="zh-CN"/>
              </w:rPr>
              <w:t xml:space="preserve"> 10 </w:t>
            </w:r>
            <w:r>
              <w:rPr>
                <w:rFonts w:hint="eastAsia" w:ascii="宋体" w:hAnsi="宋体" w:eastAsia="宋体" w:cs="宋体"/>
                <w:bCs/>
                <w:snapToGrid w:val="0"/>
                <w:color w:val="000000"/>
                <w:kern w:val="0"/>
                <w:szCs w:val="21"/>
                <w:highlight w:val="none"/>
              </w:rPr>
              <w:t>月</w:t>
            </w:r>
            <w:r>
              <w:rPr>
                <w:rFonts w:hint="eastAsia" w:ascii="宋体" w:hAnsi="宋体" w:cs="宋体"/>
                <w:bCs/>
                <w:snapToGrid w:val="0"/>
                <w:color w:val="000000"/>
                <w:kern w:val="0"/>
                <w:szCs w:val="21"/>
                <w:highlight w:val="none"/>
                <w:u w:val="single"/>
                <w:lang w:val="en-US" w:eastAsia="zh-CN"/>
              </w:rPr>
              <w:t xml:space="preserve"> 16 </w:t>
            </w:r>
            <w:r>
              <w:rPr>
                <w:rFonts w:hint="eastAsia" w:ascii="宋体" w:hAnsi="宋体" w:eastAsia="宋体" w:cs="宋体"/>
                <w:bCs/>
                <w:snapToGrid w:val="0"/>
                <w:color w:val="000000"/>
                <w:kern w:val="0"/>
                <w:szCs w:val="21"/>
                <w:highlight w:val="none"/>
              </w:rPr>
              <w:t>日</w:t>
            </w:r>
            <w:r>
              <w:rPr>
                <w:rFonts w:hint="eastAsia" w:ascii="宋体" w:hAnsi="宋体" w:eastAsia="宋体" w:cs="宋体"/>
                <w:bCs/>
                <w:snapToGrid w:val="0"/>
                <w:color w:val="000000"/>
                <w:kern w:val="0"/>
                <w:szCs w:val="21"/>
                <w:highlight w:val="none"/>
                <w:u w:val="single"/>
              </w:rPr>
              <w:t xml:space="preserve"> </w:t>
            </w:r>
            <w:r>
              <w:rPr>
                <w:rFonts w:hint="eastAsia" w:ascii="宋体" w:hAnsi="宋体" w:cs="宋体"/>
                <w:bCs/>
                <w:snapToGrid w:val="0"/>
                <w:color w:val="000000"/>
                <w:kern w:val="0"/>
                <w:szCs w:val="21"/>
                <w:highlight w:val="none"/>
                <w:u w:val="single"/>
                <w:lang w:val="en-US" w:eastAsia="zh-CN"/>
              </w:rPr>
              <w:t>9</w:t>
            </w:r>
            <w:r>
              <w:rPr>
                <w:rFonts w:hint="eastAsia" w:ascii="宋体" w:hAnsi="宋体" w:eastAsia="宋体" w:cs="宋体"/>
                <w:bCs/>
                <w:snapToGrid w:val="0"/>
                <w:color w:val="000000"/>
                <w:kern w:val="0"/>
                <w:szCs w:val="21"/>
                <w:highlight w:val="none"/>
                <w:u w:val="single"/>
              </w:rPr>
              <w:t xml:space="preserve"> </w:t>
            </w:r>
            <w:r>
              <w:rPr>
                <w:rFonts w:hint="eastAsia" w:ascii="宋体" w:hAnsi="宋体" w:eastAsia="宋体" w:cs="宋体"/>
                <w:bCs/>
                <w:snapToGrid w:val="0"/>
                <w:color w:val="000000"/>
                <w:kern w:val="0"/>
                <w:szCs w:val="21"/>
                <w:highlight w:val="none"/>
              </w:rPr>
              <w:t>时</w:t>
            </w:r>
            <w:r>
              <w:rPr>
                <w:rFonts w:hint="eastAsia" w:ascii="宋体" w:hAnsi="宋体" w:eastAsia="宋体" w:cs="宋体"/>
                <w:bCs/>
                <w:snapToGrid w:val="0"/>
                <w:color w:val="000000"/>
                <w:kern w:val="0"/>
                <w:szCs w:val="21"/>
                <w:highlight w:val="none"/>
                <w:u w:val="single"/>
              </w:rPr>
              <w:t xml:space="preserve"> </w:t>
            </w:r>
            <w:r>
              <w:rPr>
                <w:rFonts w:hint="eastAsia" w:ascii="宋体" w:hAnsi="宋体" w:eastAsia="宋体" w:cs="宋体"/>
                <w:bCs/>
                <w:snapToGrid w:val="0"/>
                <w:color w:val="000000"/>
                <w:kern w:val="0"/>
                <w:szCs w:val="21"/>
                <w:highlight w:val="none"/>
                <w:u w:val="single"/>
                <w:lang w:val="en-US" w:eastAsia="zh-CN"/>
              </w:rPr>
              <w:t>00</w:t>
            </w:r>
            <w:r>
              <w:rPr>
                <w:rFonts w:hint="eastAsia" w:ascii="宋体" w:hAnsi="宋体" w:eastAsia="宋体" w:cs="宋体"/>
                <w:bCs/>
                <w:snapToGrid w:val="0"/>
                <w:color w:val="000000"/>
                <w:kern w:val="0"/>
                <w:szCs w:val="21"/>
                <w:highlight w:val="none"/>
                <w:u w:val="single"/>
              </w:rPr>
              <w:t xml:space="preserve"> </w:t>
            </w:r>
            <w:r>
              <w:rPr>
                <w:rFonts w:hint="eastAsia" w:ascii="宋体" w:hAnsi="宋体" w:eastAsia="宋体" w:cs="宋体"/>
                <w:bCs/>
                <w:snapToGrid w:val="0"/>
                <w:color w:val="000000"/>
                <w:kern w:val="0"/>
                <w:szCs w:val="21"/>
                <w:highlight w:val="none"/>
              </w:rPr>
              <w:t>分。</w:t>
            </w:r>
          </w:p>
        </w:tc>
      </w:tr>
      <w:tr w14:paraId="1AFD9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30724589">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cs="宋体"/>
                <w:color w:val="000000"/>
                <w:kern w:val="0"/>
                <w:szCs w:val="21"/>
                <w:highlight w:val="none"/>
              </w:rPr>
              <w:t>获取方式</w:t>
            </w:r>
          </w:p>
        </w:tc>
        <w:tc>
          <w:tcPr>
            <w:tcW w:w="7997" w:type="dxa"/>
            <w:noWrap w:val="0"/>
            <w:vAlign w:val="center"/>
          </w:tcPr>
          <w:p w14:paraId="44435E9A">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default"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请于公告发布之日起从滁州市城投工程咨询管理有限公司</w:t>
            </w:r>
            <w:r>
              <w:rPr>
                <w:rFonts w:hint="eastAsia" w:cs="Times New Roman"/>
                <w:highlight w:val="none"/>
                <w:lang w:val="en-US" w:eastAsia="zh-CN"/>
              </w:rPr>
              <w:t>网站</w:t>
            </w:r>
            <w:r>
              <w:rPr>
                <w:rFonts w:hint="eastAsia" w:ascii="Times New Roman" w:hAnsi="Times New Roman" w:eastAsia="宋体" w:cs="Times New Roman"/>
                <w:highlight w:val="none"/>
                <w:lang w:val="en-US" w:eastAsia="zh-CN"/>
              </w:rPr>
              <w:t>（https://www.czctgczx.com/）下载</w:t>
            </w:r>
            <w:r>
              <w:rPr>
                <w:rFonts w:hint="eastAsia" w:cs="Times New Roman"/>
                <w:highlight w:val="none"/>
                <w:lang w:val="en-US" w:eastAsia="zh-CN"/>
              </w:rPr>
              <w:t>。</w:t>
            </w:r>
          </w:p>
          <w:p w14:paraId="40078CD2">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highlight w:val="none"/>
              </w:rPr>
            </w:pPr>
            <w:r>
              <w:rPr>
                <w:rFonts w:hint="eastAsia" w:ascii="Times New Roman" w:hAnsi="Times New Roman" w:eastAsia="宋体" w:cs="Times New Roman"/>
                <w:highlight w:val="none"/>
                <w:lang w:val="en-US" w:eastAsia="zh-CN"/>
              </w:rPr>
              <w:t>方式：（1）投标人须登</w:t>
            </w:r>
            <w:r>
              <w:rPr>
                <w:rFonts w:hint="eastAsia" w:ascii="宋体" w:hAnsi="宋体" w:eastAsia="宋体" w:cs="宋体"/>
                <w:highlight w:val="none"/>
                <w:lang w:val="en-US" w:eastAsia="zh-CN"/>
              </w:rPr>
              <w:t>录新点电子交易平台【滁州专区】查询、获取招标文件。首次登录办理入库手续，办理入库不收取任何费用。新点电子招投标统一认证平台使用相关问题（如系统登录、信息登记、录入及提交、数字证书关联等）请拨打服务电话：0512-58151515（工作日）。  </w:t>
            </w:r>
          </w:p>
          <w:p w14:paraId="513AD061">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highlight w:val="none"/>
                <w:lang w:val="en-US" w:eastAsia="zh-CN"/>
              </w:rPr>
              <w:t>（2）投标人登录新点电子交易平台【滁州专区】获取招标文件及其它资料（含澄清和补充说明等）。如在招标文件获取过程中遇到系统问题，请拨打技术支持服务热线0512-58151515或者网站首页在线客服。</w:t>
            </w:r>
          </w:p>
        </w:tc>
      </w:tr>
      <w:tr w14:paraId="552DC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77C699FD">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招标公告发布时间</w:t>
            </w:r>
          </w:p>
        </w:tc>
        <w:tc>
          <w:tcPr>
            <w:tcW w:w="7997" w:type="dxa"/>
            <w:noWrap w:val="0"/>
            <w:vAlign w:val="center"/>
          </w:tcPr>
          <w:p w14:paraId="0CB3AD82">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Cs w:val="21"/>
                <w:highlight w:val="none"/>
              </w:rPr>
              <w:t>20</w:t>
            </w:r>
            <w:r>
              <w:rPr>
                <w:rFonts w:hint="eastAsia" w:ascii="宋体" w:hAnsi="宋体" w:eastAsia="宋体" w:cs="宋体"/>
                <w:color w:val="auto"/>
                <w:szCs w:val="21"/>
                <w:highlight w:val="none"/>
                <w:lang w:val="en-US" w:eastAsia="zh-CN"/>
              </w:rPr>
              <w:t>2</w:t>
            </w:r>
            <w:r>
              <w:rPr>
                <w:rFonts w:hint="eastAsia" w:ascii="宋体" w:hAnsi="宋体" w:cs="宋体"/>
                <w:color w:val="auto"/>
                <w:szCs w:val="21"/>
                <w:highlight w:val="none"/>
                <w:lang w:val="en-US" w:eastAsia="zh-CN"/>
              </w:rPr>
              <w:t>6</w:t>
            </w:r>
            <w:r>
              <w:rPr>
                <w:rFonts w:hint="eastAsia" w:ascii="宋体" w:hAnsi="宋体" w:eastAsia="宋体" w:cs="宋体"/>
                <w:color w:val="auto"/>
                <w:szCs w:val="21"/>
                <w:highlight w:val="none"/>
              </w:rPr>
              <w:t>年</w:t>
            </w:r>
            <w:r>
              <w:rPr>
                <w:rFonts w:hint="eastAsia" w:ascii="宋体" w:hAnsi="宋体" w:cs="宋体"/>
                <w:color w:val="auto"/>
                <w:szCs w:val="21"/>
                <w:highlight w:val="none"/>
                <w:lang w:val="en-US" w:eastAsia="zh-CN"/>
              </w:rPr>
              <w:t>10</w:t>
            </w:r>
            <w:r>
              <w:rPr>
                <w:rFonts w:hint="eastAsia" w:ascii="宋体" w:hAnsi="宋体" w:eastAsia="宋体" w:cs="宋体"/>
                <w:color w:val="auto"/>
                <w:szCs w:val="21"/>
                <w:highlight w:val="none"/>
              </w:rPr>
              <w:t>月</w:t>
            </w:r>
            <w:r>
              <w:rPr>
                <w:rFonts w:hint="eastAsia" w:ascii="宋体" w:hAnsi="宋体" w:cs="宋体"/>
                <w:color w:val="auto"/>
                <w:szCs w:val="21"/>
                <w:highlight w:val="none"/>
                <w:lang w:val="en-US" w:eastAsia="zh-CN"/>
              </w:rPr>
              <w:t>9</w:t>
            </w:r>
            <w:r>
              <w:rPr>
                <w:rFonts w:hint="eastAsia" w:ascii="宋体" w:hAnsi="宋体" w:eastAsia="宋体" w:cs="宋体"/>
                <w:color w:val="auto"/>
                <w:szCs w:val="21"/>
                <w:highlight w:val="none"/>
              </w:rPr>
              <w:t>日</w:t>
            </w:r>
          </w:p>
        </w:tc>
      </w:tr>
      <w:tr w14:paraId="2E377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7B970DA1">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投标文件递交的截止时间</w:t>
            </w:r>
          </w:p>
        </w:tc>
        <w:tc>
          <w:tcPr>
            <w:tcW w:w="7997" w:type="dxa"/>
            <w:noWrap w:val="0"/>
            <w:vAlign w:val="center"/>
          </w:tcPr>
          <w:p w14:paraId="78350ADB">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202</w:t>
            </w:r>
            <w:r>
              <w:rPr>
                <w:rFonts w:hint="eastAsia" w:ascii="宋体" w:hAnsi="宋体" w:cs="宋体"/>
                <w:color w:val="auto"/>
                <w:szCs w:val="21"/>
                <w:highlight w:val="none"/>
                <w:lang w:val="en-US" w:eastAsia="zh-CN"/>
              </w:rPr>
              <w:t>6</w:t>
            </w:r>
            <w:r>
              <w:rPr>
                <w:rFonts w:hint="eastAsia" w:ascii="宋体" w:hAnsi="宋体" w:eastAsia="宋体" w:cs="宋体"/>
                <w:color w:val="auto"/>
                <w:szCs w:val="21"/>
                <w:highlight w:val="none"/>
                <w:lang w:val="en-US" w:eastAsia="zh-CN"/>
              </w:rPr>
              <w:t>年</w:t>
            </w:r>
            <w:r>
              <w:rPr>
                <w:rFonts w:hint="eastAsia" w:ascii="宋体" w:hAnsi="宋体" w:cs="宋体"/>
                <w:color w:val="auto"/>
                <w:szCs w:val="21"/>
                <w:highlight w:val="none"/>
                <w:lang w:val="en-US" w:eastAsia="zh-CN"/>
              </w:rPr>
              <w:t>10</w:t>
            </w:r>
            <w:r>
              <w:rPr>
                <w:rFonts w:hint="eastAsia" w:ascii="宋体" w:hAnsi="宋体" w:eastAsia="宋体" w:cs="宋体"/>
                <w:color w:val="auto"/>
                <w:szCs w:val="21"/>
                <w:highlight w:val="none"/>
                <w:lang w:val="en-US" w:eastAsia="zh-CN"/>
              </w:rPr>
              <w:t>月</w:t>
            </w:r>
            <w:r>
              <w:rPr>
                <w:rFonts w:hint="eastAsia" w:ascii="宋体" w:hAnsi="宋体" w:cs="宋体"/>
                <w:color w:val="auto"/>
                <w:szCs w:val="21"/>
                <w:highlight w:val="none"/>
                <w:lang w:val="en-US" w:eastAsia="zh-CN"/>
              </w:rPr>
              <w:t>16</w:t>
            </w:r>
            <w:r>
              <w:rPr>
                <w:rFonts w:hint="eastAsia" w:ascii="宋体" w:hAnsi="宋体" w:eastAsia="宋体" w:cs="宋体"/>
                <w:color w:val="auto"/>
                <w:szCs w:val="21"/>
                <w:highlight w:val="none"/>
                <w:lang w:val="en-US" w:eastAsia="zh-CN"/>
              </w:rPr>
              <w:t>日</w:t>
            </w:r>
            <w:r>
              <w:rPr>
                <w:rFonts w:hint="eastAsia" w:ascii="宋体" w:hAnsi="宋体" w:cs="宋体"/>
                <w:color w:val="auto"/>
                <w:szCs w:val="21"/>
                <w:highlight w:val="none"/>
                <w:lang w:val="en-US" w:eastAsia="zh-CN"/>
              </w:rPr>
              <w:t>9</w:t>
            </w:r>
            <w:r>
              <w:rPr>
                <w:rFonts w:hint="eastAsia" w:ascii="宋体" w:hAnsi="宋体" w:eastAsia="宋体" w:cs="宋体"/>
                <w:color w:val="auto"/>
                <w:szCs w:val="21"/>
                <w:highlight w:val="none"/>
                <w:lang w:val="en-US" w:eastAsia="zh-CN"/>
              </w:rPr>
              <w:t>时00分</w:t>
            </w:r>
          </w:p>
        </w:tc>
      </w:tr>
      <w:tr w14:paraId="1D302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4CC335A0">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highlight w:val="none"/>
                <w:lang w:val="en-US" w:eastAsia="zh-CN"/>
              </w:rPr>
              <w:t>投标文件递交的方式</w:t>
            </w:r>
          </w:p>
        </w:tc>
        <w:tc>
          <w:tcPr>
            <w:tcW w:w="7997" w:type="dxa"/>
            <w:noWrap w:val="0"/>
            <w:vAlign w:val="center"/>
          </w:tcPr>
          <w:p w14:paraId="46F556DE">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本项目仅接受投标人在投标截止时间前登录新点电子交易平台【滁州专区】（https://www.etrading.cn/BREpointSSO/login/oauth2login?regioncode=DQ_ChuZhou）交易系统递交的加密电子投标文件。</w:t>
            </w:r>
          </w:p>
        </w:tc>
      </w:tr>
      <w:tr w14:paraId="7CED5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1933" w:type="dxa"/>
            <w:noWrap w:val="0"/>
            <w:vAlign w:val="center"/>
          </w:tcPr>
          <w:p w14:paraId="746D341E">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开标时间</w:t>
            </w:r>
          </w:p>
        </w:tc>
        <w:tc>
          <w:tcPr>
            <w:tcW w:w="7997" w:type="dxa"/>
            <w:noWrap w:val="0"/>
            <w:vAlign w:val="center"/>
          </w:tcPr>
          <w:p w14:paraId="1DA66740">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Cs w:val="21"/>
                <w:highlight w:val="none"/>
              </w:rPr>
              <w:t>20</w:t>
            </w:r>
            <w:r>
              <w:rPr>
                <w:rFonts w:hint="eastAsia" w:ascii="宋体" w:hAnsi="宋体" w:eastAsia="宋体" w:cs="宋体"/>
                <w:color w:val="auto"/>
                <w:szCs w:val="21"/>
                <w:highlight w:val="none"/>
                <w:lang w:val="en-US" w:eastAsia="zh-CN"/>
              </w:rPr>
              <w:t>2</w:t>
            </w:r>
            <w:r>
              <w:rPr>
                <w:rFonts w:hint="eastAsia" w:ascii="宋体" w:hAnsi="宋体" w:cs="宋体"/>
                <w:color w:val="auto"/>
                <w:szCs w:val="21"/>
                <w:highlight w:val="none"/>
                <w:lang w:val="en-US" w:eastAsia="zh-CN"/>
              </w:rPr>
              <w:t>6</w:t>
            </w:r>
            <w:r>
              <w:rPr>
                <w:rFonts w:hint="eastAsia" w:ascii="宋体" w:hAnsi="宋体" w:eastAsia="宋体" w:cs="宋体"/>
                <w:color w:val="auto"/>
                <w:szCs w:val="21"/>
                <w:highlight w:val="none"/>
              </w:rPr>
              <w:t>年</w:t>
            </w:r>
            <w:r>
              <w:rPr>
                <w:rFonts w:hint="eastAsia" w:ascii="宋体" w:hAnsi="宋体" w:cs="宋体"/>
                <w:color w:val="auto"/>
                <w:szCs w:val="21"/>
                <w:highlight w:val="none"/>
                <w:lang w:val="en-US" w:eastAsia="zh-CN"/>
              </w:rPr>
              <w:t>10</w:t>
            </w:r>
            <w:r>
              <w:rPr>
                <w:rFonts w:hint="eastAsia" w:ascii="宋体" w:hAnsi="宋体" w:eastAsia="宋体" w:cs="宋体"/>
                <w:color w:val="auto"/>
                <w:szCs w:val="21"/>
                <w:highlight w:val="none"/>
              </w:rPr>
              <w:t>月</w:t>
            </w:r>
            <w:r>
              <w:rPr>
                <w:rFonts w:hint="eastAsia" w:ascii="宋体" w:hAnsi="宋体" w:cs="宋体"/>
                <w:color w:val="auto"/>
                <w:szCs w:val="21"/>
                <w:highlight w:val="none"/>
                <w:lang w:val="en-US" w:eastAsia="zh-CN"/>
              </w:rPr>
              <w:t>16</w:t>
            </w:r>
            <w:r>
              <w:rPr>
                <w:rFonts w:hint="eastAsia" w:ascii="宋体" w:hAnsi="宋体" w:eastAsia="宋体" w:cs="宋体"/>
                <w:color w:val="auto"/>
                <w:szCs w:val="21"/>
                <w:highlight w:val="none"/>
              </w:rPr>
              <w:t>日</w:t>
            </w:r>
            <w:r>
              <w:rPr>
                <w:rFonts w:hint="eastAsia" w:ascii="宋体" w:hAnsi="宋体" w:cs="宋体"/>
                <w:color w:val="auto"/>
                <w:szCs w:val="21"/>
                <w:highlight w:val="none"/>
                <w:lang w:val="en-US" w:eastAsia="zh-CN"/>
              </w:rPr>
              <w:t>9</w:t>
            </w:r>
            <w:r>
              <w:rPr>
                <w:rFonts w:hint="eastAsia" w:ascii="宋体" w:hAnsi="宋体" w:eastAsia="宋体" w:cs="宋体"/>
                <w:color w:val="auto"/>
                <w:szCs w:val="21"/>
                <w:highlight w:val="none"/>
              </w:rPr>
              <w:t>时</w:t>
            </w:r>
            <w:r>
              <w:rPr>
                <w:rFonts w:hint="eastAsia" w:ascii="宋体" w:hAnsi="宋体" w:eastAsia="宋体" w:cs="宋体"/>
                <w:color w:val="auto"/>
                <w:szCs w:val="21"/>
                <w:highlight w:val="none"/>
                <w:lang w:val="en-US" w:eastAsia="zh-CN"/>
              </w:rPr>
              <w:t>00</w:t>
            </w:r>
            <w:r>
              <w:rPr>
                <w:rFonts w:hint="eastAsia" w:ascii="宋体" w:hAnsi="宋体" w:eastAsia="宋体" w:cs="宋体"/>
                <w:color w:val="auto"/>
                <w:szCs w:val="21"/>
                <w:highlight w:val="none"/>
              </w:rPr>
              <w:t>分</w:t>
            </w:r>
          </w:p>
        </w:tc>
      </w:tr>
      <w:tr w14:paraId="5C7D4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1933" w:type="dxa"/>
            <w:noWrap w:val="0"/>
            <w:vAlign w:val="center"/>
          </w:tcPr>
          <w:p w14:paraId="77B6227A">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开标地点</w:t>
            </w:r>
          </w:p>
        </w:tc>
        <w:tc>
          <w:tcPr>
            <w:tcW w:w="7997" w:type="dxa"/>
            <w:noWrap w:val="0"/>
            <w:vAlign w:val="center"/>
          </w:tcPr>
          <w:p w14:paraId="3D3F20FE">
            <w:pPr>
              <w:keepNext w:val="0"/>
              <w:keepLines w:val="0"/>
              <w:pageBreakBefore w:val="0"/>
              <w:widowControl/>
              <w:kinsoku/>
              <w:wordWrap w:val="0"/>
              <w:overflowPunct/>
              <w:topLinePunct w:val="0"/>
              <w:autoSpaceDE w:val="0"/>
              <w:autoSpaceDN/>
              <w:bidi w:val="0"/>
              <w:adjustRightInd/>
              <w:snapToGrid/>
              <w:spacing w:line="400" w:lineRule="exact"/>
              <w:textAlignment w:val="auto"/>
              <w:rPr>
                <w:rFonts w:hint="eastAsia" w:ascii="宋体" w:hAnsi="宋体" w:eastAsia="宋体" w:cs="宋体"/>
                <w:color w:val="auto"/>
                <w:szCs w:val="21"/>
                <w:highlight w:val="none"/>
                <w:lang w:val="en-US" w:eastAsia="zh-CN"/>
              </w:rPr>
            </w:pPr>
            <w:r>
              <w:rPr>
                <w:rFonts w:hint="eastAsia" w:ascii="Times New Roman" w:hAnsi="Times New Roman" w:eastAsia="宋体" w:cs="Times New Roman"/>
                <w:highlight w:val="none"/>
                <w:lang w:val="en-US" w:eastAsia="zh-CN"/>
              </w:rPr>
              <w:t>采用不见面开标，投标人登录滁州市城投工程咨询有限公司不见面开标系统参与网上开标（网址：http://js.etrading.cn/EpointBidOpening/bidopeninghallaction/hall/login）。</w:t>
            </w:r>
          </w:p>
        </w:tc>
      </w:tr>
      <w:tr w14:paraId="4E312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59163777">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招标文件价格</w:t>
            </w:r>
          </w:p>
        </w:tc>
        <w:tc>
          <w:tcPr>
            <w:tcW w:w="7997" w:type="dxa"/>
            <w:noWrap w:val="0"/>
            <w:vAlign w:val="center"/>
          </w:tcPr>
          <w:p w14:paraId="0FF1405C">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0元</w:t>
            </w:r>
          </w:p>
        </w:tc>
      </w:tr>
      <w:tr w14:paraId="7177A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17C4373F">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发布公告的媒介</w:t>
            </w:r>
          </w:p>
        </w:tc>
        <w:tc>
          <w:tcPr>
            <w:tcW w:w="7997" w:type="dxa"/>
            <w:noWrap w:val="0"/>
            <w:vAlign w:val="center"/>
          </w:tcPr>
          <w:p w14:paraId="4E624FFB">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中国招标公共服务平台（http://www.cebpubservice.com/）</w:t>
            </w:r>
          </w:p>
          <w:p w14:paraId="41625809">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安徽省招标投标信息网（www.ahtba.org.cn）</w:t>
            </w:r>
          </w:p>
          <w:p w14:paraId="50C6D68C">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szCs w:val="21"/>
                <w:highlight w:val="none"/>
                <w:lang w:val="en-US" w:eastAsia="zh-CN"/>
              </w:rPr>
            </w:pPr>
            <w:r>
              <w:rPr>
                <w:rFonts w:hint="eastAsia" w:ascii="Times New Roman" w:hAnsi="Times New Roman" w:eastAsia="宋体" w:cs="Times New Roman"/>
                <w:lang w:val="en-US" w:eastAsia="zh-CN"/>
              </w:rPr>
              <w:t>滁州市城投工程咨询管理有限公司（https://www.czctgczx.com/）</w:t>
            </w:r>
          </w:p>
        </w:tc>
      </w:tr>
      <w:tr w14:paraId="0857C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0" w:type="dxa"/>
            <w:gridSpan w:val="2"/>
            <w:noWrap w:val="0"/>
            <w:vAlign w:val="center"/>
          </w:tcPr>
          <w:p w14:paraId="1930D497">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
                <w:color w:val="auto"/>
                <w:kern w:val="0"/>
                <w:sz w:val="21"/>
                <w:szCs w:val="21"/>
                <w:highlight w:val="none"/>
              </w:rPr>
            </w:pPr>
            <w:r>
              <w:rPr>
                <w:rFonts w:hint="eastAsia" w:ascii="宋体" w:hAnsi="宋体" w:eastAsia="宋体" w:cs="宋体"/>
                <w:b/>
                <w:color w:val="auto"/>
                <w:sz w:val="21"/>
                <w:szCs w:val="21"/>
                <w:highlight w:val="none"/>
              </w:rPr>
              <w:t>投标保证金收取</w:t>
            </w:r>
          </w:p>
        </w:tc>
      </w:tr>
      <w:tr w14:paraId="453B2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0FC7C453">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保证金收取</w:t>
            </w:r>
          </w:p>
        </w:tc>
        <w:tc>
          <w:tcPr>
            <w:tcW w:w="7997" w:type="dxa"/>
            <w:noWrap w:val="0"/>
            <w:vAlign w:val="center"/>
          </w:tcPr>
          <w:p w14:paraId="31D7CE21">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color w:val="auto"/>
                <w:szCs w:val="21"/>
              </w:rPr>
              <w:t>不要求投标人提交投标保证金。</w:t>
            </w:r>
          </w:p>
        </w:tc>
      </w:tr>
      <w:tr w14:paraId="711C9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0" w:type="dxa"/>
            <w:gridSpan w:val="2"/>
            <w:noWrap w:val="0"/>
            <w:vAlign w:val="center"/>
          </w:tcPr>
          <w:p w14:paraId="05DB97D6">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联系方式</w:t>
            </w:r>
          </w:p>
        </w:tc>
      </w:tr>
      <w:tr w14:paraId="6F247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42E16C3F">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rPr>
              <w:t>招标人名称</w:t>
            </w:r>
          </w:p>
        </w:tc>
        <w:tc>
          <w:tcPr>
            <w:tcW w:w="7997" w:type="dxa"/>
            <w:noWrap w:val="0"/>
            <w:vAlign w:val="center"/>
          </w:tcPr>
          <w:p w14:paraId="2D2A6C29">
            <w:pPr>
              <w:keepNext w:val="0"/>
              <w:keepLines w:val="0"/>
              <w:pageBreakBefore w:val="0"/>
              <w:widowControl/>
              <w:shd w:val="clear" w:color="auto" w:fill="auto"/>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lang w:eastAsia="zh-CN"/>
              </w:rPr>
              <w:t xml:space="preserve">滁州市翼然新能源开发有限公司 </w:t>
            </w:r>
          </w:p>
        </w:tc>
      </w:tr>
      <w:tr w14:paraId="5C15C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28A63B0F">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rPr>
              <w:t>招标人地址</w:t>
            </w:r>
          </w:p>
        </w:tc>
        <w:tc>
          <w:tcPr>
            <w:tcW w:w="7997" w:type="dxa"/>
            <w:noWrap w:val="0"/>
            <w:vAlign w:val="center"/>
          </w:tcPr>
          <w:p w14:paraId="721F56AB">
            <w:pPr>
              <w:keepNext w:val="0"/>
              <w:keepLines w:val="0"/>
              <w:pageBreakBefore w:val="0"/>
              <w:widowControl/>
              <w:shd w:val="clear" w:color="auto" w:fill="auto"/>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安徽省滁州市南谯区中都大道1598号15层</w:t>
            </w:r>
          </w:p>
        </w:tc>
      </w:tr>
      <w:tr w14:paraId="53D11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0C32FFCA">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rPr>
              <w:t>招标人联系人</w:t>
            </w:r>
          </w:p>
        </w:tc>
        <w:tc>
          <w:tcPr>
            <w:tcW w:w="7997" w:type="dxa"/>
            <w:noWrap w:val="0"/>
            <w:vAlign w:val="center"/>
          </w:tcPr>
          <w:p w14:paraId="0CA615D4">
            <w:pPr>
              <w:keepNext w:val="0"/>
              <w:keepLines w:val="0"/>
              <w:pageBreakBefore w:val="0"/>
              <w:widowControl/>
              <w:shd w:val="clear" w:color="auto" w:fill="auto"/>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kern w:val="0"/>
                <w:sz w:val="21"/>
                <w:szCs w:val="21"/>
                <w:highlight w:val="none"/>
                <w:lang w:eastAsia="zh-CN"/>
              </w:rPr>
            </w:pPr>
            <w:r>
              <w:rPr>
                <w:rFonts w:hint="eastAsia" w:ascii="宋体" w:hAnsi="宋体" w:cs="宋体"/>
                <w:color w:val="auto"/>
                <w:kern w:val="0"/>
                <w:sz w:val="21"/>
                <w:szCs w:val="21"/>
                <w:highlight w:val="none"/>
                <w:lang w:val="en-US" w:eastAsia="zh-CN"/>
              </w:rPr>
              <w:t>胡雪</w:t>
            </w:r>
          </w:p>
        </w:tc>
      </w:tr>
      <w:tr w14:paraId="79E3C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6C0D56E8">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rPr>
              <w:t>招标人电话</w:t>
            </w:r>
          </w:p>
        </w:tc>
        <w:tc>
          <w:tcPr>
            <w:tcW w:w="7997" w:type="dxa"/>
            <w:noWrap w:val="0"/>
            <w:vAlign w:val="center"/>
          </w:tcPr>
          <w:p w14:paraId="0786EC85">
            <w:pPr>
              <w:keepNext w:val="0"/>
              <w:keepLines w:val="0"/>
              <w:pageBreakBefore w:val="0"/>
              <w:widowControl/>
              <w:shd w:val="clear" w:color="auto" w:fill="auto"/>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kern w:val="0"/>
                <w:sz w:val="21"/>
                <w:szCs w:val="21"/>
                <w:highlight w:val="none"/>
                <w:lang w:val="en-US" w:eastAsia="zh-CN"/>
              </w:rPr>
            </w:pPr>
            <w:r>
              <w:rPr>
                <w:rFonts w:hint="eastAsia" w:ascii="宋体" w:hAnsi="宋体" w:cs="宋体"/>
                <w:color w:val="auto"/>
                <w:sz w:val="21"/>
                <w:szCs w:val="21"/>
                <w:highlight w:val="none"/>
                <w:lang w:eastAsia="zh-CN"/>
              </w:rPr>
              <w:t>0550-2350288</w:t>
            </w:r>
          </w:p>
        </w:tc>
      </w:tr>
      <w:tr w14:paraId="555FA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0D32F697">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rPr>
              <w:t>招标代理机构名称</w:t>
            </w:r>
          </w:p>
        </w:tc>
        <w:tc>
          <w:tcPr>
            <w:tcW w:w="7997" w:type="dxa"/>
            <w:noWrap w:val="0"/>
            <w:vAlign w:val="center"/>
          </w:tcPr>
          <w:p w14:paraId="6FF9C0EE">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sz w:val="21"/>
                <w:szCs w:val="21"/>
                <w:highlight w:val="none"/>
              </w:rPr>
              <w:t>滁州市城投工程咨询管理有限公司</w:t>
            </w:r>
          </w:p>
        </w:tc>
      </w:tr>
      <w:tr w14:paraId="2D8B7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5C1F41F8">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rPr>
              <w:t>招标代理机构地址</w:t>
            </w:r>
          </w:p>
        </w:tc>
        <w:tc>
          <w:tcPr>
            <w:tcW w:w="7997" w:type="dxa"/>
            <w:noWrap w:val="0"/>
            <w:vAlign w:val="center"/>
          </w:tcPr>
          <w:p w14:paraId="6D12C6BB">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sz w:val="21"/>
                <w:szCs w:val="21"/>
                <w:highlight w:val="none"/>
              </w:rPr>
              <w:t>滁州市龙蟠大道109号房产大厦6楼</w:t>
            </w:r>
            <w:r>
              <w:rPr>
                <w:rFonts w:hint="eastAsia" w:ascii="宋体" w:hAnsi="宋体" w:eastAsia="宋体" w:cs="宋体"/>
                <w:color w:val="auto"/>
                <w:sz w:val="21"/>
                <w:szCs w:val="21"/>
                <w:highlight w:val="none"/>
                <w:lang w:val="en-US" w:eastAsia="zh-CN"/>
              </w:rPr>
              <w:t>605室</w:t>
            </w:r>
          </w:p>
        </w:tc>
      </w:tr>
      <w:tr w14:paraId="5ECC4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59B20423">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rPr>
              <w:t>招标代理机构    联系人</w:t>
            </w:r>
          </w:p>
        </w:tc>
        <w:tc>
          <w:tcPr>
            <w:tcW w:w="7997" w:type="dxa"/>
            <w:noWrap w:val="0"/>
            <w:vAlign w:val="center"/>
          </w:tcPr>
          <w:p w14:paraId="508420A3">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周蓓蕾</w:t>
            </w:r>
          </w:p>
        </w:tc>
      </w:tr>
      <w:tr w14:paraId="2DBA5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4D7E1BD9">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rPr>
              <w:t>代理机构电话</w:t>
            </w:r>
          </w:p>
        </w:tc>
        <w:tc>
          <w:tcPr>
            <w:tcW w:w="7997" w:type="dxa"/>
            <w:noWrap w:val="0"/>
            <w:vAlign w:val="center"/>
          </w:tcPr>
          <w:p w14:paraId="57DEDBE8">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sz w:val="21"/>
                <w:szCs w:val="21"/>
                <w:highlight w:val="none"/>
                <w:lang w:eastAsia="zh-CN"/>
              </w:rPr>
              <w:t>0550-3519519</w:t>
            </w:r>
            <w:r>
              <w:rPr>
                <w:rFonts w:hint="eastAsia" w:ascii="宋体" w:hAnsi="宋体" w:eastAsia="宋体" w:cs="宋体"/>
                <w:color w:val="auto"/>
                <w:sz w:val="21"/>
                <w:szCs w:val="21"/>
                <w:highlight w:val="none"/>
                <w:lang w:val="en-US" w:eastAsia="zh-CN"/>
              </w:rPr>
              <w:t>、18005505728</w:t>
            </w:r>
          </w:p>
        </w:tc>
      </w:tr>
    </w:tbl>
    <w:p w14:paraId="32A53F0D">
      <w:pPr>
        <w:pStyle w:val="44"/>
        <w:spacing w:beforeLines="50" w:afterLines="50" w:line="440" w:lineRule="exact"/>
        <w:jc w:val="center"/>
        <w:rPr>
          <w:bCs/>
          <w:szCs w:val="32"/>
          <w:highlight w:val="none"/>
        </w:rPr>
      </w:pPr>
      <w:bookmarkStart w:id="29" w:name="_Toc78803321"/>
      <w:r>
        <w:rPr>
          <w:rFonts w:hint="eastAsia"/>
          <w:bCs/>
          <w:szCs w:val="32"/>
          <w:highlight w:val="none"/>
        </w:rPr>
        <w:br w:type="page"/>
      </w:r>
      <w:r>
        <w:rPr>
          <w:rFonts w:hint="eastAsia"/>
          <w:bCs/>
          <w:szCs w:val="32"/>
          <w:highlight w:val="none"/>
        </w:rPr>
        <w:t>第一章  投标人须知</w:t>
      </w:r>
      <w:bookmarkEnd w:id="17"/>
      <w:bookmarkEnd w:id="18"/>
      <w:bookmarkEnd w:id="19"/>
      <w:bookmarkEnd w:id="20"/>
      <w:bookmarkEnd w:id="21"/>
      <w:bookmarkEnd w:id="22"/>
      <w:bookmarkEnd w:id="23"/>
      <w:bookmarkEnd w:id="24"/>
      <w:bookmarkEnd w:id="25"/>
      <w:bookmarkEnd w:id="26"/>
      <w:bookmarkEnd w:id="27"/>
      <w:bookmarkEnd w:id="28"/>
      <w:bookmarkEnd w:id="29"/>
    </w:p>
    <w:p w14:paraId="594BBBF6">
      <w:pPr>
        <w:spacing w:beforeLines="50" w:afterLines="50" w:line="440" w:lineRule="exact"/>
        <w:jc w:val="center"/>
        <w:rPr>
          <w:b/>
          <w:bCs/>
          <w:sz w:val="28"/>
          <w:szCs w:val="28"/>
          <w:highlight w:val="none"/>
        </w:rPr>
      </w:pPr>
      <w:bookmarkStart w:id="30" w:name="_Toc152042304"/>
      <w:bookmarkStart w:id="31" w:name="_Toc179632545"/>
      <w:bookmarkStart w:id="32" w:name="_Toc247085688"/>
      <w:bookmarkStart w:id="33" w:name="_Toc152045528"/>
      <w:bookmarkStart w:id="34" w:name="_Toc324404814"/>
      <w:bookmarkStart w:id="35" w:name="_Toc35425051"/>
      <w:bookmarkStart w:id="36" w:name="_Toc15058845"/>
      <w:bookmarkStart w:id="37" w:name="_Toc506107268"/>
      <w:bookmarkStart w:id="38" w:name="_Toc246996917"/>
      <w:bookmarkStart w:id="39" w:name="_Toc35424884"/>
      <w:bookmarkStart w:id="40" w:name="_Toc144974496"/>
      <w:bookmarkStart w:id="41" w:name="_Toc246996174"/>
      <w:r>
        <w:rPr>
          <w:rFonts w:hint="eastAsia"/>
          <w:b/>
          <w:bCs/>
          <w:sz w:val="28"/>
          <w:szCs w:val="28"/>
          <w:highlight w:val="none"/>
        </w:rPr>
        <w:t>投标人须知前附表</w:t>
      </w:r>
      <w:bookmarkEnd w:id="30"/>
      <w:bookmarkEnd w:id="31"/>
      <w:bookmarkEnd w:id="32"/>
      <w:bookmarkEnd w:id="33"/>
      <w:bookmarkEnd w:id="34"/>
      <w:bookmarkEnd w:id="35"/>
      <w:bookmarkEnd w:id="36"/>
      <w:bookmarkEnd w:id="37"/>
      <w:bookmarkEnd w:id="38"/>
      <w:bookmarkEnd w:id="39"/>
      <w:bookmarkEnd w:id="40"/>
      <w:bookmarkEnd w:id="41"/>
    </w:p>
    <w:tbl>
      <w:tblPr>
        <w:tblStyle w:val="47"/>
        <w:tblW w:w="10328" w:type="dxa"/>
        <w:jc w:val="center"/>
        <w:tblLayout w:type="fixed"/>
        <w:tblCellMar>
          <w:top w:w="0" w:type="dxa"/>
          <w:left w:w="108" w:type="dxa"/>
          <w:bottom w:w="0" w:type="dxa"/>
          <w:right w:w="108" w:type="dxa"/>
        </w:tblCellMar>
      </w:tblPr>
      <w:tblGrid>
        <w:gridCol w:w="868"/>
        <w:gridCol w:w="910"/>
        <w:gridCol w:w="1299"/>
        <w:gridCol w:w="7251"/>
      </w:tblGrid>
      <w:tr w14:paraId="37A3BBD6">
        <w:tblPrEx>
          <w:tblCellMar>
            <w:top w:w="0" w:type="dxa"/>
            <w:left w:w="108" w:type="dxa"/>
            <w:bottom w:w="0" w:type="dxa"/>
            <w:right w:w="108" w:type="dxa"/>
          </w:tblCellMar>
        </w:tblPrEx>
        <w:trPr>
          <w:trHeight w:val="520"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05319F0F">
            <w:pPr>
              <w:keepNext w:val="0"/>
              <w:keepLines w:val="0"/>
              <w:pageBreakBefore w:val="0"/>
              <w:kinsoku/>
              <w:wordWrap/>
              <w:overflowPunct/>
              <w:autoSpaceDN/>
              <w:bidi w:val="0"/>
              <w:spacing w:line="400" w:lineRule="exact"/>
              <w:jc w:val="center"/>
              <w:textAlignment w:val="auto"/>
              <w:rPr>
                <w:rFonts w:ascii="宋体" w:hAnsi="宋体" w:cs="宋体"/>
                <w:b/>
                <w:szCs w:val="21"/>
                <w:highlight w:val="none"/>
              </w:rPr>
            </w:pPr>
            <w:bookmarkStart w:id="42" w:name="_Toc246996918"/>
            <w:bookmarkStart w:id="43" w:name="_Toc144974497"/>
            <w:bookmarkStart w:id="44" w:name="_Toc247085689"/>
            <w:bookmarkStart w:id="45" w:name="_Toc179632546"/>
            <w:bookmarkStart w:id="46" w:name="_Toc506107269"/>
            <w:bookmarkStart w:id="47" w:name="_Toc324404815"/>
            <w:bookmarkStart w:id="48" w:name="_Toc152045529"/>
            <w:bookmarkStart w:id="49" w:name="_Toc152042305"/>
            <w:bookmarkStart w:id="50" w:name="_Toc246996175"/>
            <w:r>
              <w:rPr>
                <w:rFonts w:hint="eastAsia" w:ascii="宋体" w:hAnsi="宋体" w:cs="宋体"/>
                <w:b/>
                <w:szCs w:val="21"/>
                <w:highlight w:val="none"/>
              </w:rPr>
              <w:t>序号</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0109513C">
            <w:pPr>
              <w:keepNext w:val="0"/>
              <w:keepLines w:val="0"/>
              <w:pageBreakBefore w:val="0"/>
              <w:kinsoku/>
              <w:wordWrap/>
              <w:overflowPunct/>
              <w:autoSpaceDN/>
              <w:bidi w:val="0"/>
              <w:spacing w:line="400" w:lineRule="exact"/>
              <w:jc w:val="center"/>
              <w:textAlignment w:val="auto"/>
              <w:rPr>
                <w:rFonts w:ascii="宋体" w:hAnsi="宋体" w:cs="宋体"/>
                <w:b/>
                <w:szCs w:val="21"/>
                <w:highlight w:val="none"/>
              </w:rPr>
            </w:pPr>
            <w:r>
              <w:rPr>
                <w:rFonts w:hint="eastAsia" w:ascii="宋体" w:hAnsi="宋体" w:cs="宋体"/>
                <w:b/>
                <w:szCs w:val="21"/>
                <w:highlight w:val="none"/>
              </w:rPr>
              <w:t>条  款  名  称</w:t>
            </w:r>
          </w:p>
        </w:tc>
        <w:tc>
          <w:tcPr>
            <w:tcW w:w="7251" w:type="dxa"/>
            <w:tcBorders>
              <w:top w:val="single" w:color="auto" w:sz="4" w:space="0"/>
              <w:left w:val="single" w:color="auto" w:sz="4" w:space="0"/>
              <w:bottom w:val="single" w:color="auto" w:sz="4" w:space="0"/>
              <w:right w:val="single" w:color="auto" w:sz="4" w:space="0"/>
            </w:tcBorders>
            <w:noWrap/>
            <w:vAlign w:val="center"/>
          </w:tcPr>
          <w:p w14:paraId="175926BC">
            <w:pPr>
              <w:keepNext w:val="0"/>
              <w:keepLines w:val="0"/>
              <w:pageBreakBefore w:val="0"/>
              <w:kinsoku/>
              <w:wordWrap/>
              <w:overflowPunct/>
              <w:autoSpaceDN/>
              <w:bidi w:val="0"/>
              <w:spacing w:line="400" w:lineRule="exact"/>
              <w:jc w:val="center"/>
              <w:textAlignment w:val="auto"/>
              <w:rPr>
                <w:rFonts w:ascii="宋体" w:hAnsi="宋体" w:cs="宋体"/>
                <w:b/>
                <w:szCs w:val="21"/>
                <w:highlight w:val="none"/>
              </w:rPr>
            </w:pPr>
            <w:r>
              <w:rPr>
                <w:rFonts w:hint="eastAsia" w:ascii="宋体" w:hAnsi="宋体" w:cs="宋体"/>
                <w:b/>
                <w:szCs w:val="21"/>
                <w:highlight w:val="none"/>
              </w:rPr>
              <w:t>编  列  内  容</w:t>
            </w:r>
          </w:p>
        </w:tc>
      </w:tr>
      <w:tr w14:paraId="399B8822">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0EA00D87">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1</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24588F4B">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招标人</w:t>
            </w:r>
          </w:p>
        </w:tc>
        <w:tc>
          <w:tcPr>
            <w:tcW w:w="7251" w:type="dxa"/>
            <w:tcBorders>
              <w:top w:val="single" w:color="auto" w:sz="4" w:space="0"/>
              <w:left w:val="single" w:color="auto" w:sz="4" w:space="0"/>
              <w:bottom w:val="single" w:color="auto" w:sz="4" w:space="0"/>
              <w:right w:val="single" w:color="auto" w:sz="4" w:space="0"/>
            </w:tcBorders>
            <w:noWrap/>
            <w:vAlign w:val="center"/>
          </w:tcPr>
          <w:p w14:paraId="10407BB1">
            <w:pPr>
              <w:pStyle w:val="93"/>
              <w:keepNext w:val="0"/>
              <w:keepLines w:val="0"/>
              <w:pageBreakBefore w:val="0"/>
              <w:kinsoku/>
              <w:wordWrap/>
              <w:overflowPunct/>
              <w:autoSpaceDN/>
              <w:bidi w:val="0"/>
              <w:adjustRightInd w:val="0"/>
              <w:snapToGrid w:val="0"/>
              <w:spacing w:line="400" w:lineRule="exact"/>
              <w:jc w:val="left"/>
              <w:textAlignment w:val="auto"/>
              <w:rPr>
                <w:rFonts w:hint="eastAsia" w:eastAsia="宋体"/>
                <w:kern w:val="2"/>
                <w:sz w:val="21"/>
                <w:szCs w:val="21"/>
                <w:highlight w:val="none"/>
                <w:lang w:eastAsia="zh-CN"/>
              </w:rPr>
            </w:pPr>
            <w:r>
              <w:rPr>
                <w:rFonts w:hint="eastAsia" w:ascii="宋体" w:hAnsi="宋体" w:cs="宋体"/>
                <w:color w:val="auto"/>
                <w:sz w:val="21"/>
                <w:szCs w:val="21"/>
                <w:highlight w:val="none"/>
              </w:rPr>
              <w:t>见招标公告</w:t>
            </w:r>
          </w:p>
        </w:tc>
      </w:tr>
      <w:tr w14:paraId="2BB50941">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27F2ABC2">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2</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088F0F11">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招标代理机构</w:t>
            </w:r>
          </w:p>
        </w:tc>
        <w:tc>
          <w:tcPr>
            <w:tcW w:w="7251" w:type="dxa"/>
            <w:tcBorders>
              <w:top w:val="single" w:color="auto" w:sz="4" w:space="0"/>
              <w:left w:val="single" w:color="auto" w:sz="4" w:space="0"/>
              <w:bottom w:val="single" w:color="auto" w:sz="4" w:space="0"/>
              <w:right w:val="single" w:color="auto" w:sz="4" w:space="0"/>
            </w:tcBorders>
            <w:noWrap/>
            <w:vAlign w:val="center"/>
          </w:tcPr>
          <w:p w14:paraId="10F9436F">
            <w:pPr>
              <w:keepNext w:val="0"/>
              <w:keepLines w:val="0"/>
              <w:pageBreakBefore w:val="0"/>
              <w:kinsoku/>
              <w:wordWrap/>
              <w:overflowPunct/>
              <w:autoSpaceDN/>
              <w:bidi w:val="0"/>
              <w:adjustRightInd w:val="0"/>
              <w:snapToGrid w:val="0"/>
              <w:spacing w:line="400" w:lineRule="exact"/>
              <w:textAlignment w:val="auto"/>
              <w:rPr>
                <w:rFonts w:hint="default" w:ascii="宋体" w:hAnsi="宋体" w:eastAsia="宋体" w:cs="宋体"/>
                <w:szCs w:val="21"/>
                <w:highlight w:val="none"/>
                <w:lang w:val="en-US" w:eastAsia="zh-CN"/>
              </w:rPr>
            </w:pPr>
            <w:r>
              <w:rPr>
                <w:rFonts w:hint="eastAsia" w:ascii="宋体" w:hAnsi="宋体" w:cs="宋体"/>
                <w:color w:val="auto"/>
                <w:sz w:val="21"/>
                <w:szCs w:val="21"/>
                <w:highlight w:val="none"/>
              </w:rPr>
              <w:t>见招标公告</w:t>
            </w:r>
          </w:p>
        </w:tc>
      </w:tr>
      <w:tr w14:paraId="6E88FEC4">
        <w:tblPrEx>
          <w:tblCellMar>
            <w:top w:w="0" w:type="dxa"/>
            <w:left w:w="108" w:type="dxa"/>
            <w:bottom w:w="0" w:type="dxa"/>
            <w:right w:w="108" w:type="dxa"/>
          </w:tblCellMar>
        </w:tblPrEx>
        <w:trPr>
          <w:trHeight w:val="520"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6B21D750">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3</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1C1999A0">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项目名称</w:t>
            </w:r>
          </w:p>
        </w:tc>
        <w:tc>
          <w:tcPr>
            <w:tcW w:w="7251" w:type="dxa"/>
            <w:tcBorders>
              <w:top w:val="single" w:color="auto" w:sz="4" w:space="0"/>
              <w:left w:val="single" w:color="auto" w:sz="4" w:space="0"/>
              <w:bottom w:val="single" w:color="auto" w:sz="4" w:space="0"/>
              <w:right w:val="single" w:color="auto" w:sz="4" w:space="0"/>
            </w:tcBorders>
            <w:noWrap/>
            <w:vAlign w:val="center"/>
          </w:tcPr>
          <w:p w14:paraId="3CF94C9C">
            <w:pPr>
              <w:keepNext w:val="0"/>
              <w:keepLines w:val="0"/>
              <w:pageBreakBefore w:val="0"/>
              <w:kinsoku/>
              <w:wordWrap/>
              <w:overflowPunct/>
              <w:autoSpaceDN/>
              <w:bidi w:val="0"/>
              <w:adjustRightInd w:val="0"/>
              <w:snapToGrid w:val="0"/>
              <w:spacing w:line="400" w:lineRule="exact"/>
              <w:textAlignment w:val="auto"/>
              <w:rPr>
                <w:rFonts w:hint="eastAsia" w:ascii="宋体" w:hAnsi="宋体" w:eastAsia="宋体" w:cs="宋体"/>
                <w:szCs w:val="21"/>
                <w:highlight w:val="none"/>
                <w:lang w:eastAsia="zh-CN"/>
              </w:rPr>
            </w:pPr>
            <w:r>
              <w:rPr>
                <w:rFonts w:hint="eastAsia" w:ascii="宋体" w:hAnsi="宋体" w:cs="宋体"/>
                <w:color w:val="auto"/>
                <w:sz w:val="21"/>
                <w:szCs w:val="21"/>
                <w:highlight w:val="none"/>
              </w:rPr>
              <w:t>见招标公告</w:t>
            </w:r>
          </w:p>
        </w:tc>
      </w:tr>
      <w:tr w14:paraId="0D5FE2EA">
        <w:tblPrEx>
          <w:tblCellMar>
            <w:top w:w="0" w:type="dxa"/>
            <w:left w:w="108" w:type="dxa"/>
            <w:bottom w:w="0" w:type="dxa"/>
            <w:right w:w="108" w:type="dxa"/>
          </w:tblCellMar>
        </w:tblPrEx>
        <w:trPr>
          <w:trHeight w:val="500"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1C8FAF44">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4</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50A58F76">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建设地点</w:t>
            </w:r>
          </w:p>
        </w:tc>
        <w:tc>
          <w:tcPr>
            <w:tcW w:w="7251" w:type="dxa"/>
            <w:tcBorders>
              <w:top w:val="single" w:color="auto" w:sz="4" w:space="0"/>
              <w:left w:val="single" w:color="auto" w:sz="4" w:space="0"/>
              <w:bottom w:val="single" w:color="auto" w:sz="4" w:space="0"/>
              <w:right w:val="single" w:color="auto" w:sz="4" w:space="0"/>
            </w:tcBorders>
            <w:noWrap/>
            <w:vAlign w:val="center"/>
          </w:tcPr>
          <w:p w14:paraId="7B346AFB">
            <w:pPr>
              <w:keepNext w:val="0"/>
              <w:keepLines w:val="0"/>
              <w:pageBreakBefore w:val="0"/>
              <w:kinsoku/>
              <w:wordWrap/>
              <w:overflowPunct/>
              <w:autoSpaceDN/>
              <w:bidi w:val="0"/>
              <w:adjustRightInd w:val="0"/>
              <w:snapToGrid w:val="0"/>
              <w:spacing w:line="400" w:lineRule="exact"/>
              <w:textAlignment w:val="auto"/>
              <w:rPr>
                <w:rFonts w:ascii="宋体" w:hAnsi="宋体" w:cs="宋体"/>
                <w:szCs w:val="21"/>
                <w:highlight w:val="none"/>
              </w:rPr>
            </w:pPr>
            <w:r>
              <w:rPr>
                <w:rFonts w:hint="eastAsia" w:ascii="宋体" w:hAnsi="宋体" w:cs="宋体"/>
                <w:color w:val="auto"/>
                <w:sz w:val="21"/>
                <w:szCs w:val="21"/>
                <w:highlight w:val="none"/>
              </w:rPr>
              <w:t>见招标公告</w:t>
            </w:r>
          </w:p>
        </w:tc>
      </w:tr>
      <w:tr w14:paraId="27E33739">
        <w:tblPrEx>
          <w:tblCellMar>
            <w:top w:w="0" w:type="dxa"/>
            <w:left w:w="108" w:type="dxa"/>
            <w:bottom w:w="0" w:type="dxa"/>
            <w:right w:w="108" w:type="dxa"/>
          </w:tblCellMar>
        </w:tblPrEx>
        <w:trPr>
          <w:trHeight w:val="555"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76EAEC26">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5</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2CEC5559">
            <w:pPr>
              <w:keepNext w:val="0"/>
              <w:keepLines w:val="0"/>
              <w:pageBreakBefore w:val="0"/>
              <w:kinsoku/>
              <w:wordWrap/>
              <w:overflowPunct/>
              <w:autoSpaceDN/>
              <w:bidi w:val="0"/>
              <w:adjustRightInd w:val="0"/>
              <w:snapToGrid w:val="0"/>
              <w:spacing w:line="400" w:lineRule="exact"/>
              <w:jc w:val="center"/>
              <w:textAlignment w:val="auto"/>
              <w:rPr>
                <w:rFonts w:ascii="宋体" w:hAnsi="宋体" w:cs="宋体"/>
                <w:szCs w:val="21"/>
                <w:highlight w:val="none"/>
              </w:rPr>
            </w:pPr>
            <w:r>
              <w:rPr>
                <w:rFonts w:hint="eastAsia" w:ascii="宋体" w:hAnsi="宋体" w:cs="宋体"/>
                <w:color w:val="auto"/>
                <w:sz w:val="21"/>
                <w:szCs w:val="21"/>
                <w:highlight w:val="none"/>
              </w:rPr>
              <w:t>资金落实情况</w:t>
            </w:r>
          </w:p>
        </w:tc>
        <w:tc>
          <w:tcPr>
            <w:tcW w:w="7251" w:type="dxa"/>
            <w:tcBorders>
              <w:top w:val="single" w:color="auto" w:sz="4" w:space="0"/>
              <w:left w:val="single" w:color="auto" w:sz="4" w:space="0"/>
              <w:bottom w:val="single" w:color="auto" w:sz="4" w:space="0"/>
              <w:right w:val="single" w:color="auto" w:sz="4" w:space="0"/>
            </w:tcBorders>
            <w:noWrap/>
            <w:vAlign w:val="center"/>
          </w:tcPr>
          <w:p w14:paraId="60460FF1">
            <w:pPr>
              <w:keepNext w:val="0"/>
              <w:keepLines w:val="0"/>
              <w:pageBreakBefore w:val="0"/>
              <w:kinsoku/>
              <w:wordWrap/>
              <w:overflowPunct/>
              <w:autoSpaceDN/>
              <w:bidi w:val="0"/>
              <w:adjustRightInd w:val="0"/>
              <w:snapToGrid w:val="0"/>
              <w:spacing w:line="400" w:lineRule="exact"/>
              <w:textAlignment w:val="auto"/>
              <w:rPr>
                <w:rFonts w:ascii="宋体" w:hAnsi="宋体" w:cs="宋体"/>
                <w:szCs w:val="21"/>
                <w:highlight w:val="none"/>
              </w:rPr>
            </w:pPr>
            <w:r>
              <w:rPr>
                <w:rFonts w:hint="eastAsia" w:ascii="宋体" w:hAnsi="宋体" w:cs="宋体"/>
                <w:color w:val="auto"/>
                <w:sz w:val="21"/>
                <w:szCs w:val="21"/>
                <w:highlight w:val="none"/>
                <w:lang w:val="en-US" w:eastAsia="zh-CN"/>
              </w:rPr>
              <w:t>已落实</w:t>
            </w:r>
          </w:p>
        </w:tc>
      </w:tr>
      <w:tr w14:paraId="64D296C6">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6B0EC8E8">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6</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6516917A">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招标范围</w:t>
            </w:r>
          </w:p>
        </w:tc>
        <w:tc>
          <w:tcPr>
            <w:tcW w:w="7251" w:type="dxa"/>
            <w:tcBorders>
              <w:top w:val="single" w:color="auto" w:sz="4" w:space="0"/>
              <w:left w:val="single" w:color="auto" w:sz="4" w:space="0"/>
              <w:bottom w:val="single" w:color="auto" w:sz="4" w:space="0"/>
              <w:right w:val="single" w:color="auto" w:sz="4" w:space="0"/>
            </w:tcBorders>
            <w:noWrap/>
            <w:vAlign w:val="center"/>
          </w:tcPr>
          <w:p w14:paraId="6B3CA562">
            <w:pPr>
              <w:keepNext w:val="0"/>
              <w:keepLines w:val="0"/>
              <w:pageBreakBefore w:val="0"/>
              <w:kinsoku/>
              <w:wordWrap/>
              <w:overflowPunct/>
              <w:autoSpaceDN/>
              <w:bidi w:val="0"/>
              <w:spacing w:line="400" w:lineRule="exact"/>
              <w:textAlignment w:val="auto"/>
              <w:rPr>
                <w:rFonts w:ascii="宋体" w:hAnsi="宋体" w:cs="宋体"/>
                <w:szCs w:val="21"/>
                <w:highlight w:val="none"/>
              </w:rPr>
            </w:pPr>
            <w:r>
              <w:rPr>
                <w:rFonts w:hint="eastAsia"/>
                <w:color w:val="000000"/>
                <w:szCs w:val="21"/>
                <w:highlight w:val="none"/>
              </w:rPr>
              <w:t>详见招标公告</w:t>
            </w:r>
          </w:p>
        </w:tc>
      </w:tr>
      <w:tr w14:paraId="4195E0D5">
        <w:tblPrEx>
          <w:tblCellMar>
            <w:top w:w="0" w:type="dxa"/>
            <w:left w:w="108" w:type="dxa"/>
            <w:bottom w:w="0" w:type="dxa"/>
            <w:right w:w="108" w:type="dxa"/>
          </w:tblCellMar>
        </w:tblPrEx>
        <w:trPr>
          <w:trHeight w:val="496"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72ABF706">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7</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222F7482">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评标办法</w:t>
            </w:r>
          </w:p>
        </w:tc>
        <w:tc>
          <w:tcPr>
            <w:tcW w:w="7251" w:type="dxa"/>
            <w:tcBorders>
              <w:top w:val="single" w:color="auto" w:sz="4" w:space="0"/>
              <w:left w:val="single" w:color="auto" w:sz="4" w:space="0"/>
              <w:bottom w:val="single" w:color="auto" w:sz="4" w:space="0"/>
              <w:right w:val="single" w:color="auto" w:sz="4" w:space="0"/>
            </w:tcBorders>
            <w:noWrap/>
            <w:vAlign w:val="center"/>
          </w:tcPr>
          <w:p w14:paraId="340D66FF">
            <w:pPr>
              <w:pStyle w:val="93"/>
              <w:keepNext w:val="0"/>
              <w:keepLines w:val="0"/>
              <w:pageBreakBefore w:val="0"/>
              <w:kinsoku/>
              <w:wordWrap/>
              <w:overflowPunct/>
              <w:autoSpaceDN/>
              <w:bidi w:val="0"/>
              <w:spacing w:line="400" w:lineRule="exact"/>
              <w:textAlignment w:val="auto"/>
              <w:rPr>
                <w:rFonts w:ascii="宋体" w:hAnsi="宋体" w:cs="宋体"/>
                <w:highlight w:val="none"/>
              </w:rPr>
            </w:pPr>
            <w:r>
              <w:rPr>
                <w:rFonts w:hint="eastAsia" w:ascii="宋体" w:hAnsi="宋体" w:cs="宋体"/>
                <w:highlight w:val="none"/>
              </w:rPr>
              <w:t>综合评估法</w:t>
            </w:r>
          </w:p>
        </w:tc>
      </w:tr>
      <w:tr w14:paraId="6E44BA52">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2B12E6DA">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8</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49F9D96F">
            <w:pPr>
              <w:keepNext w:val="0"/>
              <w:keepLines w:val="0"/>
              <w:pageBreakBefore w:val="0"/>
              <w:kinsoku/>
              <w:wordWrap/>
              <w:overflowPunct/>
              <w:autoSpaceDN/>
              <w:bidi w:val="0"/>
              <w:spacing w:line="400" w:lineRule="exact"/>
              <w:jc w:val="center"/>
              <w:textAlignment w:val="auto"/>
              <w:rPr>
                <w:rFonts w:ascii="宋体" w:hAnsi="宋体" w:cs="宋体"/>
                <w:color w:val="auto"/>
                <w:szCs w:val="21"/>
                <w:highlight w:val="none"/>
              </w:rPr>
            </w:pPr>
            <w:r>
              <w:rPr>
                <w:rFonts w:hint="eastAsia" w:ascii="宋体" w:hAnsi="宋体" w:cs="宋体"/>
                <w:color w:val="auto"/>
                <w:szCs w:val="21"/>
                <w:highlight w:val="none"/>
              </w:rPr>
              <w:t>服务期限</w:t>
            </w:r>
          </w:p>
        </w:tc>
        <w:tc>
          <w:tcPr>
            <w:tcW w:w="7251" w:type="dxa"/>
            <w:tcBorders>
              <w:top w:val="single" w:color="auto" w:sz="4" w:space="0"/>
              <w:left w:val="single" w:color="auto" w:sz="4" w:space="0"/>
              <w:bottom w:val="single" w:color="auto" w:sz="4" w:space="0"/>
              <w:right w:val="single" w:color="auto" w:sz="4" w:space="0"/>
            </w:tcBorders>
            <w:noWrap/>
            <w:vAlign w:val="center"/>
          </w:tcPr>
          <w:p w14:paraId="41AAB377">
            <w:pPr>
              <w:keepNext w:val="0"/>
              <w:keepLines w:val="0"/>
              <w:pageBreakBefore w:val="0"/>
              <w:kinsoku/>
              <w:wordWrap/>
              <w:overflowPunct/>
              <w:autoSpaceDN/>
              <w:bidi w:val="0"/>
              <w:spacing w:line="400" w:lineRule="exact"/>
              <w:textAlignment w:val="auto"/>
              <w:rPr>
                <w:rFonts w:ascii="宋体" w:hAnsi="宋体" w:cs="宋体"/>
                <w:color w:val="auto"/>
                <w:szCs w:val="21"/>
                <w:highlight w:val="none"/>
              </w:rPr>
            </w:pPr>
            <w:r>
              <w:rPr>
                <w:rFonts w:hint="eastAsia"/>
                <w:color w:val="000000"/>
                <w:szCs w:val="21"/>
                <w:highlight w:val="none"/>
              </w:rPr>
              <w:t>详见招标公告</w:t>
            </w:r>
          </w:p>
        </w:tc>
      </w:tr>
      <w:tr w14:paraId="4024D16D">
        <w:tblPrEx>
          <w:tblCellMar>
            <w:top w:w="0" w:type="dxa"/>
            <w:left w:w="108" w:type="dxa"/>
            <w:bottom w:w="0" w:type="dxa"/>
            <w:right w:w="108" w:type="dxa"/>
          </w:tblCellMar>
        </w:tblPrEx>
        <w:trPr>
          <w:trHeight w:val="420"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52B29A18">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9</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10FB8891">
            <w:pPr>
              <w:keepNext w:val="0"/>
              <w:keepLines w:val="0"/>
              <w:pageBreakBefore w:val="0"/>
              <w:kinsoku/>
              <w:wordWrap/>
              <w:overflowPunct/>
              <w:autoSpaceDN/>
              <w:bidi w:val="0"/>
              <w:spacing w:line="400" w:lineRule="exact"/>
              <w:jc w:val="center"/>
              <w:textAlignment w:val="auto"/>
              <w:rPr>
                <w:rFonts w:ascii="宋体" w:hAnsi="宋体" w:cs="宋体"/>
                <w:color w:val="FF0000"/>
                <w:szCs w:val="21"/>
                <w:highlight w:val="none"/>
              </w:rPr>
            </w:pPr>
            <w:r>
              <w:rPr>
                <w:rFonts w:hint="eastAsia" w:ascii="宋体" w:hAnsi="宋体" w:cs="宋体"/>
                <w:szCs w:val="21"/>
                <w:highlight w:val="none"/>
              </w:rPr>
              <w:t>质量要求</w:t>
            </w:r>
          </w:p>
        </w:tc>
        <w:tc>
          <w:tcPr>
            <w:tcW w:w="7251" w:type="dxa"/>
            <w:tcBorders>
              <w:top w:val="single" w:color="auto" w:sz="4" w:space="0"/>
              <w:left w:val="single" w:color="auto" w:sz="4" w:space="0"/>
              <w:bottom w:val="single" w:color="auto" w:sz="4" w:space="0"/>
              <w:right w:val="single" w:color="auto" w:sz="4" w:space="0"/>
            </w:tcBorders>
            <w:noWrap/>
            <w:vAlign w:val="center"/>
          </w:tcPr>
          <w:p w14:paraId="222B8DA3">
            <w:pPr>
              <w:keepNext w:val="0"/>
              <w:keepLines w:val="0"/>
              <w:pageBreakBefore w:val="0"/>
              <w:kinsoku/>
              <w:wordWrap/>
              <w:overflowPunct/>
              <w:autoSpaceDN/>
              <w:bidi w:val="0"/>
              <w:spacing w:line="400" w:lineRule="exact"/>
              <w:textAlignment w:val="auto"/>
              <w:rPr>
                <w:rFonts w:ascii="宋体" w:hAnsi="宋体" w:cs="宋体"/>
                <w:szCs w:val="21"/>
                <w:highlight w:val="none"/>
              </w:rPr>
            </w:pPr>
            <w:r>
              <w:rPr>
                <w:rFonts w:hint="eastAsia" w:ascii="宋体" w:hAnsi="宋体" w:cs="宋体"/>
                <w:kern w:val="0"/>
                <w:szCs w:val="21"/>
              </w:rPr>
              <w:t>必须符合国家强制性规范、条文、标准和招标文件要求</w:t>
            </w:r>
          </w:p>
        </w:tc>
      </w:tr>
      <w:tr w14:paraId="0610F1B6">
        <w:tblPrEx>
          <w:tblCellMar>
            <w:top w:w="0" w:type="dxa"/>
            <w:left w:w="108" w:type="dxa"/>
            <w:bottom w:w="0" w:type="dxa"/>
            <w:right w:w="108" w:type="dxa"/>
          </w:tblCellMar>
        </w:tblPrEx>
        <w:trPr>
          <w:trHeight w:val="90" w:hRule="atLeast"/>
          <w:jc w:val="center"/>
        </w:trPr>
        <w:tc>
          <w:tcPr>
            <w:tcW w:w="868" w:type="dxa"/>
            <w:vMerge w:val="restart"/>
            <w:tcBorders>
              <w:top w:val="single" w:color="auto" w:sz="4" w:space="0"/>
              <w:left w:val="single" w:color="auto" w:sz="4" w:space="0"/>
              <w:bottom w:val="single" w:color="auto" w:sz="4" w:space="0"/>
              <w:right w:val="single" w:color="auto" w:sz="4" w:space="0"/>
            </w:tcBorders>
            <w:noWrap/>
            <w:vAlign w:val="center"/>
          </w:tcPr>
          <w:p w14:paraId="6499B10A">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10</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27F75B5F">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投标人资质条件、能力和信誉</w:t>
            </w:r>
          </w:p>
        </w:tc>
        <w:tc>
          <w:tcPr>
            <w:tcW w:w="7251" w:type="dxa"/>
            <w:tcBorders>
              <w:top w:val="single" w:color="auto" w:sz="4" w:space="0"/>
              <w:left w:val="single" w:color="auto" w:sz="4" w:space="0"/>
              <w:bottom w:val="single" w:color="auto" w:sz="4" w:space="0"/>
              <w:right w:val="single" w:color="auto" w:sz="4" w:space="0"/>
            </w:tcBorders>
            <w:noWrap/>
            <w:vAlign w:val="center"/>
          </w:tcPr>
          <w:p w14:paraId="79A1E5A2">
            <w:pPr>
              <w:keepNext w:val="0"/>
              <w:keepLines w:val="0"/>
              <w:pageBreakBefore w:val="0"/>
              <w:kinsoku/>
              <w:wordWrap/>
              <w:overflowPunct/>
              <w:autoSpaceDN/>
              <w:bidi w:val="0"/>
              <w:spacing w:line="400" w:lineRule="exact"/>
              <w:textAlignment w:val="auto"/>
              <w:rPr>
                <w:rFonts w:hint="eastAsia" w:ascii="宋体" w:hAnsi="宋体" w:cs="宋体"/>
                <w:kern w:val="0"/>
                <w:szCs w:val="21"/>
                <w:highlight w:val="none"/>
              </w:rPr>
            </w:pPr>
            <w:r>
              <w:rPr>
                <w:rFonts w:hint="eastAsia" w:ascii="宋体" w:hAnsi="宋体" w:cs="宋体"/>
                <w:kern w:val="0"/>
                <w:szCs w:val="21"/>
                <w:highlight w:val="none"/>
              </w:rPr>
              <w:t>详见招标公告信息</w:t>
            </w:r>
          </w:p>
        </w:tc>
      </w:tr>
      <w:tr w14:paraId="34CDA60C">
        <w:tblPrEx>
          <w:tblCellMar>
            <w:top w:w="0" w:type="dxa"/>
            <w:left w:w="108" w:type="dxa"/>
            <w:bottom w:w="0" w:type="dxa"/>
            <w:right w:w="108" w:type="dxa"/>
          </w:tblCellMar>
        </w:tblPrEx>
        <w:trPr>
          <w:trHeight w:val="575" w:hRule="atLeast"/>
          <w:jc w:val="center"/>
        </w:trPr>
        <w:tc>
          <w:tcPr>
            <w:tcW w:w="868" w:type="dxa"/>
            <w:vMerge w:val="continue"/>
            <w:tcBorders>
              <w:top w:val="single" w:color="auto" w:sz="4" w:space="0"/>
              <w:left w:val="single" w:color="auto" w:sz="4" w:space="0"/>
              <w:bottom w:val="single" w:color="auto" w:sz="4" w:space="0"/>
              <w:right w:val="single" w:color="auto" w:sz="4" w:space="0"/>
            </w:tcBorders>
            <w:noWrap/>
            <w:vAlign w:val="center"/>
          </w:tcPr>
          <w:p w14:paraId="193EBDFC">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7BC1C102">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招标文件发布时间：</w:t>
            </w:r>
          </w:p>
        </w:tc>
        <w:tc>
          <w:tcPr>
            <w:tcW w:w="7251" w:type="dxa"/>
            <w:tcBorders>
              <w:top w:val="single" w:color="auto" w:sz="4" w:space="0"/>
              <w:left w:val="single" w:color="auto" w:sz="4" w:space="0"/>
              <w:bottom w:val="single" w:color="auto" w:sz="4" w:space="0"/>
              <w:right w:val="single" w:color="auto" w:sz="4" w:space="0"/>
            </w:tcBorders>
            <w:noWrap/>
            <w:vAlign w:val="center"/>
          </w:tcPr>
          <w:p w14:paraId="00E3B91B">
            <w:pPr>
              <w:keepNext w:val="0"/>
              <w:keepLines w:val="0"/>
              <w:pageBreakBefore w:val="0"/>
              <w:kinsoku/>
              <w:wordWrap/>
              <w:overflowPunct/>
              <w:autoSpaceDN/>
              <w:bidi w:val="0"/>
              <w:spacing w:line="400" w:lineRule="exact"/>
              <w:textAlignment w:val="auto"/>
              <w:rPr>
                <w:rFonts w:hint="eastAsia" w:ascii="宋体" w:hAnsi="宋体" w:cs="宋体"/>
                <w:kern w:val="0"/>
                <w:szCs w:val="21"/>
                <w:highlight w:val="none"/>
              </w:rPr>
            </w:pPr>
            <w:r>
              <w:rPr>
                <w:rFonts w:hint="eastAsia" w:ascii="宋体" w:hAnsi="宋体" w:cs="宋体"/>
                <w:kern w:val="0"/>
                <w:szCs w:val="21"/>
                <w:highlight w:val="none"/>
              </w:rPr>
              <w:t>详见招标公告信息</w:t>
            </w:r>
          </w:p>
        </w:tc>
      </w:tr>
      <w:tr w14:paraId="52E33D5B">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22885CC7">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11</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04E7DF90">
            <w:pPr>
              <w:keepNext w:val="0"/>
              <w:keepLines w:val="0"/>
              <w:pageBreakBefore w:val="0"/>
              <w:kinsoku/>
              <w:wordWrap/>
              <w:overflowPunct/>
              <w:autoSpaceDN/>
              <w:bidi w:val="0"/>
              <w:spacing w:line="400" w:lineRule="exact"/>
              <w:jc w:val="center"/>
              <w:textAlignment w:val="auto"/>
              <w:rPr>
                <w:rFonts w:ascii="宋体" w:hAnsi="宋体" w:cs="宋体"/>
                <w:spacing w:val="-4"/>
                <w:kern w:val="0"/>
                <w:szCs w:val="21"/>
                <w:highlight w:val="none"/>
              </w:rPr>
            </w:pPr>
            <w:r>
              <w:rPr>
                <w:rFonts w:hint="eastAsia" w:ascii="宋体" w:hAnsi="宋体" w:cs="宋体"/>
                <w:spacing w:val="-4"/>
                <w:kern w:val="0"/>
                <w:szCs w:val="21"/>
                <w:highlight w:val="none"/>
              </w:rPr>
              <w:t>踏勘现场</w:t>
            </w:r>
          </w:p>
        </w:tc>
        <w:tc>
          <w:tcPr>
            <w:tcW w:w="7251" w:type="dxa"/>
            <w:tcBorders>
              <w:top w:val="single" w:color="auto" w:sz="4" w:space="0"/>
              <w:left w:val="single" w:color="auto" w:sz="4" w:space="0"/>
              <w:bottom w:val="single" w:color="auto" w:sz="4" w:space="0"/>
              <w:right w:val="single" w:color="auto" w:sz="4" w:space="0"/>
            </w:tcBorders>
            <w:noWrap/>
            <w:vAlign w:val="center"/>
          </w:tcPr>
          <w:p w14:paraId="2EB7922D">
            <w:pPr>
              <w:pStyle w:val="19"/>
              <w:keepNext w:val="0"/>
              <w:keepLines w:val="0"/>
              <w:pageBreakBefore w:val="0"/>
              <w:kinsoku/>
              <w:wordWrap/>
              <w:overflowPunct/>
              <w:topLinePunct/>
              <w:autoSpaceDN/>
              <w:bidi w:val="0"/>
              <w:spacing w:line="400" w:lineRule="exact"/>
              <w:textAlignment w:val="auto"/>
              <w:rPr>
                <w:rFonts w:hAnsi="宋体" w:cs="宋体"/>
                <w:spacing w:val="-4"/>
                <w:kern w:val="0"/>
                <w:sz w:val="21"/>
                <w:szCs w:val="21"/>
                <w:highlight w:val="none"/>
              </w:rPr>
            </w:pPr>
            <w:r>
              <w:rPr>
                <w:rFonts w:hint="eastAsia" w:hAnsi="宋体" w:cs="宋体"/>
                <w:sz w:val="21"/>
                <w:szCs w:val="21"/>
                <w:highlight w:val="none"/>
              </w:rPr>
              <w:t>☑</w:t>
            </w:r>
            <w:r>
              <w:rPr>
                <w:rFonts w:hint="eastAsia" w:hAnsi="宋体" w:cs="宋体"/>
                <w:spacing w:val="-4"/>
                <w:kern w:val="0"/>
                <w:sz w:val="21"/>
                <w:szCs w:val="21"/>
                <w:highlight w:val="none"/>
              </w:rPr>
              <w:t>不组织，投标人自行组织踏勘现场</w:t>
            </w:r>
            <w:r>
              <w:rPr>
                <w:rFonts w:hint="eastAsia" w:hAnsi="宋体" w:cs="宋体"/>
                <w:sz w:val="21"/>
                <w:szCs w:val="21"/>
                <w:highlight w:val="none"/>
              </w:rPr>
              <w:t>；□组织</w:t>
            </w:r>
          </w:p>
        </w:tc>
      </w:tr>
      <w:tr w14:paraId="5938BD5A">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4C77D58C">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12</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69FD36A4">
            <w:pPr>
              <w:keepNext w:val="0"/>
              <w:keepLines w:val="0"/>
              <w:pageBreakBefore w:val="0"/>
              <w:kinsoku/>
              <w:wordWrap/>
              <w:overflowPunct/>
              <w:autoSpaceDN/>
              <w:bidi w:val="0"/>
              <w:spacing w:line="400" w:lineRule="exact"/>
              <w:jc w:val="center"/>
              <w:textAlignment w:val="auto"/>
              <w:rPr>
                <w:rFonts w:ascii="宋体" w:hAnsi="宋体" w:cs="宋体"/>
                <w:spacing w:val="-4"/>
                <w:kern w:val="0"/>
                <w:szCs w:val="21"/>
                <w:highlight w:val="none"/>
              </w:rPr>
            </w:pPr>
            <w:r>
              <w:rPr>
                <w:rFonts w:hint="eastAsia" w:ascii="宋体" w:hAnsi="宋体" w:cs="宋体"/>
                <w:spacing w:val="-4"/>
                <w:kern w:val="0"/>
                <w:szCs w:val="21"/>
                <w:highlight w:val="none"/>
              </w:rPr>
              <w:t>投标预备会</w:t>
            </w:r>
          </w:p>
        </w:tc>
        <w:tc>
          <w:tcPr>
            <w:tcW w:w="7251" w:type="dxa"/>
            <w:tcBorders>
              <w:top w:val="single" w:color="auto" w:sz="4" w:space="0"/>
              <w:left w:val="single" w:color="auto" w:sz="4" w:space="0"/>
              <w:bottom w:val="single" w:color="auto" w:sz="4" w:space="0"/>
              <w:right w:val="single" w:color="auto" w:sz="4" w:space="0"/>
            </w:tcBorders>
            <w:noWrap/>
            <w:vAlign w:val="center"/>
          </w:tcPr>
          <w:p w14:paraId="3343207B">
            <w:pPr>
              <w:pStyle w:val="19"/>
              <w:keepNext w:val="0"/>
              <w:keepLines w:val="0"/>
              <w:pageBreakBefore w:val="0"/>
              <w:kinsoku/>
              <w:wordWrap/>
              <w:overflowPunct/>
              <w:topLinePunct/>
              <w:autoSpaceDN/>
              <w:bidi w:val="0"/>
              <w:spacing w:line="400" w:lineRule="exact"/>
              <w:textAlignment w:val="auto"/>
              <w:rPr>
                <w:rFonts w:hAnsi="宋体" w:cs="宋体"/>
                <w:spacing w:val="-4"/>
                <w:kern w:val="0"/>
                <w:sz w:val="21"/>
                <w:szCs w:val="21"/>
                <w:highlight w:val="none"/>
              </w:rPr>
            </w:pPr>
            <w:r>
              <w:rPr>
                <w:rFonts w:hint="eastAsia" w:hAnsi="宋体" w:cs="宋体"/>
                <w:sz w:val="21"/>
                <w:szCs w:val="21"/>
                <w:highlight w:val="none"/>
              </w:rPr>
              <w:t>☑</w:t>
            </w:r>
            <w:r>
              <w:rPr>
                <w:rFonts w:hint="eastAsia" w:hAnsi="宋体" w:cs="宋体"/>
                <w:spacing w:val="-4"/>
                <w:kern w:val="0"/>
                <w:sz w:val="21"/>
                <w:szCs w:val="21"/>
                <w:highlight w:val="none"/>
              </w:rPr>
              <w:t>不召开</w:t>
            </w:r>
            <w:r>
              <w:rPr>
                <w:rFonts w:hint="eastAsia" w:hAnsi="宋体" w:cs="宋体"/>
                <w:sz w:val="21"/>
                <w:szCs w:val="21"/>
                <w:highlight w:val="none"/>
              </w:rPr>
              <w:t>；□召开</w:t>
            </w:r>
          </w:p>
        </w:tc>
      </w:tr>
      <w:tr w14:paraId="1A706311">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72418457">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13</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111C62BE">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投标人提出问题的截止时间及方式</w:t>
            </w:r>
          </w:p>
        </w:tc>
        <w:tc>
          <w:tcPr>
            <w:tcW w:w="7251" w:type="dxa"/>
            <w:tcBorders>
              <w:top w:val="single" w:color="auto" w:sz="4" w:space="0"/>
              <w:left w:val="single" w:color="auto" w:sz="4" w:space="0"/>
              <w:bottom w:val="single" w:color="auto" w:sz="4" w:space="0"/>
              <w:right w:val="single" w:color="auto" w:sz="4" w:space="0"/>
            </w:tcBorders>
            <w:noWrap/>
            <w:vAlign w:val="center"/>
          </w:tcPr>
          <w:p w14:paraId="0FB0E6F2">
            <w:pPr>
              <w:pStyle w:val="24"/>
              <w:keepNext w:val="0"/>
              <w:keepLines w:val="0"/>
              <w:pageBreakBefore w:val="0"/>
              <w:kinsoku/>
              <w:wordWrap/>
              <w:overflowPunct/>
              <w:autoSpaceDN/>
              <w:bidi w:val="0"/>
              <w:spacing w:line="400" w:lineRule="exact"/>
              <w:textAlignment w:val="auto"/>
              <w:rPr>
                <w:rFonts w:hAnsi="宋体" w:cs="宋体"/>
                <w:szCs w:val="21"/>
                <w:highlight w:val="none"/>
              </w:rPr>
            </w:pPr>
            <w:r>
              <w:rPr>
                <w:rFonts w:hint="eastAsia" w:ascii="宋体" w:hAnsi="宋体" w:cs="宋体"/>
                <w:kern w:val="0"/>
                <w:szCs w:val="21"/>
                <w:highlight w:val="none"/>
              </w:rPr>
              <w:t>如投标人对招标文件有疑问，</w:t>
            </w:r>
            <w:r>
              <w:rPr>
                <w:rFonts w:hint="eastAsia" w:ascii="宋体" w:hAnsi="宋体" w:eastAsia="宋体" w:cs="宋体"/>
                <w:kern w:val="0"/>
                <w:szCs w:val="21"/>
                <w:highlight w:val="none"/>
              </w:rPr>
              <w:t>请于202</w:t>
            </w:r>
            <w:r>
              <w:rPr>
                <w:rFonts w:hint="eastAsia" w:ascii="宋体" w:hAnsi="宋体" w:cs="宋体"/>
                <w:kern w:val="0"/>
                <w:szCs w:val="21"/>
                <w:highlight w:val="none"/>
                <w:lang w:val="en-US" w:eastAsia="zh-CN"/>
              </w:rPr>
              <w:t>6</w:t>
            </w:r>
            <w:r>
              <w:rPr>
                <w:rFonts w:hint="eastAsia" w:ascii="宋体" w:hAnsi="宋体" w:eastAsia="宋体" w:cs="宋体"/>
                <w:kern w:val="0"/>
                <w:szCs w:val="21"/>
                <w:highlight w:val="none"/>
              </w:rPr>
              <w:t>年</w:t>
            </w:r>
            <w:r>
              <w:rPr>
                <w:rFonts w:hint="eastAsia" w:ascii="宋体" w:hAnsi="宋体" w:cs="宋体"/>
                <w:kern w:val="0"/>
                <w:szCs w:val="21"/>
                <w:highlight w:val="none"/>
                <w:lang w:val="en-US" w:eastAsia="zh-CN"/>
              </w:rPr>
              <w:t>10</w:t>
            </w:r>
            <w:r>
              <w:rPr>
                <w:rFonts w:hint="eastAsia" w:ascii="宋体" w:hAnsi="宋体" w:eastAsia="宋体" w:cs="宋体"/>
                <w:kern w:val="0"/>
                <w:szCs w:val="21"/>
                <w:highlight w:val="none"/>
              </w:rPr>
              <w:t>月</w:t>
            </w:r>
            <w:r>
              <w:rPr>
                <w:rFonts w:hint="eastAsia" w:ascii="宋体" w:hAnsi="宋体" w:cs="宋体"/>
                <w:kern w:val="0"/>
                <w:szCs w:val="21"/>
                <w:highlight w:val="none"/>
                <w:lang w:val="en-US" w:eastAsia="zh-CN"/>
              </w:rPr>
              <w:t>13</w:t>
            </w:r>
            <w:r>
              <w:rPr>
                <w:rFonts w:hint="eastAsia" w:ascii="宋体" w:hAnsi="宋体" w:eastAsia="宋体" w:cs="宋体"/>
                <w:kern w:val="0"/>
                <w:szCs w:val="21"/>
                <w:highlight w:val="none"/>
              </w:rPr>
              <w:t>日1</w:t>
            </w:r>
            <w:r>
              <w:rPr>
                <w:rFonts w:hint="eastAsia" w:ascii="宋体" w:hAnsi="宋体" w:cs="宋体"/>
                <w:kern w:val="0"/>
                <w:szCs w:val="21"/>
                <w:highlight w:val="none"/>
                <w:lang w:val="en-US" w:eastAsia="zh-CN"/>
              </w:rPr>
              <w:t>2</w:t>
            </w:r>
            <w:r>
              <w:rPr>
                <w:rFonts w:hint="eastAsia" w:ascii="宋体" w:hAnsi="宋体" w:eastAsia="宋体" w:cs="宋体"/>
                <w:kern w:val="0"/>
                <w:szCs w:val="21"/>
                <w:highlight w:val="none"/>
              </w:rPr>
              <w:t>时前</w:t>
            </w:r>
            <w:r>
              <w:rPr>
                <w:rFonts w:hint="eastAsia" w:ascii="宋体" w:hAnsi="宋体" w:eastAsia="宋体" w:cs="宋体"/>
                <w:color w:val="auto"/>
                <w:szCs w:val="21"/>
                <w:highlight w:val="none"/>
                <w:lang w:val="en-US" w:eastAsia="zh-CN"/>
              </w:rPr>
              <w:t>登录新点电子交易平台【滁州专区】线上提出</w:t>
            </w:r>
            <w:r>
              <w:rPr>
                <w:rFonts w:ascii="宋体" w:hAnsi="宋体" w:eastAsia="宋体" w:cs="宋体"/>
                <w:color w:val="auto"/>
                <w:highlight w:val="none"/>
              </w:rPr>
              <w:t>。</w:t>
            </w:r>
          </w:p>
        </w:tc>
      </w:tr>
      <w:tr w14:paraId="2634A732">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6D7940DC">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14</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0F9A4559">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招标人澄清的时间及方式</w:t>
            </w:r>
          </w:p>
        </w:tc>
        <w:tc>
          <w:tcPr>
            <w:tcW w:w="7251" w:type="dxa"/>
            <w:tcBorders>
              <w:top w:val="single" w:color="auto" w:sz="4" w:space="0"/>
              <w:left w:val="single" w:color="auto" w:sz="4" w:space="0"/>
              <w:bottom w:val="single" w:color="auto" w:sz="4" w:space="0"/>
              <w:right w:val="single" w:color="auto" w:sz="4" w:space="0"/>
            </w:tcBorders>
            <w:noWrap/>
            <w:vAlign w:val="center"/>
          </w:tcPr>
          <w:p w14:paraId="3EA44CCA">
            <w:pPr>
              <w:keepNext w:val="0"/>
              <w:keepLines w:val="0"/>
              <w:pageBreakBefore w:val="0"/>
              <w:kinsoku/>
              <w:wordWrap/>
              <w:overflowPunct/>
              <w:autoSpaceDN/>
              <w:bidi w:val="0"/>
              <w:spacing w:line="400" w:lineRule="exact"/>
              <w:textAlignment w:val="auto"/>
              <w:rPr>
                <w:rFonts w:ascii="宋体" w:hAnsi="宋体" w:cs="宋体"/>
                <w:szCs w:val="21"/>
                <w:highlight w:val="none"/>
              </w:rPr>
            </w:pPr>
            <w:r>
              <w:rPr>
                <w:rFonts w:hint="eastAsia" w:ascii="宋体" w:hAnsi="宋体" w:eastAsia="宋体" w:cs="宋体"/>
                <w:b w:val="0"/>
                <w:bCs w:val="0"/>
                <w:color w:val="000000"/>
                <w:kern w:val="2"/>
                <w:sz w:val="21"/>
                <w:szCs w:val="21"/>
                <w:highlight w:val="none"/>
                <w:u w:color="000000"/>
                <w:lang w:val="en-US" w:eastAsia="zh-CN" w:bidi="ar"/>
              </w:rPr>
              <w:t>招标人将在202</w:t>
            </w:r>
            <w:r>
              <w:rPr>
                <w:rFonts w:hint="eastAsia" w:ascii="宋体" w:hAnsi="宋体" w:cs="宋体"/>
                <w:b w:val="0"/>
                <w:bCs w:val="0"/>
                <w:color w:val="000000"/>
                <w:kern w:val="2"/>
                <w:sz w:val="21"/>
                <w:szCs w:val="21"/>
                <w:highlight w:val="none"/>
                <w:u w:color="000000"/>
                <w:lang w:val="en-US" w:eastAsia="zh-CN" w:bidi="ar"/>
              </w:rPr>
              <w:t>6</w:t>
            </w:r>
            <w:r>
              <w:rPr>
                <w:rFonts w:hint="eastAsia" w:ascii="宋体" w:hAnsi="宋体" w:eastAsia="宋体" w:cs="宋体"/>
                <w:b w:val="0"/>
                <w:bCs w:val="0"/>
                <w:color w:val="000000"/>
                <w:kern w:val="2"/>
                <w:sz w:val="21"/>
                <w:szCs w:val="21"/>
                <w:highlight w:val="none"/>
                <w:u w:color="000000"/>
                <w:lang w:val="en-US" w:eastAsia="zh-CN" w:bidi="ar"/>
              </w:rPr>
              <w:t>年</w:t>
            </w:r>
            <w:r>
              <w:rPr>
                <w:rFonts w:hint="eastAsia" w:ascii="宋体" w:hAnsi="宋体" w:cs="宋体"/>
                <w:b w:val="0"/>
                <w:bCs w:val="0"/>
                <w:color w:val="000000"/>
                <w:kern w:val="2"/>
                <w:sz w:val="21"/>
                <w:szCs w:val="21"/>
                <w:highlight w:val="none"/>
                <w:u w:color="000000"/>
                <w:lang w:val="en-US" w:eastAsia="zh-CN" w:bidi="ar"/>
              </w:rPr>
              <w:t>10</w:t>
            </w:r>
            <w:r>
              <w:rPr>
                <w:rFonts w:hint="eastAsia" w:ascii="宋体" w:hAnsi="宋体" w:eastAsia="宋体" w:cs="宋体"/>
                <w:b w:val="0"/>
                <w:bCs w:val="0"/>
                <w:color w:val="000000"/>
                <w:kern w:val="2"/>
                <w:sz w:val="21"/>
                <w:szCs w:val="21"/>
                <w:highlight w:val="none"/>
                <w:u w:color="000000"/>
                <w:lang w:val="en-US" w:eastAsia="zh-CN" w:bidi="ar"/>
              </w:rPr>
              <w:t>月</w:t>
            </w:r>
            <w:r>
              <w:rPr>
                <w:rFonts w:hint="eastAsia" w:ascii="宋体" w:hAnsi="宋体" w:cs="宋体"/>
                <w:b w:val="0"/>
                <w:bCs w:val="0"/>
                <w:color w:val="000000"/>
                <w:kern w:val="2"/>
                <w:sz w:val="21"/>
                <w:szCs w:val="21"/>
                <w:highlight w:val="none"/>
                <w:u w:color="000000"/>
                <w:lang w:val="en-US" w:eastAsia="zh-CN" w:bidi="ar"/>
              </w:rPr>
              <w:t>13</w:t>
            </w:r>
            <w:r>
              <w:rPr>
                <w:rFonts w:hint="eastAsia" w:ascii="宋体" w:hAnsi="宋体" w:eastAsia="宋体" w:cs="宋体"/>
                <w:b w:val="0"/>
                <w:bCs w:val="0"/>
                <w:color w:val="000000"/>
                <w:kern w:val="2"/>
                <w:sz w:val="21"/>
                <w:szCs w:val="21"/>
                <w:highlight w:val="none"/>
                <w:u w:color="000000"/>
                <w:lang w:val="en-US" w:eastAsia="zh-CN" w:bidi="ar"/>
              </w:rPr>
              <w:t>日17时后以澄清公告形式在滁州市城投工程咨询管理有限公司网站（</w:t>
            </w:r>
            <w:r>
              <w:rPr>
                <w:rFonts w:hint="eastAsia" w:ascii="宋体" w:hAnsi="宋体" w:cs="宋体"/>
                <w:b w:val="0"/>
                <w:bCs w:val="0"/>
                <w:color w:val="000000"/>
                <w:kern w:val="2"/>
                <w:sz w:val="21"/>
                <w:szCs w:val="21"/>
                <w:highlight w:val="none"/>
                <w:u w:color="000000"/>
                <w:lang w:val="en-US" w:eastAsia="zh-CN" w:bidi="ar"/>
              </w:rPr>
              <w:t>https://www.czctgczx.com/</w:t>
            </w:r>
            <w:r>
              <w:rPr>
                <w:rFonts w:hint="eastAsia" w:ascii="宋体" w:hAnsi="宋体" w:eastAsia="宋体" w:cs="宋体"/>
                <w:b w:val="0"/>
                <w:bCs w:val="0"/>
                <w:color w:val="000000"/>
                <w:kern w:val="2"/>
                <w:sz w:val="21"/>
                <w:szCs w:val="21"/>
                <w:highlight w:val="none"/>
                <w:u w:color="000000"/>
                <w:lang w:val="en-US" w:eastAsia="zh-CN" w:bidi="ar"/>
              </w:rPr>
              <w:t>）发布，但不指明澄清问题的来源。如果澄清内容影响投标文件编制的，将相应延长投标截止时间。</w:t>
            </w:r>
          </w:p>
        </w:tc>
      </w:tr>
      <w:tr w14:paraId="5AD99380">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6ACCAE51">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15</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56712731">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偏离</w:t>
            </w:r>
          </w:p>
        </w:tc>
        <w:tc>
          <w:tcPr>
            <w:tcW w:w="7251" w:type="dxa"/>
            <w:tcBorders>
              <w:top w:val="single" w:color="auto" w:sz="4" w:space="0"/>
              <w:left w:val="single" w:color="auto" w:sz="4" w:space="0"/>
              <w:bottom w:val="single" w:color="auto" w:sz="4" w:space="0"/>
              <w:right w:val="single" w:color="auto" w:sz="4" w:space="0"/>
            </w:tcBorders>
            <w:noWrap/>
            <w:vAlign w:val="center"/>
          </w:tcPr>
          <w:p w14:paraId="6F323E2E">
            <w:pPr>
              <w:pStyle w:val="19"/>
              <w:keepNext w:val="0"/>
              <w:keepLines w:val="0"/>
              <w:pageBreakBefore w:val="0"/>
              <w:kinsoku/>
              <w:wordWrap/>
              <w:overflowPunct/>
              <w:topLinePunct/>
              <w:autoSpaceDN/>
              <w:bidi w:val="0"/>
              <w:spacing w:line="400" w:lineRule="exact"/>
              <w:textAlignment w:val="auto"/>
              <w:rPr>
                <w:rFonts w:hAnsi="宋体" w:cs="宋体"/>
                <w:sz w:val="21"/>
                <w:szCs w:val="21"/>
                <w:highlight w:val="none"/>
              </w:rPr>
            </w:pPr>
            <w:r>
              <w:rPr>
                <w:rFonts w:hint="eastAsia"/>
                <w:highlight w:val="none"/>
              </w:rPr>
              <w:t>☑</w:t>
            </w:r>
            <w:r>
              <w:rPr>
                <w:rFonts w:hint="eastAsia" w:hAnsi="宋体" w:cs="宋体"/>
                <w:sz w:val="21"/>
                <w:szCs w:val="21"/>
                <w:highlight w:val="none"/>
              </w:rPr>
              <w:t>不允许；□允许</w:t>
            </w:r>
          </w:p>
        </w:tc>
      </w:tr>
      <w:tr w14:paraId="462F3D53">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361C0531">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16</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37653BA3">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构成招标文件的其他材料</w:t>
            </w:r>
          </w:p>
        </w:tc>
        <w:tc>
          <w:tcPr>
            <w:tcW w:w="7251" w:type="dxa"/>
            <w:tcBorders>
              <w:top w:val="single" w:color="auto" w:sz="4" w:space="0"/>
              <w:left w:val="single" w:color="auto" w:sz="4" w:space="0"/>
              <w:bottom w:val="single" w:color="auto" w:sz="4" w:space="0"/>
              <w:right w:val="single" w:color="auto" w:sz="4" w:space="0"/>
            </w:tcBorders>
            <w:noWrap/>
            <w:vAlign w:val="center"/>
          </w:tcPr>
          <w:p w14:paraId="07A7DB3C">
            <w:pPr>
              <w:keepNext w:val="0"/>
              <w:keepLines w:val="0"/>
              <w:pageBreakBefore w:val="0"/>
              <w:kinsoku/>
              <w:wordWrap/>
              <w:overflowPunct/>
              <w:autoSpaceDN/>
              <w:bidi w:val="0"/>
              <w:spacing w:line="400" w:lineRule="exact"/>
              <w:textAlignment w:val="auto"/>
              <w:rPr>
                <w:rFonts w:ascii="宋体" w:hAnsi="宋体" w:cs="宋体"/>
                <w:szCs w:val="21"/>
                <w:highlight w:val="none"/>
              </w:rPr>
            </w:pPr>
            <w:r>
              <w:rPr>
                <w:rFonts w:hint="eastAsia" w:ascii="宋体" w:hAnsi="宋体" w:cs="宋体"/>
                <w:szCs w:val="21"/>
                <w:highlight w:val="none"/>
              </w:rPr>
              <w:t>招标澄清答疑文件等。</w:t>
            </w:r>
          </w:p>
        </w:tc>
      </w:tr>
      <w:tr w14:paraId="132ABAE6">
        <w:tblPrEx>
          <w:tblCellMar>
            <w:top w:w="0" w:type="dxa"/>
            <w:left w:w="108" w:type="dxa"/>
            <w:bottom w:w="0" w:type="dxa"/>
            <w:right w:w="108" w:type="dxa"/>
          </w:tblCellMar>
        </w:tblPrEx>
        <w:trPr>
          <w:trHeight w:val="404"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69A34F72">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17</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0C04F206">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投标人要求澄清招标文件的截止时间及方式</w:t>
            </w:r>
          </w:p>
        </w:tc>
        <w:tc>
          <w:tcPr>
            <w:tcW w:w="7251" w:type="dxa"/>
            <w:tcBorders>
              <w:top w:val="single" w:color="auto" w:sz="4" w:space="0"/>
              <w:left w:val="single" w:color="auto" w:sz="4" w:space="0"/>
              <w:bottom w:val="single" w:color="auto" w:sz="4" w:space="0"/>
              <w:right w:val="single" w:color="auto" w:sz="4" w:space="0"/>
            </w:tcBorders>
            <w:noWrap/>
            <w:vAlign w:val="center"/>
          </w:tcPr>
          <w:p w14:paraId="11154714">
            <w:pPr>
              <w:keepNext w:val="0"/>
              <w:keepLines w:val="0"/>
              <w:pageBreakBefore w:val="0"/>
              <w:kinsoku/>
              <w:wordWrap/>
              <w:overflowPunct/>
              <w:autoSpaceDN/>
              <w:bidi w:val="0"/>
              <w:spacing w:line="400" w:lineRule="exact"/>
              <w:textAlignment w:val="auto"/>
              <w:rPr>
                <w:rFonts w:ascii="宋体" w:hAnsi="宋体" w:cs="宋体"/>
                <w:szCs w:val="21"/>
                <w:highlight w:val="none"/>
              </w:rPr>
            </w:pPr>
            <w:r>
              <w:rPr>
                <w:rFonts w:hint="eastAsia" w:ascii="宋体" w:hAnsi="宋体" w:cs="宋体"/>
                <w:szCs w:val="21"/>
                <w:highlight w:val="none"/>
              </w:rPr>
              <w:t>同本表第13条</w:t>
            </w:r>
          </w:p>
        </w:tc>
      </w:tr>
      <w:tr w14:paraId="2A3378D3">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349441D8">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18</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40782B1E">
            <w:pPr>
              <w:keepNext w:val="0"/>
              <w:keepLines w:val="0"/>
              <w:pageBreakBefore w:val="0"/>
              <w:kinsoku/>
              <w:wordWrap/>
              <w:overflowPunct/>
              <w:autoSpaceDN/>
              <w:bidi w:val="0"/>
              <w:spacing w:line="400" w:lineRule="exact"/>
              <w:jc w:val="center"/>
              <w:textAlignment w:val="auto"/>
              <w:rPr>
                <w:rFonts w:ascii="宋体" w:hAnsi="宋体" w:cs="宋体"/>
                <w:color w:val="auto"/>
                <w:szCs w:val="21"/>
                <w:highlight w:val="none"/>
              </w:rPr>
            </w:pPr>
            <w:r>
              <w:rPr>
                <w:rFonts w:hint="eastAsia" w:ascii="宋体" w:hAnsi="宋体" w:cs="宋体"/>
                <w:color w:val="auto"/>
                <w:szCs w:val="21"/>
                <w:highlight w:val="none"/>
              </w:rPr>
              <w:t>最高限价（费率）</w:t>
            </w:r>
          </w:p>
        </w:tc>
        <w:tc>
          <w:tcPr>
            <w:tcW w:w="7251" w:type="dxa"/>
            <w:tcBorders>
              <w:top w:val="single" w:color="auto" w:sz="4" w:space="0"/>
              <w:left w:val="single" w:color="auto" w:sz="4" w:space="0"/>
              <w:bottom w:val="single" w:color="auto" w:sz="4" w:space="0"/>
              <w:right w:val="single" w:color="auto" w:sz="4" w:space="0"/>
            </w:tcBorders>
            <w:noWrap/>
            <w:vAlign w:val="center"/>
          </w:tcPr>
          <w:p w14:paraId="632A9810">
            <w:pPr>
              <w:keepNext w:val="0"/>
              <w:keepLines w:val="0"/>
              <w:pageBreakBefore w:val="0"/>
              <w:numPr>
                <w:ilvl w:val="0"/>
                <w:numId w:val="0"/>
              </w:numPr>
              <w:kinsoku/>
              <w:wordWrap/>
              <w:overflowPunct/>
              <w:autoSpaceDN/>
              <w:bidi w:val="0"/>
              <w:spacing w:line="400" w:lineRule="exact"/>
              <w:ind w:leftChars="0"/>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1.基本费率2‰；审核成果费率1.50%（审核成果费率固定不变）。</w:t>
            </w:r>
          </w:p>
          <w:p w14:paraId="36C2C3C8">
            <w:pPr>
              <w:keepNext w:val="0"/>
              <w:keepLines w:val="0"/>
              <w:pageBreakBefore w:val="0"/>
              <w:numPr>
                <w:ilvl w:val="0"/>
                <w:numId w:val="0"/>
              </w:numPr>
              <w:kinsoku/>
              <w:wordWrap/>
              <w:overflowPunct/>
              <w:autoSpaceDN/>
              <w:bidi w:val="0"/>
              <w:spacing w:line="400" w:lineRule="exact"/>
              <w:ind w:leftChars="0"/>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注：报价时只需报基本费率，投标报价费率要求精确到小数点后第二位，如填报多位小数的，按小数点后第三位四舍五入修正投标报价费率（如：某投标报价费率为0.785‰，则修正为0.79‰；某投标报价费率为0.784‰，则修正为0.78‰）。</w:t>
            </w:r>
          </w:p>
          <w:p w14:paraId="33B1DB57">
            <w:pPr>
              <w:keepNext w:val="0"/>
              <w:keepLines w:val="0"/>
              <w:pageBreakBefore w:val="0"/>
              <w:numPr>
                <w:ilvl w:val="0"/>
                <w:numId w:val="0"/>
              </w:numPr>
              <w:kinsoku/>
              <w:wordWrap/>
              <w:overflowPunct/>
              <w:autoSpaceDN/>
              <w:bidi w:val="0"/>
              <w:spacing w:line="400" w:lineRule="exact"/>
              <w:ind w:leftChars="0"/>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2.商务报价得分按照各投标单位所报费率计算得出的审计费用参与计算。投标单位所报基本费率为0‰或负数的，其商务标不得分，且该报价所对应的审计费不得作为评标基准价。审计费用计算公式=所报基本费率</w:t>
            </w:r>
            <w:r>
              <w:rPr>
                <w:rFonts w:hint="default" w:ascii="宋体" w:hAnsi="宋体" w:eastAsia="宋体" w:cs="宋体"/>
                <w:color w:val="auto"/>
                <w:highlight w:val="none"/>
                <w:lang w:val="en-US" w:eastAsia="zh-CN"/>
              </w:rPr>
              <w:t>×</w:t>
            </w:r>
            <w:r>
              <w:rPr>
                <w:rFonts w:hint="eastAsia" w:ascii="宋体" w:hAnsi="宋体" w:eastAsia="宋体" w:cs="宋体"/>
                <w:color w:val="auto"/>
                <w:highlight w:val="none"/>
                <w:lang w:val="en-US" w:eastAsia="zh-CN"/>
              </w:rPr>
              <w:t>500万元+（500万元</w:t>
            </w:r>
            <w:r>
              <w:rPr>
                <w:rFonts w:hint="default" w:ascii="宋体" w:hAnsi="宋体" w:eastAsia="宋体" w:cs="宋体"/>
                <w:color w:val="auto"/>
                <w:highlight w:val="none"/>
                <w:lang w:val="en-US" w:eastAsia="zh-CN"/>
              </w:rPr>
              <w:t>×</w:t>
            </w:r>
            <w:r>
              <w:rPr>
                <w:rFonts w:hint="eastAsia" w:ascii="宋体" w:hAnsi="宋体" w:eastAsia="宋体" w:cs="宋体"/>
                <w:color w:val="auto"/>
                <w:highlight w:val="none"/>
                <w:lang w:val="en-US" w:eastAsia="zh-CN"/>
              </w:rPr>
              <w:t>5%）</w:t>
            </w:r>
            <w:r>
              <w:rPr>
                <w:rFonts w:hint="default" w:ascii="宋体" w:hAnsi="宋体" w:eastAsia="宋体" w:cs="宋体"/>
                <w:color w:val="auto"/>
                <w:highlight w:val="none"/>
                <w:lang w:val="en-US" w:eastAsia="zh-CN"/>
              </w:rPr>
              <w:t>×</w:t>
            </w:r>
            <w:r>
              <w:rPr>
                <w:rFonts w:hint="eastAsia" w:ascii="宋体" w:hAnsi="宋体" w:eastAsia="宋体" w:cs="宋体"/>
                <w:color w:val="auto"/>
                <w:highlight w:val="none"/>
                <w:lang w:val="en-US" w:eastAsia="zh-CN"/>
              </w:rPr>
              <w:t>1.5%。</w:t>
            </w:r>
          </w:p>
          <w:p w14:paraId="69ED9A5E">
            <w:pPr>
              <w:keepNext w:val="0"/>
              <w:keepLines w:val="0"/>
              <w:pageBreakBefore w:val="0"/>
              <w:numPr>
                <w:ilvl w:val="0"/>
                <w:numId w:val="0"/>
              </w:numPr>
              <w:kinsoku/>
              <w:wordWrap/>
              <w:overflowPunct/>
              <w:autoSpaceDN/>
              <w:bidi w:val="0"/>
              <w:spacing w:line="400" w:lineRule="exact"/>
              <w:ind w:leftChars="0"/>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注：①基本费用中的500万元仅为计算商务报价得分时审计费用的取费基数，最终结算基数以最终审定工程结算价为准。</w:t>
            </w:r>
          </w:p>
          <w:p w14:paraId="50C973D6">
            <w:pPr>
              <w:keepNext w:val="0"/>
              <w:keepLines w:val="0"/>
              <w:pageBreakBefore w:val="0"/>
              <w:numPr>
                <w:ilvl w:val="0"/>
                <w:numId w:val="0"/>
              </w:numPr>
              <w:kinsoku/>
              <w:wordWrap/>
              <w:overflowPunct/>
              <w:autoSpaceDN/>
              <w:bidi w:val="0"/>
              <w:spacing w:line="400" w:lineRule="exact"/>
              <w:ind w:leftChars="0"/>
              <w:textAlignment w:val="auto"/>
              <w:rPr>
                <w:rFonts w:hint="default"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②审核成果费中的（500万元</w:t>
            </w:r>
            <w:r>
              <w:rPr>
                <w:rFonts w:hint="default" w:ascii="宋体" w:hAnsi="宋体" w:eastAsia="宋体" w:cs="宋体"/>
                <w:color w:val="auto"/>
                <w:highlight w:val="none"/>
                <w:lang w:val="en-US" w:eastAsia="zh-CN"/>
              </w:rPr>
              <w:t>×</w:t>
            </w:r>
            <w:r>
              <w:rPr>
                <w:rFonts w:hint="eastAsia" w:ascii="宋体" w:hAnsi="宋体" w:eastAsia="宋体" w:cs="宋体"/>
                <w:color w:val="auto"/>
                <w:highlight w:val="none"/>
                <w:lang w:val="en-US" w:eastAsia="zh-CN"/>
              </w:rPr>
              <w:t>5%）仅为计算商务报价得分时审计费用的取费基数，最终结算基数以实际审减额为准。</w:t>
            </w:r>
          </w:p>
          <w:p w14:paraId="695448C8">
            <w:pPr>
              <w:keepNext w:val="0"/>
              <w:keepLines w:val="0"/>
              <w:pageBreakBefore w:val="0"/>
              <w:numPr>
                <w:ilvl w:val="0"/>
                <w:numId w:val="0"/>
              </w:numPr>
              <w:kinsoku/>
              <w:wordWrap/>
              <w:overflowPunct/>
              <w:autoSpaceDN/>
              <w:bidi w:val="0"/>
              <w:spacing w:line="400" w:lineRule="exact"/>
              <w:ind w:leftChars="0"/>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3.开评审过程中计算出的审计费用仅用作于商务报价计算得分，不作为合同价的依据。后期结算时以中标基本费率、最终审定工程结算价及实际审减额为基数计算。即最终审计费用=中标费率</w:t>
            </w:r>
            <w:r>
              <w:rPr>
                <w:rFonts w:hint="default" w:ascii="宋体" w:hAnsi="宋体" w:eastAsia="宋体" w:cs="宋体"/>
                <w:color w:val="auto"/>
                <w:highlight w:val="none"/>
                <w:lang w:val="en-US" w:eastAsia="zh-CN"/>
              </w:rPr>
              <w:t>×</w:t>
            </w:r>
            <w:r>
              <w:rPr>
                <w:rFonts w:hint="eastAsia" w:ascii="宋体" w:hAnsi="宋体" w:eastAsia="宋体" w:cs="宋体"/>
                <w:color w:val="auto"/>
                <w:highlight w:val="none"/>
                <w:lang w:val="en-US" w:eastAsia="zh-CN"/>
              </w:rPr>
              <w:t>各项目工程结算造价+（各项目工程结算造价</w:t>
            </w:r>
            <w:r>
              <w:rPr>
                <w:rFonts w:hint="default" w:ascii="宋体" w:hAnsi="宋体" w:eastAsia="宋体" w:cs="宋体"/>
                <w:color w:val="auto"/>
                <w:highlight w:val="none"/>
                <w:lang w:val="en-US" w:eastAsia="zh-CN"/>
              </w:rPr>
              <w:t>×</w:t>
            </w:r>
            <w:r>
              <w:rPr>
                <w:rFonts w:hint="eastAsia" w:ascii="宋体" w:hAnsi="宋体" w:eastAsia="宋体" w:cs="宋体"/>
                <w:color w:val="auto"/>
                <w:highlight w:val="none"/>
                <w:lang w:val="en-US" w:eastAsia="zh-CN"/>
              </w:rPr>
              <w:t>5%）</w:t>
            </w:r>
            <w:r>
              <w:rPr>
                <w:rFonts w:hint="default" w:ascii="宋体" w:hAnsi="宋体" w:eastAsia="宋体" w:cs="宋体"/>
                <w:color w:val="auto"/>
                <w:highlight w:val="none"/>
                <w:lang w:val="en-US" w:eastAsia="zh-CN"/>
              </w:rPr>
              <w:t>×</w:t>
            </w:r>
            <w:r>
              <w:rPr>
                <w:rFonts w:hint="eastAsia" w:ascii="宋体" w:hAnsi="宋体" w:eastAsia="宋体" w:cs="宋体"/>
                <w:color w:val="auto"/>
                <w:highlight w:val="none"/>
                <w:lang w:val="en-US" w:eastAsia="zh-CN"/>
              </w:rPr>
              <w:t>1.5%。</w:t>
            </w:r>
          </w:p>
          <w:p w14:paraId="2BA6419D">
            <w:pPr>
              <w:keepNext w:val="0"/>
              <w:keepLines w:val="0"/>
              <w:pageBreakBefore w:val="0"/>
              <w:numPr>
                <w:ilvl w:val="0"/>
                <w:numId w:val="0"/>
              </w:numPr>
              <w:kinsoku/>
              <w:wordWrap/>
              <w:overflowPunct/>
              <w:autoSpaceDN/>
              <w:bidi w:val="0"/>
              <w:spacing w:line="400" w:lineRule="exact"/>
              <w:ind w:leftChars="0"/>
              <w:textAlignment w:val="auto"/>
              <w:rPr>
                <w:rFonts w:hint="default"/>
                <w:lang w:val="en-US" w:eastAsia="zh-CN"/>
              </w:rPr>
            </w:pPr>
            <w:r>
              <w:rPr>
                <w:rFonts w:hint="eastAsia" w:ascii="宋体" w:hAnsi="宋体" w:eastAsia="宋体" w:cs="宋体"/>
                <w:color w:val="auto"/>
                <w:highlight w:val="none"/>
                <w:lang w:val="en-US" w:eastAsia="zh-CN"/>
              </w:rPr>
              <w:t>3.</w:t>
            </w:r>
            <w:r>
              <w:rPr>
                <w:rFonts w:hint="eastAsia" w:ascii="宋体" w:hAnsi="宋体" w:cs="宋体"/>
                <w:color w:val="auto"/>
                <w:highlight w:val="none"/>
                <w:lang w:val="en-US" w:eastAsia="zh-CN"/>
              </w:rPr>
              <w:t>合同履行期内各项目审计费用累计至28万元时</w:t>
            </w:r>
            <w:r>
              <w:rPr>
                <w:rFonts w:hint="eastAsia" w:ascii="宋体" w:hAnsi="宋体" w:eastAsia="宋体" w:cs="宋体"/>
                <w:color w:val="auto"/>
                <w:highlight w:val="none"/>
                <w:lang w:val="en-US" w:eastAsia="zh-CN"/>
              </w:rPr>
              <w:t>，完成履约项目后合同终止，正在履约的项目不做费用增加。</w:t>
            </w:r>
          </w:p>
        </w:tc>
      </w:tr>
      <w:tr w14:paraId="6F126AFB">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3A3375F5">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19</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58366841">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投标有效期</w:t>
            </w:r>
          </w:p>
        </w:tc>
        <w:tc>
          <w:tcPr>
            <w:tcW w:w="7251" w:type="dxa"/>
            <w:tcBorders>
              <w:top w:val="single" w:color="auto" w:sz="4" w:space="0"/>
              <w:left w:val="single" w:color="auto" w:sz="4" w:space="0"/>
              <w:bottom w:val="single" w:color="auto" w:sz="4" w:space="0"/>
              <w:right w:val="single" w:color="auto" w:sz="4" w:space="0"/>
            </w:tcBorders>
            <w:noWrap/>
            <w:vAlign w:val="center"/>
          </w:tcPr>
          <w:p w14:paraId="3E143A0C">
            <w:pPr>
              <w:keepNext w:val="0"/>
              <w:keepLines w:val="0"/>
              <w:pageBreakBefore w:val="0"/>
              <w:kinsoku/>
              <w:wordWrap/>
              <w:overflowPunct/>
              <w:autoSpaceDN/>
              <w:bidi w:val="0"/>
              <w:spacing w:line="400" w:lineRule="exact"/>
              <w:textAlignment w:val="auto"/>
              <w:rPr>
                <w:rFonts w:ascii="宋体" w:hAnsi="宋体" w:cs="宋体"/>
                <w:szCs w:val="21"/>
                <w:highlight w:val="none"/>
              </w:rPr>
            </w:pPr>
            <w:r>
              <w:rPr>
                <w:rFonts w:hint="eastAsia" w:ascii="宋体" w:hAnsi="宋体" w:cs="宋体"/>
                <w:szCs w:val="21"/>
                <w:highlight w:val="none"/>
              </w:rPr>
              <w:t>投标有效期为</w:t>
            </w:r>
            <w:r>
              <w:rPr>
                <w:rFonts w:hint="eastAsia" w:ascii="宋体" w:hAnsi="宋体" w:cs="宋体"/>
                <w:szCs w:val="21"/>
                <w:highlight w:val="none"/>
                <w:u w:val="single"/>
              </w:rPr>
              <w:t>90</w:t>
            </w:r>
            <w:r>
              <w:rPr>
                <w:rFonts w:hint="eastAsia" w:ascii="宋体" w:hAnsi="宋体" w:cs="宋体"/>
                <w:szCs w:val="21"/>
                <w:highlight w:val="none"/>
              </w:rPr>
              <w:t>日历天（从投标截止之日算起）。在此期限内，凡符合本招标文件要求的投标文件均保持有效。</w:t>
            </w:r>
          </w:p>
        </w:tc>
      </w:tr>
      <w:tr w14:paraId="45AEDE17">
        <w:tblPrEx>
          <w:tblCellMar>
            <w:top w:w="0" w:type="dxa"/>
            <w:left w:w="108" w:type="dxa"/>
            <w:bottom w:w="0" w:type="dxa"/>
            <w:right w:w="108" w:type="dxa"/>
          </w:tblCellMar>
        </w:tblPrEx>
        <w:trPr>
          <w:trHeight w:val="520"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4EB6B29F">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20</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60129E91">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投标保证金</w:t>
            </w:r>
          </w:p>
        </w:tc>
        <w:tc>
          <w:tcPr>
            <w:tcW w:w="7251" w:type="dxa"/>
            <w:tcBorders>
              <w:top w:val="single" w:color="auto" w:sz="4" w:space="0"/>
              <w:left w:val="single" w:color="auto" w:sz="4" w:space="0"/>
              <w:bottom w:val="single" w:color="auto" w:sz="4" w:space="0"/>
              <w:right w:val="single" w:color="auto" w:sz="4" w:space="0"/>
            </w:tcBorders>
            <w:noWrap/>
            <w:vAlign w:val="center"/>
          </w:tcPr>
          <w:p w14:paraId="28186690">
            <w:pPr>
              <w:keepNext w:val="0"/>
              <w:keepLines w:val="0"/>
              <w:pageBreakBefore w:val="0"/>
              <w:kinsoku/>
              <w:wordWrap/>
              <w:overflowPunct/>
              <w:autoSpaceDN/>
              <w:bidi w:val="0"/>
              <w:spacing w:line="400" w:lineRule="exact"/>
              <w:textAlignment w:val="auto"/>
              <w:rPr>
                <w:rFonts w:ascii="宋体" w:hAnsi="宋体" w:cs="宋体"/>
                <w:szCs w:val="21"/>
                <w:highlight w:val="none"/>
              </w:rPr>
            </w:pPr>
            <w:r>
              <w:rPr>
                <w:rFonts w:hint="eastAsia" w:ascii="宋体" w:hAnsi="宋体" w:cs="宋体"/>
                <w:szCs w:val="21"/>
                <w:highlight w:val="none"/>
              </w:rPr>
              <w:t>详见招标公告信息</w:t>
            </w:r>
          </w:p>
        </w:tc>
      </w:tr>
      <w:tr w14:paraId="6E11FCA3">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67399921">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21</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350DF28D">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签字或盖章要求</w:t>
            </w:r>
          </w:p>
        </w:tc>
        <w:tc>
          <w:tcPr>
            <w:tcW w:w="7251" w:type="dxa"/>
            <w:tcBorders>
              <w:top w:val="single" w:color="auto" w:sz="4" w:space="0"/>
              <w:left w:val="single" w:color="auto" w:sz="4" w:space="0"/>
              <w:bottom w:val="single" w:color="auto" w:sz="4" w:space="0"/>
              <w:right w:val="single" w:color="auto" w:sz="4" w:space="0"/>
            </w:tcBorders>
            <w:noWrap/>
            <w:vAlign w:val="center"/>
          </w:tcPr>
          <w:p w14:paraId="5AFD1E77">
            <w:pPr>
              <w:keepNext w:val="0"/>
              <w:keepLines w:val="0"/>
              <w:pageBreakBefore w:val="0"/>
              <w:kinsoku/>
              <w:wordWrap/>
              <w:overflowPunct/>
              <w:autoSpaceDN/>
              <w:bidi w:val="0"/>
              <w:spacing w:line="400" w:lineRule="exact"/>
              <w:textAlignment w:val="auto"/>
              <w:rPr>
                <w:rFonts w:ascii="宋体" w:hAnsi="宋体" w:cs="宋体"/>
                <w:szCs w:val="21"/>
                <w:highlight w:val="none"/>
              </w:rPr>
            </w:pPr>
            <w:r>
              <w:rPr>
                <w:rFonts w:hint="eastAsia" w:ascii="宋体" w:hAnsi="宋体" w:cs="宋体"/>
                <w:szCs w:val="21"/>
                <w:highlight w:val="none"/>
              </w:rPr>
              <w:t>投标文件须按格式文件要求签字或盖章。否则经评委会一致认定后，按照无效投标处理。</w:t>
            </w:r>
          </w:p>
        </w:tc>
      </w:tr>
      <w:tr w14:paraId="2A0476EF">
        <w:tblPrEx>
          <w:tblCellMar>
            <w:top w:w="0" w:type="dxa"/>
            <w:left w:w="108" w:type="dxa"/>
            <w:bottom w:w="0" w:type="dxa"/>
            <w:right w:w="108" w:type="dxa"/>
          </w:tblCellMar>
        </w:tblPrEx>
        <w:trPr>
          <w:trHeight w:val="0"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6596DF02">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22</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4CA3299E">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投标文件份数</w:t>
            </w:r>
          </w:p>
        </w:tc>
        <w:tc>
          <w:tcPr>
            <w:tcW w:w="7251" w:type="dxa"/>
            <w:tcBorders>
              <w:top w:val="single" w:color="auto" w:sz="4" w:space="0"/>
              <w:left w:val="single" w:color="auto" w:sz="4" w:space="0"/>
              <w:bottom w:val="single" w:color="auto" w:sz="4" w:space="0"/>
              <w:right w:val="single" w:color="auto" w:sz="4" w:space="0"/>
            </w:tcBorders>
            <w:noWrap/>
            <w:vAlign w:val="center"/>
          </w:tcPr>
          <w:p w14:paraId="1290CE46">
            <w:pPr>
              <w:pStyle w:val="14"/>
              <w:keepNext w:val="0"/>
              <w:keepLines w:val="0"/>
              <w:pageBreakBefore w:val="0"/>
              <w:widowControl/>
              <w:kinsoku/>
              <w:wordWrap w:val="0"/>
              <w:overflowPunct/>
              <w:topLinePunct w:val="0"/>
              <w:autoSpaceDE/>
              <w:autoSpaceDN/>
              <w:bidi w:val="0"/>
              <w:adjustRightInd/>
              <w:snapToGrid/>
              <w:spacing w:line="360" w:lineRule="exact"/>
              <w:ind w:left="0" w:leftChars="0" w:firstLine="0" w:firstLineChars="0"/>
              <w:textAlignment w:val="auto"/>
              <w:rPr>
                <w:rFonts w:hint="eastAsia" w:ascii="Times New Roman" w:hAnsi="Times New Roman" w:eastAsia="宋体" w:cs="Times New Roman"/>
                <w:highlight w:val="none"/>
                <w:lang w:val="en-US" w:eastAsia="zh-CN"/>
              </w:rPr>
            </w:pPr>
            <w:r>
              <w:rPr>
                <w:rFonts w:hint="eastAsia" w:cs="Times New Roman"/>
                <w:highlight w:val="none"/>
                <w:lang w:val="en-US" w:eastAsia="zh-CN"/>
              </w:rPr>
              <w:t>本项目仅接受投标人在投标截止时间前登录新点电子交易平台【滁州专区】（https://www.etrading.cn/BREpointSSO/login/oauth2login?regioncode=DQ_ChuZhou）交易系统递交的加密电子投标文件</w:t>
            </w:r>
            <w:r>
              <w:rPr>
                <w:rFonts w:hint="eastAsia" w:ascii="Times New Roman" w:hAnsi="Times New Roman" w:eastAsia="宋体" w:cs="Times New Roman"/>
                <w:highlight w:val="none"/>
                <w:lang w:val="en-US" w:eastAsia="zh-CN"/>
              </w:rPr>
              <w:t>。</w:t>
            </w:r>
          </w:p>
          <w:p w14:paraId="59E67BFB">
            <w:pPr>
              <w:pStyle w:val="14"/>
              <w:keepNext w:val="0"/>
              <w:keepLines w:val="0"/>
              <w:pageBreakBefore w:val="0"/>
              <w:kinsoku/>
              <w:wordWrap/>
              <w:overflowPunct/>
              <w:autoSpaceDN/>
              <w:bidi w:val="0"/>
              <w:spacing w:line="400" w:lineRule="exact"/>
              <w:ind w:left="0" w:leftChars="0" w:firstLine="0" w:firstLineChars="0"/>
              <w:textAlignment w:val="auto"/>
              <w:rPr>
                <w:highlight w:val="none"/>
              </w:rPr>
            </w:pPr>
            <w:r>
              <w:rPr>
                <w:rFonts w:hint="eastAsia" w:ascii="宋体" w:hAnsi="宋体" w:eastAsia="宋体" w:cs="宋体"/>
                <w:b/>
                <w:bCs/>
                <w:i w:val="0"/>
                <w:iCs w:val="0"/>
                <w:color w:val="auto"/>
                <w:kern w:val="0"/>
                <w:sz w:val="21"/>
                <w:szCs w:val="21"/>
                <w:highlight w:val="none"/>
                <w:u w:val="single"/>
              </w:rPr>
              <w:t>（投标人中标后须递交与网上电子投标文件完全一致的纸质版投标文件，并按要求加盖单位章；</w:t>
            </w:r>
            <w:r>
              <w:rPr>
                <w:rFonts w:hint="eastAsia" w:ascii="宋体" w:hAnsi="宋体" w:cs="宋体"/>
                <w:b/>
                <w:bCs/>
                <w:i w:val="0"/>
                <w:iCs w:val="0"/>
                <w:color w:val="auto"/>
                <w:kern w:val="0"/>
                <w:sz w:val="21"/>
                <w:szCs w:val="21"/>
                <w:highlight w:val="none"/>
                <w:u w:val="single"/>
              </w:rPr>
              <w:t>份数：正本1份，副本</w:t>
            </w:r>
            <w:r>
              <w:rPr>
                <w:rFonts w:hint="eastAsia" w:hAnsi="宋体" w:cs="宋体"/>
                <w:b/>
                <w:bCs/>
                <w:i w:val="0"/>
                <w:iCs w:val="0"/>
                <w:color w:val="auto"/>
                <w:kern w:val="0"/>
                <w:sz w:val="21"/>
                <w:szCs w:val="21"/>
                <w:highlight w:val="none"/>
                <w:u w:val="single"/>
                <w:lang w:val="en-US" w:eastAsia="zh-CN"/>
              </w:rPr>
              <w:t>1</w:t>
            </w:r>
            <w:r>
              <w:rPr>
                <w:rFonts w:hint="eastAsia" w:ascii="宋体" w:hAnsi="宋体" w:cs="宋体"/>
                <w:b/>
                <w:bCs/>
                <w:i w:val="0"/>
                <w:iCs w:val="0"/>
                <w:color w:val="auto"/>
                <w:kern w:val="0"/>
                <w:sz w:val="21"/>
                <w:szCs w:val="21"/>
                <w:highlight w:val="none"/>
                <w:u w:val="single"/>
              </w:rPr>
              <w:t>份；中标单位领取中标通知书时，一并递交给代理机构）</w:t>
            </w:r>
          </w:p>
        </w:tc>
      </w:tr>
      <w:tr w14:paraId="0DE33C57">
        <w:tblPrEx>
          <w:tblCellMar>
            <w:top w:w="0" w:type="dxa"/>
            <w:left w:w="108" w:type="dxa"/>
            <w:bottom w:w="0" w:type="dxa"/>
            <w:right w:w="108" w:type="dxa"/>
          </w:tblCellMar>
        </w:tblPrEx>
        <w:trPr>
          <w:trHeight w:val="0"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00C592DB">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leftChars="0" w:right="0" w:rightChars="0"/>
              <w:jc w:val="center"/>
              <w:textAlignment w:val="auto"/>
              <w:rPr>
                <w:rFonts w:hint="eastAsia" w:ascii="宋体" w:hAnsi="宋体" w:cs="宋体"/>
                <w:szCs w:val="21"/>
                <w:highlight w:val="none"/>
              </w:rPr>
            </w:pPr>
            <w:r>
              <w:rPr>
                <w:rFonts w:hint="eastAsia" w:ascii="宋体" w:hAnsi="宋体" w:eastAsia="宋体" w:cs="宋体"/>
                <w:kern w:val="2"/>
                <w:highlight w:val="none"/>
                <w:lang w:val="en-US" w:eastAsia="zh-CN"/>
              </w:rPr>
              <w:t>23</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7954E81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rPr>
                <w:rFonts w:hint="eastAsia" w:ascii="宋体" w:hAnsi="宋体" w:cs="宋体"/>
                <w:szCs w:val="21"/>
                <w:highlight w:val="none"/>
              </w:rPr>
            </w:pPr>
            <w:r>
              <w:rPr>
                <w:rFonts w:hint="eastAsia" w:ascii="宋体"/>
                <w:color w:val="auto"/>
                <w:sz w:val="21"/>
                <w:szCs w:val="21"/>
                <w:highlight w:val="none"/>
              </w:rPr>
              <w:t>投标文件提交截止时间</w:t>
            </w:r>
          </w:p>
        </w:tc>
        <w:tc>
          <w:tcPr>
            <w:tcW w:w="7251" w:type="dxa"/>
            <w:tcBorders>
              <w:top w:val="single" w:color="auto" w:sz="4" w:space="0"/>
              <w:left w:val="single" w:color="auto" w:sz="4" w:space="0"/>
              <w:bottom w:val="single" w:color="auto" w:sz="4" w:space="0"/>
              <w:right w:val="single" w:color="auto" w:sz="4" w:space="0"/>
            </w:tcBorders>
            <w:noWrap/>
            <w:vAlign w:val="center"/>
          </w:tcPr>
          <w:p w14:paraId="49C7DBFE">
            <w:pPr>
              <w:keepNext w:val="0"/>
              <w:keepLines w:val="0"/>
              <w:pageBreakBefore w:val="0"/>
              <w:kinsoku/>
              <w:wordWrap/>
              <w:overflowPunct/>
              <w:autoSpaceDN/>
              <w:bidi w:val="0"/>
              <w:spacing w:line="400" w:lineRule="exact"/>
              <w:textAlignment w:val="auto"/>
              <w:rPr>
                <w:rFonts w:hint="eastAsia" w:ascii="宋体" w:hAnsi="宋体" w:eastAsia="宋体" w:cs="宋体"/>
                <w:szCs w:val="21"/>
                <w:highlight w:val="none"/>
                <w:lang w:val="en-US" w:eastAsia="zh-CN"/>
              </w:rPr>
            </w:pPr>
            <w:r>
              <w:rPr>
                <w:rFonts w:hint="eastAsia" w:ascii="宋体" w:hAnsi="宋体" w:eastAsia="宋体" w:cs="宋体"/>
                <w:szCs w:val="21"/>
                <w:highlight w:val="none"/>
              </w:rPr>
              <w:t>202</w:t>
            </w:r>
            <w:r>
              <w:rPr>
                <w:rFonts w:hint="eastAsia" w:ascii="宋体" w:hAnsi="宋体" w:cs="宋体"/>
                <w:szCs w:val="21"/>
                <w:highlight w:val="none"/>
                <w:lang w:val="en-US" w:eastAsia="zh-CN"/>
              </w:rPr>
              <w:t>6</w:t>
            </w:r>
            <w:r>
              <w:rPr>
                <w:rFonts w:hint="eastAsia" w:ascii="宋体" w:hAnsi="宋体" w:eastAsia="宋体" w:cs="宋体"/>
                <w:szCs w:val="21"/>
                <w:highlight w:val="none"/>
              </w:rPr>
              <w:t>年</w:t>
            </w:r>
            <w:r>
              <w:rPr>
                <w:rFonts w:hint="eastAsia" w:ascii="宋体" w:hAnsi="宋体" w:cs="宋体"/>
                <w:szCs w:val="21"/>
                <w:highlight w:val="none"/>
                <w:lang w:val="en-US" w:eastAsia="zh-CN"/>
              </w:rPr>
              <w:t>10</w:t>
            </w:r>
            <w:r>
              <w:rPr>
                <w:rFonts w:hint="eastAsia" w:ascii="宋体" w:hAnsi="宋体" w:eastAsia="宋体" w:cs="宋体"/>
                <w:szCs w:val="21"/>
                <w:highlight w:val="none"/>
              </w:rPr>
              <w:t>月</w:t>
            </w:r>
            <w:r>
              <w:rPr>
                <w:rFonts w:hint="eastAsia" w:ascii="宋体" w:hAnsi="宋体" w:cs="宋体"/>
                <w:szCs w:val="21"/>
                <w:highlight w:val="none"/>
                <w:lang w:val="en-US" w:eastAsia="zh-CN"/>
              </w:rPr>
              <w:t>16</w:t>
            </w:r>
            <w:r>
              <w:rPr>
                <w:rFonts w:hint="eastAsia" w:ascii="宋体" w:hAnsi="宋体" w:eastAsia="宋体" w:cs="宋体"/>
                <w:szCs w:val="21"/>
                <w:highlight w:val="none"/>
              </w:rPr>
              <w:t>日</w:t>
            </w:r>
            <w:r>
              <w:rPr>
                <w:rFonts w:hint="eastAsia" w:ascii="宋体" w:hAnsi="宋体" w:cs="宋体"/>
                <w:szCs w:val="21"/>
                <w:highlight w:val="none"/>
                <w:lang w:val="en-US" w:eastAsia="zh-CN"/>
              </w:rPr>
              <w:t>9</w:t>
            </w:r>
            <w:r>
              <w:rPr>
                <w:rFonts w:hint="eastAsia" w:ascii="宋体" w:hAnsi="宋体" w:eastAsia="宋体" w:cs="宋体"/>
                <w:szCs w:val="21"/>
                <w:highlight w:val="none"/>
              </w:rPr>
              <w:t>时00分（北京时间）</w:t>
            </w:r>
          </w:p>
        </w:tc>
      </w:tr>
      <w:tr w14:paraId="13689E49">
        <w:tblPrEx>
          <w:tblCellMar>
            <w:top w:w="0" w:type="dxa"/>
            <w:left w:w="108" w:type="dxa"/>
            <w:bottom w:w="0" w:type="dxa"/>
            <w:right w:w="108" w:type="dxa"/>
          </w:tblCellMar>
        </w:tblPrEx>
        <w:trPr>
          <w:trHeight w:val="0"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112D8F62">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leftChars="0" w:right="0" w:rightChars="0"/>
              <w:jc w:val="center"/>
              <w:textAlignment w:val="auto"/>
              <w:rPr>
                <w:rFonts w:hint="eastAsia" w:ascii="宋体" w:hAnsi="宋体" w:cs="宋体"/>
                <w:szCs w:val="21"/>
                <w:highlight w:val="none"/>
              </w:rPr>
            </w:pPr>
            <w:r>
              <w:rPr>
                <w:rFonts w:hint="eastAsia" w:ascii="宋体" w:hAnsi="宋体" w:eastAsia="宋体" w:cs="宋体"/>
                <w:kern w:val="2"/>
                <w:highlight w:val="none"/>
                <w:lang w:val="en-US" w:eastAsia="zh-CN"/>
              </w:rPr>
              <w:t>24</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3C2F9704">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leftChars="0" w:right="0" w:rightChars="0"/>
              <w:jc w:val="center"/>
              <w:textAlignment w:val="auto"/>
              <w:rPr>
                <w:rFonts w:hint="eastAsia" w:ascii="宋体" w:hAnsi="宋体" w:cs="宋体"/>
                <w:szCs w:val="21"/>
                <w:highlight w:val="none"/>
              </w:rPr>
            </w:pPr>
            <w:r>
              <w:rPr>
                <w:rFonts w:hint="eastAsia" w:ascii="宋体" w:hAnsi="宋体" w:eastAsia="宋体" w:cs="宋体"/>
                <w:color w:val="000000"/>
                <w:kern w:val="2"/>
                <w:sz w:val="21"/>
                <w:szCs w:val="21"/>
                <w:highlight w:val="none"/>
                <w:u w:color="000000"/>
                <w:lang w:val="en-US" w:eastAsia="zh-CN" w:bidi="ar"/>
              </w:rPr>
              <w:t>是否退还投标文件</w:t>
            </w:r>
          </w:p>
        </w:tc>
        <w:tc>
          <w:tcPr>
            <w:tcW w:w="7251" w:type="dxa"/>
            <w:tcBorders>
              <w:top w:val="single" w:color="auto" w:sz="4" w:space="0"/>
              <w:left w:val="single" w:color="auto" w:sz="4" w:space="0"/>
              <w:bottom w:val="single" w:color="auto" w:sz="4" w:space="0"/>
              <w:right w:val="single" w:color="auto" w:sz="4" w:space="0"/>
            </w:tcBorders>
            <w:noWrap/>
            <w:vAlign w:val="center"/>
          </w:tcPr>
          <w:p w14:paraId="49837F3E">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leftChars="0" w:right="0" w:rightChars="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000000"/>
                <w:kern w:val="2"/>
                <w:sz w:val="21"/>
                <w:szCs w:val="21"/>
                <w:highlight w:val="none"/>
                <w:u w:color="000000"/>
                <w:lang w:val="en-US" w:eastAsia="zh-CN" w:bidi="ar"/>
              </w:rPr>
              <w:t>否</w:t>
            </w:r>
          </w:p>
        </w:tc>
      </w:tr>
      <w:tr w14:paraId="3E085A99">
        <w:tblPrEx>
          <w:tblCellMar>
            <w:top w:w="0" w:type="dxa"/>
            <w:left w:w="108" w:type="dxa"/>
            <w:bottom w:w="0" w:type="dxa"/>
            <w:right w:w="108" w:type="dxa"/>
          </w:tblCellMar>
        </w:tblPrEx>
        <w:trPr>
          <w:trHeight w:val="0"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29930162">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leftChars="0" w:right="0" w:rightChars="0"/>
              <w:jc w:val="center"/>
              <w:textAlignment w:val="auto"/>
              <w:rPr>
                <w:rFonts w:hint="eastAsia" w:ascii="宋体" w:hAnsi="宋体" w:cs="宋体"/>
                <w:szCs w:val="21"/>
                <w:highlight w:val="none"/>
              </w:rPr>
            </w:pPr>
            <w:r>
              <w:rPr>
                <w:rFonts w:hint="eastAsia" w:ascii="宋体" w:hAnsi="宋体" w:eastAsia="宋体" w:cs="宋体"/>
                <w:kern w:val="2"/>
                <w:highlight w:val="none"/>
                <w:lang w:val="en-US" w:eastAsia="zh-CN"/>
              </w:rPr>
              <w:t>25</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07A33273">
            <w:pPr>
              <w:shd w:val="clear" w:color="auto" w:fill="auto"/>
              <w:spacing w:line="300" w:lineRule="exact"/>
              <w:jc w:val="center"/>
              <w:rPr>
                <w:rFonts w:hint="eastAsia" w:ascii="宋体" w:hAnsi="宋体" w:cs="宋体"/>
                <w:szCs w:val="21"/>
                <w:highlight w:val="none"/>
              </w:rPr>
            </w:pPr>
            <w:r>
              <w:rPr>
                <w:rFonts w:hint="eastAsia" w:ascii="宋体" w:hAnsi="宋体" w:eastAsia="宋体" w:cs="宋体"/>
                <w:color w:val="auto"/>
                <w:szCs w:val="21"/>
                <w:highlight w:val="none"/>
              </w:rPr>
              <w:t>开标时间及地点</w:t>
            </w:r>
          </w:p>
        </w:tc>
        <w:tc>
          <w:tcPr>
            <w:tcW w:w="7251" w:type="dxa"/>
            <w:tcBorders>
              <w:top w:val="single" w:color="auto" w:sz="4" w:space="0"/>
              <w:left w:val="single" w:color="auto" w:sz="4" w:space="0"/>
              <w:bottom w:val="single" w:color="auto" w:sz="4" w:space="0"/>
              <w:right w:val="single" w:color="auto" w:sz="4" w:space="0"/>
            </w:tcBorders>
            <w:noWrap/>
            <w:vAlign w:val="center"/>
          </w:tcPr>
          <w:p w14:paraId="794C6B5F">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360" w:lineRule="exact"/>
              <w:ind w:left="0" w:leftChars="0" w:right="0" w:rightChars="0"/>
              <w:jc w:val="both"/>
              <w:textAlignment w:val="auto"/>
              <w:rPr>
                <w:rFonts w:hint="eastAsia" w:ascii="宋体" w:hAnsi="宋体" w:eastAsia="宋体" w:cs="宋体"/>
                <w:color w:val="000000"/>
                <w:kern w:val="2"/>
                <w:sz w:val="21"/>
                <w:szCs w:val="21"/>
                <w:highlight w:val="none"/>
                <w:lang w:val="en-US" w:eastAsia="zh-CN" w:bidi="ar"/>
              </w:rPr>
            </w:pPr>
            <w:r>
              <w:rPr>
                <w:rFonts w:hint="eastAsia" w:ascii="宋体" w:hAnsi="宋体" w:eastAsia="宋体" w:cs="宋体"/>
                <w:color w:val="000000"/>
                <w:kern w:val="2"/>
                <w:sz w:val="21"/>
                <w:szCs w:val="21"/>
                <w:highlight w:val="none"/>
                <w:lang w:val="en-US" w:eastAsia="zh-CN" w:bidi="ar"/>
              </w:rPr>
              <w:t>开标时间：</w:t>
            </w:r>
            <w:r>
              <w:rPr>
                <w:rFonts w:hint="eastAsia" w:ascii="宋体" w:hAnsi="宋体" w:eastAsia="宋体" w:cs="宋体"/>
                <w:szCs w:val="21"/>
                <w:highlight w:val="none"/>
              </w:rPr>
              <w:t>202</w:t>
            </w:r>
            <w:r>
              <w:rPr>
                <w:rFonts w:hint="eastAsia" w:ascii="宋体" w:hAnsi="宋体" w:eastAsia="宋体" w:cs="宋体"/>
                <w:szCs w:val="21"/>
                <w:highlight w:val="none"/>
                <w:lang w:val="en-US" w:eastAsia="zh-CN"/>
              </w:rPr>
              <w:t>6</w:t>
            </w:r>
            <w:r>
              <w:rPr>
                <w:rFonts w:hint="eastAsia" w:ascii="宋体" w:hAnsi="宋体" w:eastAsia="宋体" w:cs="宋体"/>
                <w:szCs w:val="21"/>
                <w:highlight w:val="none"/>
              </w:rPr>
              <w:t>年</w:t>
            </w:r>
            <w:r>
              <w:rPr>
                <w:rFonts w:hint="eastAsia" w:ascii="宋体" w:hAnsi="宋体" w:cs="宋体"/>
                <w:szCs w:val="21"/>
                <w:highlight w:val="none"/>
                <w:lang w:val="en-US" w:eastAsia="zh-CN"/>
              </w:rPr>
              <w:t>10</w:t>
            </w:r>
            <w:r>
              <w:rPr>
                <w:rFonts w:hint="eastAsia" w:ascii="宋体" w:hAnsi="宋体" w:eastAsia="宋体" w:cs="宋体"/>
                <w:szCs w:val="21"/>
                <w:highlight w:val="none"/>
              </w:rPr>
              <w:t>月</w:t>
            </w:r>
            <w:r>
              <w:rPr>
                <w:rFonts w:hint="eastAsia" w:ascii="宋体" w:hAnsi="宋体" w:cs="宋体"/>
                <w:szCs w:val="21"/>
                <w:highlight w:val="none"/>
                <w:lang w:val="en-US" w:eastAsia="zh-CN"/>
              </w:rPr>
              <w:t>16</w:t>
            </w:r>
            <w:r>
              <w:rPr>
                <w:rFonts w:hint="eastAsia" w:ascii="宋体" w:hAnsi="宋体" w:eastAsia="宋体" w:cs="宋体"/>
                <w:szCs w:val="21"/>
                <w:highlight w:val="none"/>
              </w:rPr>
              <w:t>日</w:t>
            </w:r>
            <w:r>
              <w:rPr>
                <w:rFonts w:hint="eastAsia" w:ascii="宋体" w:hAnsi="宋体" w:cs="宋体"/>
                <w:szCs w:val="21"/>
                <w:highlight w:val="none"/>
                <w:lang w:val="en-US" w:eastAsia="zh-CN"/>
              </w:rPr>
              <w:t>9</w:t>
            </w:r>
            <w:r>
              <w:rPr>
                <w:rFonts w:hint="eastAsia" w:ascii="宋体" w:hAnsi="宋体" w:eastAsia="宋体" w:cs="宋体"/>
                <w:szCs w:val="21"/>
                <w:highlight w:val="none"/>
              </w:rPr>
              <w:t>时</w:t>
            </w:r>
            <w:r>
              <w:rPr>
                <w:rFonts w:hint="eastAsia" w:ascii="宋体" w:hAnsi="宋体" w:cs="宋体"/>
                <w:szCs w:val="21"/>
                <w:highlight w:val="none"/>
                <w:lang w:val="en-US" w:eastAsia="zh-CN"/>
              </w:rPr>
              <w:t>00</w:t>
            </w:r>
            <w:r>
              <w:rPr>
                <w:rFonts w:hint="eastAsia" w:ascii="宋体" w:hAnsi="宋体" w:eastAsia="宋体" w:cs="宋体"/>
                <w:szCs w:val="21"/>
                <w:highlight w:val="none"/>
              </w:rPr>
              <w:t>分</w:t>
            </w:r>
            <w:r>
              <w:rPr>
                <w:rFonts w:hint="eastAsia" w:ascii="宋体" w:hAnsi="宋体" w:eastAsia="宋体" w:cs="宋体"/>
                <w:color w:val="000000"/>
                <w:kern w:val="2"/>
                <w:sz w:val="21"/>
                <w:szCs w:val="21"/>
                <w:highlight w:val="none"/>
                <w:lang w:val="en-US" w:eastAsia="zh-CN" w:bidi="ar"/>
              </w:rPr>
              <w:t>（北京时间）</w:t>
            </w:r>
          </w:p>
          <w:p w14:paraId="1454FED5">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360" w:lineRule="exact"/>
              <w:ind w:left="0" w:leftChars="0" w:right="0" w:rightChars="0"/>
              <w:jc w:val="both"/>
              <w:textAlignment w:val="auto"/>
              <w:rPr>
                <w:rFonts w:hint="eastAsia" w:ascii="Times New Roman" w:hAnsi="Times New Roman" w:eastAsia="宋体" w:cs="Times New Roman"/>
                <w:highlight w:val="none"/>
                <w:lang w:val="en-US" w:eastAsia="zh-CN"/>
              </w:rPr>
            </w:pPr>
            <w:r>
              <w:rPr>
                <w:rFonts w:hint="eastAsia" w:ascii="宋体" w:hAnsi="宋体" w:eastAsia="宋体" w:cs="宋体"/>
                <w:color w:val="auto"/>
                <w:szCs w:val="21"/>
                <w:highlight w:val="none"/>
                <w:lang w:val="en-US" w:eastAsia="zh-CN"/>
              </w:rPr>
              <w:t>方式：</w:t>
            </w:r>
            <w:r>
              <w:rPr>
                <w:rFonts w:hint="eastAsia" w:ascii="Times New Roman" w:hAnsi="Times New Roman" w:eastAsia="宋体" w:cs="Times New Roman"/>
                <w:highlight w:val="none"/>
                <w:lang w:val="en-US" w:eastAsia="zh-CN"/>
              </w:rPr>
              <w:t>采用不见面开标，投标人登录滁州市城投工程咨询有限公司不见面开标系统参与网上开标（网址：</w:t>
            </w:r>
            <w:r>
              <w:rPr>
                <w:rFonts w:hint="eastAsia" w:ascii="Times New Roman" w:hAnsi="Times New Roman" w:eastAsia="宋体" w:cs="Times New Roman"/>
                <w:highlight w:val="none"/>
                <w:lang w:val="en-US" w:eastAsia="zh-CN"/>
              </w:rPr>
              <w:fldChar w:fldCharType="begin"/>
            </w:r>
            <w:r>
              <w:rPr>
                <w:rFonts w:hint="eastAsia" w:ascii="Times New Roman" w:hAnsi="Times New Roman" w:eastAsia="宋体" w:cs="Times New Roman"/>
                <w:highlight w:val="none"/>
                <w:lang w:val="en-US" w:eastAsia="zh-CN"/>
              </w:rPr>
              <w:instrText xml:space="preserve"> HYPERLINK "http://js.etrading.cn/EpointBidOpening/bidopeninghallaction/hall/login）。" </w:instrText>
            </w:r>
            <w:r>
              <w:rPr>
                <w:rFonts w:hint="eastAsia" w:ascii="Times New Roman" w:hAnsi="Times New Roman" w:eastAsia="宋体" w:cs="Times New Roman"/>
                <w:highlight w:val="none"/>
                <w:lang w:val="en-US" w:eastAsia="zh-CN"/>
              </w:rPr>
              <w:fldChar w:fldCharType="separate"/>
            </w:r>
            <w:r>
              <w:rPr>
                <w:rStyle w:val="58"/>
                <w:rFonts w:hint="eastAsia" w:ascii="Times New Roman" w:hAnsi="Times New Roman" w:eastAsia="宋体" w:cs="Times New Roman"/>
                <w:highlight w:val="none"/>
                <w:lang w:val="en-US" w:eastAsia="zh-CN"/>
              </w:rPr>
              <w:t>http://js.etrading.cn/EpointBidOpening/bidopeninghallaction/hall/login）。</w:t>
            </w:r>
            <w:r>
              <w:rPr>
                <w:rFonts w:hint="eastAsia" w:ascii="Times New Roman" w:hAnsi="Times New Roman" w:eastAsia="宋体" w:cs="Times New Roman"/>
                <w:highlight w:val="none"/>
                <w:lang w:val="en-US" w:eastAsia="zh-CN"/>
              </w:rPr>
              <w:fldChar w:fldCharType="end"/>
            </w:r>
          </w:p>
          <w:p w14:paraId="47CF05A4">
            <w:pPr>
              <w:keepNext w:val="0"/>
              <w:keepLines w:val="0"/>
              <w:pageBreakBefore w:val="0"/>
              <w:shd w:val="clear" w:color="auto" w:fill="auto"/>
              <w:kinsoku/>
              <w:overflowPunct/>
              <w:topLinePunct w:val="0"/>
              <w:autoSpaceDE/>
              <w:autoSpaceDN/>
              <w:bidi w:val="0"/>
              <w:adjustRightInd/>
              <w:snapToGrid/>
              <w:spacing w:line="44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Cs w:val="21"/>
                <w:highlight w:val="none"/>
                <w:lang w:val="en-US" w:eastAsia="zh-CN"/>
              </w:rPr>
              <w:t>解密时间：投标人须</w:t>
            </w:r>
            <w:r>
              <w:rPr>
                <w:rFonts w:hint="eastAsia" w:ascii="宋体" w:hAnsi="宋体" w:eastAsia="宋体" w:cs="宋体"/>
                <w:color w:val="auto"/>
                <w:szCs w:val="21"/>
                <w:highlight w:val="none"/>
              </w:rPr>
              <w:t>在</w:t>
            </w:r>
            <w:r>
              <w:rPr>
                <w:rFonts w:hint="eastAsia" w:ascii="宋体" w:hAnsi="宋体" w:eastAsia="宋体" w:cs="宋体"/>
                <w:color w:val="auto"/>
                <w:szCs w:val="21"/>
                <w:highlight w:val="none"/>
                <w:u w:val="single"/>
              </w:rPr>
              <w:t xml:space="preserve"> 202</w:t>
            </w:r>
            <w:r>
              <w:rPr>
                <w:rFonts w:hint="eastAsia" w:ascii="宋体" w:hAnsi="宋体" w:eastAsia="宋体" w:cs="宋体"/>
                <w:color w:val="auto"/>
                <w:szCs w:val="21"/>
                <w:highlight w:val="none"/>
                <w:u w:val="single"/>
                <w:lang w:val="en-US" w:eastAsia="zh-CN"/>
              </w:rPr>
              <w:t>6</w:t>
            </w:r>
            <w:r>
              <w:rPr>
                <w:rFonts w:hint="eastAsia" w:ascii="宋体" w:hAnsi="宋体" w:eastAsia="宋体" w:cs="宋体"/>
                <w:color w:val="auto"/>
                <w:szCs w:val="21"/>
                <w:highlight w:val="none"/>
                <w:u w:val="single"/>
              </w:rPr>
              <w:t>年</w:t>
            </w:r>
            <w:r>
              <w:rPr>
                <w:rFonts w:hint="eastAsia" w:ascii="宋体" w:hAnsi="宋体" w:cs="宋体"/>
                <w:color w:val="auto"/>
                <w:szCs w:val="21"/>
                <w:highlight w:val="none"/>
                <w:u w:val="single"/>
                <w:lang w:val="en-US" w:eastAsia="zh-CN"/>
              </w:rPr>
              <w:t>10</w:t>
            </w:r>
            <w:r>
              <w:rPr>
                <w:rFonts w:hint="eastAsia" w:ascii="宋体" w:hAnsi="宋体" w:eastAsia="宋体" w:cs="宋体"/>
                <w:color w:val="auto"/>
                <w:szCs w:val="21"/>
                <w:highlight w:val="none"/>
                <w:u w:val="single"/>
              </w:rPr>
              <w:t>月</w:t>
            </w:r>
            <w:r>
              <w:rPr>
                <w:rFonts w:hint="eastAsia" w:ascii="宋体" w:hAnsi="宋体" w:cs="宋体"/>
                <w:color w:val="auto"/>
                <w:szCs w:val="21"/>
                <w:highlight w:val="none"/>
                <w:u w:val="single"/>
                <w:lang w:val="en-US" w:eastAsia="zh-CN"/>
              </w:rPr>
              <w:t>16</w:t>
            </w:r>
            <w:r>
              <w:rPr>
                <w:rFonts w:hint="eastAsia" w:ascii="宋体" w:hAnsi="宋体" w:eastAsia="宋体" w:cs="宋体"/>
                <w:color w:val="auto"/>
                <w:szCs w:val="21"/>
                <w:highlight w:val="none"/>
                <w:u w:val="single"/>
              </w:rPr>
              <w:t>日</w:t>
            </w:r>
            <w:r>
              <w:rPr>
                <w:rFonts w:hint="eastAsia" w:ascii="宋体" w:hAnsi="宋体" w:cs="宋体"/>
                <w:color w:val="auto"/>
                <w:szCs w:val="21"/>
                <w:highlight w:val="none"/>
                <w:u w:val="single"/>
                <w:lang w:val="en-US" w:eastAsia="zh-CN"/>
              </w:rPr>
              <w:t>9</w:t>
            </w:r>
            <w:r>
              <w:rPr>
                <w:rFonts w:hint="eastAsia" w:ascii="宋体" w:hAnsi="宋体" w:eastAsia="宋体" w:cs="宋体"/>
                <w:color w:val="auto"/>
                <w:szCs w:val="21"/>
                <w:highlight w:val="none"/>
                <w:u w:val="single"/>
                <w:lang w:eastAsia="zh-CN"/>
              </w:rPr>
              <w:t>时</w:t>
            </w:r>
            <w:r>
              <w:rPr>
                <w:rFonts w:hint="eastAsia" w:ascii="宋体" w:hAnsi="宋体" w:cs="宋体"/>
                <w:color w:val="auto"/>
                <w:szCs w:val="21"/>
                <w:highlight w:val="none"/>
                <w:u w:val="single"/>
                <w:lang w:val="en-US" w:eastAsia="zh-CN"/>
              </w:rPr>
              <w:t>00</w:t>
            </w:r>
            <w:r>
              <w:rPr>
                <w:rFonts w:hint="eastAsia" w:ascii="宋体" w:hAnsi="宋体" w:eastAsia="宋体" w:cs="宋体"/>
                <w:color w:val="auto"/>
                <w:szCs w:val="21"/>
                <w:highlight w:val="none"/>
                <w:u w:val="single"/>
                <w:lang w:eastAsia="zh-CN"/>
              </w:rPr>
              <w:t>分</w:t>
            </w:r>
            <w:r>
              <w:rPr>
                <w:rFonts w:hint="eastAsia" w:ascii="宋体" w:hAnsi="宋体" w:eastAsia="宋体" w:cs="宋体"/>
                <w:color w:val="auto"/>
                <w:szCs w:val="21"/>
                <w:highlight w:val="none"/>
                <w:u w:val="single"/>
                <w:lang w:val="en-US" w:eastAsia="zh-CN"/>
              </w:rPr>
              <w:t>至2026年</w:t>
            </w:r>
            <w:r>
              <w:rPr>
                <w:rFonts w:hint="eastAsia" w:ascii="宋体" w:hAnsi="宋体" w:cs="宋体"/>
                <w:color w:val="auto"/>
                <w:szCs w:val="21"/>
                <w:highlight w:val="none"/>
                <w:u w:val="single"/>
                <w:lang w:val="en-US" w:eastAsia="zh-CN"/>
              </w:rPr>
              <w:t>10</w:t>
            </w:r>
            <w:r>
              <w:rPr>
                <w:rFonts w:hint="eastAsia" w:ascii="宋体" w:hAnsi="宋体" w:eastAsia="宋体" w:cs="宋体"/>
                <w:color w:val="auto"/>
                <w:szCs w:val="21"/>
                <w:highlight w:val="none"/>
                <w:u w:val="single"/>
                <w:lang w:val="en-US" w:eastAsia="zh-CN"/>
              </w:rPr>
              <w:t>月</w:t>
            </w:r>
            <w:r>
              <w:rPr>
                <w:rFonts w:hint="eastAsia" w:ascii="宋体" w:hAnsi="宋体" w:cs="宋体"/>
                <w:color w:val="auto"/>
                <w:szCs w:val="21"/>
                <w:highlight w:val="none"/>
                <w:u w:val="single"/>
                <w:lang w:val="en-US" w:eastAsia="zh-CN"/>
              </w:rPr>
              <w:t>16</w:t>
            </w:r>
            <w:r>
              <w:rPr>
                <w:rFonts w:hint="eastAsia" w:ascii="宋体" w:hAnsi="宋体" w:eastAsia="宋体" w:cs="宋体"/>
                <w:color w:val="auto"/>
                <w:szCs w:val="21"/>
                <w:highlight w:val="none"/>
                <w:u w:val="single"/>
                <w:lang w:val="en-US" w:eastAsia="zh-CN"/>
              </w:rPr>
              <w:t>日</w:t>
            </w:r>
            <w:r>
              <w:rPr>
                <w:rFonts w:hint="eastAsia" w:ascii="宋体" w:hAnsi="宋体" w:cs="宋体"/>
                <w:color w:val="auto"/>
                <w:szCs w:val="21"/>
                <w:highlight w:val="none"/>
                <w:u w:val="single"/>
                <w:lang w:val="en-US" w:eastAsia="zh-CN"/>
              </w:rPr>
              <w:t>9</w:t>
            </w:r>
            <w:r>
              <w:rPr>
                <w:rFonts w:hint="eastAsia" w:ascii="宋体" w:hAnsi="宋体" w:eastAsia="宋体" w:cs="宋体"/>
                <w:color w:val="auto"/>
                <w:szCs w:val="21"/>
                <w:highlight w:val="none"/>
                <w:u w:val="single"/>
              </w:rPr>
              <w:t>时</w:t>
            </w:r>
            <w:r>
              <w:rPr>
                <w:rFonts w:hint="eastAsia" w:ascii="宋体" w:hAnsi="宋体" w:cs="宋体"/>
                <w:color w:val="auto"/>
                <w:szCs w:val="21"/>
                <w:highlight w:val="none"/>
                <w:u w:val="single"/>
                <w:lang w:val="en-US" w:eastAsia="zh-CN"/>
              </w:rPr>
              <w:t>30</w:t>
            </w:r>
            <w:r>
              <w:rPr>
                <w:rFonts w:hint="eastAsia" w:ascii="宋体" w:hAnsi="宋体" w:eastAsia="宋体" w:cs="宋体"/>
                <w:color w:val="auto"/>
                <w:szCs w:val="21"/>
                <w:highlight w:val="none"/>
                <w:u w:val="single"/>
              </w:rPr>
              <w:t>分</w:t>
            </w:r>
            <w:r>
              <w:rPr>
                <w:rFonts w:hint="eastAsia" w:ascii="宋体" w:hAnsi="宋体" w:eastAsia="宋体" w:cs="宋体"/>
                <w:color w:val="auto"/>
                <w:szCs w:val="21"/>
                <w:highlight w:val="none"/>
                <w:u w:val="single"/>
                <w:lang w:val="en-US" w:eastAsia="zh-CN"/>
              </w:rPr>
              <w:t>解密；未在规定时间内完成解密的，退回其投标文件；如有因系统原因造成的故障，代理机构可申请延迟解密时间。</w:t>
            </w:r>
          </w:p>
        </w:tc>
      </w:tr>
      <w:tr w14:paraId="1992B37A">
        <w:tblPrEx>
          <w:tblCellMar>
            <w:top w:w="0" w:type="dxa"/>
            <w:left w:w="108" w:type="dxa"/>
            <w:bottom w:w="0" w:type="dxa"/>
            <w:right w:w="108" w:type="dxa"/>
          </w:tblCellMar>
        </w:tblPrEx>
        <w:trPr>
          <w:trHeight w:val="0"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795919AB">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leftChars="0" w:right="0" w:rightChars="0"/>
              <w:jc w:val="center"/>
              <w:textAlignment w:val="auto"/>
              <w:rPr>
                <w:rFonts w:hint="eastAsia" w:ascii="宋体" w:hAnsi="宋体" w:cs="宋体"/>
                <w:szCs w:val="21"/>
                <w:highlight w:val="none"/>
              </w:rPr>
            </w:pPr>
            <w:r>
              <w:rPr>
                <w:rFonts w:hint="eastAsia" w:ascii="宋体" w:hAnsi="宋体" w:eastAsia="宋体" w:cs="宋体"/>
                <w:kern w:val="2"/>
                <w:highlight w:val="none"/>
                <w:lang w:val="en-US" w:eastAsia="zh-CN"/>
              </w:rPr>
              <w:t>26</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5C8E8703">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leftChars="0" w:right="0" w:rightChars="0"/>
              <w:jc w:val="center"/>
              <w:textAlignment w:val="auto"/>
              <w:rPr>
                <w:rFonts w:hint="eastAsia" w:ascii="宋体" w:hAnsi="宋体" w:cs="宋体"/>
                <w:szCs w:val="21"/>
                <w:highlight w:val="none"/>
              </w:rPr>
            </w:pPr>
            <w:r>
              <w:rPr>
                <w:rFonts w:hint="eastAsia" w:ascii="宋体" w:hAnsi="宋体" w:eastAsia="宋体" w:cs="宋体"/>
                <w:color w:val="000000"/>
                <w:kern w:val="2"/>
                <w:sz w:val="21"/>
                <w:szCs w:val="21"/>
                <w:highlight w:val="none"/>
                <w:u w:color="000000"/>
                <w:lang w:val="en-US" w:eastAsia="zh-CN" w:bidi="ar"/>
              </w:rPr>
              <w:t>开标程序</w:t>
            </w:r>
          </w:p>
        </w:tc>
        <w:tc>
          <w:tcPr>
            <w:tcW w:w="7251" w:type="dxa"/>
            <w:tcBorders>
              <w:top w:val="single" w:color="auto" w:sz="4" w:space="0"/>
              <w:left w:val="single" w:color="auto" w:sz="4" w:space="0"/>
              <w:bottom w:val="single" w:color="auto" w:sz="4" w:space="0"/>
              <w:right w:val="single" w:color="auto" w:sz="4" w:space="0"/>
            </w:tcBorders>
            <w:noWrap/>
            <w:vAlign w:val="center"/>
          </w:tcPr>
          <w:p w14:paraId="4FB8EA52">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leftChars="0" w:right="0" w:rightChars="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由代理机构开启电子投标文件，报评标委员会评审。</w:t>
            </w:r>
          </w:p>
        </w:tc>
      </w:tr>
      <w:tr w14:paraId="5625472C">
        <w:tblPrEx>
          <w:tblCellMar>
            <w:top w:w="0" w:type="dxa"/>
            <w:left w:w="108" w:type="dxa"/>
            <w:bottom w:w="0" w:type="dxa"/>
            <w:right w:w="108" w:type="dxa"/>
          </w:tblCellMar>
        </w:tblPrEx>
        <w:trPr>
          <w:trHeight w:val="488"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0F3A70F5">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27</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668336EA">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评标委员会的组建</w:t>
            </w:r>
          </w:p>
        </w:tc>
        <w:tc>
          <w:tcPr>
            <w:tcW w:w="7251" w:type="dxa"/>
            <w:tcBorders>
              <w:top w:val="single" w:color="auto" w:sz="4" w:space="0"/>
              <w:left w:val="single" w:color="auto" w:sz="4" w:space="0"/>
              <w:bottom w:val="single" w:color="auto" w:sz="4" w:space="0"/>
              <w:right w:val="single" w:color="auto" w:sz="4" w:space="0"/>
            </w:tcBorders>
            <w:noWrap/>
            <w:vAlign w:val="center"/>
          </w:tcPr>
          <w:p w14:paraId="7523A5DC">
            <w:pPr>
              <w:keepNext w:val="0"/>
              <w:keepLines w:val="0"/>
              <w:pageBreakBefore w:val="0"/>
              <w:kinsoku/>
              <w:wordWrap/>
              <w:overflowPunct/>
              <w:autoSpaceDE/>
              <w:autoSpaceDN/>
              <w:bidi w:val="0"/>
              <w:spacing w:line="400" w:lineRule="exact"/>
              <w:textAlignment w:val="auto"/>
              <w:rPr>
                <w:rFonts w:ascii="宋体" w:hAnsi="宋体" w:cs="宋体"/>
                <w:szCs w:val="21"/>
                <w:highlight w:val="none"/>
              </w:rPr>
            </w:pPr>
            <w:r>
              <w:rPr>
                <w:rFonts w:hint="eastAsia" w:ascii="宋体" w:hAnsi="宋体" w:eastAsia="宋体" w:cs="宋体"/>
                <w:color w:val="000000"/>
                <w:kern w:val="2"/>
                <w:sz w:val="21"/>
                <w:szCs w:val="21"/>
                <w:highlight w:val="none"/>
                <w:u w:color="000000"/>
                <w:lang w:val="en-US" w:eastAsia="zh-CN" w:bidi="ar"/>
              </w:rPr>
              <w:t>评标委员会由招标人依法组建。</w:t>
            </w:r>
          </w:p>
        </w:tc>
      </w:tr>
      <w:tr w14:paraId="7BAECC9A">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73DBFFAA">
            <w:pPr>
              <w:keepNext w:val="0"/>
              <w:keepLines w:val="0"/>
              <w:pageBreakBefore w:val="0"/>
              <w:kinsoku/>
              <w:wordWrap/>
              <w:overflowPunct/>
              <w:autoSpaceDN/>
              <w:bidi w:val="0"/>
              <w:spacing w:line="400" w:lineRule="exact"/>
              <w:jc w:val="center"/>
              <w:textAlignment w:val="auto"/>
              <w:rPr>
                <w:rFonts w:ascii="宋体" w:hAnsi="宋体" w:cs="宋体"/>
                <w:b/>
                <w:bCs/>
                <w:szCs w:val="21"/>
                <w:highlight w:val="none"/>
              </w:rPr>
            </w:pPr>
            <w:r>
              <w:rPr>
                <w:rFonts w:hint="eastAsia" w:ascii="宋体" w:hAnsi="宋体" w:cs="宋体"/>
                <w:szCs w:val="21"/>
                <w:highlight w:val="none"/>
              </w:rPr>
              <w:t>28</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4BE7473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rPr>
                <w:rFonts w:ascii="宋体" w:hAnsi="宋体" w:cs="宋体"/>
                <w:bCs/>
                <w:color w:val="auto"/>
                <w:szCs w:val="21"/>
                <w:highlight w:val="none"/>
              </w:rPr>
            </w:pPr>
            <w:r>
              <w:rPr>
                <w:rFonts w:hint="eastAsia" w:ascii="宋体" w:hAnsi="宋体" w:eastAsia="宋体" w:cs="宋体"/>
                <w:b w:val="0"/>
                <w:bCs w:val="0"/>
                <w:color w:val="auto"/>
                <w:sz w:val="21"/>
                <w:szCs w:val="21"/>
                <w:highlight w:val="none"/>
              </w:rPr>
              <w:t>评标委员会确定中标候选人的人数</w:t>
            </w:r>
          </w:p>
        </w:tc>
        <w:tc>
          <w:tcPr>
            <w:tcW w:w="7251" w:type="dxa"/>
            <w:tcBorders>
              <w:top w:val="single" w:color="auto" w:sz="4" w:space="0"/>
              <w:left w:val="single" w:color="auto" w:sz="4" w:space="0"/>
              <w:bottom w:val="single" w:color="auto" w:sz="4" w:space="0"/>
              <w:right w:val="single" w:color="auto" w:sz="4" w:space="0"/>
            </w:tcBorders>
            <w:noWrap/>
            <w:vAlign w:val="center"/>
          </w:tcPr>
          <w:p w14:paraId="3FF3BC1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textAlignment w:val="auto"/>
              <w:rPr>
                <w:rFonts w:ascii="宋体" w:hAnsi="宋体" w:cs="宋体"/>
                <w:bCs/>
                <w:color w:val="auto"/>
                <w:szCs w:val="21"/>
                <w:highlight w:val="none"/>
              </w:rPr>
            </w:pPr>
            <w:r>
              <w:rPr>
                <w:rFonts w:hint="eastAsia" w:ascii="宋体" w:hAnsi="宋体" w:cs="宋体"/>
                <w:b w:val="0"/>
                <w:bCs w:val="0"/>
                <w:color w:val="auto"/>
                <w:sz w:val="21"/>
                <w:szCs w:val="21"/>
                <w:highlight w:val="none"/>
                <w:lang w:val="en-US" w:eastAsia="zh-CN"/>
              </w:rPr>
              <w:t>3</w:t>
            </w:r>
            <w:r>
              <w:rPr>
                <w:rFonts w:hint="eastAsia" w:ascii="宋体" w:hAnsi="宋体" w:eastAsia="宋体" w:cs="宋体"/>
                <w:b w:val="0"/>
                <w:bCs w:val="0"/>
                <w:color w:val="auto"/>
                <w:sz w:val="21"/>
                <w:szCs w:val="21"/>
                <w:highlight w:val="none"/>
              </w:rPr>
              <w:t>名，并标明排序。</w:t>
            </w:r>
          </w:p>
        </w:tc>
      </w:tr>
      <w:tr w14:paraId="0948E9B2">
        <w:tblPrEx>
          <w:tblCellMar>
            <w:top w:w="0" w:type="dxa"/>
            <w:left w:w="108" w:type="dxa"/>
            <w:bottom w:w="0" w:type="dxa"/>
            <w:right w:w="108" w:type="dxa"/>
          </w:tblCellMar>
        </w:tblPrEx>
        <w:trPr>
          <w:trHeight w:val="500" w:hRule="atLeast"/>
          <w:jc w:val="center"/>
        </w:trPr>
        <w:tc>
          <w:tcPr>
            <w:tcW w:w="868" w:type="dxa"/>
            <w:tcBorders>
              <w:top w:val="single" w:color="auto" w:sz="4" w:space="0"/>
              <w:left w:val="single" w:color="auto" w:sz="4" w:space="0"/>
              <w:right w:val="single" w:color="auto" w:sz="4" w:space="0"/>
            </w:tcBorders>
            <w:noWrap/>
            <w:vAlign w:val="center"/>
          </w:tcPr>
          <w:p w14:paraId="6CAD3EA1">
            <w:pPr>
              <w:keepNext w:val="0"/>
              <w:keepLines w:val="0"/>
              <w:pageBreakBefore w:val="0"/>
              <w:kinsoku/>
              <w:wordWrap/>
              <w:overflowPunct/>
              <w:autoSpaceDN/>
              <w:bidi w:val="0"/>
              <w:spacing w:line="400" w:lineRule="exact"/>
              <w:jc w:val="center"/>
              <w:textAlignment w:val="auto"/>
              <w:rPr>
                <w:rFonts w:hint="default" w:ascii="宋体" w:hAnsi="宋体" w:eastAsia="宋体" w:cs="宋体"/>
                <w:kern w:val="2"/>
                <w:sz w:val="21"/>
                <w:szCs w:val="21"/>
                <w:highlight w:val="none"/>
                <w:lang w:val="en-US" w:eastAsia="zh-CN" w:bidi="ar-SA"/>
              </w:rPr>
            </w:pPr>
            <w:r>
              <w:rPr>
                <w:rFonts w:hint="eastAsia" w:ascii="宋体" w:hAnsi="宋体" w:cs="宋体"/>
                <w:szCs w:val="21"/>
                <w:highlight w:val="none"/>
                <w:lang w:val="en-US" w:eastAsia="zh-CN"/>
              </w:rPr>
              <w:t>29</w:t>
            </w:r>
          </w:p>
        </w:tc>
        <w:tc>
          <w:tcPr>
            <w:tcW w:w="2209" w:type="dxa"/>
            <w:gridSpan w:val="2"/>
            <w:tcBorders>
              <w:top w:val="single" w:color="auto" w:sz="4" w:space="0"/>
              <w:left w:val="single" w:color="auto" w:sz="4" w:space="0"/>
              <w:right w:val="single" w:color="auto" w:sz="4" w:space="0"/>
            </w:tcBorders>
            <w:noWrap/>
            <w:vAlign w:val="center"/>
          </w:tcPr>
          <w:p w14:paraId="397DB27E">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中标候选人公示媒介</w:t>
            </w:r>
          </w:p>
        </w:tc>
        <w:tc>
          <w:tcPr>
            <w:tcW w:w="7251" w:type="dxa"/>
            <w:tcBorders>
              <w:top w:val="single" w:color="auto" w:sz="4" w:space="0"/>
              <w:left w:val="single" w:color="auto" w:sz="4" w:space="0"/>
              <w:right w:val="single" w:color="auto" w:sz="4" w:space="0"/>
            </w:tcBorders>
            <w:noWrap/>
            <w:vAlign w:val="center"/>
          </w:tcPr>
          <w:p w14:paraId="5A01188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公示媒介：同招标公告发布媒介</w:t>
            </w:r>
          </w:p>
          <w:p w14:paraId="62635D2D">
            <w:pPr>
              <w:keepNext w:val="0"/>
              <w:keepLines w:val="0"/>
              <w:pageBreakBefore w:val="0"/>
              <w:kinsoku/>
              <w:wordWrap/>
              <w:overflowPunct/>
              <w:autoSpaceDE/>
              <w:autoSpaceDN/>
              <w:bidi w:val="0"/>
              <w:spacing w:line="400" w:lineRule="exact"/>
              <w:textAlignment w:val="auto"/>
              <w:rPr>
                <w:rFonts w:ascii="宋体" w:hAnsi="宋体" w:cs="宋体"/>
                <w:szCs w:val="21"/>
                <w:highlight w:val="none"/>
              </w:rPr>
            </w:pPr>
            <w:r>
              <w:rPr>
                <w:rFonts w:hint="eastAsia" w:ascii="宋体" w:hAnsi="宋体" w:eastAsia="宋体" w:cs="宋体"/>
                <w:b w:val="0"/>
                <w:bCs w:val="0"/>
                <w:color w:val="auto"/>
                <w:sz w:val="21"/>
                <w:szCs w:val="21"/>
                <w:highlight w:val="none"/>
              </w:rPr>
              <w:t>公示期限：公示发布次日起3日（如公示第三日为休息日或节假日，则顺延至休息日或节假日后第一个工作日）</w:t>
            </w:r>
          </w:p>
        </w:tc>
      </w:tr>
      <w:tr w14:paraId="5598C43A">
        <w:tblPrEx>
          <w:tblCellMar>
            <w:top w:w="0" w:type="dxa"/>
            <w:left w:w="108" w:type="dxa"/>
            <w:bottom w:w="0" w:type="dxa"/>
            <w:right w:w="108" w:type="dxa"/>
          </w:tblCellMar>
        </w:tblPrEx>
        <w:trPr>
          <w:trHeight w:val="500" w:hRule="atLeast"/>
          <w:jc w:val="center"/>
        </w:trPr>
        <w:tc>
          <w:tcPr>
            <w:tcW w:w="868" w:type="dxa"/>
            <w:tcBorders>
              <w:top w:val="single" w:color="auto" w:sz="4" w:space="0"/>
              <w:left w:val="single" w:color="auto" w:sz="4" w:space="0"/>
              <w:right w:val="single" w:color="auto" w:sz="4" w:space="0"/>
            </w:tcBorders>
            <w:noWrap/>
            <w:vAlign w:val="center"/>
          </w:tcPr>
          <w:p w14:paraId="6AF264B2">
            <w:pPr>
              <w:keepNext w:val="0"/>
              <w:keepLines w:val="0"/>
              <w:pageBreakBefore w:val="0"/>
              <w:kinsoku/>
              <w:wordWrap/>
              <w:overflowPunct/>
              <w:autoSpaceDN/>
              <w:bidi w:val="0"/>
              <w:spacing w:line="400" w:lineRule="exact"/>
              <w:jc w:val="center"/>
              <w:textAlignment w:val="auto"/>
              <w:rPr>
                <w:rFonts w:hint="default" w:ascii="宋体" w:hAnsi="宋体" w:eastAsia="宋体" w:cs="宋体"/>
                <w:kern w:val="2"/>
                <w:sz w:val="21"/>
                <w:szCs w:val="21"/>
                <w:highlight w:val="none"/>
                <w:lang w:val="en-US" w:eastAsia="zh-CN" w:bidi="ar-SA"/>
              </w:rPr>
            </w:pPr>
            <w:r>
              <w:rPr>
                <w:rFonts w:hint="eastAsia" w:ascii="宋体" w:hAnsi="宋体" w:cs="宋体"/>
                <w:szCs w:val="21"/>
                <w:highlight w:val="none"/>
                <w:lang w:val="en-US" w:eastAsia="zh-CN"/>
              </w:rPr>
              <w:t>30</w:t>
            </w:r>
          </w:p>
        </w:tc>
        <w:tc>
          <w:tcPr>
            <w:tcW w:w="2209" w:type="dxa"/>
            <w:gridSpan w:val="2"/>
            <w:tcBorders>
              <w:top w:val="single" w:color="auto" w:sz="4" w:space="0"/>
              <w:left w:val="single" w:color="auto" w:sz="4" w:space="0"/>
              <w:right w:val="single" w:color="auto" w:sz="4" w:space="0"/>
            </w:tcBorders>
            <w:noWrap/>
            <w:vAlign w:val="center"/>
          </w:tcPr>
          <w:p w14:paraId="46AD0919">
            <w:pPr>
              <w:keepNext w:val="0"/>
              <w:keepLines w:val="0"/>
              <w:pageBreakBefore w:val="0"/>
              <w:kinsoku/>
              <w:wordWrap/>
              <w:overflowPunct/>
              <w:autoSpaceDE/>
              <w:autoSpaceDN/>
              <w:bidi w:val="0"/>
              <w:adjustRightInd w:val="0"/>
              <w:snapToGrid w:val="0"/>
              <w:spacing w:line="400" w:lineRule="exact"/>
              <w:jc w:val="center"/>
              <w:textAlignment w:val="auto"/>
              <w:rPr>
                <w:rFonts w:hint="eastAsia" w:ascii="宋体" w:hAnsi="宋体" w:eastAsia="宋体" w:cs="宋体"/>
                <w:color w:val="000000"/>
                <w:kern w:val="2"/>
                <w:sz w:val="21"/>
                <w:szCs w:val="21"/>
                <w:highlight w:val="none"/>
                <w:lang w:val="en-US" w:eastAsia="zh-CN" w:bidi="ar-SA"/>
              </w:rPr>
            </w:pPr>
            <w:r>
              <w:rPr>
                <w:rFonts w:hint="eastAsia"/>
                <w:sz w:val="21"/>
                <w:szCs w:val="21"/>
                <w:highlight w:val="none"/>
              </w:rPr>
              <w:t>中标通知书发出形式</w:t>
            </w:r>
          </w:p>
        </w:tc>
        <w:tc>
          <w:tcPr>
            <w:tcW w:w="7251" w:type="dxa"/>
            <w:tcBorders>
              <w:top w:val="single" w:color="auto" w:sz="4" w:space="0"/>
              <w:left w:val="single" w:color="auto" w:sz="4" w:space="0"/>
              <w:right w:val="single" w:color="auto" w:sz="4" w:space="0"/>
            </w:tcBorders>
            <w:noWrap/>
            <w:vAlign w:val="center"/>
          </w:tcPr>
          <w:p w14:paraId="6F0D809A">
            <w:pPr>
              <w:keepNext w:val="0"/>
              <w:keepLines w:val="0"/>
              <w:pageBreakBefore w:val="0"/>
              <w:widowControl/>
              <w:kinsoku/>
              <w:wordWrap/>
              <w:overflowPunct/>
              <w:autoSpaceDE/>
              <w:autoSpaceDN/>
              <w:bidi w:val="0"/>
              <w:adjustRightInd w:val="0"/>
              <w:snapToGrid w:val="0"/>
              <w:spacing w:line="400" w:lineRule="exact"/>
              <w:textAlignment w:val="auto"/>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u w:color="000000"/>
                <w:lang w:val="en-US" w:eastAsia="zh-CN" w:bidi="ar"/>
              </w:rPr>
              <w:t>中标通知书须加盖招标人、招标代理公司公章后发出。</w:t>
            </w:r>
          </w:p>
        </w:tc>
      </w:tr>
      <w:tr w14:paraId="036C355A">
        <w:tblPrEx>
          <w:tblCellMar>
            <w:top w:w="0" w:type="dxa"/>
            <w:left w:w="108" w:type="dxa"/>
            <w:bottom w:w="0" w:type="dxa"/>
            <w:right w:w="108" w:type="dxa"/>
          </w:tblCellMar>
        </w:tblPrEx>
        <w:trPr>
          <w:trHeight w:val="97"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40D4AB66">
            <w:pPr>
              <w:keepNext w:val="0"/>
              <w:keepLines w:val="0"/>
              <w:pageBreakBefore w:val="0"/>
              <w:kinsoku/>
              <w:wordWrap/>
              <w:overflowPunct/>
              <w:autoSpaceDN/>
              <w:bidi w:val="0"/>
              <w:spacing w:line="400" w:lineRule="exact"/>
              <w:jc w:val="center"/>
              <w:textAlignment w:val="auto"/>
              <w:rPr>
                <w:rFonts w:hint="default" w:ascii="宋体" w:hAnsi="宋体" w:eastAsia="宋体" w:cs="宋体"/>
                <w:szCs w:val="21"/>
                <w:highlight w:val="none"/>
                <w:lang w:val="en-US" w:eastAsia="zh-CN"/>
              </w:rPr>
            </w:pPr>
            <w:r>
              <w:rPr>
                <w:rFonts w:hint="eastAsia" w:ascii="宋体" w:hAnsi="宋体" w:cs="宋体"/>
                <w:szCs w:val="21"/>
                <w:highlight w:val="none"/>
                <w:lang w:val="en-US" w:eastAsia="zh-CN"/>
              </w:rPr>
              <w:t>31</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4BBDAC4D">
            <w:pPr>
              <w:shd w:val="clear" w:color="auto" w:fill="auto"/>
              <w:spacing w:line="440" w:lineRule="exact"/>
              <w:jc w:val="center"/>
              <w:rPr>
                <w:rFonts w:ascii="宋体" w:hAnsi="宋体" w:cs="宋体"/>
                <w:color w:val="auto"/>
                <w:szCs w:val="21"/>
                <w:highlight w:val="none"/>
              </w:rPr>
            </w:pPr>
            <w:r>
              <w:rPr>
                <w:rFonts w:hint="eastAsia" w:ascii="宋体" w:hAnsi="宋体" w:eastAsia="宋体" w:cs="宋体"/>
                <w:color w:val="auto"/>
                <w:szCs w:val="21"/>
                <w:highlight w:val="none"/>
              </w:rPr>
              <w:t>履约担保</w:t>
            </w:r>
          </w:p>
        </w:tc>
        <w:tc>
          <w:tcPr>
            <w:tcW w:w="7251" w:type="dxa"/>
            <w:tcBorders>
              <w:top w:val="single" w:color="auto" w:sz="4" w:space="0"/>
              <w:left w:val="single" w:color="auto" w:sz="4" w:space="0"/>
              <w:bottom w:val="single" w:color="auto" w:sz="4" w:space="0"/>
              <w:right w:val="single" w:color="auto" w:sz="4" w:space="0"/>
            </w:tcBorders>
            <w:noWrap/>
            <w:vAlign w:val="center"/>
          </w:tcPr>
          <w:p w14:paraId="561EF974">
            <w:pPr>
              <w:keepNext w:val="0"/>
              <w:keepLines w:val="0"/>
              <w:pageBreakBefore w:val="0"/>
              <w:kinsoku/>
              <w:wordWrap/>
              <w:overflowPunct/>
              <w:autoSpaceDE/>
              <w:autoSpaceDN/>
              <w:bidi w:val="0"/>
              <w:spacing w:line="400" w:lineRule="exact"/>
              <w:textAlignment w:val="auto"/>
              <w:rPr>
                <w:rFonts w:ascii="宋体" w:hAnsi="宋体" w:cs="宋体"/>
                <w:bCs/>
                <w:color w:val="auto"/>
                <w:szCs w:val="21"/>
                <w:highlight w:val="none"/>
              </w:rPr>
            </w:pPr>
            <w:r>
              <w:rPr>
                <w:rFonts w:hint="eastAsia" w:ascii="宋体" w:hAnsi="宋体" w:cs="宋体"/>
                <w:bCs/>
                <w:color w:val="auto"/>
                <w:szCs w:val="21"/>
                <w:highlight w:val="none"/>
              </w:rPr>
              <w:t>履约担保的形式：支持银行转账、银行保函（见索即付无条件保函）使用</w:t>
            </w:r>
          </w:p>
          <w:p w14:paraId="66B1F812">
            <w:pPr>
              <w:keepNext w:val="0"/>
              <w:keepLines w:val="0"/>
              <w:pageBreakBefore w:val="0"/>
              <w:kinsoku/>
              <w:wordWrap/>
              <w:overflowPunct/>
              <w:autoSpaceDE/>
              <w:autoSpaceDN/>
              <w:bidi w:val="0"/>
              <w:spacing w:line="400" w:lineRule="exact"/>
              <w:textAlignment w:val="auto"/>
              <w:rPr>
                <w:rFonts w:hint="eastAsia" w:ascii="宋体" w:hAnsi="宋体" w:eastAsia="宋体" w:cs="宋体"/>
                <w:bCs/>
                <w:color w:val="auto"/>
                <w:szCs w:val="21"/>
                <w:highlight w:val="none"/>
                <w:lang w:eastAsia="zh-CN"/>
              </w:rPr>
            </w:pPr>
            <w:r>
              <w:rPr>
                <w:rFonts w:hint="eastAsia" w:ascii="宋体" w:hAnsi="宋体" w:cs="宋体"/>
                <w:bCs/>
                <w:color w:val="auto"/>
                <w:szCs w:val="21"/>
                <w:highlight w:val="none"/>
              </w:rPr>
              <w:t>履约担保的金额：</w:t>
            </w:r>
            <w:r>
              <w:rPr>
                <w:rFonts w:hint="eastAsia" w:ascii="宋体" w:hAnsi="宋体" w:eastAsia="宋体" w:cs="宋体"/>
                <w:bCs/>
                <w:color w:val="auto"/>
                <w:szCs w:val="21"/>
                <w:highlight w:val="none"/>
              </w:rPr>
              <w:t>中标合同金额×</w:t>
            </w:r>
            <w:r>
              <w:rPr>
                <w:rFonts w:hint="eastAsia" w:ascii="宋体" w:hAnsi="宋体" w:cs="宋体"/>
                <w:bCs/>
                <w:color w:val="auto"/>
                <w:szCs w:val="21"/>
                <w:highlight w:val="none"/>
                <w:lang w:val="en-US" w:eastAsia="zh-CN"/>
              </w:rPr>
              <w:t>2</w:t>
            </w:r>
            <w:r>
              <w:rPr>
                <w:rFonts w:hint="eastAsia" w:ascii="宋体" w:hAnsi="宋体" w:eastAsia="宋体" w:cs="宋体"/>
                <w:bCs/>
                <w:color w:val="auto"/>
                <w:szCs w:val="21"/>
                <w:highlight w:val="none"/>
              </w:rPr>
              <w:t>%</w:t>
            </w:r>
          </w:p>
          <w:p w14:paraId="75D6D68D">
            <w:pPr>
              <w:pStyle w:val="4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收款单位：中标后另行通知                 </w:t>
            </w:r>
          </w:p>
          <w:p w14:paraId="267828AF">
            <w:pPr>
              <w:pStyle w:val="4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开户银行：中标后另行通知                   </w:t>
            </w:r>
          </w:p>
          <w:p w14:paraId="3D4F69A2">
            <w:pPr>
              <w:pStyle w:val="4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银行账号：中标后另行通知                   </w:t>
            </w:r>
          </w:p>
          <w:p w14:paraId="6CFCB994">
            <w:pPr>
              <w:spacing w:line="420" w:lineRule="exac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缴纳时限：中标人须在中标通知书发出后30日内完成履约保证金缴纳及合同签订（先缴纳履约保证金后签订合同）。中标单位原因造成合同延期签订的，延期签订情节严重的，招标人有权取消其中标资格。并承担给招标人造成的损失，同时依法承担相应法律责任。   </w:t>
            </w:r>
          </w:p>
          <w:p w14:paraId="7E9A90E1">
            <w:pPr>
              <w:spacing w:line="420" w:lineRule="exac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履约保证金退还时限：履约保证金在工程竣工验收合格后一个月内无息退还。</w:t>
            </w:r>
          </w:p>
          <w:p w14:paraId="24BCD646">
            <w:pPr>
              <w:pStyle w:val="4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其他相关要求：</w:t>
            </w:r>
          </w:p>
          <w:p w14:paraId="20D46461">
            <w:pPr>
              <w:keepNext w:val="0"/>
              <w:keepLines w:val="0"/>
              <w:pageBreakBefore w:val="0"/>
              <w:shd w:val="clear" w:color="auto" w:fill="auto"/>
              <w:kinsoku/>
              <w:overflowPunct/>
              <w:topLinePunct w:val="0"/>
              <w:autoSpaceDE/>
              <w:autoSpaceDN/>
              <w:bidi w:val="0"/>
              <w:adjustRightInd/>
              <w:snapToGrid/>
              <w:spacing w:line="440" w:lineRule="exact"/>
              <w:textAlignment w:val="auto"/>
              <w:rPr>
                <w:rFonts w:ascii="宋体" w:hAnsi="宋体" w:cs="宋体"/>
                <w:color w:val="auto"/>
                <w:szCs w:val="21"/>
                <w:highlight w:val="none"/>
              </w:rPr>
            </w:pPr>
            <w:r>
              <w:rPr>
                <w:rFonts w:hint="eastAsia" w:ascii="宋体" w:hAnsi="宋体" w:eastAsia="宋体" w:cs="宋体"/>
                <w:color w:val="auto"/>
                <w:sz w:val="21"/>
                <w:szCs w:val="21"/>
                <w:highlight w:val="none"/>
                <w:lang w:val="en-US" w:eastAsia="zh-CN"/>
              </w:rPr>
              <w:t>采用银行保函的具体要求:按招标人要求提供</w:t>
            </w:r>
            <w:r>
              <w:rPr>
                <w:rFonts w:hint="eastAsia" w:cs="宋体"/>
                <w:color w:val="auto"/>
                <w:sz w:val="21"/>
                <w:szCs w:val="21"/>
                <w:highlight w:val="none"/>
                <w:lang w:val="en-US" w:eastAsia="zh-CN"/>
              </w:rPr>
              <w:t>。</w:t>
            </w:r>
          </w:p>
        </w:tc>
      </w:tr>
      <w:tr w14:paraId="1717AE69">
        <w:tblPrEx>
          <w:tblCellMar>
            <w:top w:w="0" w:type="dxa"/>
            <w:left w:w="108" w:type="dxa"/>
            <w:bottom w:w="0" w:type="dxa"/>
            <w:right w:w="108" w:type="dxa"/>
          </w:tblCellMar>
        </w:tblPrEx>
        <w:trPr>
          <w:trHeight w:val="805"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14FFCA40">
            <w:pPr>
              <w:keepNext w:val="0"/>
              <w:keepLines w:val="0"/>
              <w:pageBreakBefore w:val="0"/>
              <w:kinsoku/>
              <w:wordWrap/>
              <w:overflowPunct/>
              <w:autoSpaceDN/>
              <w:bidi w:val="0"/>
              <w:spacing w:line="400" w:lineRule="exact"/>
              <w:jc w:val="center"/>
              <w:textAlignment w:val="auto"/>
              <w:rPr>
                <w:rFonts w:hint="default" w:ascii="宋体" w:hAnsi="宋体" w:eastAsia="宋体" w:cs="宋体"/>
                <w:szCs w:val="21"/>
                <w:highlight w:val="none"/>
                <w:lang w:val="en-US" w:eastAsia="zh-CN"/>
              </w:rPr>
            </w:pPr>
            <w:r>
              <w:rPr>
                <w:rFonts w:hint="eastAsia" w:ascii="宋体" w:hAnsi="宋体" w:cs="宋体"/>
                <w:szCs w:val="21"/>
                <w:highlight w:val="none"/>
                <w:lang w:val="en-US" w:eastAsia="zh-CN"/>
              </w:rPr>
              <w:t>32</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79E6E11B">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cs="宋体"/>
                <w:color w:val="auto"/>
                <w:szCs w:val="21"/>
                <w:highlight w:val="none"/>
              </w:rPr>
            </w:pPr>
            <w:r>
              <w:rPr>
                <w:rFonts w:hint="eastAsia" w:ascii="宋体" w:hAnsi="宋体" w:eastAsia="宋体" w:cs="宋体"/>
                <w:b/>
                <w:bCs/>
                <w:color w:val="auto"/>
                <w:sz w:val="21"/>
                <w:szCs w:val="21"/>
                <w:highlight w:val="none"/>
              </w:rPr>
              <w:t>付款方式</w:t>
            </w:r>
          </w:p>
        </w:tc>
        <w:tc>
          <w:tcPr>
            <w:tcW w:w="7251" w:type="dxa"/>
            <w:tcBorders>
              <w:top w:val="single" w:color="auto" w:sz="4" w:space="0"/>
              <w:left w:val="single" w:color="auto" w:sz="4" w:space="0"/>
              <w:bottom w:val="single" w:color="auto" w:sz="4" w:space="0"/>
              <w:right w:val="single" w:color="auto" w:sz="4" w:space="0"/>
            </w:tcBorders>
            <w:noWrap/>
            <w:vAlign w:val="center"/>
          </w:tcPr>
          <w:p w14:paraId="4B2F89E6">
            <w:pPr>
              <w:keepNext w:val="0"/>
              <w:keepLines w:val="0"/>
              <w:pageBreakBefore w:val="0"/>
              <w:kinsoku/>
              <w:wordWrap/>
              <w:overflowPunct/>
              <w:autoSpaceDE/>
              <w:autoSpaceDN/>
              <w:bidi w:val="0"/>
              <w:spacing w:line="400" w:lineRule="exact"/>
              <w:textAlignment w:val="auto"/>
              <w:rPr>
                <w:rFonts w:ascii="宋体" w:hAnsi="宋体" w:cs="宋体"/>
                <w:color w:val="auto"/>
                <w:szCs w:val="21"/>
                <w:highlight w:val="none"/>
              </w:rPr>
            </w:pPr>
            <w:r>
              <w:rPr>
                <w:rFonts w:hint="eastAsia" w:ascii="宋体" w:hAnsi="宋体" w:eastAsia="宋体" w:cs="宋体"/>
                <w:color w:val="auto"/>
                <w:sz w:val="21"/>
                <w:szCs w:val="21"/>
                <w:highlight w:val="none"/>
                <w:lang w:val="en-US" w:eastAsia="zh-CN"/>
              </w:rPr>
              <w:t>按招标人要求及时完成各工程审计工作并出具审核报告，交付招标人审查确认后，按照审计委托协议约定一次性无息支付结算后审计服务费用。</w:t>
            </w:r>
          </w:p>
        </w:tc>
      </w:tr>
      <w:tr w14:paraId="7129CE18">
        <w:tblPrEx>
          <w:tblCellMar>
            <w:top w:w="0" w:type="dxa"/>
            <w:left w:w="108" w:type="dxa"/>
            <w:bottom w:w="0" w:type="dxa"/>
            <w:right w:w="108" w:type="dxa"/>
          </w:tblCellMar>
        </w:tblPrEx>
        <w:trPr>
          <w:trHeight w:val="90" w:hRule="atLeast"/>
          <w:jc w:val="center"/>
        </w:trPr>
        <w:tc>
          <w:tcPr>
            <w:tcW w:w="10328" w:type="dxa"/>
            <w:gridSpan w:val="4"/>
            <w:tcBorders>
              <w:top w:val="single" w:color="auto" w:sz="4" w:space="0"/>
              <w:left w:val="single" w:color="auto" w:sz="4" w:space="0"/>
              <w:bottom w:val="single" w:color="auto" w:sz="4" w:space="0"/>
              <w:right w:val="single" w:color="auto" w:sz="4" w:space="0"/>
            </w:tcBorders>
            <w:noWrap/>
            <w:vAlign w:val="center"/>
          </w:tcPr>
          <w:p w14:paraId="3E3A6409">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需要补充的其他内容</w:t>
            </w:r>
          </w:p>
        </w:tc>
      </w:tr>
      <w:tr w14:paraId="2AA9094C">
        <w:tblPrEx>
          <w:tblCellMar>
            <w:top w:w="0" w:type="dxa"/>
            <w:left w:w="108" w:type="dxa"/>
            <w:bottom w:w="0" w:type="dxa"/>
            <w:right w:w="108" w:type="dxa"/>
          </w:tblCellMar>
        </w:tblPrEx>
        <w:trPr>
          <w:jc w:val="center"/>
        </w:trPr>
        <w:tc>
          <w:tcPr>
            <w:tcW w:w="1778" w:type="dxa"/>
            <w:gridSpan w:val="2"/>
            <w:tcBorders>
              <w:top w:val="single" w:color="auto" w:sz="4" w:space="0"/>
              <w:left w:val="single" w:color="auto" w:sz="4" w:space="0"/>
              <w:bottom w:val="single" w:color="auto" w:sz="4" w:space="0"/>
              <w:right w:val="single" w:color="auto" w:sz="4" w:space="0"/>
            </w:tcBorders>
            <w:noWrap/>
            <w:vAlign w:val="center"/>
          </w:tcPr>
          <w:p w14:paraId="11490EC4">
            <w:pPr>
              <w:keepNext w:val="0"/>
              <w:keepLines w:val="0"/>
              <w:pageBreakBefore w:val="0"/>
              <w:kinsoku/>
              <w:wordWrap/>
              <w:overflowPunct/>
              <w:autoSpaceDN/>
              <w:bidi w:val="0"/>
              <w:adjustRightInd w:val="0"/>
              <w:snapToGrid w:val="0"/>
              <w:spacing w:line="400" w:lineRule="exact"/>
              <w:jc w:val="center"/>
              <w:textAlignment w:val="auto"/>
              <w:rPr>
                <w:rFonts w:ascii="宋体" w:hAnsi="宋体" w:cs="宋体"/>
                <w:szCs w:val="21"/>
                <w:highlight w:val="none"/>
              </w:rPr>
            </w:pPr>
            <w:r>
              <w:rPr>
                <w:rFonts w:hint="eastAsia" w:ascii="宋体" w:hAnsi="宋体" w:cs="宋体"/>
                <w:color w:val="auto"/>
                <w:sz w:val="21"/>
                <w:szCs w:val="21"/>
                <w:highlight w:val="none"/>
              </w:rPr>
              <w:t>招标代理服务费</w:t>
            </w:r>
          </w:p>
        </w:tc>
        <w:tc>
          <w:tcPr>
            <w:tcW w:w="8550" w:type="dxa"/>
            <w:gridSpan w:val="2"/>
            <w:tcBorders>
              <w:top w:val="single" w:color="auto" w:sz="4" w:space="0"/>
              <w:left w:val="single" w:color="auto" w:sz="4" w:space="0"/>
              <w:bottom w:val="single" w:color="auto" w:sz="4" w:space="0"/>
              <w:right w:val="single" w:color="auto" w:sz="4" w:space="0"/>
            </w:tcBorders>
            <w:noWrap/>
            <w:vAlign w:val="center"/>
          </w:tcPr>
          <w:p w14:paraId="42B12792">
            <w:pPr>
              <w:keepNext w:val="0"/>
              <w:keepLines w:val="0"/>
              <w:pageBreakBefore w:val="0"/>
              <w:kinsoku/>
              <w:wordWrap/>
              <w:overflowPunct/>
              <w:topLinePunct w:val="0"/>
              <w:autoSpaceDE/>
              <w:autoSpaceDN/>
              <w:bidi w:val="0"/>
              <w:adjustRightInd/>
              <w:snapToGrid/>
              <w:spacing w:line="400" w:lineRule="exact"/>
              <w:textAlignment w:val="auto"/>
              <w:rPr>
                <w:rFonts w:ascii="宋体" w:hAnsi="宋体" w:cs="宋体"/>
                <w:kern w:val="0"/>
                <w:szCs w:val="21"/>
                <w:highlight w:val="none"/>
              </w:rPr>
            </w:pPr>
            <w:r>
              <w:rPr>
                <w:rFonts w:hint="eastAsia" w:ascii="宋体" w:hAnsi="宋体" w:cs="宋体"/>
                <w:kern w:val="0"/>
                <w:szCs w:val="21"/>
                <w:highlight w:val="none"/>
              </w:rPr>
              <w:t>代理服务具体金额：</w:t>
            </w:r>
            <w:r>
              <w:rPr>
                <w:rFonts w:hint="eastAsia" w:ascii="宋体" w:hAnsi="宋体" w:cs="宋体"/>
                <w:kern w:val="0"/>
                <w:szCs w:val="21"/>
                <w:highlight w:val="none"/>
                <w:lang w:val="en-US" w:eastAsia="zh-CN"/>
              </w:rPr>
              <w:t>1000</w:t>
            </w:r>
            <w:r>
              <w:rPr>
                <w:rFonts w:hint="eastAsia" w:ascii="宋体" w:hAnsi="宋体" w:cs="宋体"/>
                <w:kern w:val="0"/>
                <w:szCs w:val="21"/>
                <w:highlight w:val="none"/>
              </w:rPr>
              <w:t>元</w:t>
            </w:r>
            <w:r>
              <w:rPr>
                <w:rFonts w:hint="eastAsia" w:ascii="宋体" w:hAnsi="宋体" w:cs="宋体"/>
                <w:bCs/>
                <w:kern w:val="0"/>
                <w:highlight w:val="none"/>
              </w:rPr>
              <w:t>。</w:t>
            </w:r>
          </w:p>
          <w:p w14:paraId="7550C2A5">
            <w:pPr>
              <w:keepNext w:val="0"/>
              <w:keepLines w:val="0"/>
              <w:pageBreakBefore w:val="0"/>
              <w:kinsoku/>
              <w:wordWrap/>
              <w:overflowPunct/>
              <w:topLinePunct w:val="0"/>
              <w:autoSpaceDE/>
              <w:autoSpaceDN/>
              <w:bidi w:val="0"/>
              <w:adjustRightInd/>
              <w:snapToGrid/>
              <w:spacing w:line="400" w:lineRule="exact"/>
              <w:textAlignment w:val="auto"/>
              <w:rPr>
                <w:rFonts w:ascii="宋体" w:hAnsi="宋体" w:cs="宋体"/>
                <w:szCs w:val="21"/>
                <w:highlight w:val="none"/>
              </w:rPr>
            </w:pPr>
            <w:r>
              <w:rPr>
                <w:rFonts w:hint="eastAsia" w:ascii="宋体" w:hAnsi="宋体" w:cs="宋体"/>
                <w:kern w:val="0"/>
                <w:szCs w:val="21"/>
                <w:highlight w:val="none"/>
              </w:rPr>
              <w:t>代理服务费支付主体</w:t>
            </w:r>
            <w:r>
              <w:rPr>
                <w:rFonts w:hint="eastAsia" w:ascii="宋体" w:hAnsi="宋体" w:cs="宋体"/>
                <w:szCs w:val="21"/>
                <w:highlight w:val="none"/>
              </w:rPr>
              <w:t>：</w:t>
            </w:r>
            <w:r>
              <w:rPr>
                <w:rFonts w:hint="eastAsia" w:ascii="宋体" w:hAnsi="宋体" w:cs="宋体"/>
                <w:kern w:val="0"/>
                <w:szCs w:val="21"/>
                <w:highlight w:val="none"/>
              </w:rPr>
              <w:t>由中标单位在领取中标通知书时，一次性支付给代理机构。</w:t>
            </w:r>
          </w:p>
        </w:tc>
      </w:tr>
      <w:tr w14:paraId="0E8F1554">
        <w:tblPrEx>
          <w:tblCellMar>
            <w:top w:w="0" w:type="dxa"/>
            <w:left w:w="108" w:type="dxa"/>
            <w:bottom w:w="0" w:type="dxa"/>
            <w:right w:w="108" w:type="dxa"/>
          </w:tblCellMar>
        </w:tblPrEx>
        <w:trPr>
          <w:jc w:val="center"/>
        </w:trPr>
        <w:tc>
          <w:tcPr>
            <w:tcW w:w="1778" w:type="dxa"/>
            <w:gridSpan w:val="2"/>
            <w:tcBorders>
              <w:top w:val="single" w:color="auto" w:sz="4" w:space="0"/>
              <w:left w:val="single" w:color="auto" w:sz="4" w:space="0"/>
              <w:bottom w:val="single" w:color="auto" w:sz="4" w:space="0"/>
              <w:right w:val="single" w:color="auto" w:sz="4" w:space="0"/>
            </w:tcBorders>
            <w:noWrap/>
            <w:vAlign w:val="center"/>
          </w:tcPr>
          <w:p w14:paraId="0B3101E2">
            <w:pPr>
              <w:keepNext w:val="0"/>
              <w:keepLines w:val="0"/>
              <w:pageBreakBefore w:val="0"/>
              <w:kinsoku/>
              <w:wordWrap/>
              <w:overflowPunct/>
              <w:autoSpaceDN/>
              <w:bidi w:val="0"/>
              <w:adjustRightInd w:val="0"/>
              <w:snapToGrid w:val="0"/>
              <w:spacing w:line="400" w:lineRule="exact"/>
              <w:jc w:val="center"/>
              <w:textAlignment w:val="auto"/>
              <w:rPr>
                <w:rFonts w:hint="eastAsia" w:ascii="宋体" w:hAnsi="宋体" w:cs="宋体"/>
                <w:szCs w:val="21"/>
                <w:highlight w:val="none"/>
              </w:rPr>
            </w:pPr>
            <w:r>
              <w:rPr>
                <w:rFonts w:hint="eastAsia" w:ascii="宋体" w:hAnsi="宋体" w:cs="宋体"/>
                <w:color w:val="auto"/>
                <w:sz w:val="21"/>
                <w:szCs w:val="21"/>
                <w:highlight w:val="none"/>
              </w:rPr>
              <w:t>专家评审劳务费</w:t>
            </w:r>
          </w:p>
        </w:tc>
        <w:tc>
          <w:tcPr>
            <w:tcW w:w="8550" w:type="dxa"/>
            <w:gridSpan w:val="2"/>
            <w:tcBorders>
              <w:top w:val="single" w:color="auto" w:sz="4" w:space="0"/>
              <w:left w:val="single" w:color="auto" w:sz="4" w:space="0"/>
              <w:bottom w:val="single" w:color="auto" w:sz="4" w:space="0"/>
              <w:right w:val="single" w:color="auto" w:sz="4" w:space="0"/>
            </w:tcBorders>
            <w:noWrap/>
            <w:vAlign w:val="center"/>
          </w:tcPr>
          <w:p w14:paraId="4F5FAE4A">
            <w:pPr>
              <w:keepNext w:val="0"/>
              <w:keepLines w:val="0"/>
              <w:pageBreakBefore w:val="0"/>
              <w:kinsoku/>
              <w:wordWrap/>
              <w:overflowPunct/>
              <w:autoSpaceDN/>
              <w:bidi w:val="0"/>
              <w:adjustRightInd w:val="0"/>
              <w:snapToGrid w:val="0"/>
              <w:spacing w:line="400" w:lineRule="exact"/>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rPr>
              <w:t>费用或支付标准：</w:t>
            </w:r>
            <w:r>
              <w:rPr>
                <w:rFonts w:hint="eastAsia" w:ascii="宋体" w:hAnsi="宋体" w:cs="宋体"/>
                <w:color w:val="auto"/>
                <w:sz w:val="21"/>
                <w:szCs w:val="21"/>
                <w:highlight w:val="none"/>
                <w:lang w:val="en-US" w:eastAsia="zh-CN"/>
              </w:rPr>
              <w:t>以实际发生为准，</w:t>
            </w:r>
            <w:r>
              <w:rPr>
                <w:rFonts w:hint="eastAsia" w:ascii="宋体" w:hAnsi="宋体" w:eastAsia="宋体" w:cs="宋体"/>
                <w:color w:val="000000"/>
                <w:kern w:val="2"/>
                <w:sz w:val="21"/>
                <w:szCs w:val="21"/>
                <w:highlight w:val="none"/>
                <w:u w:color="000000"/>
                <w:lang w:val="en-US" w:eastAsia="zh-CN" w:bidi="ar"/>
              </w:rPr>
              <w:t>预计2000元整</w:t>
            </w:r>
            <w:r>
              <w:rPr>
                <w:rFonts w:hint="eastAsia" w:ascii="宋体" w:hAnsi="宋体" w:cs="宋体"/>
                <w:color w:val="auto"/>
                <w:sz w:val="21"/>
                <w:szCs w:val="21"/>
                <w:highlight w:val="none"/>
                <w:lang w:val="en-US" w:eastAsia="zh-CN"/>
              </w:rPr>
              <w:t>。</w:t>
            </w:r>
          </w:p>
          <w:p w14:paraId="0376B137">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cs="宋体"/>
                <w:kern w:val="0"/>
                <w:szCs w:val="21"/>
                <w:highlight w:val="none"/>
              </w:rPr>
            </w:pPr>
            <w:r>
              <w:rPr>
                <w:rFonts w:hint="eastAsia"/>
                <w:color w:val="auto"/>
                <w:sz w:val="21"/>
                <w:szCs w:val="21"/>
                <w:highlight w:val="none"/>
              </w:rPr>
              <w:t>支付主体：</w:t>
            </w:r>
            <w:r>
              <w:rPr>
                <w:rFonts w:hint="eastAsia"/>
                <w:color w:val="auto"/>
                <w:sz w:val="21"/>
                <w:szCs w:val="21"/>
                <w:highlight w:val="none"/>
                <w:lang w:val="en-US" w:eastAsia="zh-CN"/>
              </w:rPr>
              <w:t>中标单位</w:t>
            </w:r>
          </w:p>
        </w:tc>
      </w:tr>
      <w:tr w14:paraId="48F0B8EE">
        <w:tblPrEx>
          <w:tblCellMar>
            <w:top w:w="0" w:type="dxa"/>
            <w:left w:w="108" w:type="dxa"/>
            <w:bottom w:w="0" w:type="dxa"/>
            <w:right w:w="108" w:type="dxa"/>
          </w:tblCellMar>
        </w:tblPrEx>
        <w:trPr>
          <w:jc w:val="center"/>
        </w:trPr>
        <w:tc>
          <w:tcPr>
            <w:tcW w:w="1778" w:type="dxa"/>
            <w:gridSpan w:val="2"/>
            <w:tcBorders>
              <w:top w:val="single" w:color="auto" w:sz="4" w:space="0"/>
              <w:left w:val="single" w:color="auto" w:sz="4" w:space="0"/>
              <w:bottom w:val="single" w:color="auto" w:sz="4" w:space="0"/>
              <w:right w:val="single" w:color="auto" w:sz="4" w:space="0"/>
            </w:tcBorders>
            <w:noWrap/>
            <w:vAlign w:val="center"/>
          </w:tcPr>
          <w:p w14:paraId="7F2E7660">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exact"/>
              <w:ind w:left="0" w:leftChars="0" w:right="0" w:rightChars="0"/>
              <w:jc w:val="center"/>
              <w:textAlignment w:val="auto"/>
              <w:rPr>
                <w:rFonts w:hint="eastAsia" w:ascii="宋体" w:hAnsi="宋体" w:eastAsia="宋体" w:cs="宋体"/>
                <w:szCs w:val="21"/>
                <w:highlight w:val="none"/>
              </w:rPr>
            </w:pPr>
            <w:r>
              <w:rPr>
                <w:rFonts w:hint="eastAsia" w:ascii="宋体" w:hAnsi="Times New Roman" w:eastAsia="宋体" w:cs="Times New Roman"/>
                <w:color w:val="auto"/>
                <w:sz w:val="21"/>
                <w:szCs w:val="21"/>
                <w:highlight w:val="none"/>
              </w:rPr>
              <w:t>解释权</w:t>
            </w:r>
          </w:p>
        </w:tc>
        <w:tc>
          <w:tcPr>
            <w:tcW w:w="8550" w:type="dxa"/>
            <w:gridSpan w:val="2"/>
            <w:tcBorders>
              <w:top w:val="single" w:color="auto" w:sz="4" w:space="0"/>
              <w:left w:val="single" w:color="auto" w:sz="4" w:space="0"/>
              <w:bottom w:val="single" w:color="auto" w:sz="4" w:space="0"/>
              <w:right w:val="single" w:color="auto" w:sz="4" w:space="0"/>
            </w:tcBorders>
            <w:noWrap/>
            <w:vAlign w:val="center"/>
          </w:tcPr>
          <w:p w14:paraId="70DA222D">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Times New Roman" w:eastAsia="宋体" w:cs="Times New Roman"/>
                <w:color w:val="auto"/>
                <w:sz w:val="21"/>
                <w:szCs w:val="21"/>
                <w:highlight w:val="none"/>
              </w:rPr>
            </w:pPr>
            <w:r>
              <w:rPr>
                <w:rFonts w:hint="eastAsia" w:ascii="宋体" w:hAnsi="Times New Roman" w:eastAsia="宋体" w:cs="Times New Roman"/>
                <w:color w:val="auto"/>
                <w:sz w:val="21"/>
                <w:szCs w:val="21"/>
                <w:highlight w:val="none"/>
                <w:lang w:eastAsia="zh-CN"/>
              </w:rPr>
              <w:t>1.</w:t>
            </w:r>
            <w:r>
              <w:rPr>
                <w:rFonts w:hint="eastAsia" w:ascii="宋体" w:hAnsi="Times New Roman" w:eastAsia="宋体" w:cs="Times New Roman"/>
                <w:color w:val="auto"/>
                <w:sz w:val="21"/>
                <w:szCs w:val="21"/>
                <w:highlight w:val="none"/>
              </w:rPr>
              <w:t>构成本招标文件的各个组成文件应互为解释，互为说明；</w:t>
            </w:r>
          </w:p>
          <w:p w14:paraId="45AE9D6E">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Times New Roman" w:eastAsia="宋体" w:cs="Times New Roman"/>
                <w:color w:val="auto"/>
                <w:sz w:val="21"/>
                <w:szCs w:val="21"/>
                <w:highlight w:val="none"/>
              </w:rPr>
            </w:pPr>
            <w:r>
              <w:rPr>
                <w:rFonts w:hint="eastAsia" w:ascii="宋体" w:hAnsi="Times New Roman" w:eastAsia="宋体" w:cs="Times New Roman"/>
                <w:color w:val="auto"/>
                <w:sz w:val="21"/>
                <w:szCs w:val="21"/>
                <w:highlight w:val="none"/>
                <w:lang w:eastAsia="zh-CN"/>
              </w:rPr>
              <w:t>2.</w:t>
            </w:r>
            <w:r>
              <w:rPr>
                <w:rFonts w:hint="eastAsia" w:ascii="宋体" w:hAnsi="Times New Roman" w:eastAsia="宋体" w:cs="Times New Roman"/>
                <w:color w:val="auto"/>
                <w:sz w:val="21"/>
                <w:szCs w:val="21"/>
                <w:highlight w:val="none"/>
              </w:rPr>
              <w:t>同一组成文件中就同一事项的规定或约定不一致的，以编排顺序在后者为准；</w:t>
            </w:r>
          </w:p>
          <w:p w14:paraId="421AD33E">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Times New Roman" w:eastAsia="宋体" w:cs="Times New Roman"/>
                <w:color w:val="auto"/>
                <w:sz w:val="21"/>
                <w:szCs w:val="21"/>
                <w:highlight w:val="none"/>
              </w:rPr>
            </w:pPr>
            <w:r>
              <w:rPr>
                <w:rFonts w:hint="eastAsia" w:ascii="宋体" w:hAnsi="Times New Roman" w:eastAsia="宋体" w:cs="Times New Roman"/>
                <w:color w:val="auto"/>
                <w:sz w:val="21"/>
                <w:szCs w:val="21"/>
                <w:highlight w:val="none"/>
                <w:lang w:eastAsia="zh-CN"/>
              </w:rPr>
              <w:t>3.</w:t>
            </w:r>
            <w:r>
              <w:rPr>
                <w:rFonts w:hint="eastAsia" w:ascii="宋体" w:hAnsi="Times New Roman" w:eastAsia="宋体" w:cs="Times New Roman"/>
                <w:color w:val="auto"/>
                <w:sz w:val="21"/>
                <w:szCs w:val="21"/>
                <w:highlight w:val="none"/>
              </w:rPr>
              <w:t>如有不明确或不一致，构成合同文件组成内容的，以合同文件约定内容为准，且以专用合同条款约定的合同文件优先顺序解释；</w:t>
            </w:r>
          </w:p>
          <w:p w14:paraId="34E3A031">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exact"/>
              <w:ind w:left="0" w:leftChars="0" w:right="0" w:rightChars="0"/>
              <w:jc w:val="left"/>
              <w:textAlignment w:val="auto"/>
              <w:rPr>
                <w:rFonts w:hint="eastAsia" w:ascii="宋体" w:hAnsi="宋体" w:cs="宋体"/>
                <w:szCs w:val="21"/>
                <w:highlight w:val="none"/>
                <w:lang w:val="en-US" w:eastAsia="zh-CN"/>
              </w:rPr>
            </w:pPr>
            <w:r>
              <w:rPr>
                <w:rFonts w:hint="eastAsia" w:ascii="宋体" w:hAnsi="Times New Roman" w:eastAsia="宋体" w:cs="Times New Roman"/>
                <w:color w:val="auto"/>
                <w:sz w:val="21"/>
                <w:szCs w:val="21"/>
                <w:highlight w:val="none"/>
                <w:lang w:val="en-US" w:eastAsia="zh-CN"/>
              </w:rPr>
              <w:t>4.</w:t>
            </w:r>
            <w:r>
              <w:rPr>
                <w:rFonts w:hint="eastAsia" w:ascii="宋体" w:hAnsi="Times New Roman" w:eastAsia="宋体" w:cs="Times New Roman"/>
                <w:color w:val="auto"/>
                <w:sz w:val="21"/>
                <w:szCs w:val="21"/>
                <w:highlight w:val="none"/>
              </w:rPr>
              <w:t>按本款前述规定仍不能形成结论的，由招标人负责解释。</w:t>
            </w:r>
          </w:p>
        </w:tc>
      </w:tr>
      <w:tr w14:paraId="2FCA490E">
        <w:tblPrEx>
          <w:tblCellMar>
            <w:top w:w="0" w:type="dxa"/>
            <w:left w:w="108" w:type="dxa"/>
            <w:bottom w:w="0" w:type="dxa"/>
            <w:right w:w="108" w:type="dxa"/>
          </w:tblCellMar>
        </w:tblPrEx>
        <w:trPr>
          <w:jc w:val="center"/>
        </w:trPr>
        <w:tc>
          <w:tcPr>
            <w:tcW w:w="1778" w:type="dxa"/>
            <w:gridSpan w:val="2"/>
            <w:tcBorders>
              <w:top w:val="single" w:color="auto" w:sz="4" w:space="0"/>
              <w:left w:val="single" w:color="auto" w:sz="4" w:space="0"/>
              <w:bottom w:val="single" w:color="auto" w:sz="4" w:space="0"/>
              <w:right w:val="single" w:color="auto" w:sz="4" w:space="0"/>
            </w:tcBorders>
            <w:noWrap/>
            <w:vAlign w:val="center"/>
          </w:tcPr>
          <w:p w14:paraId="65FC7324">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exact"/>
              <w:ind w:left="0" w:leftChars="0" w:right="0" w:rightChars="0"/>
              <w:jc w:val="center"/>
              <w:textAlignment w:val="auto"/>
              <w:rPr>
                <w:rFonts w:hint="eastAsia" w:ascii="宋体" w:hAnsi="宋体" w:eastAsia="宋体" w:cs="宋体"/>
                <w:szCs w:val="21"/>
                <w:highlight w:val="none"/>
              </w:rPr>
            </w:pPr>
            <w:r>
              <w:rPr>
                <w:rFonts w:hint="eastAsia" w:ascii="宋体" w:hAnsi="Times New Roman" w:eastAsia="宋体" w:cs="Times New Roman"/>
                <w:color w:val="auto"/>
                <w:sz w:val="21"/>
                <w:szCs w:val="21"/>
                <w:highlight w:val="none"/>
              </w:rPr>
              <w:t>同义词语</w:t>
            </w:r>
          </w:p>
        </w:tc>
        <w:tc>
          <w:tcPr>
            <w:tcW w:w="8550" w:type="dxa"/>
            <w:gridSpan w:val="2"/>
            <w:tcBorders>
              <w:top w:val="single" w:color="auto" w:sz="4" w:space="0"/>
              <w:left w:val="single" w:color="auto" w:sz="4" w:space="0"/>
              <w:bottom w:val="single" w:color="auto" w:sz="4" w:space="0"/>
              <w:right w:val="single" w:color="auto" w:sz="4" w:space="0"/>
            </w:tcBorders>
            <w:noWrap/>
            <w:vAlign w:val="center"/>
          </w:tcPr>
          <w:p w14:paraId="3E729A22">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exact"/>
              <w:ind w:left="0" w:leftChars="0" w:right="0" w:rightChars="0"/>
              <w:jc w:val="left"/>
              <w:textAlignment w:val="auto"/>
              <w:rPr>
                <w:rFonts w:hint="eastAsia" w:ascii="宋体" w:hAnsi="宋体" w:cs="宋体"/>
                <w:szCs w:val="21"/>
                <w:highlight w:val="none"/>
                <w:lang w:val="en-US" w:eastAsia="zh-CN"/>
              </w:rPr>
            </w:pPr>
            <w:r>
              <w:rPr>
                <w:rFonts w:hint="eastAsia" w:ascii="宋体" w:hAnsi="Times New Roman" w:eastAsia="宋体" w:cs="Times New Roman"/>
                <w:color w:val="auto"/>
                <w:sz w:val="21"/>
                <w:szCs w:val="21"/>
                <w:highlight w:val="none"/>
              </w:rPr>
              <w:t>构成招标文件组成部分的“通用合同条款”、“专用合同条款”、“技术标准和要求”等章节中 “发包人”和“承包人”，等同于招标投标阶段的“招标人”和“投标人/中标人”。</w:t>
            </w:r>
          </w:p>
        </w:tc>
      </w:tr>
      <w:tr w14:paraId="28675B89">
        <w:tblPrEx>
          <w:tblCellMar>
            <w:top w:w="0" w:type="dxa"/>
            <w:left w:w="108" w:type="dxa"/>
            <w:bottom w:w="0" w:type="dxa"/>
            <w:right w:w="108" w:type="dxa"/>
          </w:tblCellMar>
        </w:tblPrEx>
        <w:trPr>
          <w:jc w:val="center"/>
        </w:trPr>
        <w:tc>
          <w:tcPr>
            <w:tcW w:w="1778" w:type="dxa"/>
            <w:gridSpan w:val="2"/>
            <w:tcBorders>
              <w:top w:val="single" w:color="auto" w:sz="4" w:space="0"/>
              <w:left w:val="single" w:color="auto" w:sz="4" w:space="0"/>
              <w:bottom w:val="single" w:color="auto" w:sz="4" w:space="0"/>
              <w:right w:val="single" w:color="auto" w:sz="4" w:space="0"/>
            </w:tcBorders>
            <w:noWrap/>
            <w:vAlign w:val="center"/>
          </w:tcPr>
          <w:p w14:paraId="0EF7C88F">
            <w:pPr>
              <w:keepNext w:val="0"/>
              <w:keepLines w:val="0"/>
              <w:pageBreakBefore w:val="0"/>
              <w:suppressLineNumbers w:val="0"/>
              <w:kinsoku/>
              <w:overflowPunct/>
              <w:topLinePunct w:val="0"/>
              <w:autoSpaceDE w:val="0"/>
              <w:autoSpaceDN/>
              <w:bidi w:val="0"/>
              <w:adjustRightInd/>
              <w:snapToGrid/>
              <w:spacing w:before="0" w:beforeAutospacing="0" w:after="0" w:afterAutospacing="0" w:line="360" w:lineRule="exact"/>
              <w:ind w:left="0" w:leftChars="0" w:right="0" w:rightChars="0"/>
              <w:jc w:val="center"/>
              <w:textAlignment w:val="auto"/>
              <w:rPr>
                <w:rFonts w:hint="eastAsia" w:ascii="宋体" w:hAnsi="宋体" w:eastAsia="宋体" w:cs="宋体"/>
                <w:szCs w:val="21"/>
                <w:highlight w:val="none"/>
              </w:rPr>
            </w:pPr>
            <w:r>
              <w:rPr>
                <w:rFonts w:hint="eastAsia" w:ascii="宋体" w:hAnsi="宋体" w:eastAsia="宋体" w:cs="宋体"/>
                <w:color w:val="000000"/>
                <w:szCs w:val="21"/>
                <w:highlight w:val="none"/>
                <w:lang w:bidi="ar"/>
              </w:rPr>
              <w:t>备注</w:t>
            </w:r>
          </w:p>
        </w:tc>
        <w:tc>
          <w:tcPr>
            <w:tcW w:w="8550" w:type="dxa"/>
            <w:gridSpan w:val="2"/>
            <w:tcBorders>
              <w:top w:val="single" w:color="auto" w:sz="4" w:space="0"/>
              <w:left w:val="single" w:color="auto" w:sz="4" w:space="0"/>
              <w:bottom w:val="single" w:color="auto" w:sz="4" w:space="0"/>
              <w:right w:val="single" w:color="auto" w:sz="4" w:space="0"/>
            </w:tcBorders>
            <w:noWrap/>
            <w:vAlign w:val="center"/>
          </w:tcPr>
          <w:p w14:paraId="68A0152F">
            <w:pPr>
              <w:keepNext w:val="0"/>
              <w:keepLines w:val="0"/>
              <w:pageBreakBefore w:val="0"/>
              <w:suppressLineNumbers w:val="0"/>
              <w:kinsoku/>
              <w:overflowPunct/>
              <w:topLinePunct w:val="0"/>
              <w:autoSpaceDN/>
              <w:bidi w:val="0"/>
              <w:adjustRightInd/>
              <w:snapToGrid/>
              <w:spacing w:before="0" w:beforeAutospacing="0" w:after="0" w:afterAutospacing="0" w:line="360" w:lineRule="exact"/>
              <w:ind w:left="0" w:right="0"/>
              <w:jc w:val="left"/>
              <w:textAlignment w:val="auto"/>
              <w:rPr>
                <w:rFonts w:hint="default" w:ascii="宋体" w:hAnsi="Times New Roman" w:eastAsia="宋体" w:cs="Times New Roman"/>
                <w:szCs w:val="21"/>
                <w:highlight w:val="none"/>
              </w:rPr>
            </w:pPr>
            <w:r>
              <w:rPr>
                <w:rFonts w:hint="eastAsia" w:ascii="宋体" w:hAnsi="Times New Roman" w:eastAsia="宋体" w:cs="Times New Roman"/>
                <w:szCs w:val="21"/>
                <w:highlight w:val="none"/>
                <w:lang w:eastAsia="zh-CN"/>
              </w:rPr>
              <w:t>1.</w:t>
            </w:r>
            <w:r>
              <w:rPr>
                <w:rFonts w:hint="eastAsia" w:ascii="宋体" w:hAnsi="Times New Roman" w:eastAsia="宋体" w:cs="Times New Roman"/>
                <w:szCs w:val="21"/>
                <w:highlight w:val="none"/>
              </w:rPr>
              <w:t>评标委员会只依靠投标人递交的投标文件及其按照招标文件要求提供的所有证明材料进行评审，而不依靠任何外来的证明材料。</w:t>
            </w:r>
          </w:p>
          <w:p w14:paraId="2F1E251F">
            <w:pPr>
              <w:keepNext w:val="0"/>
              <w:keepLines w:val="0"/>
              <w:pageBreakBefore w:val="0"/>
              <w:suppressLineNumbers w:val="0"/>
              <w:kinsoku/>
              <w:overflowPunct/>
              <w:topLinePunct w:val="0"/>
              <w:autoSpaceDN/>
              <w:bidi w:val="0"/>
              <w:adjustRightInd/>
              <w:snapToGrid/>
              <w:spacing w:before="0" w:beforeAutospacing="0" w:after="0" w:afterAutospacing="0" w:line="360" w:lineRule="exact"/>
              <w:ind w:left="0" w:right="0"/>
              <w:jc w:val="left"/>
              <w:textAlignment w:val="auto"/>
              <w:rPr>
                <w:rFonts w:hint="default" w:ascii="宋体" w:hAnsi="Times New Roman" w:eastAsia="宋体" w:cs="Times New Roman"/>
                <w:szCs w:val="21"/>
                <w:highlight w:val="none"/>
              </w:rPr>
            </w:pPr>
            <w:r>
              <w:rPr>
                <w:rFonts w:hint="eastAsia" w:ascii="宋体" w:hAnsi="Times New Roman" w:eastAsia="宋体" w:cs="Times New Roman"/>
                <w:szCs w:val="21"/>
                <w:highlight w:val="none"/>
                <w:lang w:eastAsia="zh-CN"/>
              </w:rPr>
              <w:t>2.</w:t>
            </w:r>
            <w:r>
              <w:rPr>
                <w:rFonts w:hint="eastAsia" w:ascii="宋体" w:hAnsi="Times New Roman" w:eastAsia="宋体" w:cs="Times New Roman"/>
                <w:szCs w:val="21"/>
                <w:highlight w:val="none"/>
              </w:rPr>
              <w:t>招标人对本项目执行过程中的所有争议拥有最终的裁决权，投标人应无条件地服从招标人的裁决，不得以任何理由提出增加本项目合同费用和延误本项目工期。</w:t>
            </w:r>
          </w:p>
          <w:p w14:paraId="2FFBCEF4">
            <w:pPr>
              <w:keepNext w:val="0"/>
              <w:keepLines w:val="0"/>
              <w:pageBreakBefore w:val="0"/>
              <w:suppressLineNumbers w:val="0"/>
              <w:kinsoku/>
              <w:overflowPunct/>
              <w:topLinePunct w:val="0"/>
              <w:autoSpaceDN/>
              <w:bidi w:val="0"/>
              <w:adjustRightInd/>
              <w:snapToGrid/>
              <w:spacing w:before="0" w:beforeAutospacing="0" w:after="0" w:afterAutospacing="0" w:line="360" w:lineRule="exact"/>
              <w:ind w:left="0" w:leftChars="0" w:right="0" w:rightChars="0"/>
              <w:jc w:val="left"/>
              <w:textAlignment w:val="auto"/>
              <w:rPr>
                <w:rFonts w:ascii="宋体" w:hAnsi="宋体" w:cs="宋体"/>
                <w:strike/>
                <w:szCs w:val="21"/>
                <w:highlight w:val="none"/>
              </w:rPr>
            </w:pPr>
            <w:r>
              <w:rPr>
                <w:rFonts w:hint="eastAsia" w:ascii="宋体" w:hAnsi="Times New Roman" w:eastAsia="宋体" w:cs="Times New Roman"/>
                <w:szCs w:val="21"/>
                <w:highlight w:val="none"/>
                <w:lang w:eastAsia="zh-CN"/>
              </w:rPr>
              <w:t>3.</w:t>
            </w:r>
            <w:r>
              <w:rPr>
                <w:rFonts w:hint="eastAsia" w:ascii="宋体" w:hAnsi="Times New Roman" w:eastAsia="宋体" w:cs="Times New Roman"/>
                <w:szCs w:val="21"/>
                <w:highlight w:val="none"/>
              </w:rPr>
              <w:t>本项目严禁非法转包，一经发现，招标人依法处理。</w:t>
            </w:r>
          </w:p>
        </w:tc>
      </w:tr>
      <w:tr w14:paraId="0F24C4E8">
        <w:tblPrEx>
          <w:tblCellMar>
            <w:top w:w="0" w:type="dxa"/>
            <w:left w:w="108" w:type="dxa"/>
            <w:bottom w:w="0" w:type="dxa"/>
            <w:right w:w="108" w:type="dxa"/>
          </w:tblCellMar>
        </w:tblPrEx>
        <w:trPr>
          <w:jc w:val="center"/>
        </w:trPr>
        <w:tc>
          <w:tcPr>
            <w:tcW w:w="1778" w:type="dxa"/>
            <w:gridSpan w:val="2"/>
            <w:tcBorders>
              <w:top w:val="single" w:color="auto" w:sz="4" w:space="0"/>
              <w:left w:val="single" w:color="auto" w:sz="4" w:space="0"/>
              <w:bottom w:val="single" w:color="auto" w:sz="4" w:space="0"/>
              <w:right w:val="single" w:color="auto" w:sz="4" w:space="0"/>
            </w:tcBorders>
            <w:vAlign w:val="center"/>
          </w:tcPr>
          <w:p w14:paraId="71447103">
            <w:pPr>
              <w:keepNext w:val="0"/>
              <w:keepLines w:val="0"/>
              <w:pageBreakBefore w:val="0"/>
              <w:suppressLineNumbers w:val="0"/>
              <w:kinsoku/>
              <w:wordWrap w:val="0"/>
              <w:overflowPunct/>
              <w:topLinePunct w:val="0"/>
              <w:autoSpaceDE/>
              <w:autoSpaceDN/>
              <w:bidi w:val="0"/>
              <w:adjustRightInd/>
              <w:snapToGrid/>
              <w:spacing w:before="0" w:beforeAutospacing="0" w:after="0" w:afterAutospacing="0" w:line="360" w:lineRule="exact"/>
              <w:ind w:left="0" w:leftChars="0" w:right="0" w:rightChars="0"/>
              <w:jc w:val="center"/>
              <w:textAlignment w:val="auto"/>
              <w:rPr>
                <w:rFonts w:hint="default" w:ascii="宋体" w:hAnsi="宋体" w:eastAsia="宋体" w:cs="宋体"/>
                <w:sz w:val="21"/>
                <w:szCs w:val="21"/>
                <w:lang w:val="en-US" w:eastAsia="zh-CN"/>
              </w:rPr>
            </w:pPr>
            <w:bookmarkStart w:id="51" w:name="_Toc15058846"/>
            <w:bookmarkStart w:id="52" w:name="_Toc5813"/>
            <w:bookmarkStart w:id="53" w:name="_Toc78803322"/>
            <w:bookmarkStart w:id="54" w:name="_Toc35424887"/>
            <w:bookmarkStart w:id="55" w:name="_Toc35425053"/>
            <w:r>
              <w:rPr>
                <w:rFonts w:hint="eastAsia" w:ascii="宋体" w:hAnsi="宋体" w:cs="宋体"/>
                <w:sz w:val="21"/>
                <w:szCs w:val="21"/>
                <w:highlight w:val="none"/>
                <w:lang w:val="en-US" w:eastAsia="zh-CN"/>
              </w:rPr>
              <w:t>重要说明</w:t>
            </w:r>
          </w:p>
        </w:tc>
        <w:tc>
          <w:tcPr>
            <w:tcW w:w="8550" w:type="dxa"/>
            <w:gridSpan w:val="2"/>
            <w:tcBorders>
              <w:top w:val="single" w:color="auto" w:sz="4" w:space="0"/>
              <w:left w:val="single" w:color="auto" w:sz="4" w:space="0"/>
              <w:bottom w:val="single" w:color="auto" w:sz="4" w:space="0"/>
              <w:right w:val="single" w:color="auto" w:sz="4" w:space="0"/>
            </w:tcBorders>
            <w:vAlign w:val="center"/>
          </w:tcPr>
          <w:p w14:paraId="3170AC32">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20" w:lineRule="exact"/>
              <w:ind w:left="0" w:leftChars="0" w:right="0" w:rightChars="0"/>
              <w:jc w:val="left"/>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1.请于公告发布之日起从滁州市城投工程咨询管理有限公司网站（https://www.czctgczx.com/），点击项目招标公告下方【我要投标】，登录新点电子交易平台后在【滁州专区】（https://www.etrading.cn/BREpointSSO/login/oauth2login?regioncode=DQ_ChuZhou）下载本项目招标文件。投标人自行承担因未按要求获取招标文件导致无法上传电子投标文件的风险。</w:t>
            </w:r>
          </w:p>
          <w:p w14:paraId="2FABF54C">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20" w:lineRule="exact"/>
              <w:ind w:left="0" w:leftChars="0" w:right="0" w:rightChars="0"/>
              <w:jc w:val="left"/>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2.投标人须登录新点电子交易平台【滁州专区】查询、获取招标文件。首次登录办理入库手续，办理入库不收取任何费用。新点电子招投标统一认证平台使用相关问题（如系统登录、信息登记、录入及提交、数字证书关联等）请拨打服务电话：0512-58151515（工作日）。 </w:t>
            </w:r>
          </w:p>
          <w:p w14:paraId="21A6935E">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20" w:lineRule="exact"/>
              <w:ind w:left="0" w:leftChars="0" w:right="0" w:rightChars="0"/>
              <w:jc w:val="left"/>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3.投标人登录新点电子交易平台【滁州专区】获取招标文件及其它资料（含澄清和补充说明等）。如在招标文件获取过程中遇到系统问题，请拨打技术支持服务热线0512-58151515或者网站首页在线客服。</w:t>
            </w:r>
          </w:p>
          <w:p w14:paraId="2E56599E">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20" w:lineRule="exact"/>
              <w:ind w:left="0" w:leftChars="0" w:right="0" w:rightChars="0"/>
              <w:jc w:val="left"/>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4.本项目采用不见面开标，投标人登录滁州市城投工程咨询有限公司不见面开标系统参与网上开标（网址：http://js.etrading.cn/EpointBidOpening/bidopeninghallaction/hall/login）。</w:t>
            </w:r>
          </w:p>
          <w:p w14:paraId="22FA8939">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20" w:lineRule="exact"/>
              <w:ind w:left="0" w:leftChars="0" w:right="0" w:rightChars="0"/>
              <w:jc w:val="left"/>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5.投标人应在投标截止时间之前，登录新点电子交易平台【滁州专区】上传投标文件。投标人逾期上传投标文件的，电子系统不予受理。</w:t>
            </w:r>
          </w:p>
          <w:p w14:paraId="35622F76">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20" w:lineRule="exact"/>
              <w:ind w:left="0" w:leftChars="0" w:right="0" w:rightChars="0"/>
              <w:jc w:val="left"/>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6.投标人的联系人电话(手机)、电子邮箱等通讯方式在开标过程中必须保持畅通，否则因上述原因造成的后果，责任自负。</w:t>
            </w:r>
          </w:p>
          <w:p w14:paraId="2DE681A4">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20" w:lineRule="exact"/>
              <w:ind w:left="0" w:leftChars="0" w:right="0" w:rightChars="0"/>
              <w:jc w:val="left"/>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7.本项目采用电子招投标方式，请投标人在“新点电子交易平台”常用下载专区下载“新点电子交易平台专用投标文件制作软件”，仔细阅读招标文件要求和相关操作手册，以免影响投标文件编制，因投标人未及时关注相关信息对投标造成的不利后果由其自行承担。投标软件制作工具下载：https://download.bqpoint.com/download/downloaddetail.html?SourceFrom=Ztb&amp;ZtbSoftXiaQuCode=0128&amp;ZtbSoftType=tballinclusive。</w:t>
            </w:r>
          </w:p>
          <w:p w14:paraId="79A3412E">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20" w:lineRule="exact"/>
              <w:ind w:left="0" w:leftChars="0" w:right="0" w:rightChars="0"/>
              <w:jc w:val="left"/>
              <w:textAlignment w:val="auto"/>
              <w:rPr>
                <w:rFonts w:hint="default"/>
                <w:lang w:val="en-US" w:eastAsia="zh-CN"/>
              </w:rPr>
            </w:pPr>
            <w:r>
              <w:rPr>
                <w:rFonts w:hint="eastAsia" w:ascii="宋体" w:hAnsi="宋体" w:eastAsia="宋体" w:cs="宋体"/>
                <w:kern w:val="0"/>
                <w:sz w:val="21"/>
                <w:szCs w:val="21"/>
                <w:highlight w:val="none"/>
                <w:lang w:val="en-US" w:eastAsia="zh-CN" w:bidi="ar-SA"/>
              </w:rPr>
              <w:t>8.本项目开评标实行全流程电子化，在线完成开评标活动。开标时投标人无需到达开标现场，不接受现场解密，实行远程解密和在线询标。各投标人认真学习《新点电子交易平台投标人操作手册》，务必掌握远程解密方法和在线回复询标方法。</w:t>
            </w:r>
          </w:p>
        </w:tc>
      </w:tr>
    </w:tbl>
    <w:p w14:paraId="735D540F">
      <w:pPr>
        <w:rPr>
          <w:rFonts w:hint="eastAsia" w:ascii="宋体" w:hAnsi="宋体" w:eastAsia="宋体" w:cs="宋体"/>
          <w:sz w:val="24"/>
          <w:szCs w:val="24"/>
          <w:highlight w:val="none"/>
        </w:rPr>
      </w:pPr>
      <w:r>
        <w:rPr>
          <w:rFonts w:hint="eastAsia" w:ascii="宋体" w:hAnsi="宋体" w:eastAsia="宋体" w:cs="宋体"/>
          <w:sz w:val="24"/>
          <w:szCs w:val="24"/>
          <w:highlight w:val="none"/>
        </w:rPr>
        <w:br w:type="page"/>
      </w:r>
    </w:p>
    <w:p w14:paraId="6585086A">
      <w:pPr>
        <w:pStyle w:val="3"/>
        <w:spacing w:beforeLines="50" w:afterLines="50"/>
        <w:ind w:firstLine="482" w:firstLineChars="200"/>
        <w:rPr>
          <w:rFonts w:ascii="宋体" w:hAnsi="宋体" w:eastAsia="宋体" w:cs="宋体"/>
          <w:sz w:val="24"/>
          <w:szCs w:val="24"/>
          <w:highlight w:val="none"/>
        </w:rPr>
      </w:pPr>
      <w:r>
        <w:rPr>
          <w:rFonts w:hint="eastAsia" w:ascii="宋体" w:hAnsi="宋体" w:eastAsia="宋体" w:cs="宋体"/>
          <w:sz w:val="24"/>
          <w:szCs w:val="24"/>
          <w:highlight w:val="none"/>
        </w:rPr>
        <w:t>1. 总则</w:t>
      </w:r>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2AE7C8E8">
      <w:pPr>
        <w:pStyle w:val="3"/>
        <w:ind w:firstLine="422" w:firstLineChars="200"/>
        <w:rPr>
          <w:rFonts w:ascii="宋体" w:hAnsi="宋体" w:eastAsia="宋体" w:cs="宋体"/>
          <w:kern w:val="44"/>
          <w:highlight w:val="none"/>
        </w:rPr>
      </w:pPr>
      <w:bookmarkStart w:id="56" w:name="_Toc152045530"/>
      <w:bookmarkStart w:id="57" w:name="_Toc247085690"/>
      <w:bookmarkStart w:id="58" w:name="_Toc144974498"/>
      <w:bookmarkStart w:id="59" w:name="_Toc35425054"/>
      <w:bookmarkStart w:id="60" w:name="_Toc35424888"/>
      <w:bookmarkStart w:id="61" w:name="_Toc296602421"/>
      <w:bookmarkStart w:id="62" w:name="_Toc78803323"/>
      <w:bookmarkStart w:id="63" w:name="_Toc152042306"/>
      <w:bookmarkStart w:id="64" w:name="_Toc246996176"/>
      <w:bookmarkStart w:id="65" w:name="_Toc15058847"/>
      <w:bookmarkStart w:id="66" w:name="_Toc4678"/>
      <w:bookmarkStart w:id="67" w:name="_Toc179632547"/>
      <w:bookmarkStart w:id="68" w:name="_Toc506107270"/>
      <w:bookmarkStart w:id="69" w:name="_Toc324404816"/>
      <w:bookmarkStart w:id="70" w:name="_Toc246996919"/>
      <w:r>
        <w:rPr>
          <w:rFonts w:hint="eastAsia" w:ascii="宋体" w:hAnsi="宋体" w:eastAsia="宋体" w:cs="宋体"/>
          <w:kern w:val="44"/>
          <w:highlight w:val="none"/>
        </w:rPr>
        <w:t>1.1 项目概况</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14:paraId="07780BC3">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1.1.1根据《中华人民共和国招标投标法》《中华人民共和国招标投标法实施条例》等有关法律、法规和规章的规定，本招标项目已具备招标条件，现对本项目进行招标。</w:t>
      </w:r>
    </w:p>
    <w:p w14:paraId="5AB354AF">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1.1.2 本招标项目招标人：见投标人须知前附表。</w:t>
      </w:r>
    </w:p>
    <w:p w14:paraId="7E46A021">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1.1.3 本招标项目招标代理机构：见投标人须知前附表。</w:t>
      </w:r>
    </w:p>
    <w:p w14:paraId="77102B8A">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1.1.4 本招标项目名称：见投标人须知前附表。</w:t>
      </w:r>
    </w:p>
    <w:p w14:paraId="6CBC3272">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1.1.5 本招标项目建设地点：见投标人须知前附表。</w:t>
      </w:r>
    </w:p>
    <w:p w14:paraId="036B2C8D">
      <w:pPr>
        <w:pStyle w:val="3"/>
        <w:ind w:firstLine="422" w:firstLineChars="200"/>
        <w:rPr>
          <w:rFonts w:ascii="宋体" w:hAnsi="宋体" w:eastAsia="宋体" w:cs="宋体"/>
          <w:highlight w:val="none"/>
        </w:rPr>
      </w:pPr>
      <w:bookmarkStart w:id="71" w:name="_Toc246996177"/>
      <w:bookmarkStart w:id="72" w:name="_Toc15058848"/>
      <w:bookmarkStart w:id="73" w:name="_Toc78803324"/>
      <w:bookmarkStart w:id="74" w:name="_Toc7142"/>
      <w:bookmarkStart w:id="75" w:name="_Toc296602422"/>
      <w:bookmarkStart w:id="76" w:name="_Toc144974499"/>
      <w:bookmarkStart w:id="77" w:name="_Toc152045531"/>
      <w:bookmarkStart w:id="78" w:name="_Toc179632548"/>
      <w:bookmarkStart w:id="79" w:name="_Toc506107271"/>
      <w:bookmarkStart w:id="80" w:name="_Toc35424889"/>
      <w:bookmarkStart w:id="81" w:name="_Toc246996920"/>
      <w:bookmarkStart w:id="82" w:name="_Toc152042307"/>
      <w:bookmarkStart w:id="83" w:name="_Toc35425055"/>
      <w:bookmarkStart w:id="84" w:name="_Toc247085691"/>
      <w:bookmarkStart w:id="85" w:name="_Toc324404817"/>
      <w:r>
        <w:rPr>
          <w:rFonts w:hint="eastAsia" w:ascii="宋体" w:hAnsi="宋体" w:eastAsia="宋体" w:cs="宋体"/>
          <w:highlight w:val="none"/>
        </w:rPr>
        <w:t>1.2 资金来源和落实情况</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14:paraId="662000A2">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1.2.1 本招标项目的资金来源及出资比例：见投标人须知前附表。</w:t>
      </w:r>
    </w:p>
    <w:p w14:paraId="2086A8CF">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1.2.2 本招标项目的资金落实情况：见投标人须知前附表。</w:t>
      </w:r>
    </w:p>
    <w:p w14:paraId="77419EB9">
      <w:pPr>
        <w:pStyle w:val="3"/>
        <w:ind w:firstLine="422" w:firstLineChars="200"/>
        <w:rPr>
          <w:rFonts w:ascii="宋体" w:hAnsi="宋体" w:eastAsia="宋体" w:cs="宋体"/>
          <w:highlight w:val="none"/>
        </w:rPr>
      </w:pPr>
      <w:bookmarkStart w:id="86" w:name="_Toc78803325"/>
      <w:bookmarkStart w:id="87" w:name="_Toc152042308"/>
      <w:bookmarkStart w:id="88" w:name="_Toc152045532"/>
      <w:bookmarkStart w:id="89" w:name="_Toc144974500"/>
      <w:bookmarkStart w:id="90" w:name="_Toc179632549"/>
      <w:bookmarkStart w:id="91" w:name="_Toc296602423"/>
      <w:bookmarkStart w:id="92" w:name="_Toc35424890"/>
      <w:bookmarkStart w:id="93" w:name="_Toc506107272"/>
      <w:bookmarkStart w:id="94" w:name="_Toc324404818"/>
      <w:bookmarkStart w:id="95" w:name="_Toc35425056"/>
      <w:bookmarkStart w:id="96" w:name="_Toc15058849"/>
      <w:bookmarkStart w:id="97" w:name="_Toc6330"/>
      <w:bookmarkStart w:id="98" w:name="_Toc246996178"/>
      <w:bookmarkStart w:id="99" w:name="_Toc247085692"/>
      <w:bookmarkStart w:id="100" w:name="_Toc246996921"/>
      <w:r>
        <w:rPr>
          <w:rFonts w:hint="eastAsia" w:ascii="宋体" w:hAnsi="宋体" w:eastAsia="宋体" w:cs="宋体"/>
          <w:highlight w:val="none"/>
        </w:rPr>
        <w:t>1.3 招标范围、服务期限、质量要求</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14:paraId="4E6EC99A">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1.3.1 本次招标范围：见投标人须知前附表。</w:t>
      </w:r>
    </w:p>
    <w:p w14:paraId="47384945">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1.3.2 本招标项目的服务期限：见投标人须知前附表。</w:t>
      </w:r>
    </w:p>
    <w:p w14:paraId="1CB8FAD6">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1.3.3 本招标项目的质量要求：见投标人须知前附表。</w:t>
      </w:r>
    </w:p>
    <w:p w14:paraId="26E33D0B">
      <w:pPr>
        <w:pStyle w:val="3"/>
        <w:ind w:firstLine="422" w:firstLineChars="200"/>
        <w:rPr>
          <w:rFonts w:ascii="宋体" w:hAnsi="宋体" w:eastAsia="宋体" w:cs="宋体"/>
          <w:highlight w:val="none"/>
        </w:rPr>
      </w:pPr>
      <w:bookmarkStart w:id="101" w:name="_Toc296602424"/>
      <w:bookmarkStart w:id="102" w:name="_Toc78803326"/>
      <w:bookmarkStart w:id="103" w:name="_Toc246996922"/>
      <w:bookmarkStart w:id="104" w:name="_Toc144974502"/>
      <w:bookmarkStart w:id="105" w:name="_Toc152045534"/>
      <w:bookmarkStart w:id="106" w:name="_Toc35425057"/>
      <w:bookmarkStart w:id="107" w:name="_Toc324404819"/>
      <w:bookmarkStart w:id="108" w:name="_Toc152042310"/>
      <w:bookmarkStart w:id="109" w:name="_Toc26897"/>
      <w:bookmarkStart w:id="110" w:name="_Toc246996179"/>
      <w:bookmarkStart w:id="111" w:name="_Toc247085693"/>
      <w:bookmarkStart w:id="112" w:name="_Toc179632551"/>
      <w:bookmarkStart w:id="113" w:name="_Toc506107273"/>
      <w:bookmarkStart w:id="114" w:name="_Toc15058850"/>
      <w:bookmarkStart w:id="115" w:name="_Toc35424891"/>
      <w:r>
        <w:rPr>
          <w:rFonts w:hint="eastAsia" w:ascii="宋体" w:hAnsi="宋体" w:eastAsia="宋体" w:cs="宋体"/>
          <w:highlight w:val="none"/>
        </w:rPr>
        <w:t>1.4 投标人资格要求</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14:paraId="473C4A8A">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1.4.1 投标人应具备承担本项目的资质条件、能力和信誉。</w:t>
      </w:r>
    </w:p>
    <w:p w14:paraId="2635E8EC">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（1）资质条件：见投标人须知前附表；</w:t>
      </w:r>
    </w:p>
    <w:p w14:paraId="4D8A91F0">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（2）项目负责人资格：见投标人须知前附表；</w:t>
      </w:r>
    </w:p>
    <w:p w14:paraId="63566655">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w:t>
      </w:r>
      <w:r>
        <w:rPr>
          <w:rFonts w:hint="eastAsia" w:ascii="宋体" w:hAnsi="宋体" w:cs="宋体"/>
          <w:szCs w:val="21"/>
          <w:highlight w:val="none"/>
          <w:lang w:val="en-US" w:eastAsia="zh-CN"/>
        </w:rPr>
        <w:t>3</w:t>
      </w:r>
      <w:r>
        <w:rPr>
          <w:rFonts w:hint="eastAsia" w:ascii="宋体" w:hAnsi="宋体" w:cs="宋体"/>
          <w:szCs w:val="21"/>
          <w:highlight w:val="none"/>
        </w:rPr>
        <w:t>）其他要求：见投标人须知前附表。</w:t>
      </w:r>
    </w:p>
    <w:p w14:paraId="3FF553EB">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1.4.2 投标人不得存在下列情形之一：</w:t>
      </w:r>
    </w:p>
    <w:p w14:paraId="07B44522">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（1）为招标人不具有独立法人资格的附属机构（单位）；</w:t>
      </w:r>
    </w:p>
    <w:p w14:paraId="777EC826">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（2）与招标人存在利害关系且可能影响招标公正性；</w:t>
      </w:r>
    </w:p>
    <w:p w14:paraId="300323A5">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（3）与本标段的其他投标人同为一个单位负责人；</w:t>
      </w:r>
    </w:p>
    <w:p w14:paraId="4B6FCCF0">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（4）与本标段的其他投标人存在控股、管理关系；</w:t>
      </w:r>
    </w:p>
    <w:p w14:paraId="5CF77BBE">
      <w:pPr>
        <w:spacing w:line="440" w:lineRule="exact"/>
        <w:ind w:firstLine="420" w:firstLineChars="200"/>
        <w:jc w:val="left"/>
        <w:rPr>
          <w:rFonts w:hint="eastAsia" w:ascii="宋体" w:hAnsi="宋体" w:cs="宋体"/>
          <w:color w:val="000000"/>
          <w:szCs w:val="21"/>
        </w:rPr>
      </w:pPr>
      <w:r>
        <w:rPr>
          <w:rFonts w:hint="eastAsia" w:ascii="宋体" w:hAnsi="宋体" w:cs="宋体"/>
          <w:szCs w:val="21"/>
          <w:highlight w:val="none"/>
        </w:rPr>
        <w:t>（5）为本标段前期准备提供设计或咨询服务的法人或其任何附属机构（单位）</w:t>
      </w:r>
      <w:r>
        <w:rPr>
          <w:rFonts w:hint="eastAsia" w:ascii="宋体" w:hAnsi="宋体" w:cs="宋体"/>
          <w:color w:val="000000"/>
          <w:szCs w:val="21"/>
        </w:rPr>
        <w:t>；</w:t>
      </w:r>
    </w:p>
    <w:p w14:paraId="60E2443B">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（6）为本标段的监理人；</w:t>
      </w:r>
    </w:p>
    <w:p w14:paraId="4EF9AAFC">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（7）为本标段的代建人；</w:t>
      </w:r>
    </w:p>
    <w:p w14:paraId="561E8C40">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（8）为本标段的招标代理机构；</w:t>
      </w:r>
    </w:p>
    <w:p w14:paraId="354920B1">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（9）与本标段的监理人或代建人或招标代理机构同为一个法定代表人；</w:t>
      </w:r>
    </w:p>
    <w:p w14:paraId="02E8960D">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（10）与本标段的监理人或代建人或招标代理机构存在控股或参股关系；</w:t>
      </w:r>
    </w:p>
    <w:p w14:paraId="5D13A36D">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（11）法律法规或投标人须知前附表规定的其他情形。</w:t>
      </w:r>
    </w:p>
    <w:p w14:paraId="0147B1F5">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1.4.3 单位负责人为同一人或者存在控股、管理关系的不同单位，不得同时参加本招标项目投标。</w:t>
      </w:r>
    </w:p>
    <w:p w14:paraId="4D283291">
      <w:pPr>
        <w:pStyle w:val="3"/>
        <w:ind w:firstLine="422" w:firstLineChars="200"/>
        <w:rPr>
          <w:rFonts w:ascii="宋体" w:hAnsi="宋体" w:eastAsia="宋体" w:cs="宋体"/>
          <w:highlight w:val="none"/>
        </w:rPr>
      </w:pPr>
      <w:bookmarkStart w:id="116" w:name="_Toc324404820"/>
      <w:bookmarkStart w:id="117" w:name="_Toc179632552"/>
      <w:bookmarkStart w:id="118" w:name="_Toc15058851"/>
      <w:bookmarkStart w:id="119" w:name="_Toc296602425"/>
      <w:bookmarkStart w:id="120" w:name="_Toc10179"/>
      <w:bookmarkStart w:id="121" w:name="_Toc152045535"/>
      <w:bookmarkStart w:id="122" w:name="_Toc35424892"/>
      <w:bookmarkStart w:id="123" w:name="_Toc152042311"/>
      <w:bookmarkStart w:id="124" w:name="_Toc246996180"/>
      <w:bookmarkStart w:id="125" w:name="_Toc35425058"/>
      <w:bookmarkStart w:id="126" w:name="_Toc144974503"/>
      <w:bookmarkStart w:id="127" w:name="_Toc78803327"/>
      <w:bookmarkStart w:id="128" w:name="_Toc247085694"/>
      <w:bookmarkStart w:id="129" w:name="_Toc506107274"/>
      <w:bookmarkStart w:id="130" w:name="_Toc246996923"/>
      <w:r>
        <w:rPr>
          <w:rFonts w:hint="eastAsia" w:ascii="宋体" w:hAnsi="宋体" w:eastAsia="宋体" w:cs="宋体"/>
          <w:highlight w:val="none"/>
        </w:rPr>
        <w:t>1.5 费用承担</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14:paraId="2CDB29E0">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投标人准备和参加投标活动发生的费用自理。</w:t>
      </w:r>
    </w:p>
    <w:p w14:paraId="6B9E8D17">
      <w:pPr>
        <w:pStyle w:val="3"/>
        <w:ind w:firstLine="422" w:firstLineChars="200"/>
        <w:rPr>
          <w:rFonts w:ascii="宋体" w:hAnsi="宋体" w:eastAsia="宋体" w:cs="宋体"/>
          <w:highlight w:val="none"/>
        </w:rPr>
      </w:pPr>
      <w:bookmarkStart w:id="131" w:name="_Toc35424893"/>
      <w:bookmarkStart w:id="132" w:name="_Toc179632553"/>
      <w:bookmarkStart w:id="133" w:name="_Toc247085695"/>
      <w:bookmarkStart w:id="134" w:name="_Toc78803328"/>
      <w:bookmarkStart w:id="135" w:name="_Toc144974504"/>
      <w:bookmarkStart w:id="136" w:name="_Toc324404821"/>
      <w:bookmarkStart w:id="137" w:name="_Toc152045536"/>
      <w:bookmarkStart w:id="138" w:name="_Toc152042312"/>
      <w:bookmarkStart w:id="139" w:name="_Toc246996181"/>
      <w:bookmarkStart w:id="140" w:name="_Toc4092"/>
      <w:bookmarkStart w:id="141" w:name="_Toc246996924"/>
      <w:bookmarkStart w:id="142" w:name="_Toc506107275"/>
      <w:bookmarkStart w:id="143" w:name="_Toc296602426"/>
      <w:bookmarkStart w:id="144" w:name="_Toc35425059"/>
      <w:bookmarkStart w:id="145" w:name="_Toc15058852"/>
      <w:r>
        <w:rPr>
          <w:rFonts w:hint="eastAsia" w:ascii="宋体" w:hAnsi="宋体" w:eastAsia="宋体" w:cs="宋体"/>
          <w:highlight w:val="none"/>
        </w:rPr>
        <w:t>1.6 保密</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14:paraId="709F25B8">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 xml:space="preserve">参与招标投标活动的各方应对招标文件和投标文件中的商业和技术等秘密保密，违者应对由此造成的后果承担法律责任。 </w:t>
      </w:r>
    </w:p>
    <w:p w14:paraId="17C94B32">
      <w:pPr>
        <w:pStyle w:val="3"/>
        <w:ind w:firstLine="422" w:firstLineChars="200"/>
        <w:rPr>
          <w:rFonts w:ascii="宋体" w:hAnsi="宋体" w:eastAsia="宋体" w:cs="宋体"/>
          <w:highlight w:val="none"/>
        </w:rPr>
      </w:pPr>
      <w:bookmarkStart w:id="146" w:name="_Toc144974505"/>
      <w:bookmarkStart w:id="147" w:name="_Toc35425060"/>
      <w:bookmarkStart w:id="148" w:name="_Toc247085696"/>
      <w:bookmarkStart w:id="149" w:name="_Toc246996925"/>
      <w:bookmarkStart w:id="150" w:name="_Toc152045537"/>
      <w:bookmarkStart w:id="151" w:name="_Toc246996182"/>
      <w:bookmarkStart w:id="152" w:name="_Toc324404822"/>
      <w:bookmarkStart w:id="153" w:name="_Toc4119"/>
      <w:bookmarkStart w:id="154" w:name="_Toc35424894"/>
      <w:bookmarkStart w:id="155" w:name="_Toc78803329"/>
      <w:bookmarkStart w:id="156" w:name="_Toc506107276"/>
      <w:bookmarkStart w:id="157" w:name="_Toc152042313"/>
      <w:bookmarkStart w:id="158" w:name="_Toc15058853"/>
      <w:bookmarkStart w:id="159" w:name="_Toc179632554"/>
      <w:bookmarkStart w:id="160" w:name="_Toc296602427"/>
      <w:r>
        <w:rPr>
          <w:rFonts w:hint="eastAsia" w:ascii="宋体" w:hAnsi="宋体" w:eastAsia="宋体" w:cs="宋体"/>
          <w:highlight w:val="none"/>
        </w:rPr>
        <w:t>1.7 语言</w:t>
      </w:r>
      <w:bookmarkEnd w:id="146"/>
      <w:r>
        <w:rPr>
          <w:rFonts w:hint="eastAsia" w:ascii="宋体" w:hAnsi="宋体" w:eastAsia="宋体" w:cs="宋体"/>
          <w:highlight w:val="none"/>
        </w:rPr>
        <w:t>文字</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14:paraId="13039B6C">
      <w:pPr>
        <w:spacing w:line="440" w:lineRule="exact"/>
        <w:ind w:firstLine="420" w:firstLineChars="200"/>
        <w:jc w:val="left"/>
        <w:rPr>
          <w:rFonts w:ascii="宋体" w:hAnsi="宋体" w:cs="宋体"/>
          <w:szCs w:val="21"/>
          <w:highlight w:val="none"/>
        </w:rPr>
      </w:pPr>
      <w:bookmarkStart w:id="161" w:name="_Toc246996183"/>
      <w:bookmarkStart w:id="162" w:name="_Toc144974506"/>
      <w:bookmarkStart w:id="163" w:name="_Toc247085697"/>
      <w:bookmarkStart w:id="164" w:name="_Toc179632555"/>
      <w:bookmarkStart w:id="165" w:name="_Toc152045538"/>
      <w:bookmarkStart w:id="166" w:name="_Toc152042314"/>
      <w:bookmarkStart w:id="167" w:name="_Toc246996926"/>
      <w:r>
        <w:rPr>
          <w:rFonts w:hint="eastAsia" w:ascii="宋体" w:hAnsi="宋体" w:cs="宋体"/>
          <w:szCs w:val="21"/>
          <w:highlight w:val="none"/>
        </w:rPr>
        <w:t>招标投标文件使用的语言文字为中文。专用术语使用外文的，应附有中文注释。</w:t>
      </w:r>
    </w:p>
    <w:p w14:paraId="07887133">
      <w:pPr>
        <w:pStyle w:val="3"/>
        <w:ind w:firstLine="422" w:firstLineChars="200"/>
        <w:rPr>
          <w:rFonts w:ascii="宋体" w:hAnsi="宋体" w:eastAsia="宋体" w:cs="宋体"/>
          <w:highlight w:val="none"/>
        </w:rPr>
      </w:pPr>
      <w:bookmarkStart w:id="168" w:name="_Toc35424895"/>
      <w:bookmarkStart w:id="169" w:name="_Toc13408"/>
      <w:bookmarkStart w:id="170" w:name="_Toc78803330"/>
      <w:bookmarkStart w:id="171" w:name="_Toc324404823"/>
      <w:bookmarkStart w:id="172" w:name="_Toc15058854"/>
      <w:bookmarkStart w:id="173" w:name="_Toc296602428"/>
      <w:bookmarkStart w:id="174" w:name="_Toc35425061"/>
      <w:bookmarkStart w:id="175" w:name="_Toc506107277"/>
      <w:r>
        <w:rPr>
          <w:rFonts w:hint="eastAsia" w:ascii="宋体" w:hAnsi="宋体" w:eastAsia="宋体" w:cs="宋体"/>
          <w:highlight w:val="none"/>
        </w:rPr>
        <w:t>1.8 计量单位</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14:paraId="3DEA88EB">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所有计量均采用中华人民共和国法定计量单位。</w:t>
      </w:r>
    </w:p>
    <w:p w14:paraId="6E75FA73">
      <w:pPr>
        <w:pStyle w:val="3"/>
        <w:ind w:firstLine="422" w:firstLineChars="200"/>
        <w:rPr>
          <w:rFonts w:ascii="宋体" w:hAnsi="宋体" w:eastAsia="宋体" w:cs="宋体"/>
          <w:highlight w:val="none"/>
        </w:rPr>
      </w:pPr>
      <w:bookmarkStart w:id="176" w:name="_Toc152042315"/>
      <w:bookmarkStart w:id="177" w:name="_Toc11493"/>
      <w:bookmarkStart w:id="178" w:name="_Toc144974507"/>
      <w:bookmarkStart w:id="179" w:name="_Toc35425062"/>
      <w:bookmarkStart w:id="180" w:name="_Toc324404824"/>
      <w:bookmarkStart w:id="181" w:name="_Toc15058855"/>
      <w:bookmarkStart w:id="182" w:name="_Toc247527563"/>
      <w:bookmarkStart w:id="183" w:name="_Toc296602429"/>
      <w:bookmarkStart w:id="184" w:name="_Toc247513962"/>
      <w:bookmarkStart w:id="185" w:name="_Toc35424896"/>
      <w:bookmarkStart w:id="186" w:name="_Toc506107278"/>
      <w:bookmarkStart w:id="187" w:name="_Toc247592876"/>
      <w:bookmarkStart w:id="188" w:name="_Toc152045539"/>
      <w:bookmarkStart w:id="189" w:name="_Toc78803331"/>
      <w:r>
        <w:rPr>
          <w:rFonts w:hint="eastAsia" w:ascii="宋体" w:hAnsi="宋体" w:eastAsia="宋体" w:cs="宋体"/>
          <w:highlight w:val="none"/>
        </w:rPr>
        <w:t>1.9 踏勘现场</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14:paraId="52A71B3B">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 xml:space="preserve">1.9.1 投标人须知前附表规定组织踏勘现场的，招标人按投标人须知前附表规定的时间、地点组织投标人踏勘项目现场。 </w:t>
      </w:r>
    </w:p>
    <w:p w14:paraId="7CA0E902">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1.9.2 投标人踏勘现场发生的费用自理。</w:t>
      </w:r>
    </w:p>
    <w:p w14:paraId="1274652D">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1.9.3 除招标人的原因外，投标人自行负责在踏勘现场中所发生的人员伤亡和财产损失。</w:t>
      </w:r>
    </w:p>
    <w:p w14:paraId="79BF0E5F">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1.9.4 招标人在踏勘现场中介绍的工程场地和相关的周边环境情况，供投标人在编制投标文件时参考，招标人不对投标人据此作出的判断和决策负责。</w:t>
      </w:r>
    </w:p>
    <w:p w14:paraId="179FDA06">
      <w:pPr>
        <w:pStyle w:val="3"/>
        <w:ind w:firstLine="422" w:firstLineChars="200"/>
        <w:rPr>
          <w:rFonts w:ascii="宋体" w:hAnsi="宋体" w:eastAsia="宋体" w:cs="宋体"/>
          <w:highlight w:val="none"/>
        </w:rPr>
      </w:pPr>
      <w:bookmarkStart w:id="190" w:name="_Toc324404825"/>
      <w:bookmarkStart w:id="191" w:name="_Toc78803332"/>
      <w:bookmarkStart w:id="192" w:name="_Toc296602430"/>
      <w:bookmarkStart w:id="193" w:name="_Toc15058856"/>
      <w:bookmarkStart w:id="194" w:name="_Toc247527564"/>
      <w:bookmarkStart w:id="195" w:name="_Toc22954"/>
      <w:bookmarkStart w:id="196" w:name="_Toc144974508"/>
      <w:bookmarkStart w:id="197" w:name="_Toc35425063"/>
      <w:bookmarkStart w:id="198" w:name="_Toc152045540"/>
      <w:bookmarkStart w:id="199" w:name="_Toc152042316"/>
      <w:bookmarkStart w:id="200" w:name="_Toc35424897"/>
      <w:bookmarkStart w:id="201" w:name="_Toc247513963"/>
      <w:bookmarkStart w:id="202" w:name="_Toc247592877"/>
      <w:bookmarkStart w:id="203" w:name="_Toc506107279"/>
      <w:r>
        <w:rPr>
          <w:rFonts w:hint="eastAsia" w:ascii="宋体" w:hAnsi="宋体" w:eastAsia="宋体" w:cs="宋体"/>
          <w:highlight w:val="none"/>
        </w:rPr>
        <w:t>1.10 投标预备会</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14:paraId="58EE1D17">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1.10.1投标人须知前附表规定召开投标预备会的，招标人按投标人须知前附表规定的时间和地点召开投标预备会，澄清投标人提出的问题。</w:t>
      </w:r>
    </w:p>
    <w:p w14:paraId="5D6BD253">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1.10.2投标人应在投标人须知前附表规定的时间前，将提出的问题送达招标人，以便招标人澄清。</w:t>
      </w:r>
    </w:p>
    <w:p w14:paraId="5AA3AE05">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1.10.3招标人在投标人须知前附表规定的时间，将对投标人所提的问题进行澄清。该澄清内容为招标文件的组成部分。</w:t>
      </w:r>
    </w:p>
    <w:p w14:paraId="01FA1CA0">
      <w:pPr>
        <w:pStyle w:val="3"/>
        <w:ind w:firstLine="422" w:firstLineChars="200"/>
        <w:rPr>
          <w:rFonts w:ascii="宋体" w:hAnsi="宋体" w:eastAsia="宋体" w:cs="宋体"/>
          <w:highlight w:val="none"/>
        </w:rPr>
      </w:pPr>
      <w:bookmarkStart w:id="204" w:name="_Toc35424898"/>
      <w:bookmarkStart w:id="205" w:name="_Toc506107280"/>
      <w:bookmarkStart w:id="206" w:name="_Toc32016"/>
      <w:bookmarkStart w:id="207" w:name="_Toc296602431"/>
      <w:bookmarkStart w:id="208" w:name="_Toc324404826"/>
      <w:bookmarkStart w:id="209" w:name="_Toc35425064"/>
      <w:bookmarkStart w:id="210" w:name="_Toc15058857"/>
      <w:bookmarkStart w:id="211" w:name="_Toc78803333"/>
      <w:r>
        <w:rPr>
          <w:rFonts w:hint="eastAsia" w:ascii="宋体" w:hAnsi="宋体" w:eastAsia="宋体" w:cs="宋体"/>
          <w:highlight w:val="none"/>
        </w:rPr>
        <w:t>1.11 偏离</w:t>
      </w:r>
      <w:bookmarkEnd w:id="204"/>
      <w:bookmarkEnd w:id="205"/>
      <w:bookmarkEnd w:id="206"/>
      <w:bookmarkEnd w:id="207"/>
      <w:bookmarkEnd w:id="208"/>
      <w:bookmarkEnd w:id="209"/>
      <w:bookmarkEnd w:id="210"/>
      <w:bookmarkEnd w:id="211"/>
    </w:p>
    <w:p w14:paraId="7B46C049">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投标人须知前附表允许投标文件偏离招标文件某些要求的，偏离应当符合招标文件规定的偏离范围和幅度。</w:t>
      </w:r>
    </w:p>
    <w:p w14:paraId="258F395D">
      <w:pPr>
        <w:pStyle w:val="3"/>
        <w:spacing w:beforeLines="50" w:afterLines="50"/>
        <w:ind w:firstLine="482" w:firstLineChars="200"/>
        <w:rPr>
          <w:rFonts w:ascii="宋体" w:hAnsi="宋体" w:eastAsia="宋体" w:cs="宋体"/>
          <w:sz w:val="24"/>
          <w:szCs w:val="24"/>
          <w:highlight w:val="none"/>
        </w:rPr>
      </w:pPr>
      <w:bookmarkStart w:id="212" w:name="_Toc4012"/>
      <w:bookmarkStart w:id="213" w:name="_Toc35425065"/>
      <w:bookmarkStart w:id="214" w:name="_Toc246996187"/>
      <w:bookmarkStart w:id="215" w:name="_Toc179632560"/>
      <w:bookmarkStart w:id="216" w:name="_Toc78803334"/>
      <w:bookmarkStart w:id="217" w:name="_Toc506107281"/>
      <w:bookmarkStart w:id="218" w:name="_Toc152042318"/>
      <w:bookmarkStart w:id="219" w:name="_Toc35424899"/>
      <w:bookmarkStart w:id="220" w:name="_Toc246996930"/>
      <w:bookmarkStart w:id="221" w:name="_Toc144974510"/>
      <w:bookmarkStart w:id="222" w:name="_Toc324404827"/>
      <w:bookmarkStart w:id="223" w:name="_Toc15058858"/>
      <w:bookmarkStart w:id="224" w:name="_Toc247085701"/>
      <w:bookmarkStart w:id="225" w:name="_Toc152045542"/>
      <w:r>
        <w:rPr>
          <w:rFonts w:hint="eastAsia" w:ascii="宋体" w:hAnsi="宋体" w:eastAsia="宋体" w:cs="宋体"/>
          <w:sz w:val="24"/>
          <w:szCs w:val="24"/>
          <w:highlight w:val="none"/>
        </w:rPr>
        <w:t>2. 招标文件</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14:paraId="1E9A892E">
      <w:pPr>
        <w:pStyle w:val="3"/>
        <w:ind w:firstLine="422" w:firstLineChars="200"/>
        <w:rPr>
          <w:rFonts w:ascii="宋体" w:hAnsi="宋体" w:eastAsia="宋体" w:cs="宋体"/>
          <w:highlight w:val="none"/>
        </w:rPr>
      </w:pPr>
      <w:bookmarkStart w:id="226" w:name="_Toc144974511"/>
      <w:bookmarkStart w:id="227" w:name="_Toc15058859"/>
      <w:bookmarkStart w:id="228" w:name="_Toc324404828"/>
      <w:bookmarkStart w:id="229" w:name="_Toc13213"/>
      <w:bookmarkStart w:id="230" w:name="_Toc246996931"/>
      <w:bookmarkStart w:id="231" w:name="_Toc35424900"/>
      <w:bookmarkStart w:id="232" w:name="_Toc152042319"/>
      <w:bookmarkStart w:id="233" w:name="_Toc179632561"/>
      <w:bookmarkStart w:id="234" w:name="_Toc78803335"/>
      <w:bookmarkStart w:id="235" w:name="_Toc35425066"/>
      <w:bookmarkStart w:id="236" w:name="_Toc246996188"/>
      <w:bookmarkStart w:id="237" w:name="_Toc506107282"/>
      <w:bookmarkStart w:id="238" w:name="_Toc296602433"/>
      <w:bookmarkStart w:id="239" w:name="_Toc152045543"/>
      <w:bookmarkStart w:id="240" w:name="_Toc247085702"/>
      <w:r>
        <w:rPr>
          <w:rFonts w:hint="eastAsia" w:ascii="宋体" w:hAnsi="宋体" w:eastAsia="宋体" w:cs="宋体"/>
          <w:highlight w:val="none"/>
        </w:rPr>
        <w:t>2.1 招标文件的组成</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14:paraId="2F335EA0">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2.1.1 本招标文件包括：</w:t>
      </w:r>
    </w:p>
    <w:p w14:paraId="17A25422">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（1）招标公告；</w:t>
      </w:r>
    </w:p>
    <w:p w14:paraId="309C973C">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（2）投标人须知；</w:t>
      </w:r>
    </w:p>
    <w:p w14:paraId="794E1BCF">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（3）资格审查办法</w:t>
      </w:r>
    </w:p>
    <w:p w14:paraId="0F96BD3B">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（4）评标办法；</w:t>
      </w:r>
    </w:p>
    <w:p w14:paraId="70CE5832">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（5）合同条款及格式；</w:t>
      </w:r>
    </w:p>
    <w:p w14:paraId="609086E3">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（6）</w:t>
      </w:r>
      <w:r>
        <w:rPr>
          <w:rFonts w:hint="eastAsia" w:ascii="宋体" w:hAnsi="宋体" w:eastAsia="宋体" w:cs="宋体"/>
          <w:szCs w:val="21"/>
          <w:highlight w:val="none"/>
          <w:lang w:val="en-US" w:eastAsia="zh-CN"/>
        </w:rPr>
        <w:t>技术标准和要求</w:t>
      </w:r>
    </w:p>
    <w:p w14:paraId="3AB46C6B">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7</w:t>
      </w:r>
      <w:r>
        <w:rPr>
          <w:rFonts w:hint="eastAsia" w:ascii="宋体" w:hAnsi="宋体" w:eastAsia="宋体" w:cs="宋体"/>
          <w:szCs w:val="21"/>
          <w:highlight w:val="none"/>
        </w:rPr>
        <w:t>）投标文件格式；</w:t>
      </w:r>
    </w:p>
    <w:p w14:paraId="58EF797A">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w:t>
      </w:r>
      <w:r>
        <w:rPr>
          <w:rFonts w:hint="eastAsia" w:ascii="宋体" w:hAnsi="宋体" w:cs="宋体"/>
          <w:szCs w:val="21"/>
          <w:highlight w:val="none"/>
          <w:lang w:val="en-US" w:eastAsia="zh-CN"/>
        </w:rPr>
        <w:t>8</w:t>
      </w:r>
      <w:r>
        <w:rPr>
          <w:rFonts w:hint="eastAsia" w:ascii="宋体" w:hAnsi="宋体" w:cs="宋体"/>
          <w:szCs w:val="21"/>
          <w:highlight w:val="none"/>
        </w:rPr>
        <w:t>）投标人须知前附表规定的其他材料。</w:t>
      </w:r>
    </w:p>
    <w:p w14:paraId="4A2A5929">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2.1.2 根据本章第1.10款、第2.2款和第2.3款对招标文件所作的澄清、修改，构成招标文件的组成部分。</w:t>
      </w:r>
    </w:p>
    <w:p w14:paraId="3B513EA0">
      <w:pPr>
        <w:pStyle w:val="3"/>
        <w:ind w:firstLine="422" w:firstLineChars="200"/>
        <w:rPr>
          <w:rFonts w:ascii="宋体" w:hAnsi="宋体" w:eastAsia="宋体" w:cs="宋体"/>
          <w:highlight w:val="none"/>
        </w:rPr>
      </w:pPr>
      <w:bookmarkStart w:id="241" w:name="_Toc35424901"/>
      <w:bookmarkStart w:id="242" w:name="_Toc506107283"/>
      <w:bookmarkStart w:id="243" w:name="_Toc296602434"/>
      <w:bookmarkStart w:id="244" w:name="_Toc246996189"/>
      <w:bookmarkStart w:id="245" w:name="_Toc15058860"/>
      <w:bookmarkStart w:id="246" w:name="_Toc144974512"/>
      <w:bookmarkStart w:id="247" w:name="_Toc179632562"/>
      <w:bookmarkStart w:id="248" w:name="_Toc152045544"/>
      <w:bookmarkStart w:id="249" w:name="_Toc152042320"/>
      <w:bookmarkStart w:id="250" w:name="_Toc32239"/>
      <w:bookmarkStart w:id="251" w:name="_Toc35425067"/>
      <w:bookmarkStart w:id="252" w:name="_Toc247085703"/>
      <w:bookmarkStart w:id="253" w:name="_Toc78803336"/>
      <w:bookmarkStart w:id="254" w:name="_Toc246996932"/>
      <w:bookmarkStart w:id="255" w:name="_Toc324404829"/>
      <w:r>
        <w:rPr>
          <w:rFonts w:hint="eastAsia" w:ascii="宋体" w:hAnsi="宋体" w:eastAsia="宋体" w:cs="宋体"/>
          <w:highlight w:val="none"/>
        </w:rPr>
        <w:t>2.2 招标文件的澄清</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14:paraId="47165EFB">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2.2.1 投标人应仔细阅读和检查招标文件的全部内容。如有疑问，应在投标人须知前附表规定的时间前</w:t>
      </w:r>
      <w:r>
        <w:rPr>
          <w:rFonts w:hint="eastAsia" w:ascii="宋体" w:hAnsi="宋体" w:eastAsia="宋体" w:cs="宋体"/>
          <w:color w:val="auto"/>
          <w:szCs w:val="21"/>
          <w:highlight w:val="none"/>
          <w:lang w:val="en-US" w:eastAsia="zh-CN"/>
        </w:rPr>
        <w:t>登录新点电子交易平台【滁州专区】线上提出，</w:t>
      </w:r>
      <w:r>
        <w:rPr>
          <w:rFonts w:hint="eastAsia" w:ascii="宋体" w:hAnsi="宋体" w:cs="宋体"/>
          <w:szCs w:val="21"/>
          <w:highlight w:val="none"/>
        </w:rPr>
        <w:t>要求招标人对招标文件予以澄清。</w:t>
      </w:r>
    </w:p>
    <w:p w14:paraId="387EA73C">
      <w:pPr>
        <w:keepNext w:val="0"/>
        <w:keepLines w:val="0"/>
        <w:pageBreakBefore w:val="0"/>
        <w:widowControl w:val="0"/>
        <w:kinsoku/>
        <w:wordWrap w:val="0"/>
        <w:overflowPunct/>
        <w:topLinePunct w:val="0"/>
        <w:autoSpaceDE/>
        <w:autoSpaceDN/>
        <w:bidi w:val="0"/>
        <w:adjustRightInd/>
        <w:snapToGrid/>
        <w:spacing w:line="440" w:lineRule="exact"/>
        <w:ind w:firstLine="420" w:firstLineChars="200"/>
        <w:jc w:val="left"/>
        <w:textAlignment w:val="auto"/>
        <w:rPr>
          <w:rFonts w:ascii="宋体" w:hAnsi="宋体" w:cs="宋体"/>
          <w:szCs w:val="21"/>
          <w:highlight w:val="none"/>
        </w:rPr>
      </w:pPr>
      <w:r>
        <w:rPr>
          <w:rFonts w:hint="eastAsia" w:ascii="宋体" w:hAnsi="宋体" w:cs="宋体"/>
          <w:szCs w:val="21"/>
          <w:highlight w:val="none"/>
        </w:rPr>
        <w:t>2.2.2 招标文件的澄清将在</w:t>
      </w:r>
      <w:r>
        <w:rPr>
          <w:rFonts w:hint="eastAsia" w:ascii="宋体" w:hAnsi="宋体" w:eastAsia="宋体" w:cs="宋体"/>
          <w:color w:val="auto"/>
          <w:kern w:val="0"/>
          <w:szCs w:val="21"/>
          <w:highlight w:val="none"/>
          <w:lang w:val="en-US" w:eastAsia="zh-CN"/>
        </w:rPr>
        <w:t>滁州市城投工程咨询管理有限公司网站</w:t>
      </w:r>
      <w:r>
        <w:rPr>
          <w:rFonts w:hint="eastAsia" w:ascii="宋体" w:hAnsi="宋体" w:eastAsia="宋体" w:cs="宋体"/>
          <w:color w:val="auto"/>
          <w:kern w:val="0"/>
          <w:szCs w:val="21"/>
          <w:highlight w:val="none"/>
        </w:rPr>
        <w:t>（https://www.czctgczx.com/）</w:t>
      </w:r>
      <w:r>
        <w:rPr>
          <w:rFonts w:hint="eastAsia" w:ascii="宋体" w:hAnsi="宋体" w:cs="宋体"/>
          <w:szCs w:val="21"/>
          <w:highlight w:val="none"/>
        </w:rPr>
        <w:t xml:space="preserve">发布，但不指明澄清问题的来源。如果澄清发出的时间距投标人须知前附表规定的投标截止时间不足15天，并且澄清内容影响投标文件编制的，将相应延长投标截止时间。 </w:t>
      </w:r>
    </w:p>
    <w:p w14:paraId="5EC8A5BB">
      <w:pPr>
        <w:pStyle w:val="3"/>
        <w:ind w:firstLine="422" w:firstLineChars="200"/>
        <w:rPr>
          <w:rFonts w:ascii="宋体" w:hAnsi="宋体" w:eastAsia="宋体" w:cs="宋体"/>
          <w:highlight w:val="none"/>
        </w:rPr>
      </w:pPr>
      <w:bookmarkStart w:id="256" w:name="_Toc246996933"/>
      <w:bookmarkStart w:id="257" w:name="_Toc247085704"/>
      <w:bookmarkStart w:id="258" w:name="_Toc324404830"/>
      <w:bookmarkStart w:id="259" w:name="_Toc35424902"/>
      <w:bookmarkStart w:id="260" w:name="_Toc15058861"/>
      <w:bookmarkStart w:id="261" w:name="_Toc506107284"/>
      <w:bookmarkStart w:id="262" w:name="_Toc144974513"/>
      <w:bookmarkStart w:id="263" w:name="_Toc24633"/>
      <w:bookmarkStart w:id="264" w:name="_Toc246996190"/>
      <w:bookmarkStart w:id="265" w:name="_Toc296602435"/>
      <w:bookmarkStart w:id="266" w:name="_Toc35425068"/>
      <w:bookmarkStart w:id="267" w:name="_Toc179632563"/>
      <w:bookmarkStart w:id="268" w:name="_Toc152045545"/>
      <w:bookmarkStart w:id="269" w:name="_Toc152042321"/>
      <w:bookmarkStart w:id="270" w:name="_Toc78803337"/>
      <w:r>
        <w:rPr>
          <w:rFonts w:hint="eastAsia" w:ascii="宋体" w:hAnsi="宋体" w:eastAsia="宋体" w:cs="宋体"/>
          <w:highlight w:val="none"/>
        </w:rPr>
        <w:t>2.3 招标文件的修改</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14:paraId="52844B25">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2.3.1招标人可以修改招标文件，并以澄清的方式在</w:t>
      </w:r>
      <w:r>
        <w:rPr>
          <w:rFonts w:hint="eastAsia" w:ascii="宋体" w:hAnsi="宋体" w:eastAsia="宋体" w:cs="宋体"/>
          <w:color w:val="auto"/>
          <w:kern w:val="0"/>
          <w:szCs w:val="21"/>
          <w:highlight w:val="none"/>
          <w:lang w:val="en-US" w:eastAsia="zh-CN"/>
        </w:rPr>
        <w:t>滁州市城投工程咨询管理有限公司网站</w:t>
      </w:r>
      <w:r>
        <w:rPr>
          <w:rFonts w:hint="eastAsia" w:ascii="宋体" w:hAnsi="宋体" w:eastAsia="宋体" w:cs="宋体"/>
          <w:color w:val="auto"/>
          <w:kern w:val="0"/>
          <w:szCs w:val="21"/>
          <w:highlight w:val="none"/>
        </w:rPr>
        <w:t>（https://www.czctgczx.com/）</w:t>
      </w:r>
      <w:r>
        <w:rPr>
          <w:rFonts w:hint="eastAsia" w:ascii="宋体" w:hAnsi="宋体" w:cs="宋体"/>
          <w:szCs w:val="21"/>
          <w:highlight w:val="none"/>
        </w:rPr>
        <w:t>发布。但如果修改内容影响投标文件编制的，将相应延长投标截止时间。</w:t>
      </w:r>
    </w:p>
    <w:p w14:paraId="0E2ED339">
      <w:pPr>
        <w:pStyle w:val="3"/>
        <w:ind w:firstLine="422" w:firstLineChars="200"/>
        <w:rPr>
          <w:rFonts w:ascii="宋体" w:hAnsi="宋体" w:eastAsia="宋体" w:cs="宋体"/>
          <w:highlight w:val="none"/>
        </w:rPr>
      </w:pPr>
      <w:bookmarkStart w:id="271" w:name="_Toc324404831"/>
      <w:bookmarkStart w:id="272" w:name="_Toc35425069"/>
      <w:bookmarkStart w:id="273" w:name="_Toc2696"/>
      <w:bookmarkStart w:id="274" w:name="_Toc15058862"/>
      <w:bookmarkStart w:id="275" w:name="_Toc78803338"/>
      <w:bookmarkStart w:id="276" w:name="_Toc35424903"/>
      <w:r>
        <w:rPr>
          <w:rFonts w:hint="eastAsia" w:ascii="宋体" w:hAnsi="宋体" w:eastAsia="宋体" w:cs="宋体"/>
          <w:highlight w:val="none"/>
        </w:rPr>
        <w:t>2.4</w:t>
      </w:r>
      <w:bookmarkEnd w:id="271"/>
      <w:r>
        <w:rPr>
          <w:rFonts w:hint="eastAsia" w:ascii="宋体" w:hAnsi="宋体" w:eastAsia="宋体" w:cs="宋体"/>
          <w:highlight w:val="none"/>
        </w:rPr>
        <w:t>最高限价</w:t>
      </w:r>
      <w:bookmarkEnd w:id="272"/>
      <w:bookmarkEnd w:id="273"/>
      <w:bookmarkEnd w:id="274"/>
      <w:bookmarkEnd w:id="275"/>
      <w:bookmarkEnd w:id="276"/>
    </w:p>
    <w:p w14:paraId="5D85920B">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2.4.1最高限价的作用和说明</w:t>
      </w:r>
    </w:p>
    <w:p w14:paraId="0696B91C">
      <w:pPr>
        <w:spacing w:line="440" w:lineRule="exact"/>
        <w:ind w:firstLine="420" w:firstLineChars="200"/>
        <w:jc w:val="left"/>
        <w:rPr>
          <w:rFonts w:ascii="宋体" w:hAnsi="宋体" w:cs="宋体"/>
          <w:highlight w:val="none"/>
        </w:rPr>
      </w:pPr>
      <w:bookmarkStart w:id="277" w:name="_Toc15058863"/>
      <w:bookmarkStart w:id="278" w:name="_Toc6464"/>
      <w:bookmarkStart w:id="279" w:name="_Toc78803339"/>
      <w:bookmarkStart w:id="280" w:name="_Toc246996191"/>
      <w:bookmarkStart w:id="281" w:name="_Toc179632564"/>
      <w:bookmarkStart w:id="282" w:name="_Toc324404832"/>
      <w:bookmarkStart w:id="283" w:name="_Toc144974514"/>
      <w:bookmarkStart w:id="284" w:name="_Toc152045546"/>
      <w:bookmarkStart w:id="285" w:name="_Toc506107285"/>
      <w:bookmarkStart w:id="286" w:name="_Toc152042322"/>
      <w:bookmarkStart w:id="287" w:name="_Toc246996934"/>
      <w:bookmarkStart w:id="288" w:name="_Toc247085705"/>
      <w:bookmarkStart w:id="289" w:name="_Toc35425070"/>
      <w:bookmarkStart w:id="290" w:name="_Toc35424904"/>
      <w:r>
        <w:rPr>
          <w:rFonts w:hint="eastAsia" w:ascii="宋体" w:hAnsi="宋体" w:cs="宋体"/>
          <w:szCs w:val="21"/>
          <w:highlight w:val="none"/>
        </w:rPr>
        <w:t>（1）</w:t>
      </w:r>
      <w:r>
        <w:rPr>
          <w:rFonts w:hint="eastAsia" w:ascii="宋体" w:hAnsi="宋体" w:cs="宋体"/>
          <w:highlight w:val="none"/>
        </w:rPr>
        <w:t>投标人的投标报价不得</w:t>
      </w:r>
      <w:r>
        <w:rPr>
          <w:rFonts w:hint="eastAsia" w:ascii="宋体" w:hAnsi="宋体" w:cs="宋体"/>
          <w:highlight w:val="none"/>
          <w:lang w:val="en-US" w:eastAsia="zh-CN"/>
        </w:rPr>
        <w:t>高于</w:t>
      </w:r>
      <w:r>
        <w:rPr>
          <w:rFonts w:hint="eastAsia" w:ascii="宋体" w:hAnsi="宋体" w:cs="宋体"/>
          <w:highlight w:val="none"/>
        </w:rPr>
        <w:t>最高限价</w:t>
      </w:r>
      <w:r>
        <w:rPr>
          <w:rFonts w:hint="eastAsia" w:ascii="宋体" w:hAnsi="宋体" w:cs="宋体"/>
          <w:szCs w:val="21"/>
          <w:highlight w:val="none"/>
        </w:rPr>
        <w:t>（费率）</w:t>
      </w:r>
      <w:r>
        <w:rPr>
          <w:rFonts w:hint="eastAsia" w:ascii="宋体" w:hAnsi="宋体" w:cs="宋体"/>
          <w:highlight w:val="none"/>
        </w:rPr>
        <w:t>，最高限价</w:t>
      </w:r>
      <w:r>
        <w:rPr>
          <w:rFonts w:hint="eastAsia" w:ascii="宋体" w:hAnsi="宋体" w:cs="宋体"/>
          <w:szCs w:val="21"/>
          <w:highlight w:val="none"/>
        </w:rPr>
        <w:t>（费率）</w:t>
      </w:r>
      <w:r>
        <w:rPr>
          <w:rFonts w:hint="eastAsia" w:ascii="宋体" w:hAnsi="宋体" w:cs="宋体"/>
          <w:highlight w:val="none"/>
        </w:rPr>
        <w:t>的发布时间及方式在投标人须知前附表中载明。</w:t>
      </w:r>
    </w:p>
    <w:p w14:paraId="2E058664">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（2）投标人对最高限价（费率）有异议的，可在</w:t>
      </w:r>
      <w:r>
        <w:rPr>
          <w:rFonts w:hint="eastAsia" w:ascii="宋体" w:hAnsi="宋体" w:cs="宋体"/>
          <w:highlight w:val="none"/>
        </w:rPr>
        <w:t>投标人须知前附表规定的时间内向招标人提出异议，</w:t>
      </w:r>
      <w:r>
        <w:rPr>
          <w:rFonts w:hint="eastAsia" w:ascii="宋体" w:hAnsi="宋体" w:cs="宋体"/>
          <w:szCs w:val="21"/>
          <w:highlight w:val="none"/>
        </w:rPr>
        <w:t>未在规定时间内提出异议的或投标人提出异议经招标人复核后的最高限价（费率），视为合理有效。</w:t>
      </w:r>
    </w:p>
    <w:p w14:paraId="5681C7DF">
      <w:pPr>
        <w:pStyle w:val="3"/>
        <w:spacing w:beforeLines="50" w:afterLines="50"/>
        <w:ind w:firstLine="482"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 投标文件</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14:paraId="218225A2">
      <w:pPr>
        <w:pStyle w:val="3"/>
        <w:ind w:firstLine="422" w:firstLineChars="200"/>
        <w:rPr>
          <w:rFonts w:ascii="宋体" w:hAnsi="宋体" w:eastAsia="宋体" w:cs="宋体"/>
          <w:highlight w:val="none"/>
        </w:rPr>
      </w:pPr>
      <w:bookmarkStart w:id="291" w:name="_Toc247085706"/>
      <w:bookmarkStart w:id="292" w:name="_Toc152042323"/>
      <w:bookmarkStart w:id="293" w:name="_Toc157"/>
      <w:bookmarkStart w:id="294" w:name="_Toc296602437"/>
      <w:bookmarkStart w:id="295" w:name="_Toc506107286"/>
      <w:bookmarkStart w:id="296" w:name="_Toc246996935"/>
      <w:bookmarkStart w:id="297" w:name="_Toc144974515"/>
      <w:bookmarkStart w:id="298" w:name="_Toc152045547"/>
      <w:bookmarkStart w:id="299" w:name="_Toc35425071"/>
      <w:bookmarkStart w:id="300" w:name="_Toc35424905"/>
      <w:bookmarkStart w:id="301" w:name="_Toc78803340"/>
      <w:bookmarkStart w:id="302" w:name="_Toc15058864"/>
      <w:bookmarkStart w:id="303" w:name="_Toc324404833"/>
      <w:bookmarkStart w:id="304" w:name="_Toc246996192"/>
      <w:bookmarkStart w:id="305" w:name="_Toc179632565"/>
      <w:r>
        <w:rPr>
          <w:rFonts w:hint="eastAsia" w:ascii="宋体" w:hAnsi="宋体" w:eastAsia="宋体" w:cs="宋体"/>
          <w:highlight w:val="none"/>
        </w:rPr>
        <w:t>3.1 投标文件的组成</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14:paraId="6871D10E">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lang w:eastAsia="zh-CN"/>
        </w:rPr>
        <w:t>投标文件</w:t>
      </w:r>
      <w:r>
        <w:rPr>
          <w:rFonts w:hint="eastAsia" w:ascii="宋体" w:hAnsi="宋体" w:cs="宋体"/>
          <w:szCs w:val="21"/>
          <w:highlight w:val="none"/>
        </w:rPr>
        <w:t>由</w:t>
      </w:r>
      <w:r>
        <w:rPr>
          <w:rFonts w:hint="eastAsia" w:ascii="宋体" w:hAnsi="宋体" w:cs="宋体"/>
          <w:szCs w:val="21"/>
          <w:highlight w:val="none"/>
          <w:lang w:eastAsia="zh-CN"/>
        </w:rPr>
        <w:t>投标文件</w:t>
      </w:r>
      <w:r>
        <w:rPr>
          <w:rFonts w:hint="eastAsia" w:ascii="宋体" w:hAnsi="宋体" w:cs="宋体"/>
          <w:szCs w:val="21"/>
          <w:highlight w:val="none"/>
        </w:rPr>
        <w:t>一（资信证明文件）、</w:t>
      </w:r>
      <w:r>
        <w:rPr>
          <w:rFonts w:hint="eastAsia" w:ascii="宋体" w:hAnsi="宋体" w:cs="宋体"/>
          <w:szCs w:val="21"/>
          <w:highlight w:val="none"/>
          <w:lang w:eastAsia="zh-CN"/>
        </w:rPr>
        <w:t>投标文件</w:t>
      </w:r>
      <w:r>
        <w:rPr>
          <w:rFonts w:hint="eastAsia" w:ascii="宋体" w:hAnsi="宋体" w:cs="宋体"/>
          <w:szCs w:val="21"/>
          <w:highlight w:val="none"/>
        </w:rPr>
        <w:t>二（技术标）和</w:t>
      </w:r>
      <w:r>
        <w:rPr>
          <w:rFonts w:hint="eastAsia" w:ascii="宋体" w:hAnsi="宋体" w:cs="宋体"/>
          <w:szCs w:val="21"/>
          <w:highlight w:val="none"/>
          <w:lang w:eastAsia="zh-CN"/>
        </w:rPr>
        <w:t>投标文件</w:t>
      </w:r>
      <w:r>
        <w:rPr>
          <w:rFonts w:hint="eastAsia" w:ascii="宋体" w:hAnsi="宋体" w:cs="宋体"/>
          <w:szCs w:val="21"/>
          <w:highlight w:val="none"/>
        </w:rPr>
        <w:t>三（商务标）三部分组成</w:t>
      </w:r>
      <w:r>
        <w:rPr>
          <w:rFonts w:hint="eastAsia" w:ascii="宋体" w:hAnsi="宋体" w:cs="宋体"/>
          <w:szCs w:val="21"/>
          <w:highlight w:val="none"/>
          <w:lang w:eastAsia="zh-CN"/>
        </w:rPr>
        <w:t>。</w:t>
      </w:r>
      <w:r>
        <w:rPr>
          <w:rFonts w:hint="eastAsia" w:ascii="宋体" w:hAnsi="宋体" w:cs="宋体"/>
          <w:szCs w:val="21"/>
          <w:highlight w:val="none"/>
        </w:rPr>
        <w:t>具体要求详见本招标文件第</w:t>
      </w:r>
      <w:r>
        <w:rPr>
          <w:rFonts w:hint="eastAsia" w:ascii="宋体" w:hAnsi="宋体" w:cs="宋体"/>
          <w:szCs w:val="21"/>
          <w:highlight w:val="none"/>
          <w:lang w:val="en-US" w:eastAsia="zh-CN"/>
        </w:rPr>
        <w:t>六</w:t>
      </w:r>
      <w:r>
        <w:rPr>
          <w:rFonts w:hint="eastAsia" w:ascii="宋体" w:hAnsi="宋体" w:cs="宋体"/>
          <w:szCs w:val="21"/>
          <w:highlight w:val="none"/>
        </w:rPr>
        <w:t>章“投标文件格式”。</w:t>
      </w:r>
    </w:p>
    <w:p w14:paraId="68B92645">
      <w:pPr>
        <w:pStyle w:val="3"/>
        <w:ind w:firstLine="422" w:firstLineChars="200"/>
        <w:rPr>
          <w:rFonts w:ascii="宋体" w:hAnsi="宋体" w:eastAsia="宋体" w:cs="宋体"/>
          <w:highlight w:val="none"/>
        </w:rPr>
      </w:pPr>
      <w:bookmarkStart w:id="306" w:name="_Toc246996936"/>
      <w:bookmarkStart w:id="307" w:name="_Toc296602438"/>
      <w:bookmarkStart w:id="308" w:name="_Toc78803341"/>
      <w:bookmarkStart w:id="309" w:name="_Toc179632566"/>
      <w:bookmarkStart w:id="310" w:name="_Toc152042324"/>
      <w:bookmarkStart w:id="311" w:name="_Toc144974516"/>
      <w:bookmarkStart w:id="312" w:name="_Toc35425072"/>
      <w:bookmarkStart w:id="313" w:name="_Toc247085707"/>
      <w:bookmarkStart w:id="314" w:name="_Toc152045548"/>
      <w:bookmarkStart w:id="315" w:name="_Toc506107287"/>
      <w:bookmarkStart w:id="316" w:name="_Toc35424906"/>
      <w:bookmarkStart w:id="317" w:name="_Toc246996193"/>
      <w:bookmarkStart w:id="318" w:name="_Toc6829"/>
      <w:bookmarkStart w:id="319" w:name="_Toc15058865"/>
      <w:bookmarkStart w:id="320" w:name="_Toc324404834"/>
      <w:r>
        <w:rPr>
          <w:rFonts w:hint="eastAsia" w:ascii="宋体" w:hAnsi="宋体" w:eastAsia="宋体" w:cs="宋体"/>
          <w:highlight w:val="none"/>
        </w:rPr>
        <w:t>3.2 投标报价</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14:paraId="07D53DC4">
      <w:pPr>
        <w:spacing w:line="440" w:lineRule="exact"/>
        <w:ind w:firstLine="420" w:firstLineChars="200"/>
        <w:jc w:val="left"/>
        <w:rPr>
          <w:rFonts w:ascii="宋体" w:hAnsi="宋体" w:cs="宋体"/>
          <w:highlight w:val="none"/>
        </w:rPr>
      </w:pPr>
      <w:bookmarkStart w:id="321" w:name="_Toc246996194"/>
      <w:bookmarkStart w:id="322" w:name="_Toc35424907"/>
      <w:bookmarkStart w:id="323" w:name="_Toc246996937"/>
      <w:bookmarkStart w:id="324" w:name="_Toc35425073"/>
      <w:bookmarkStart w:id="325" w:name="_Toc247085708"/>
      <w:bookmarkStart w:id="326" w:name="_Toc506107288"/>
      <w:bookmarkStart w:id="327" w:name="_Toc78803342"/>
      <w:bookmarkStart w:id="328" w:name="_Toc144974517"/>
      <w:bookmarkStart w:id="329" w:name="_Toc179632567"/>
      <w:bookmarkStart w:id="330" w:name="_Toc324404835"/>
      <w:bookmarkStart w:id="331" w:name="_Toc31735"/>
      <w:bookmarkStart w:id="332" w:name="_Toc152042325"/>
      <w:bookmarkStart w:id="333" w:name="_Toc152045549"/>
      <w:bookmarkStart w:id="334" w:name="_Toc15058866"/>
      <w:bookmarkStart w:id="335" w:name="_Toc296602439"/>
      <w:r>
        <w:rPr>
          <w:rFonts w:hint="eastAsia" w:ascii="宋体" w:hAnsi="宋体" w:cs="宋体"/>
          <w:highlight w:val="none"/>
        </w:rPr>
        <w:t>3.2.1 投标人的投标报价不得</w:t>
      </w:r>
      <w:r>
        <w:rPr>
          <w:rFonts w:hint="eastAsia" w:ascii="宋体" w:hAnsi="宋体" w:cs="宋体"/>
          <w:highlight w:val="none"/>
          <w:lang w:val="en-US" w:eastAsia="zh-CN"/>
        </w:rPr>
        <w:t>高于</w:t>
      </w:r>
      <w:r>
        <w:rPr>
          <w:rFonts w:hint="eastAsia" w:ascii="宋体" w:hAnsi="宋体" w:cs="宋体"/>
          <w:highlight w:val="none"/>
        </w:rPr>
        <w:t>最高限价</w:t>
      </w:r>
      <w:r>
        <w:rPr>
          <w:rFonts w:hint="eastAsia" w:ascii="宋体" w:hAnsi="宋体" w:cs="宋体"/>
          <w:szCs w:val="21"/>
          <w:highlight w:val="none"/>
        </w:rPr>
        <w:t>（费率）</w:t>
      </w:r>
      <w:r>
        <w:rPr>
          <w:rFonts w:hint="eastAsia" w:ascii="宋体" w:hAnsi="宋体" w:cs="宋体"/>
          <w:highlight w:val="none"/>
        </w:rPr>
        <w:t>，最高限价</w:t>
      </w:r>
      <w:r>
        <w:rPr>
          <w:rFonts w:hint="eastAsia" w:ascii="宋体" w:hAnsi="宋体" w:cs="宋体"/>
          <w:szCs w:val="21"/>
          <w:highlight w:val="none"/>
        </w:rPr>
        <w:t>（费率）</w:t>
      </w:r>
      <w:r>
        <w:rPr>
          <w:rFonts w:hint="eastAsia" w:ascii="宋体" w:hAnsi="宋体" w:cs="宋体"/>
          <w:highlight w:val="none"/>
        </w:rPr>
        <w:t>的发布时间及方式在投标人须知前附表中载明。</w:t>
      </w:r>
    </w:p>
    <w:p w14:paraId="5DE05706">
      <w:pPr>
        <w:spacing w:line="440" w:lineRule="exact"/>
        <w:ind w:firstLine="420" w:firstLineChars="200"/>
        <w:jc w:val="left"/>
        <w:rPr>
          <w:rFonts w:ascii="宋体" w:hAnsi="宋体" w:cs="宋体"/>
          <w:highlight w:val="none"/>
        </w:rPr>
      </w:pPr>
      <w:r>
        <w:rPr>
          <w:rFonts w:hint="eastAsia" w:ascii="宋体" w:hAnsi="宋体" w:cs="宋体"/>
          <w:highlight w:val="none"/>
        </w:rPr>
        <w:t>3.2.2投标报价应由法定代表人或被授权人签署。</w:t>
      </w:r>
    </w:p>
    <w:p w14:paraId="248C4ACA">
      <w:pPr>
        <w:spacing w:line="440" w:lineRule="exact"/>
        <w:ind w:left="15" w:leftChars="7" w:firstLine="420" w:firstLineChars="200"/>
        <w:jc w:val="left"/>
        <w:rPr>
          <w:rFonts w:ascii="宋体" w:hAnsi="宋体" w:cs="宋体"/>
          <w:highlight w:val="none"/>
        </w:rPr>
      </w:pPr>
      <w:r>
        <w:rPr>
          <w:rFonts w:hint="eastAsia" w:ascii="宋体" w:hAnsi="宋体" w:cs="宋体"/>
          <w:highlight w:val="none"/>
        </w:rPr>
        <w:t>3.2.3投标人的投标报价应为项目招标范围内监理单位所提供的全部服务工作内容所需的全部费用，包含所有成本、利润和税金等全部费用。</w:t>
      </w:r>
    </w:p>
    <w:p w14:paraId="466F5F2C">
      <w:pPr>
        <w:spacing w:line="440" w:lineRule="exact"/>
        <w:ind w:firstLine="420" w:firstLineChars="200"/>
        <w:jc w:val="left"/>
        <w:rPr>
          <w:rFonts w:ascii="宋体" w:hAnsi="宋体" w:cs="宋体"/>
          <w:highlight w:val="none"/>
        </w:rPr>
      </w:pPr>
      <w:r>
        <w:rPr>
          <w:rFonts w:hint="eastAsia" w:ascii="宋体" w:hAnsi="宋体" w:cs="宋体"/>
          <w:highlight w:val="none"/>
        </w:rPr>
        <w:t>3.2.4不论任何原因导致的工期延长，招标人均不再补偿监理费用。</w:t>
      </w:r>
    </w:p>
    <w:p w14:paraId="454C15E1">
      <w:pPr>
        <w:pStyle w:val="3"/>
        <w:ind w:firstLine="422" w:firstLineChars="200"/>
        <w:rPr>
          <w:rFonts w:ascii="宋体" w:hAnsi="宋体" w:eastAsia="宋体" w:cs="宋体"/>
          <w:highlight w:val="none"/>
        </w:rPr>
      </w:pPr>
      <w:r>
        <w:rPr>
          <w:rFonts w:hint="eastAsia" w:ascii="宋体" w:hAnsi="宋体" w:eastAsia="宋体" w:cs="宋体"/>
          <w:highlight w:val="none"/>
        </w:rPr>
        <w:t>3.3 投标有效期</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14:paraId="38E346F9">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3.3.1 除投标人须知前附表另有规定外，投标有效期为90天。</w:t>
      </w:r>
    </w:p>
    <w:p w14:paraId="19262D1F">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3.3.2在投标有效期内，投标人撤销或修改其投标文件的，应承担招标文件和法律规定的责任。</w:t>
      </w:r>
    </w:p>
    <w:p w14:paraId="10530AB0">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3.3.3出现特殊情况需要延长投标有效期的，招标人以书面形式通知所有投标人延长投标有效期。投标人同意延长的，应相应延长其投标保证金的有效期，但不得要求或被允许修改或撤销其投标文件；投标人拒绝延长的，其投标失效，但投标人有权收回其投标保证金。</w:t>
      </w:r>
    </w:p>
    <w:p w14:paraId="780A1DA0">
      <w:pPr>
        <w:pStyle w:val="3"/>
        <w:ind w:firstLine="422" w:firstLineChars="200"/>
        <w:rPr>
          <w:rFonts w:hint="eastAsia" w:ascii="宋体" w:hAnsi="宋体" w:eastAsia="宋体" w:cs="宋体"/>
          <w:highlight w:val="none"/>
        </w:rPr>
      </w:pPr>
      <w:bookmarkStart w:id="336" w:name="_Toc246996938"/>
      <w:bookmarkStart w:id="337" w:name="_Toc152042326"/>
      <w:bookmarkStart w:id="338" w:name="_Toc35425074"/>
      <w:bookmarkStart w:id="339" w:name="_Toc179632568"/>
      <w:bookmarkStart w:id="340" w:name="_Toc324404836"/>
      <w:bookmarkStart w:id="341" w:name="_Toc246996195"/>
      <w:bookmarkStart w:id="342" w:name="_Toc506107289"/>
      <w:bookmarkStart w:id="343" w:name="_Toc152045550"/>
      <w:bookmarkStart w:id="344" w:name="_Toc296602440"/>
      <w:bookmarkStart w:id="345" w:name="_Toc247085709"/>
      <w:bookmarkStart w:id="346" w:name="_Toc15058867"/>
      <w:bookmarkStart w:id="347" w:name="_Toc78803343"/>
      <w:bookmarkStart w:id="348" w:name="_Toc144974518"/>
      <w:bookmarkStart w:id="349" w:name="_Toc35424908"/>
      <w:bookmarkStart w:id="350" w:name="_Toc10714"/>
      <w:r>
        <w:rPr>
          <w:rFonts w:hint="eastAsia" w:ascii="宋体" w:hAnsi="宋体" w:eastAsia="宋体" w:cs="宋体"/>
          <w:highlight w:val="none"/>
        </w:rPr>
        <w:t>3.4 投标保证金</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14:paraId="63EACC6B">
      <w:pPr>
        <w:spacing w:line="440" w:lineRule="exact"/>
        <w:ind w:firstLine="420" w:firstLineChars="200"/>
        <w:jc w:val="left"/>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3.4.1本项目不收取投标保证金。</w:t>
      </w:r>
    </w:p>
    <w:p w14:paraId="31A74824">
      <w:pPr>
        <w:pStyle w:val="3"/>
        <w:ind w:firstLine="422" w:firstLineChars="200"/>
        <w:rPr>
          <w:rFonts w:ascii="宋体" w:hAnsi="宋体" w:eastAsia="宋体" w:cs="宋体"/>
          <w:highlight w:val="none"/>
        </w:rPr>
      </w:pPr>
      <w:bookmarkStart w:id="351" w:name="_Toc506107290"/>
      <w:bookmarkStart w:id="352" w:name="_Toc35424909"/>
      <w:bookmarkStart w:id="353" w:name="_Toc15058868"/>
      <w:bookmarkStart w:id="354" w:name="_Toc19037"/>
      <w:bookmarkStart w:id="355" w:name="_Toc35425075"/>
      <w:bookmarkStart w:id="356" w:name="_Toc324404837"/>
      <w:bookmarkStart w:id="357" w:name="_Toc78803344"/>
      <w:bookmarkStart w:id="358" w:name="_Toc296602442"/>
      <w:bookmarkStart w:id="359" w:name="_Toc246996940"/>
      <w:bookmarkStart w:id="360" w:name="_Toc246996197"/>
      <w:bookmarkStart w:id="361" w:name="_Toc179632571"/>
      <w:bookmarkStart w:id="362" w:name="_Toc152045553"/>
      <w:bookmarkStart w:id="363" w:name="_Toc247085711"/>
      <w:bookmarkStart w:id="364" w:name="_Toc152042329"/>
      <w:bookmarkStart w:id="365" w:name="_Toc144974521"/>
      <w:r>
        <w:rPr>
          <w:rFonts w:hint="eastAsia" w:ascii="宋体" w:hAnsi="宋体" w:eastAsia="宋体" w:cs="宋体"/>
          <w:highlight w:val="none"/>
        </w:rPr>
        <w:t>3.5投标文件的编制</w:t>
      </w:r>
      <w:bookmarkEnd w:id="351"/>
      <w:bookmarkEnd w:id="352"/>
      <w:bookmarkEnd w:id="353"/>
      <w:bookmarkEnd w:id="354"/>
      <w:bookmarkEnd w:id="355"/>
      <w:bookmarkEnd w:id="356"/>
      <w:bookmarkEnd w:id="357"/>
      <w:bookmarkEnd w:id="358"/>
    </w:p>
    <w:p w14:paraId="243A59D4">
      <w:pPr>
        <w:spacing w:line="460" w:lineRule="exact"/>
        <w:ind w:firstLine="420" w:firstLineChars="200"/>
        <w:rPr>
          <w:rFonts w:ascii="宋体" w:hAnsi="宋体" w:cs="宋体"/>
          <w:szCs w:val="21"/>
          <w:highlight w:val="none"/>
        </w:rPr>
      </w:pPr>
      <w:r>
        <w:rPr>
          <w:rFonts w:hint="eastAsia" w:ascii="宋体" w:hAnsi="宋体" w:cs="宋体"/>
          <w:szCs w:val="21"/>
          <w:highlight w:val="none"/>
        </w:rPr>
        <w:t>3.5.1</w:t>
      </w:r>
      <w:r>
        <w:rPr>
          <w:rFonts w:hint="eastAsia" w:ascii="宋体" w:hAnsi="宋体" w:cs="宋体"/>
          <w:szCs w:val="21"/>
          <w:highlight w:val="none"/>
          <w:lang w:val="en-US" w:eastAsia="zh-CN"/>
        </w:rPr>
        <w:t>投标文件</w:t>
      </w:r>
      <w:r>
        <w:rPr>
          <w:rFonts w:hint="eastAsia" w:ascii="宋体" w:hAnsi="宋体" w:cs="宋体"/>
          <w:szCs w:val="21"/>
          <w:highlight w:val="none"/>
        </w:rPr>
        <w:t>应按第</w:t>
      </w:r>
      <w:r>
        <w:rPr>
          <w:rFonts w:hint="eastAsia" w:ascii="宋体" w:hAnsi="宋体" w:cs="宋体"/>
          <w:szCs w:val="21"/>
          <w:highlight w:val="none"/>
          <w:lang w:val="en-US" w:eastAsia="zh-CN"/>
        </w:rPr>
        <w:t>六</w:t>
      </w:r>
      <w:r>
        <w:rPr>
          <w:rFonts w:hint="eastAsia" w:ascii="宋体" w:hAnsi="宋体" w:cs="宋体"/>
          <w:szCs w:val="21"/>
          <w:highlight w:val="none"/>
        </w:rPr>
        <w:t>章“投标文件格式”进行编写，如有必要，可以增加附页，作为投标文件的组成部分。</w:t>
      </w:r>
    </w:p>
    <w:p w14:paraId="7A6AE0D2">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3</w:t>
      </w:r>
      <w:bookmarkEnd w:id="359"/>
      <w:bookmarkEnd w:id="360"/>
      <w:bookmarkEnd w:id="361"/>
      <w:bookmarkEnd w:id="362"/>
      <w:bookmarkEnd w:id="363"/>
      <w:bookmarkEnd w:id="364"/>
      <w:bookmarkEnd w:id="365"/>
      <w:bookmarkStart w:id="366" w:name="_Toc179632573"/>
      <w:bookmarkStart w:id="367" w:name="_Toc246996942"/>
      <w:bookmarkStart w:id="368" w:name="_Toc152042331"/>
      <w:bookmarkStart w:id="369" w:name="_Toc324404838"/>
      <w:bookmarkStart w:id="370" w:name="_Toc152045555"/>
      <w:bookmarkStart w:id="371" w:name="_Toc246996199"/>
      <w:bookmarkStart w:id="372" w:name="_Toc144974523"/>
      <w:bookmarkStart w:id="373" w:name="_Toc247085713"/>
      <w:r>
        <w:rPr>
          <w:rFonts w:hint="eastAsia" w:ascii="宋体" w:hAnsi="宋体" w:cs="宋体"/>
          <w:szCs w:val="21"/>
          <w:highlight w:val="none"/>
        </w:rPr>
        <w:t>.5.2 投标文件应当对招标文件有关工期、投标有效期、质量要求、技术标准和要求、招标范围等实质性内容作出响应。</w:t>
      </w:r>
    </w:p>
    <w:p w14:paraId="4D261729">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3.5.3本次投标不需要提供纸质投标文件，投标人应按照</w:t>
      </w:r>
      <w:r>
        <w:rPr>
          <w:rFonts w:hint="eastAsia" w:ascii="宋体" w:hAnsi="宋体" w:cs="宋体"/>
          <w:szCs w:val="21"/>
          <w:highlight w:val="none"/>
          <w:lang w:val="en-US" w:eastAsia="zh-CN"/>
        </w:rPr>
        <w:t>招标公告</w:t>
      </w:r>
      <w:r>
        <w:rPr>
          <w:rFonts w:hint="eastAsia" w:ascii="宋体" w:hAnsi="宋体" w:cs="宋体"/>
          <w:szCs w:val="21"/>
          <w:highlight w:val="none"/>
        </w:rPr>
        <w:t>的要求</w:t>
      </w:r>
      <w:r>
        <w:rPr>
          <w:rFonts w:hint="eastAsia" w:ascii="宋体" w:hAnsi="宋体" w:cs="宋体"/>
          <w:szCs w:val="21"/>
          <w:highlight w:val="none"/>
          <w:lang w:val="en-US" w:eastAsia="zh-CN"/>
        </w:rPr>
        <w:t>上传</w:t>
      </w:r>
      <w:r>
        <w:rPr>
          <w:rFonts w:hint="eastAsia" w:ascii="宋体" w:hAnsi="宋体" w:cs="宋体"/>
          <w:szCs w:val="21"/>
          <w:highlight w:val="none"/>
        </w:rPr>
        <w:t>电子投标文件。</w:t>
      </w:r>
    </w:p>
    <w:p w14:paraId="7240D5C8">
      <w:pPr>
        <w:spacing w:line="440" w:lineRule="exact"/>
        <w:ind w:firstLine="420" w:firstLineChars="200"/>
        <w:jc w:val="left"/>
        <w:rPr>
          <w:highlight w:val="none"/>
        </w:rPr>
      </w:pPr>
      <w:r>
        <w:rPr>
          <w:rFonts w:hint="eastAsia" w:ascii="宋体" w:hAnsi="宋体" w:cs="宋体"/>
          <w:szCs w:val="21"/>
          <w:highlight w:val="none"/>
        </w:rPr>
        <w:t>3.5.</w:t>
      </w:r>
      <w:r>
        <w:rPr>
          <w:rFonts w:hint="eastAsia" w:ascii="宋体" w:hAnsi="宋体" w:cs="宋体"/>
          <w:szCs w:val="21"/>
          <w:highlight w:val="none"/>
          <w:lang w:val="en-US" w:eastAsia="zh-CN"/>
        </w:rPr>
        <w:t>4</w:t>
      </w:r>
      <w:r>
        <w:rPr>
          <w:rFonts w:hint="eastAsia" w:ascii="宋体" w:hAnsi="宋体" w:cs="宋体"/>
          <w:szCs w:val="21"/>
          <w:highlight w:val="none"/>
        </w:rPr>
        <w:t xml:space="preserve"> 投标人中标后须递交与网上电子投标文件完全一致的纸质版投标文件，在领取中标通知书时，一并递交给招标代理机构</w:t>
      </w:r>
      <w:r>
        <w:rPr>
          <w:rFonts w:hint="eastAsia" w:ascii="宋体" w:hAnsi="宋体" w:cs="宋体"/>
          <w:kern w:val="0"/>
          <w:szCs w:val="21"/>
          <w:highlight w:val="none"/>
        </w:rPr>
        <w:t>。</w:t>
      </w:r>
    </w:p>
    <w:p w14:paraId="66C99F80">
      <w:pPr>
        <w:pStyle w:val="3"/>
        <w:spacing w:beforeLines="50" w:afterLines="50"/>
        <w:ind w:firstLine="482" w:firstLineChars="200"/>
        <w:rPr>
          <w:rFonts w:ascii="宋体" w:hAnsi="宋体" w:eastAsia="宋体" w:cs="宋体"/>
          <w:sz w:val="24"/>
          <w:szCs w:val="24"/>
          <w:highlight w:val="none"/>
        </w:rPr>
      </w:pPr>
      <w:bookmarkStart w:id="374" w:name="_Toc506107291"/>
      <w:bookmarkStart w:id="375" w:name="_Toc35424910"/>
      <w:bookmarkStart w:id="376" w:name="_Toc35425076"/>
      <w:bookmarkStart w:id="377" w:name="_Toc19455"/>
      <w:bookmarkStart w:id="378" w:name="_Toc78803345"/>
      <w:bookmarkStart w:id="379" w:name="_Toc15058869"/>
      <w:r>
        <w:rPr>
          <w:rFonts w:hint="eastAsia" w:ascii="宋体" w:hAnsi="宋体" w:eastAsia="宋体" w:cs="宋体"/>
          <w:sz w:val="24"/>
          <w:szCs w:val="24"/>
          <w:highlight w:val="none"/>
        </w:rPr>
        <w:t>4.投标</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14:paraId="459E95E8">
      <w:pPr>
        <w:pStyle w:val="3"/>
        <w:ind w:firstLine="422" w:firstLineChars="200"/>
        <w:rPr>
          <w:rFonts w:hint="default" w:ascii="宋体" w:hAnsi="宋体" w:eastAsia="宋体" w:cs="宋体"/>
          <w:highlight w:val="none"/>
          <w:lang w:val="en-US" w:eastAsia="zh-CN"/>
        </w:rPr>
      </w:pPr>
      <w:bookmarkStart w:id="380" w:name="_Toc78803346"/>
      <w:bookmarkStart w:id="381" w:name="_Toc35425077"/>
      <w:bookmarkStart w:id="382" w:name="_Toc35424911"/>
      <w:bookmarkStart w:id="383" w:name="_Toc14473"/>
      <w:bookmarkStart w:id="384" w:name="_Toc15058870"/>
      <w:r>
        <w:rPr>
          <w:rFonts w:hint="eastAsia" w:ascii="宋体" w:hAnsi="宋体" w:eastAsia="宋体" w:cs="宋体"/>
          <w:highlight w:val="none"/>
        </w:rPr>
        <w:t>4.1投标文件</w:t>
      </w:r>
      <w:bookmarkEnd w:id="380"/>
      <w:bookmarkEnd w:id="381"/>
      <w:bookmarkEnd w:id="382"/>
      <w:bookmarkEnd w:id="383"/>
      <w:bookmarkEnd w:id="384"/>
      <w:r>
        <w:rPr>
          <w:rFonts w:hint="eastAsia" w:ascii="宋体" w:hAnsi="宋体" w:eastAsia="宋体" w:cs="宋体"/>
          <w:highlight w:val="none"/>
          <w:lang w:val="en-US" w:eastAsia="zh-CN"/>
        </w:rPr>
        <w:t>的提交</w:t>
      </w:r>
    </w:p>
    <w:p w14:paraId="12502F5A">
      <w:pPr>
        <w:keepNext w:val="0"/>
        <w:keepLines w:val="0"/>
        <w:pageBreakBefore w:val="0"/>
        <w:widowControl w:val="0"/>
        <w:kinsoku/>
        <w:wordWrap w:val="0"/>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宋体"/>
          <w:szCs w:val="21"/>
          <w:highlight w:val="none"/>
        </w:rPr>
      </w:pPr>
      <w:r>
        <w:rPr>
          <w:rFonts w:hint="eastAsia" w:ascii="宋体" w:hAnsi="宋体" w:eastAsia="宋体" w:cs="宋体"/>
          <w:szCs w:val="21"/>
          <w:highlight w:val="none"/>
        </w:rPr>
        <w:t>4.1.1</w:t>
      </w:r>
      <w:r>
        <w:rPr>
          <w:rFonts w:hint="eastAsia" w:ascii="Times New Roman" w:hAnsi="Times New Roman" w:eastAsia="宋体" w:cs="Times New Roman"/>
          <w:highlight w:val="none"/>
          <w:lang w:val="en-US" w:eastAsia="zh-CN"/>
        </w:rPr>
        <w:t>本项目仅接受投标人在投标截止时间前登录新点电子交易平台【滁州专区】（https://www.etrading.cn/BREpointSSO/login/oauth2login?regioncode=DQ_ChuZhou）交易系统递交的加密电子投标文件。</w:t>
      </w:r>
      <w:r>
        <w:rPr>
          <w:rFonts w:hint="eastAsia" w:ascii="宋体" w:hAnsi="宋体" w:eastAsia="宋体" w:cs="宋体"/>
          <w:szCs w:val="21"/>
          <w:highlight w:val="none"/>
          <w:lang w:val="en-US" w:eastAsia="zh-CN"/>
        </w:rPr>
        <w:t>投标人逾期上传投标文件的，电子系统不予受理。</w:t>
      </w:r>
    </w:p>
    <w:p w14:paraId="1697B84E">
      <w:pPr>
        <w:pStyle w:val="3"/>
        <w:ind w:firstLine="422" w:firstLineChars="200"/>
        <w:rPr>
          <w:rFonts w:ascii="宋体" w:hAnsi="宋体" w:eastAsia="宋体" w:cs="宋体"/>
          <w:highlight w:val="none"/>
        </w:rPr>
      </w:pPr>
      <w:bookmarkStart w:id="385" w:name="_Toc506107294"/>
      <w:bookmarkStart w:id="386" w:name="_Toc247085716"/>
      <w:bookmarkStart w:id="387" w:name="_Toc246996945"/>
      <w:bookmarkStart w:id="388" w:name="_Toc179632576"/>
      <w:bookmarkStart w:id="389" w:name="_Toc15058873"/>
      <w:bookmarkStart w:id="390" w:name="_Toc152045558"/>
      <w:bookmarkStart w:id="391" w:name="_Toc246996202"/>
      <w:bookmarkStart w:id="392" w:name="_Toc35425080"/>
      <w:bookmarkStart w:id="393" w:name="_Toc35424914"/>
      <w:bookmarkStart w:id="394" w:name="_Toc152042334"/>
      <w:bookmarkStart w:id="395" w:name="_Toc144974526"/>
      <w:bookmarkStart w:id="396" w:name="_Toc78803347"/>
      <w:bookmarkStart w:id="397" w:name="_Toc19572"/>
      <w:bookmarkStart w:id="398" w:name="_Toc324404841"/>
      <w:bookmarkStart w:id="399" w:name="_Toc296602446"/>
      <w:r>
        <w:rPr>
          <w:rFonts w:hint="eastAsia" w:ascii="宋体" w:hAnsi="宋体" w:eastAsia="宋体" w:cs="宋体"/>
          <w:highlight w:val="none"/>
        </w:rPr>
        <w:t>4.</w:t>
      </w:r>
      <w:r>
        <w:rPr>
          <w:rFonts w:hint="eastAsia" w:ascii="宋体" w:hAnsi="宋体" w:eastAsia="宋体" w:cs="宋体"/>
          <w:highlight w:val="none"/>
          <w:lang w:val="en-US" w:eastAsia="zh-CN"/>
        </w:rPr>
        <w:t>2</w:t>
      </w:r>
      <w:r>
        <w:rPr>
          <w:rFonts w:hint="eastAsia" w:ascii="宋体" w:hAnsi="宋体" w:eastAsia="宋体" w:cs="宋体"/>
          <w:highlight w:val="none"/>
        </w:rPr>
        <w:t xml:space="preserve"> 投标文件的修改与撤回</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14:paraId="311E7AF7">
      <w:pPr>
        <w:spacing w:line="440" w:lineRule="exact"/>
        <w:ind w:firstLine="422" w:firstLineChars="200"/>
        <w:jc w:val="left"/>
        <w:rPr>
          <w:rFonts w:ascii="宋体" w:hAnsi="宋体" w:cs="宋体"/>
          <w:szCs w:val="21"/>
          <w:highlight w:val="none"/>
        </w:rPr>
      </w:pPr>
      <w:r>
        <w:rPr>
          <w:rFonts w:hint="eastAsia" w:ascii="宋体" w:hAnsi="宋体" w:cs="宋体"/>
          <w:b/>
          <w:szCs w:val="21"/>
          <w:highlight w:val="none"/>
        </w:rPr>
        <w:t>4.</w:t>
      </w:r>
      <w:r>
        <w:rPr>
          <w:rFonts w:hint="eastAsia" w:ascii="宋体" w:hAnsi="宋体" w:cs="宋体"/>
          <w:b/>
          <w:szCs w:val="21"/>
          <w:highlight w:val="none"/>
          <w:lang w:val="en-US" w:eastAsia="zh-CN"/>
        </w:rPr>
        <w:t>2</w:t>
      </w:r>
      <w:r>
        <w:rPr>
          <w:rFonts w:hint="eastAsia" w:ascii="宋体" w:hAnsi="宋体" w:cs="宋体"/>
          <w:b/>
          <w:szCs w:val="21"/>
          <w:highlight w:val="none"/>
        </w:rPr>
        <w:t>.1 在规定的投标截止时间前，投标人可以自行从网上招投标系统撤回已递交的投标文件，并可修改后重新上传，开标时以投标截止时间前投标人最终上传的投标文件为准。</w:t>
      </w:r>
    </w:p>
    <w:p w14:paraId="7AF40F87">
      <w:pPr>
        <w:pStyle w:val="3"/>
        <w:spacing w:beforeLines="50" w:afterLines="50"/>
        <w:ind w:firstLine="482" w:firstLineChars="200"/>
        <w:rPr>
          <w:rFonts w:ascii="宋体" w:hAnsi="宋体" w:eastAsia="宋体" w:cs="宋体"/>
          <w:sz w:val="24"/>
          <w:szCs w:val="24"/>
          <w:highlight w:val="none"/>
        </w:rPr>
      </w:pPr>
      <w:bookmarkStart w:id="400" w:name="_Toc35425081"/>
      <w:bookmarkStart w:id="401" w:name="_Toc15058874"/>
      <w:bookmarkStart w:id="402" w:name="_Toc78803348"/>
      <w:bookmarkStart w:id="403" w:name="_Toc152045559"/>
      <w:bookmarkStart w:id="404" w:name="_Toc35424915"/>
      <w:bookmarkStart w:id="405" w:name="_Toc246996203"/>
      <w:bookmarkStart w:id="406" w:name="_Toc179632577"/>
      <w:bookmarkStart w:id="407" w:name="_Toc29639"/>
      <w:bookmarkStart w:id="408" w:name="_Toc247085717"/>
      <w:bookmarkStart w:id="409" w:name="_Toc324404842"/>
      <w:bookmarkStart w:id="410" w:name="_Toc246996946"/>
      <w:bookmarkStart w:id="411" w:name="_Toc152042335"/>
      <w:bookmarkStart w:id="412" w:name="_Toc506107295"/>
      <w:bookmarkStart w:id="413" w:name="_Toc144974527"/>
      <w:r>
        <w:rPr>
          <w:rFonts w:hint="eastAsia" w:ascii="宋体" w:hAnsi="宋体" w:eastAsia="宋体" w:cs="宋体"/>
          <w:sz w:val="24"/>
          <w:szCs w:val="24"/>
          <w:highlight w:val="none"/>
        </w:rPr>
        <w:t>5. 开标</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14:paraId="44DFC292">
      <w:pPr>
        <w:pStyle w:val="3"/>
        <w:ind w:firstLine="422" w:firstLineChars="200"/>
        <w:rPr>
          <w:rFonts w:ascii="宋体" w:hAnsi="宋体" w:eastAsia="宋体" w:cs="宋体"/>
          <w:highlight w:val="none"/>
        </w:rPr>
      </w:pPr>
      <w:bookmarkStart w:id="414" w:name="_Toc15058875"/>
      <w:bookmarkStart w:id="415" w:name="_Toc13691"/>
      <w:bookmarkStart w:id="416" w:name="_Toc296602448"/>
      <w:bookmarkStart w:id="417" w:name="_Toc179632578"/>
      <w:bookmarkStart w:id="418" w:name="_Toc506107296"/>
      <w:bookmarkStart w:id="419" w:name="_Toc152042336"/>
      <w:bookmarkStart w:id="420" w:name="_Toc78803349"/>
      <w:bookmarkStart w:id="421" w:name="_Toc144974528"/>
      <w:bookmarkStart w:id="422" w:name="_Toc324404843"/>
      <w:bookmarkStart w:id="423" w:name="_Toc247085718"/>
      <w:bookmarkStart w:id="424" w:name="_Toc246996947"/>
      <w:bookmarkStart w:id="425" w:name="_Toc152045560"/>
      <w:bookmarkStart w:id="426" w:name="_Toc35425082"/>
      <w:bookmarkStart w:id="427" w:name="_Toc246996204"/>
      <w:bookmarkStart w:id="428" w:name="_Toc35424916"/>
      <w:r>
        <w:rPr>
          <w:rFonts w:hint="eastAsia" w:ascii="宋体" w:hAnsi="宋体" w:eastAsia="宋体" w:cs="宋体"/>
          <w:highlight w:val="none"/>
        </w:rPr>
        <w:t>5.1 开标时间和地点</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14:paraId="12756238">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招标人在投标人须知前附表规定的投标截止时间（开标时间）和地点公开开标。</w:t>
      </w:r>
    </w:p>
    <w:p w14:paraId="72027328">
      <w:pPr>
        <w:pStyle w:val="3"/>
        <w:ind w:firstLine="422" w:firstLineChars="200"/>
        <w:rPr>
          <w:rFonts w:ascii="宋体" w:hAnsi="宋体" w:eastAsia="宋体" w:cs="宋体"/>
          <w:highlight w:val="none"/>
        </w:rPr>
      </w:pPr>
      <w:bookmarkStart w:id="429" w:name="_Toc296602449"/>
      <w:bookmarkStart w:id="430" w:name="_Toc35424917"/>
      <w:bookmarkStart w:id="431" w:name="_Toc246996948"/>
      <w:bookmarkStart w:id="432" w:name="_Toc144974529"/>
      <w:bookmarkStart w:id="433" w:name="_Toc152045561"/>
      <w:bookmarkStart w:id="434" w:name="_Toc179632579"/>
      <w:bookmarkStart w:id="435" w:name="_Toc35425083"/>
      <w:bookmarkStart w:id="436" w:name="_Toc152042337"/>
      <w:bookmarkStart w:id="437" w:name="_Toc324404844"/>
      <w:bookmarkStart w:id="438" w:name="_Toc78803350"/>
      <w:bookmarkStart w:id="439" w:name="_Toc506107297"/>
      <w:bookmarkStart w:id="440" w:name="_Toc15058876"/>
      <w:bookmarkStart w:id="441" w:name="_Toc247085719"/>
      <w:bookmarkStart w:id="442" w:name="_Toc246996205"/>
      <w:bookmarkStart w:id="443" w:name="_Toc32451"/>
      <w:r>
        <w:rPr>
          <w:rFonts w:hint="eastAsia" w:ascii="宋体" w:hAnsi="宋体" w:eastAsia="宋体" w:cs="宋体"/>
          <w:highlight w:val="none"/>
        </w:rPr>
        <w:t>5.2 开标程序</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p>
    <w:p w14:paraId="1EC27369">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主持人按下列程序进行开标：</w:t>
      </w:r>
      <w:bookmarkStart w:id="444" w:name="_Toc324404845"/>
      <w:bookmarkStart w:id="445" w:name="_Toc296602450"/>
    </w:p>
    <w:p w14:paraId="1544E322">
      <w:pPr>
        <w:spacing w:line="440" w:lineRule="exact"/>
        <w:ind w:firstLine="420" w:firstLineChars="200"/>
        <w:jc w:val="left"/>
        <w:rPr>
          <w:rFonts w:ascii="宋体" w:hAnsi="宋体" w:cs="宋体"/>
          <w:szCs w:val="21"/>
          <w:highlight w:val="none"/>
        </w:rPr>
      </w:pPr>
      <w:bookmarkStart w:id="446" w:name="_Toc15058877"/>
      <w:bookmarkStart w:id="447" w:name="_Toc506107298"/>
      <w:r>
        <w:rPr>
          <w:rFonts w:hint="eastAsia" w:ascii="宋体" w:hAnsi="宋体" w:cs="宋体"/>
          <w:szCs w:val="21"/>
          <w:highlight w:val="none"/>
        </w:rPr>
        <w:t>（1）宣布开标纪律；</w:t>
      </w:r>
      <w:bookmarkEnd w:id="446"/>
    </w:p>
    <w:p w14:paraId="603C63D9">
      <w:pPr>
        <w:spacing w:line="440" w:lineRule="exact"/>
        <w:ind w:firstLine="420" w:firstLineChars="200"/>
        <w:jc w:val="left"/>
        <w:rPr>
          <w:rFonts w:ascii="宋体" w:hAnsi="宋体" w:cs="宋体"/>
          <w:szCs w:val="21"/>
          <w:highlight w:val="none"/>
        </w:rPr>
      </w:pPr>
      <w:bookmarkStart w:id="448" w:name="_Toc15058878"/>
      <w:r>
        <w:rPr>
          <w:rFonts w:hint="eastAsia" w:ascii="宋体" w:hAnsi="宋体" w:cs="宋体"/>
          <w:szCs w:val="21"/>
          <w:highlight w:val="none"/>
        </w:rPr>
        <w:t>（2）宣布招标人、代理机构主持人等有关人员姓名；</w:t>
      </w:r>
      <w:bookmarkEnd w:id="448"/>
    </w:p>
    <w:p w14:paraId="0CE529F8">
      <w:pPr>
        <w:spacing w:line="440" w:lineRule="exact"/>
        <w:ind w:firstLine="420" w:firstLineChars="200"/>
        <w:jc w:val="left"/>
        <w:rPr>
          <w:rFonts w:ascii="宋体" w:hAnsi="宋体" w:cs="宋体"/>
          <w:szCs w:val="21"/>
          <w:highlight w:val="none"/>
        </w:rPr>
      </w:pPr>
      <w:bookmarkStart w:id="449" w:name="_Toc15058881"/>
      <w:r>
        <w:rPr>
          <w:rFonts w:hint="eastAsia" w:ascii="宋体" w:hAnsi="宋体" w:cs="宋体"/>
          <w:szCs w:val="21"/>
          <w:highlight w:val="none"/>
        </w:rPr>
        <w:t>（</w:t>
      </w:r>
      <w:r>
        <w:rPr>
          <w:rFonts w:hint="eastAsia" w:ascii="宋体" w:hAnsi="宋体" w:cs="宋体"/>
          <w:szCs w:val="21"/>
          <w:highlight w:val="none"/>
          <w:lang w:val="en-US" w:eastAsia="zh-CN"/>
        </w:rPr>
        <w:t>3</w:t>
      </w:r>
      <w:r>
        <w:rPr>
          <w:rFonts w:hint="eastAsia" w:ascii="宋体" w:hAnsi="宋体" w:cs="宋体"/>
          <w:szCs w:val="21"/>
          <w:highlight w:val="none"/>
        </w:rPr>
        <w:t>）公布投标人投标报价、质量目标、工期及其他内容，并记录在案；</w:t>
      </w:r>
      <w:bookmarkEnd w:id="449"/>
    </w:p>
    <w:p w14:paraId="326BF18C">
      <w:pPr>
        <w:spacing w:line="440" w:lineRule="exact"/>
        <w:ind w:firstLine="420" w:firstLineChars="200"/>
        <w:jc w:val="left"/>
        <w:rPr>
          <w:rFonts w:ascii="宋体" w:hAnsi="宋体" w:cs="宋体"/>
          <w:szCs w:val="21"/>
          <w:highlight w:val="none"/>
        </w:rPr>
      </w:pPr>
      <w:bookmarkStart w:id="450" w:name="_Toc15058882"/>
      <w:r>
        <w:rPr>
          <w:rFonts w:hint="eastAsia" w:ascii="宋体" w:hAnsi="宋体" w:cs="宋体"/>
          <w:szCs w:val="21"/>
          <w:highlight w:val="none"/>
        </w:rPr>
        <w:t>（</w:t>
      </w:r>
      <w:r>
        <w:rPr>
          <w:rFonts w:hint="eastAsia" w:ascii="宋体" w:hAnsi="宋体" w:cs="宋体"/>
          <w:szCs w:val="21"/>
          <w:highlight w:val="none"/>
          <w:lang w:val="en-US" w:eastAsia="zh-CN"/>
        </w:rPr>
        <w:t>4</w:t>
      </w:r>
      <w:r>
        <w:rPr>
          <w:rFonts w:hint="eastAsia" w:ascii="宋体" w:hAnsi="宋体" w:cs="宋体"/>
          <w:szCs w:val="21"/>
          <w:highlight w:val="none"/>
        </w:rPr>
        <w:t>）开标结束。</w:t>
      </w:r>
      <w:bookmarkEnd w:id="450"/>
    </w:p>
    <w:bookmarkEnd w:id="444"/>
    <w:bookmarkEnd w:id="445"/>
    <w:bookmarkEnd w:id="447"/>
    <w:p w14:paraId="0FABB25E">
      <w:pPr>
        <w:pStyle w:val="3"/>
        <w:spacing w:beforeLines="50" w:afterLines="50"/>
        <w:ind w:firstLine="482" w:firstLineChars="200"/>
        <w:rPr>
          <w:rFonts w:ascii="宋体" w:hAnsi="宋体" w:eastAsia="宋体" w:cs="宋体"/>
          <w:sz w:val="24"/>
          <w:szCs w:val="24"/>
          <w:highlight w:val="none"/>
        </w:rPr>
      </w:pPr>
      <w:bookmarkStart w:id="451" w:name="_Toc246996206"/>
      <w:bookmarkStart w:id="452" w:name="_Toc15058884"/>
      <w:bookmarkStart w:id="453" w:name="_Toc152045562"/>
      <w:bookmarkStart w:id="454" w:name="_Toc144974530"/>
      <w:bookmarkStart w:id="455" w:name="_Toc246996949"/>
      <w:bookmarkStart w:id="456" w:name="_Toc179632580"/>
      <w:bookmarkStart w:id="457" w:name="_Toc324404846"/>
      <w:bookmarkStart w:id="458" w:name="_Toc35424919"/>
      <w:bookmarkStart w:id="459" w:name="_Toc78803352"/>
      <w:bookmarkStart w:id="460" w:name="_Toc152042338"/>
      <w:bookmarkStart w:id="461" w:name="_Toc247085720"/>
      <w:bookmarkStart w:id="462" w:name="_Toc506107299"/>
      <w:bookmarkStart w:id="463" w:name="_Toc35425085"/>
      <w:bookmarkStart w:id="464" w:name="_Toc20689"/>
      <w:r>
        <w:rPr>
          <w:rFonts w:hint="eastAsia" w:ascii="宋体" w:hAnsi="宋体" w:eastAsia="宋体" w:cs="宋体"/>
          <w:sz w:val="24"/>
          <w:szCs w:val="24"/>
          <w:highlight w:val="none"/>
        </w:rPr>
        <w:t>6. 评标</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14:paraId="36A3D30E">
      <w:pPr>
        <w:pStyle w:val="3"/>
        <w:ind w:firstLine="422" w:firstLineChars="200"/>
        <w:rPr>
          <w:rFonts w:ascii="宋体" w:hAnsi="宋体" w:eastAsia="宋体" w:cs="宋体"/>
          <w:highlight w:val="none"/>
        </w:rPr>
      </w:pPr>
      <w:bookmarkStart w:id="465" w:name="_Toc14249"/>
      <w:bookmarkStart w:id="466" w:name="_Toc246996950"/>
      <w:bookmarkStart w:id="467" w:name="_Toc246996207"/>
      <w:bookmarkStart w:id="468" w:name="_Toc324404847"/>
      <w:bookmarkStart w:id="469" w:name="_Toc506107300"/>
      <w:bookmarkStart w:id="470" w:name="_Toc247085721"/>
      <w:bookmarkStart w:id="471" w:name="_Toc152042339"/>
      <w:bookmarkStart w:id="472" w:name="_Toc35425086"/>
      <w:bookmarkStart w:id="473" w:name="_Toc296602452"/>
      <w:bookmarkStart w:id="474" w:name="_Toc179632581"/>
      <w:bookmarkStart w:id="475" w:name="_Toc152045563"/>
      <w:bookmarkStart w:id="476" w:name="_Toc35424920"/>
      <w:bookmarkStart w:id="477" w:name="_Toc144974531"/>
      <w:bookmarkStart w:id="478" w:name="_Toc78803353"/>
      <w:bookmarkStart w:id="479" w:name="_Toc15058885"/>
      <w:r>
        <w:rPr>
          <w:rFonts w:hint="eastAsia" w:ascii="宋体" w:hAnsi="宋体" w:eastAsia="宋体" w:cs="宋体"/>
          <w:highlight w:val="none"/>
        </w:rPr>
        <w:t>6.1 评标委员会</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p>
    <w:p w14:paraId="5AC357DE">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6.1.1 评标由招标人依法组建的评标委员会负责。评标委员会由招标人或其委托的招标代理机构熟悉相关业务的代表，以及有关技术、经济等方面的专家组成。</w:t>
      </w:r>
    </w:p>
    <w:p w14:paraId="096A60C2">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6.1.2 评标委员会成员有下列情形之一的，应当回避：</w:t>
      </w:r>
    </w:p>
    <w:p w14:paraId="38E96C94">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（1）投标人或投标人主要负责人的近亲属；</w:t>
      </w:r>
    </w:p>
    <w:p w14:paraId="286925F6">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（2）项目主管部门或者行政监督部门的人员；</w:t>
      </w:r>
    </w:p>
    <w:p w14:paraId="63829BF7">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（3）与投标人有经济利益关系；</w:t>
      </w:r>
    </w:p>
    <w:p w14:paraId="67CCA8FA">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（4）曾因在招标、评标以及其他与招标投标有关活动中从事违法行为而受过行政处罚或刑事处罚的；</w:t>
      </w:r>
    </w:p>
    <w:p w14:paraId="51424371">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（5）与投标人有其他利害关系。</w:t>
      </w:r>
    </w:p>
    <w:p w14:paraId="083CC1C2">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6.1.3评标过程中，评标委员会成员有回避事由、擅离职守或因健康等原因不能继续评标的， 招标人有权更换。被更换的评标委员会成员作出的评审结论无效，由更换后的评标委员会成员重新进行评审。</w:t>
      </w:r>
    </w:p>
    <w:p w14:paraId="41486004">
      <w:pPr>
        <w:keepNext w:val="0"/>
        <w:keepLines w:val="0"/>
        <w:widowControl/>
        <w:suppressLineNumbers w:val="0"/>
        <w:spacing w:before="0" w:beforeAutospacing="0" w:after="0" w:afterAutospacing="0" w:line="440" w:lineRule="exact"/>
        <w:ind w:left="0" w:right="0" w:firstLine="420" w:firstLineChars="200"/>
        <w:jc w:val="both"/>
        <w:rPr>
          <w:rFonts w:hint="eastAsia" w:ascii="宋体" w:hAnsi="宋体" w:eastAsia="宋体" w:cs="宋体"/>
          <w:bCs/>
          <w:highlight w:val="none"/>
          <w:lang w:val="en-US"/>
        </w:rPr>
      </w:pPr>
      <w:r>
        <w:rPr>
          <w:rFonts w:hint="eastAsia" w:ascii="宋体" w:hAnsi="宋体" w:cs="宋体"/>
          <w:szCs w:val="21"/>
          <w:highlight w:val="none"/>
        </w:rPr>
        <w:t>6.1.</w:t>
      </w:r>
      <w:r>
        <w:rPr>
          <w:rFonts w:hint="eastAsia" w:ascii="宋体" w:hAnsi="宋体" w:eastAsia="宋体" w:cs="宋体"/>
          <w:bCs/>
          <w:color w:val="000000"/>
          <w:kern w:val="0"/>
          <w:sz w:val="21"/>
          <w:szCs w:val="21"/>
          <w:highlight w:val="none"/>
          <w:u w:color="000000"/>
          <w:lang w:val="en-US" w:eastAsia="zh-CN" w:bidi="ar"/>
        </w:rPr>
        <w:t>4</w:t>
      </w:r>
      <w:r>
        <w:rPr>
          <w:rFonts w:hint="eastAsia" w:ascii="宋体" w:hAnsi="宋体" w:eastAsia="宋体" w:cs="宋体"/>
          <w:b/>
          <w:bCs/>
          <w:color w:val="000000"/>
          <w:kern w:val="0"/>
          <w:sz w:val="21"/>
          <w:szCs w:val="21"/>
          <w:highlight w:val="none"/>
          <w:u w:color="000000"/>
          <w:lang w:val="en-US" w:eastAsia="zh-CN" w:bidi="ar"/>
        </w:rPr>
        <w:t>招标人授权评标委员会对投标人资格进行审查。</w:t>
      </w:r>
    </w:p>
    <w:p w14:paraId="2C15BB0C">
      <w:pPr>
        <w:pStyle w:val="3"/>
        <w:ind w:firstLine="422" w:firstLineChars="200"/>
        <w:rPr>
          <w:rFonts w:ascii="宋体" w:hAnsi="宋体" w:eastAsia="宋体" w:cs="宋体"/>
          <w:highlight w:val="none"/>
        </w:rPr>
      </w:pPr>
      <w:bookmarkStart w:id="480" w:name="_Toc12948"/>
      <w:bookmarkStart w:id="481" w:name="_Toc15058886"/>
      <w:bookmarkStart w:id="482" w:name="_Toc179632582"/>
      <w:bookmarkStart w:id="483" w:name="_Toc246996951"/>
      <w:bookmarkStart w:id="484" w:name="_Toc247085722"/>
      <w:bookmarkStart w:id="485" w:name="_Toc324404848"/>
      <w:bookmarkStart w:id="486" w:name="_Toc152042340"/>
      <w:bookmarkStart w:id="487" w:name="_Toc506107301"/>
      <w:bookmarkStart w:id="488" w:name="_Toc35424921"/>
      <w:bookmarkStart w:id="489" w:name="_Toc152045564"/>
      <w:bookmarkStart w:id="490" w:name="_Toc296602453"/>
      <w:bookmarkStart w:id="491" w:name="_Toc246996208"/>
      <w:bookmarkStart w:id="492" w:name="_Toc35425087"/>
      <w:bookmarkStart w:id="493" w:name="_Toc144974532"/>
      <w:bookmarkStart w:id="494" w:name="_Toc78803354"/>
      <w:r>
        <w:rPr>
          <w:rFonts w:hint="eastAsia" w:ascii="宋体" w:hAnsi="宋体" w:eastAsia="宋体" w:cs="宋体"/>
          <w:highlight w:val="none"/>
        </w:rPr>
        <w:t>6.2 评标原则</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14:paraId="47DBC71C">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评标活动遵循公平、公正、科学和择优的原则。</w:t>
      </w:r>
    </w:p>
    <w:p w14:paraId="298BCB48">
      <w:pPr>
        <w:pStyle w:val="3"/>
        <w:ind w:firstLine="422" w:firstLineChars="200"/>
        <w:rPr>
          <w:rFonts w:ascii="宋体" w:hAnsi="宋体" w:eastAsia="宋体" w:cs="宋体"/>
          <w:highlight w:val="none"/>
        </w:rPr>
      </w:pPr>
      <w:bookmarkStart w:id="495" w:name="_Toc14892"/>
      <w:bookmarkStart w:id="496" w:name="_Toc35425088"/>
      <w:bookmarkStart w:id="497" w:name="_Toc35424922"/>
      <w:bookmarkStart w:id="498" w:name="_Toc246996952"/>
      <w:bookmarkStart w:id="499" w:name="_Toc78803355"/>
      <w:bookmarkStart w:id="500" w:name="_Toc152045565"/>
      <w:bookmarkStart w:id="501" w:name="_Toc15058887"/>
      <w:bookmarkStart w:id="502" w:name="_Toc152042341"/>
      <w:bookmarkStart w:id="503" w:name="_Toc506107302"/>
      <w:bookmarkStart w:id="504" w:name="_Toc144974533"/>
      <w:bookmarkStart w:id="505" w:name="_Toc324404849"/>
      <w:bookmarkStart w:id="506" w:name="_Toc296602454"/>
      <w:bookmarkStart w:id="507" w:name="_Toc246996209"/>
      <w:bookmarkStart w:id="508" w:name="_Toc247085723"/>
      <w:bookmarkStart w:id="509" w:name="_Toc179632583"/>
      <w:r>
        <w:rPr>
          <w:rFonts w:hint="eastAsia" w:ascii="宋体" w:hAnsi="宋体" w:eastAsia="宋体" w:cs="宋体"/>
          <w:highlight w:val="none"/>
        </w:rPr>
        <w:t>6.3 评标</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p>
    <w:p w14:paraId="4929DC3A">
      <w:pPr>
        <w:spacing w:line="440" w:lineRule="exact"/>
        <w:ind w:firstLine="420" w:firstLineChars="200"/>
        <w:jc w:val="left"/>
        <w:rPr>
          <w:rFonts w:ascii="宋体" w:hAnsi="宋体" w:cs="宋体"/>
          <w:szCs w:val="21"/>
          <w:highlight w:val="none"/>
        </w:rPr>
      </w:pPr>
      <w:bookmarkStart w:id="510" w:name="_Toc246996953"/>
      <w:bookmarkStart w:id="511" w:name="_Toc152045566"/>
      <w:bookmarkStart w:id="512" w:name="_Toc179632584"/>
      <w:bookmarkStart w:id="513" w:name="_Toc152042342"/>
      <w:bookmarkStart w:id="514" w:name="_Toc246996210"/>
      <w:bookmarkStart w:id="515" w:name="_Toc247085724"/>
      <w:bookmarkStart w:id="516" w:name="_Toc144974534"/>
      <w:bookmarkStart w:id="517" w:name="_Toc324404850"/>
      <w:r>
        <w:rPr>
          <w:rFonts w:hint="eastAsia" w:ascii="宋体" w:hAnsi="宋体" w:cs="宋体"/>
          <w:szCs w:val="21"/>
          <w:highlight w:val="none"/>
        </w:rPr>
        <w:t>6.3.1评标委员会按照第三章“评标办法”规定的方法、评审因素、标准和程序对投标文件进行评审。第三章“评标办法”没有规定的方法、评审因素和标准，不作为评标依据。</w:t>
      </w:r>
    </w:p>
    <w:p w14:paraId="7D4C1121">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6.3.2评标完成后，评标委员会应向招标人提交书面评标报告和中标候选人名单。评标委员会推荐中标候选人的人数见投标人须知前附表。</w:t>
      </w:r>
    </w:p>
    <w:p w14:paraId="1E17D868">
      <w:pPr>
        <w:pStyle w:val="3"/>
        <w:spacing w:beforeLines="50" w:afterLines="50"/>
        <w:ind w:firstLine="482" w:firstLineChars="200"/>
        <w:rPr>
          <w:rFonts w:ascii="宋体" w:hAnsi="宋体" w:eastAsia="宋体" w:cs="宋体"/>
          <w:sz w:val="24"/>
          <w:szCs w:val="24"/>
          <w:highlight w:val="none"/>
        </w:rPr>
      </w:pPr>
      <w:bookmarkStart w:id="518" w:name="_Toc15058888"/>
      <w:bookmarkStart w:id="519" w:name="_Toc35425089"/>
      <w:bookmarkStart w:id="520" w:name="_Toc26182"/>
      <w:bookmarkStart w:id="521" w:name="_Toc35424923"/>
      <w:bookmarkStart w:id="522" w:name="_Toc506107303"/>
      <w:bookmarkStart w:id="523" w:name="_Toc78803356"/>
      <w:r>
        <w:rPr>
          <w:rFonts w:hint="eastAsia" w:ascii="宋体" w:hAnsi="宋体" w:eastAsia="宋体" w:cs="宋体"/>
          <w:sz w:val="24"/>
          <w:szCs w:val="24"/>
          <w:highlight w:val="none"/>
        </w:rPr>
        <w:t>7. 合同授予</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p>
    <w:p w14:paraId="5F565433">
      <w:pPr>
        <w:pStyle w:val="3"/>
        <w:ind w:firstLine="422" w:firstLineChars="200"/>
        <w:rPr>
          <w:rFonts w:ascii="宋体" w:hAnsi="宋体" w:eastAsia="宋体" w:cs="宋体"/>
          <w:highlight w:val="none"/>
        </w:rPr>
      </w:pPr>
      <w:bookmarkStart w:id="524" w:name="_Toc246996954"/>
      <w:bookmarkStart w:id="525" w:name="_Toc506107304"/>
      <w:bookmarkStart w:id="526" w:name="_Toc152045567"/>
      <w:bookmarkStart w:id="527" w:name="_Toc152042343"/>
      <w:bookmarkStart w:id="528" w:name="_Toc15058889"/>
      <w:bookmarkStart w:id="529" w:name="_Toc246996211"/>
      <w:bookmarkStart w:id="530" w:name="_Toc179632585"/>
      <w:bookmarkStart w:id="531" w:name="_Toc35425090"/>
      <w:bookmarkStart w:id="532" w:name="_Toc78803357"/>
      <w:bookmarkStart w:id="533" w:name="_Toc324404851"/>
      <w:bookmarkStart w:id="534" w:name="_Toc247085725"/>
      <w:bookmarkStart w:id="535" w:name="_Toc296602456"/>
      <w:bookmarkStart w:id="536" w:name="_Toc3945"/>
      <w:bookmarkStart w:id="537" w:name="_Toc20532"/>
      <w:bookmarkStart w:id="538" w:name="_Toc144974535"/>
      <w:bookmarkStart w:id="539" w:name="_Toc35424924"/>
      <w:bookmarkStart w:id="540" w:name="_Toc14692"/>
      <w:bookmarkStart w:id="541" w:name="_Toc246996955"/>
      <w:bookmarkStart w:id="542" w:name="_Toc152045568"/>
      <w:bookmarkStart w:id="543" w:name="_Toc144974536"/>
      <w:bookmarkStart w:id="544" w:name="_Toc15058891"/>
      <w:bookmarkStart w:id="545" w:name="_Toc506107306"/>
      <w:bookmarkStart w:id="546" w:name="_Toc152042344"/>
      <w:bookmarkStart w:id="547" w:name="_Toc35425093"/>
      <w:bookmarkStart w:id="548" w:name="_Toc35424927"/>
      <w:bookmarkStart w:id="549" w:name="_Toc296602458"/>
      <w:bookmarkStart w:id="550" w:name="_Toc324404853"/>
      <w:bookmarkStart w:id="551" w:name="_Toc247085726"/>
      <w:bookmarkStart w:id="552" w:name="_Toc246996212"/>
      <w:bookmarkStart w:id="553" w:name="_Toc179632586"/>
      <w:r>
        <w:rPr>
          <w:rFonts w:hint="eastAsia" w:ascii="宋体" w:hAnsi="宋体" w:eastAsia="宋体" w:cs="宋体"/>
          <w:highlight w:val="none"/>
        </w:rPr>
        <w:t xml:space="preserve">7.1 </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r>
        <w:rPr>
          <w:rFonts w:hint="eastAsia" w:ascii="宋体" w:hAnsi="宋体" w:eastAsia="宋体" w:cs="宋体"/>
          <w:highlight w:val="none"/>
        </w:rPr>
        <w:t>中标候选人公示</w:t>
      </w:r>
    </w:p>
    <w:p w14:paraId="54632C5F">
      <w:pPr>
        <w:spacing w:line="440" w:lineRule="exact"/>
        <w:ind w:firstLine="420" w:firstLineChars="200"/>
        <w:jc w:val="left"/>
        <w:rPr>
          <w:rFonts w:ascii="宋体" w:hAnsi="宋体" w:cs="宋体"/>
          <w:szCs w:val="21"/>
          <w:highlight w:val="none"/>
        </w:rPr>
      </w:pPr>
      <w:bookmarkStart w:id="554" w:name="_Toc296602457"/>
      <w:bookmarkStart w:id="555" w:name="_Toc324404852"/>
      <w:r>
        <w:rPr>
          <w:rFonts w:hint="eastAsia" w:ascii="宋体" w:hAnsi="宋体" w:cs="宋体"/>
          <w:szCs w:val="21"/>
          <w:highlight w:val="none"/>
        </w:rPr>
        <w:t>7.1.1招标人在收到评标报告之日起3日内，按照投标人须知前附表规定的公示媒介和期限依法公示中标候选人，公示期不得少于3日。</w:t>
      </w:r>
    </w:p>
    <w:p w14:paraId="3229C235">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7.1.2投标人或其他利害关系人对评标结果有异议的，应在中标候选人公示期间提出。招标人将在收到异议之日起3日内作出答复；作出答复前，将暂停招标投标活动。</w:t>
      </w:r>
    </w:p>
    <w:bookmarkEnd w:id="554"/>
    <w:bookmarkEnd w:id="555"/>
    <w:p w14:paraId="1D0EB461">
      <w:pPr>
        <w:pStyle w:val="3"/>
        <w:ind w:firstLine="422" w:firstLineChars="200"/>
        <w:rPr>
          <w:rFonts w:ascii="宋体" w:hAnsi="宋体" w:eastAsia="宋体" w:cs="宋体"/>
          <w:highlight w:val="none"/>
        </w:rPr>
      </w:pPr>
      <w:bookmarkStart w:id="556" w:name="_Toc8261"/>
      <w:bookmarkStart w:id="557" w:name="_Toc78803359"/>
      <w:bookmarkStart w:id="558" w:name="_Toc27040"/>
      <w:bookmarkStart w:id="559" w:name="_Toc35424926"/>
      <w:bookmarkStart w:id="560" w:name="_Toc35425092"/>
      <w:r>
        <w:rPr>
          <w:rFonts w:hint="eastAsia" w:ascii="宋体" w:hAnsi="宋体" w:eastAsia="宋体" w:cs="宋体"/>
          <w:highlight w:val="none"/>
        </w:rPr>
        <w:t>7.</w:t>
      </w:r>
      <w:r>
        <w:rPr>
          <w:rFonts w:hint="eastAsia" w:ascii="宋体" w:hAnsi="宋体" w:eastAsia="宋体" w:cs="宋体"/>
          <w:highlight w:val="none"/>
          <w:lang w:val="en-US" w:eastAsia="zh-CN"/>
        </w:rPr>
        <w:t>2</w:t>
      </w:r>
      <w:r>
        <w:rPr>
          <w:rFonts w:hint="eastAsia" w:ascii="宋体" w:hAnsi="宋体" w:eastAsia="宋体" w:cs="宋体"/>
          <w:highlight w:val="none"/>
        </w:rPr>
        <w:t xml:space="preserve"> </w:t>
      </w:r>
      <w:bookmarkEnd w:id="556"/>
      <w:bookmarkEnd w:id="557"/>
      <w:bookmarkEnd w:id="558"/>
      <w:bookmarkEnd w:id="559"/>
      <w:bookmarkEnd w:id="560"/>
      <w:r>
        <w:rPr>
          <w:rFonts w:hint="eastAsia" w:ascii="宋体" w:hAnsi="宋体" w:eastAsia="宋体" w:cs="宋体"/>
          <w:highlight w:val="none"/>
        </w:rPr>
        <w:t>定标</w:t>
      </w:r>
    </w:p>
    <w:p w14:paraId="3D28E1B2">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7.</w:t>
      </w:r>
      <w:r>
        <w:rPr>
          <w:rFonts w:hint="eastAsia" w:ascii="宋体" w:hAnsi="宋体" w:cs="宋体"/>
          <w:szCs w:val="21"/>
          <w:highlight w:val="none"/>
          <w:lang w:val="en-US" w:eastAsia="zh-CN"/>
        </w:rPr>
        <w:t>2</w:t>
      </w:r>
      <w:r>
        <w:rPr>
          <w:rFonts w:hint="eastAsia" w:ascii="宋体" w:hAnsi="宋体" w:cs="宋体"/>
          <w:szCs w:val="21"/>
          <w:highlight w:val="none"/>
        </w:rPr>
        <w:t>.1依法必须进行招标的项目，招标人应当确定排名第一的中标候选人为中标人。第一中标候选人放弃中标、因不可抗力提出不能履行合同，不按招标文件要求提交履约保证金，或者被查实存在影响中标结果的违法行为等情形，不符合中标条件的，投标保证金不予退还，招标人可以按照评标委员会提出的中标候选人名单排序依次确定其他中标候选人为中标人，也可以依法重新组织招标。</w:t>
      </w:r>
    </w:p>
    <w:p w14:paraId="42B6009D">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7.</w:t>
      </w:r>
      <w:r>
        <w:rPr>
          <w:rFonts w:hint="eastAsia" w:ascii="宋体" w:hAnsi="宋体" w:cs="宋体"/>
          <w:szCs w:val="21"/>
          <w:highlight w:val="none"/>
          <w:lang w:val="en-US" w:eastAsia="zh-CN"/>
        </w:rPr>
        <w:t>2</w:t>
      </w:r>
      <w:r>
        <w:rPr>
          <w:rFonts w:hint="eastAsia" w:ascii="宋体" w:hAnsi="宋体" w:cs="宋体"/>
          <w:szCs w:val="21"/>
          <w:highlight w:val="none"/>
        </w:rPr>
        <w:t>.2招标人在确定中标人后，按照投标人须知前附表规定的公示媒介依法公示中标结果。</w:t>
      </w:r>
    </w:p>
    <w:p w14:paraId="53EE4FBD">
      <w:pPr>
        <w:pStyle w:val="3"/>
        <w:ind w:firstLine="422" w:firstLineChars="200"/>
        <w:rPr>
          <w:rFonts w:hint="eastAsia" w:ascii="宋体" w:hAnsi="宋体" w:eastAsia="宋体" w:cs="宋体"/>
          <w:highlight w:val="none"/>
        </w:rPr>
      </w:pPr>
      <w:bookmarkStart w:id="561" w:name="_Toc4204"/>
      <w:bookmarkStart w:id="562" w:name="_Toc78803360"/>
      <w:r>
        <w:rPr>
          <w:rFonts w:hint="eastAsia" w:ascii="宋体" w:hAnsi="宋体" w:eastAsia="宋体" w:cs="宋体"/>
          <w:highlight w:val="none"/>
        </w:rPr>
        <w:t>7.</w:t>
      </w:r>
      <w:r>
        <w:rPr>
          <w:rFonts w:hint="eastAsia" w:ascii="宋体" w:hAnsi="宋体" w:eastAsia="宋体" w:cs="宋体"/>
          <w:highlight w:val="none"/>
          <w:lang w:val="en-US" w:eastAsia="zh-CN"/>
        </w:rPr>
        <w:t>3</w:t>
      </w:r>
      <w:r>
        <w:rPr>
          <w:rFonts w:hint="eastAsia" w:ascii="宋体" w:hAnsi="宋体" w:eastAsia="宋体" w:cs="宋体"/>
          <w:highlight w:val="none"/>
        </w:rPr>
        <w:t xml:space="preserve"> 中标结果公示</w:t>
      </w:r>
      <w:bookmarkEnd w:id="561"/>
    </w:p>
    <w:p w14:paraId="3D9572D3">
      <w:pPr>
        <w:spacing w:line="440" w:lineRule="exact"/>
        <w:ind w:firstLine="420" w:firstLineChars="200"/>
        <w:jc w:val="left"/>
        <w:rPr>
          <w:rFonts w:hint="eastAsia" w:ascii="宋体" w:hAnsi="宋体" w:eastAsia="宋体" w:cs="宋体"/>
          <w:highlight w:val="none"/>
        </w:rPr>
      </w:pPr>
      <w:r>
        <w:rPr>
          <w:rFonts w:hint="eastAsia" w:ascii="宋体" w:hAnsi="宋体" w:cs="宋体"/>
          <w:szCs w:val="21"/>
          <w:lang w:val="en-US" w:eastAsia="zh-CN"/>
        </w:rPr>
        <w:t>7.3.1</w:t>
      </w:r>
      <w:r>
        <w:rPr>
          <w:rFonts w:hint="eastAsia" w:ascii="宋体" w:hAnsi="宋体" w:cs="宋体"/>
          <w:szCs w:val="21"/>
        </w:rPr>
        <w:t>招标人在投标人须知前附表规定的媒介公示。</w:t>
      </w:r>
    </w:p>
    <w:p w14:paraId="50E88422">
      <w:pPr>
        <w:pStyle w:val="3"/>
        <w:ind w:firstLine="422" w:firstLineChars="200"/>
        <w:rPr>
          <w:rFonts w:ascii="宋体" w:hAnsi="宋体" w:eastAsia="宋体" w:cs="宋体"/>
          <w:highlight w:val="none"/>
        </w:rPr>
      </w:pPr>
      <w:r>
        <w:rPr>
          <w:rFonts w:hint="eastAsia" w:ascii="宋体" w:hAnsi="宋体" w:eastAsia="宋体" w:cs="宋体"/>
          <w:highlight w:val="none"/>
        </w:rPr>
        <w:t>7.</w:t>
      </w:r>
      <w:r>
        <w:rPr>
          <w:rFonts w:hint="eastAsia" w:ascii="宋体" w:hAnsi="宋体" w:eastAsia="宋体" w:cs="宋体"/>
          <w:highlight w:val="none"/>
          <w:lang w:val="en-US" w:eastAsia="zh-CN"/>
        </w:rPr>
        <w:t>4</w:t>
      </w:r>
      <w:r>
        <w:rPr>
          <w:rFonts w:hint="eastAsia" w:ascii="宋体" w:hAnsi="宋体" w:eastAsia="宋体" w:cs="宋体"/>
          <w:highlight w:val="none"/>
        </w:rPr>
        <w:t xml:space="preserve"> 中标通知</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62"/>
    </w:p>
    <w:p w14:paraId="3880A89F">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lang w:val="en-US" w:eastAsia="zh-CN"/>
        </w:rPr>
        <w:t>7.4.1</w:t>
      </w:r>
      <w:r>
        <w:rPr>
          <w:rFonts w:hint="eastAsia" w:ascii="宋体" w:hAnsi="宋体" w:cs="宋体"/>
          <w:szCs w:val="21"/>
          <w:highlight w:val="none"/>
        </w:rPr>
        <w:t>在本章第3.3款规定的投标有效期内，招标人</w:t>
      </w:r>
      <w:r>
        <w:rPr>
          <w:rFonts w:hint="eastAsia" w:ascii="宋体" w:hAnsi="宋体" w:cs="宋体"/>
          <w:szCs w:val="21"/>
        </w:rPr>
        <w:t>以书面形式</w:t>
      </w:r>
      <w:r>
        <w:rPr>
          <w:rFonts w:hint="eastAsia" w:ascii="宋体" w:hAnsi="宋体" w:cs="宋体"/>
          <w:szCs w:val="21"/>
          <w:highlight w:val="none"/>
        </w:rPr>
        <w:t>向中标人发出中标通知书。</w:t>
      </w:r>
    </w:p>
    <w:p w14:paraId="76BD1912">
      <w:pPr>
        <w:pStyle w:val="3"/>
        <w:ind w:firstLine="422" w:firstLineChars="200"/>
        <w:rPr>
          <w:rFonts w:ascii="宋体" w:hAnsi="宋体" w:eastAsia="宋体" w:cs="宋体"/>
          <w:highlight w:val="none"/>
        </w:rPr>
      </w:pPr>
      <w:bookmarkStart w:id="563" w:name="_Toc179632587"/>
      <w:bookmarkStart w:id="564" w:name="_Toc78803362"/>
      <w:bookmarkStart w:id="565" w:name="_Toc144974537"/>
      <w:bookmarkStart w:id="566" w:name="_Toc246996213"/>
      <w:bookmarkStart w:id="567" w:name="_Toc35424929"/>
      <w:bookmarkStart w:id="568" w:name="_Toc324404854"/>
      <w:bookmarkStart w:id="569" w:name="_Toc152042345"/>
      <w:bookmarkStart w:id="570" w:name="_Toc296602459"/>
      <w:bookmarkStart w:id="571" w:name="_Toc15058892"/>
      <w:bookmarkStart w:id="572" w:name="_Toc247085727"/>
      <w:bookmarkStart w:id="573" w:name="_Toc152045569"/>
      <w:bookmarkStart w:id="574" w:name="_Toc25501"/>
      <w:bookmarkStart w:id="575" w:name="_Toc246996956"/>
      <w:bookmarkStart w:id="576" w:name="_Toc35425095"/>
      <w:bookmarkStart w:id="577" w:name="_Toc506107307"/>
      <w:r>
        <w:rPr>
          <w:rFonts w:hint="eastAsia" w:ascii="宋体" w:hAnsi="宋体" w:eastAsia="宋体" w:cs="宋体"/>
          <w:highlight w:val="none"/>
        </w:rPr>
        <w:t>7.</w:t>
      </w:r>
      <w:r>
        <w:rPr>
          <w:rFonts w:hint="eastAsia" w:ascii="宋体" w:hAnsi="宋体" w:eastAsia="宋体" w:cs="宋体"/>
          <w:highlight w:val="none"/>
          <w:lang w:val="en-US" w:eastAsia="zh-CN"/>
        </w:rPr>
        <w:t>5</w:t>
      </w:r>
      <w:r>
        <w:rPr>
          <w:rFonts w:hint="eastAsia" w:ascii="宋体" w:hAnsi="宋体" w:eastAsia="宋体" w:cs="宋体"/>
          <w:highlight w:val="none"/>
        </w:rPr>
        <w:t xml:space="preserve"> 履约担保</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p>
    <w:p w14:paraId="112BA131">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7.</w:t>
      </w:r>
      <w:r>
        <w:rPr>
          <w:rFonts w:hint="eastAsia" w:ascii="宋体" w:hAnsi="宋体" w:cs="宋体"/>
          <w:szCs w:val="21"/>
          <w:highlight w:val="none"/>
          <w:lang w:val="en-US" w:eastAsia="zh-CN"/>
        </w:rPr>
        <w:t>5</w:t>
      </w:r>
      <w:r>
        <w:rPr>
          <w:rFonts w:hint="eastAsia" w:ascii="宋体" w:hAnsi="宋体" w:cs="宋体"/>
          <w:szCs w:val="21"/>
          <w:highlight w:val="none"/>
        </w:rPr>
        <w:t>.1在签订合同前，中标人应按投标人须知前附表规定的担保形式和招标文件第四章“合同条款及格式”规定的或者事先经过招标人书面认可的履约担保格式向招标人提交履约担保。履约担保金额的相关要求见投标人须知前附表。</w:t>
      </w:r>
    </w:p>
    <w:p w14:paraId="7EC80487">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7.</w:t>
      </w:r>
      <w:r>
        <w:rPr>
          <w:rFonts w:hint="eastAsia" w:ascii="宋体" w:hAnsi="宋体" w:cs="宋体"/>
          <w:szCs w:val="21"/>
          <w:highlight w:val="none"/>
          <w:lang w:val="en-US" w:eastAsia="zh-CN"/>
        </w:rPr>
        <w:t>5</w:t>
      </w:r>
      <w:r>
        <w:rPr>
          <w:rFonts w:hint="eastAsia" w:ascii="宋体" w:hAnsi="宋体" w:cs="宋体"/>
          <w:szCs w:val="21"/>
          <w:highlight w:val="none"/>
        </w:rPr>
        <w:t>.2 中标人不能按本章第7.6.1项要求提交履约担保的，视为放弃中标，给招标人造成的损失的，中标人还应当予以赔偿。</w:t>
      </w:r>
    </w:p>
    <w:p w14:paraId="3B4E380F">
      <w:pPr>
        <w:pStyle w:val="3"/>
        <w:ind w:firstLine="422" w:firstLineChars="200"/>
        <w:rPr>
          <w:rFonts w:ascii="宋体" w:hAnsi="宋体" w:eastAsia="宋体" w:cs="宋体"/>
          <w:highlight w:val="none"/>
        </w:rPr>
      </w:pPr>
      <w:bookmarkStart w:id="578" w:name="_Toc144974538"/>
      <w:bookmarkStart w:id="579" w:name="_Toc324404855"/>
      <w:bookmarkStart w:id="580" w:name="_Toc246996214"/>
      <w:bookmarkStart w:id="581" w:name="_Toc506107308"/>
      <w:bookmarkStart w:id="582" w:name="_Toc246996957"/>
      <w:bookmarkStart w:id="583" w:name="_Toc78803363"/>
      <w:bookmarkStart w:id="584" w:name="_Toc152042346"/>
      <w:bookmarkStart w:id="585" w:name="_Toc296602460"/>
      <w:bookmarkStart w:id="586" w:name="_Toc247085728"/>
      <w:bookmarkStart w:id="587" w:name="_Toc179632588"/>
      <w:bookmarkStart w:id="588" w:name="_Toc35424930"/>
      <w:bookmarkStart w:id="589" w:name="_Toc152045570"/>
      <w:bookmarkStart w:id="590" w:name="_Toc11010"/>
      <w:bookmarkStart w:id="591" w:name="_Toc15058893"/>
      <w:bookmarkStart w:id="592" w:name="_Toc35425096"/>
      <w:r>
        <w:rPr>
          <w:rFonts w:hint="eastAsia" w:ascii="宋体" w:hAnsi="宋体" w:eastAsia="宋体" w:cs="宋体"/>
          <w:highlight w:val="none"/>
        </w:rPr>
        <w:t>7.</w:t>
      </w:r>
      <w:r>
        <w:rPr>
          <w:rFonts w:hint="eastAsia" w:ascii="宋体" w:hAnsi="宋体" w:eastAsia="宋体" w:cs="宋体"/>
          <w:highlight w:val="none"/>
          <w:lang w:val="en-US" w:eastAsia="zh-CN"/>
        </w:rPr>
        <w:t>6</w:t>
      </w:r>
      <w:r>
        <w:rPr>
          <w:rFonts w:hint="eastAsia" w:ascii="宋体" w:hAnsi="宋体" w:eastAsia="宋体" w:cs="宋体"/>
          <w:highlight w:val="none"/>
        </w:rPr>
        <w:t xml:space="preserve"> 签订合同</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p>
    <w:p w14:paraId="72DE0C53">
      <w:pPr>
        <w:wordWrap w:val="0"/>
        <w:spacing w:line="440" w:lineRule="exact"/>
        <w:ind w:firstLine="420" w:firstLineChars="200"/>
        <w:jc w:val="left"/>
        <w:rPr>
          <w:rFonts w:ascii="宋体" w:hAnsi="宋体" w:cs="宋体"/>
          <w:bCs/>
          <w:szCs w:val="21"/>
          <w:highlight w:val="none"/>
        </w:rPr>
      </w:pPr>
      <w:bookmarkStart w:id="593" w:name="_Toc506107309"/>
      <w:bookmarkStart w:id="594" w:name="_Toc15058894"/>
      <w:bookmarkStart w:id="595" w:name="_Toc324404856"/>
      <w:r>
        <w:rPr>
          <w:rFonts w:hint="eastAsia" w:ascii="宋体" w:hAnsi="宋体" w:cs="宋体"/>
          <w:bCs/>
          <w:szCs w:val="21"/>
          <w:highlight w:val="none"/>
        </w:rPr>
        <w:t>7.</w:t>
      </w:r>
      <w:r>
        <w:rPr>
          <w:rFonts w:hint="eastAsia" w:ascii="宋体" w:hAnsi="宋体" w:cs="宋体"/>
          <w:bCs/>
          <w:szCs w:val="21"/>
          <w:highlight w:val="none"/>
          <w:lang w:val="en-US" w:eastAsia="zh-CN"/>
        </w:rPr>
        <w:t>6</w:t>
      </w:r>
      <w:r>
        <w:rPr>
          <w:rFonts w:hint="eastAsia" w:ascii="宋体" w:hAnsi="宋体" w:cs="宋体"/>
          <w:bCs/>
          <w:szCs w:val="21"/>
          <w:highlight w:val="none"/>
        </w:rPr>
        <w:t xml:space="preserve">.1本招标工程的施工合同将授予按本须知第7.1条规定所确定的中标人。 </w:t>
      </w:r>
    </w:p>
    <w:p w14:paraId="18516895">
      <w:pPr>
        <w:wordWrap w:val="0"/>
        <w:spacing w:line="440" w:lineRule="atLeast"/>
        <w:ind w:firstLine="420" w:firstLineChars="200"/>
        <w:rPr>
          <w:rFonts w:hint="eastAsia" w:ascii="宋体" w:hAnsi="宋体" w:cs="宋体"/>
          <w:bCs/>
          <w:szCs w:val="21"/>
        </w:rPr>
      </w:pPr>
      <w:r>
        <w:rPr>
          <w:rFonts w:hint="eastAsia" w:ascii="宋体" w:hAnsi="宋体" w:cs="宋体"/>
          <w:bCs/>
          <w:szCs w:val="21"/>
        </w:rPr>
        <w:t>7.</w:t>
      </w:r>
      <w:r>
        <w:rPr>
          <w:rFonts w:hint="eastAsia" w:ascii="宋体" w:hAnsi="宋体" w:cs="宋体"/>
          <w:bCs/>
          <w:szCs w:val="21"/>
          <w:lang w:val="en-US" w:eastAsia="zh-CN"/>
        </w:rPr>
        <w:t>6</w:t>
      </w:r>
      <w:r>
        <w:rPr>
          <w:rFonts w:hint="eastAsia" w:ascii="宋体" w:hAnsi="宋体" w:cs="宋体"/>
          <w:bCs/>
          <w:szCs w:val="21"/>
        </w:rPr>
        <w:t>.2中标人须在中标通知书发出后30日内完成履约保证金缴纳及合同签订。否则，取消中标资格。</w:t>
      </w:r>
    </w:p>
    <w:p w14:paraId="01E0BEC3">
      <w:pPr>
        <w:wordWrap w:val="0"/>
        <w:spacing w:line="440" w:lineRule="atLeast"/>
        <w:ind w:firstLine="420" w:firstLineChars="200"/>
        <w:rPr>
          <w:rFonts w:hint="eastAsia" w:ascii="宋体" w:hAnsi="宋体" w:cs="宋体"/>
          <w:bCs/>
          <w:szCs w:val="21"/>
        </w:rPr>
      </w:pPr>
      <w:r>
        <w:rPr>
          <w:rFonts w:hint="eastAsia" w:ascii="宋体" w:hAnsi="宋体" w:cs="宋体"/>
          <w:bCs/>
          <w:szCs w:val="21"/>
        </w:rPr>
        <w:t>7.</w:t>
      </w:r>
      <w:r>
        <w:rPr>
          <w:rFonts w:hint="eastAsia" w:ascii="宋体" w:hAnsi="宋体" w:cs="宋体"/>
          <w:bCs/>
          <w:szCs w:val="21"/>
          <w:lang w:val="en-US" w:eastAsia="zh-CN"/>
        </w:rPr>
        <w:t>6</w:t>
      </w:r>
      <w:r>
        <w:rPr>
          <w:rFonts w:hint="eastAsia" w:ascii="宋体" w:hAnsi="宋体" w:cs="宋体"/>
          <w:bCs/>
          <w:szCs w:val="21"/>
        </w:rPr>
        <w:t>.3发出中标通知书后，招标单位无正当理由拒签合同的，给中标人造成损失的，还应当赔偿损失。</w:t>
      </w:r>
    </w:p>
    <w:p w14:paraId="77257B7E">
      <w:pPr>
        <w:wordWrap w:val="0"/>
        <w:spacing w:line="440" w:lineRule="exact"/>
        <w:ind w:firstLine="420" w:firstLineChars="200"/>
        <w:jc w:val="left"/>
        <w:rPr>
          <w:rFonts w:hint="eastAsia" w:ascii="宋体" w:hAnsi="宋体" w:cs="宋体"/>
          <w:bCs/>
          <w:szCs w:val="21"/>
          <w:highlight w:val="none"/>
        </w:rPr>
      </w:pPr>
      <w:r>
        <w:rPr>
          <w:rFonts w:hint="eastAsia" w:ascii="宋体" w:hAnsi="宋体" w:cs="宋体"/>
          <w:bCs/>
          <w:szCs w:val="21"/>
          <w:highlight w:val="none"/>
        </w:rPr>
        <w:t>7.</w:t>
      </w:r>
      <w:r>
        <w:rPr>
          <w:rFonts w:hint="eastAsia" w:ascii="宋体" w:hAnsi="宋体" w:cs="宋体"/>
          <w:bCs/>
          <w:szCs w:val="21"/>
          <w:highlight w:val="none"/>
          <w:lang w:val="en-US" w:eastAsia="zh-CN"/>
        </w:rPr>
        <w:t>6</w:t>
      </w:r>
      <w:r>
        <w:rPr>
          <w:rFonts w:hint="eastAsia" w:ascii="宋体" w:hAnsi="宋体" w:cs="宋体"/>
          <w:bCs/>
          <w:szCs w:val="21"/>
          <w:highlight w:val="none"/>
        </w:rPr>
        <w:t>.4除法定情形外，合同履行期间项目负责人不得更换。项目负责人确需变更的，应根据招标文件要求，变更后的项目负责人不低于投标文件中拟派项目负责人的资格条件。</w:t>
      </w:r>
    </w:p>
    <w:bookmarkEnd w:id="593"/>
    <w:bookmarkEnd w:id="594"/>
    <w:bookmarkEnd w:id="595"/>
    <w:p w14:paraId="31B2E77F">
      <w:pPr>
        <w:pStyle w:val="3"/>
        <w:spacing w:beforeLines="50" w:afterLines="50"/>
        <w:ind w:firstLine="422" w:firstLineChars="200"/>
        <w:rPr>
          <w:rFonts w:ascii="宋体" w:hAnsi="宋体" w:eastAsia="宋体" w:cs="宋体"/>
          <w:highlight w:val="none"/>
        </w:rPr>
      </w:pPr>
      <w:bookmarkStart w:id="596" w:name="_Toc26974"/>
      <w:bookmarkStart w:id="597" w:name="_Toc35424931"/>
      <w:bookmarkStart w:id="598" w:name="_Toc35425097"/>
      <w:bookmarkStart w:id="599" w:name="_Toc78803367"/>
      <w:bookmarkStart w:id="600" w:name="_Toc31686"/>
      <w:bookmarkStart w:id="601" w:name="_Toc25375"/>
      <w:bookmarkStart w:id="602" w:name="_Toc324404864"/>
      <w:bookmarkStart w:id="603" w:name="_Toc15058902"/>
      <w:bookmarkStart w:id="604" w:name="_Toc506107317"/>
      <w:bookmarkStart w:id="605" w:name="_Toc35425105"/>
      <w:bookmarkStart w:id="606" w:name="_Toc35424939"/>
      <w:bookmarkStart w:id="607" w:name="_Toc296602475"/>
      <w:r>
        <w:rPr>
          <w:rFonts w:hint="eastAsia" w:ascii="宋体" w:hAnsi="宋体" w:eastAsia="宋体" w:cs="宋体"/>
          <w:highlight w:val="none"/>
          <w:lang w:val="en-US" w:eastAsia="zh-CN"/>
        </w:rPr>
        <w:t>8</w:t>
      </w:r>
      <w:r>
        <w:rPr>
          <w:rFonts w:hint="eastAsia" w:ascii="宋体" w:hAnsi="宋体" w:eastAsia="宋体" w:cs="宋体"/>
          <w:highlight w:val="none"/>
        </w:rPr>
        <w:t>. 纪律和监督</w:t>
      </w:r>
      <w:bookmarkEnd w:id="596"/>
      <w:bookmarkEnd w:id="597"/>
      <w:bookmarkEnd w:id="598"/>
      <w:bookmarkEnd w:id="599"/>
      <w:bookmarkEnd w:id="600"/>
      <w:bookmarkEnd w:id="601"/>
    </w:p>
    <w:p w14:paraId="49CA1A8F">
      <w:pPr>
        <w:pStyle w:val="3"/>
        <w:ind w:firstLine="422" w:firstLineChars="200"/>
        <w:rPr>
          <w:rFonts w:ascii="宋体" w:hAnsi="宋体" w:eastAsia="宋体" w:cs="宋体"/>
          <w:highlight w:val="none"/>
        </w:rPr>
      </w:pPr>
      <w:bookmarkStart w:id="608" w:name="_Toc246996962"/>
      <w:bookmarkStart w:id="609" w:name="_Toc247085733"/>
      <w:bookmarkStart w:id="610" w:name="_Toc246996219"/>
      <w:bookmarkStart w:id="611" w:name="_Toc152042351"/>
      <w:bookmarkStart w:id="612" w:name="_Toc35424932"/>
      <w:bookmarkStart w:id="613" w:name="_Toc144974543"/>
      <w:bookmarkStart w:id="614" w:name="_Toc296602462"/>
      <w:bookmarkStart w:id="615" w:name="_Toc15607"/>
      <w:bookmarkStart w:id="616" w:name="_Toc296590983"/>
      <w:bookmarkStart w:id="617" w:name="_Toc15058895"/>
      <w:bookmarkStart w:id="618" w:name="_Toc35425098"/>
      <w:bookmarkStart w:id="619" w:name="_Toc324404857"/>
      <w:bookmarkStart w:id="620" w:name="_Toc506107310"/>
      <w:bookmarkStart w:id="621" w:name="_Toc2855"/>
      <w:bookmarkStart w:id="622" w:name="_Toc179632593"/>
      <w:bookmarkStart w:id="623" w:name="_Toc152045575"/>
      <w:bookmarkStart w:id="624" w:name="_Toc78803368"/>
      <w:r>
        <w:rPr>
          <w:rFonts w:hint="eastAsia" w:ascii="宋体" w:hAnsi="宋体" w:eastAsia="宋体" w:cs="宋体"/>
          <w:highlight w:val="none"/>
          <w:lang w:val="en-US" w:eastAsia="zh-CN"/>
        </w:rPr>
        <w:t>8</w:t>
      </w:r>
      <w:r>
        <w:rPr>
          <w:rFonts w:hint="eastAsia" w:ascii="宋体" w:hAnsi="宋体" w:eastAsia="宋体" w:cs="宋体"/>
          <w:highlight w:val="none"/>
        </w:rPr>
        <w:t>.1 对招标人的纪律要求</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p>
    <w:p w14:paraId="25A9C8EA">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招标人不得泄漏招标投标活动中应当保密的情况和资料，不得与投标人串通损害国家利益、社会公共利益或者他人合法权益。</w:t>
      </w:r>
    </w:p>
    <w:p w14:paraId="6BA9BC3B">
      <w:pPr>
        <w:pStyle w:val="3"/>
        <w:ind w:firstLine="422" w:firstLineChars="200"/>
        <w:rPr>
          <w:rFonts w:ascii="宋体" w:hAnsi="宋体" w:eastAsia="宋体" w:cs="宋体"/>
          <w:highlight w:val="none"/>
        </w:rPr>
      </w:pPr>
      <w:bookmarkStart w:id="625" w:name="_Toc179632594"/>
      <w:bookmarkStart w:id="626" w:name="_Toc35424933"/>
      <w:bookmarkStart w:id="627" w:name="_Toc144974544"/>
      <w:bookmarkStart w:id="628" w:name="_Toc246996963"/>
      <w:bookmarkStart w:id="629" w:name="_Toc296602463"/>
      <w:bookmarkStart w:id="630" w:name="_Toc246996220"/>
      <w:bookmarkStart w:id="631" w:name="_Toc152042352"/>
      <w:bookmarkStart w:id="632" w:name="_Toc15058896"/>
      <w:bookmarkStart w:id="633" w:name="_Toc35425099"/>
      <w:bookmarkStart w:id="634" w:name="_Toc32177"/>
      <w:bookmarkStart w:id="635" w:name="_Toc78803369"/>
      <w:bookmarkStart w:id="636" w:name="_Toc19779"/>
      <w:bookmarkStart w:id="637" w:name="_Toc247085734"/>
      <w:bookmarkStart w:id="638" w:name="_Toc152045576"/>
      <w:bookmarkStart w:id="639" w:name="_Toc324404858"/>
      <w:bookmarkStart w:id="640" w:name="_Toc506107311"/>
      <w:r>
        <w:rPr>
          <w:rFonts w:hint="eastAsia" w:ascii="宋体" w:hAnsi="宋体" w:eastAsia="宋体" w:cs="宋体"/>
          <w:highlight w:val="none"/>
          <w:lang w:val="en-US" w:eastAsia="zh-CN"/>
        </w:rPr>
        <w:t>8</w:t>
      </w:r>
      <w:r>
        <w:rPr>
          <w:rFonts w:hint="eastAsia" w:ascii="宋体" w:hAnsi="宋体" w:eastAsia="宋体" w:cs="宋体"/>
          <w:highlight w:val="none"/>
        </w:rPr>
        <w:t>.2 对投标人的纪律要求</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p>
    <w:p w14:paraId="1B7AC341">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投标人不得相互串通投标或者与招标人串通投标，不得向招标人或者评标委员会成员行贿谋取中标，不得以他人名义投标或者以其他方式弄虚作假骗取中标；投标人不得以任何方式干扰、影响评标工作。</w:t>
      </w:r>
    </w:p>
    <w:p w14:paraId="533A1F0E">
      <w:pPr>
        <w:pStyle w:val="3"/>
        <w:ind w:firstLine="422" w:firstLineChars="200"/>
        <w:rPr>
          <w:rFonts w:ascii="宋体" w:hAnsi="宋体" w:eastAsia="宋体" w:cs="宋体"/>
          <w:highlight w:val="none"/>
        </w:rPr>
      </w:pPr>
      <w:bookmarkStart w:id="641" w:name="_Toc78803370"/>
      <w:bookmarkStart w:id="642" w:name="_Toc152042353"/>
      <w:bookmarkStart w:id="643" w:name="_Toc246996964"/>
      <w:bookmarkStart w:id="644" w:name="_Toc35424934"/>
      <w:bookmarkStart w:id="645" w:name="_Toc179632595"/>
      <w:bookmarkStart w:id="646" w:name="_Toc296602464"/>
      <w:bookmarkStart w:id="647" w:name="_Toc15058897"/>
      <w:bookmarkStart w:id="648" w:name="_Toc247085735"/>
      <w:bookmarkStart w:id="649" w:name="_Toc13043"/>
      <w:bookmarkStart w:id="650" w:name="_Toc12564"/>
      <w:bookmarkStart w:id="651" w:name="_Toc144974545"/>
      <w:bookmarkStart w:id="652" w:name="_Toc35425100"/>
      <w:bookmarkStart w:id="653" w:name="_Toc506107312"/>
      <w:bookmarkStart w:id="654" w:name="_Toc246996221"/>
      <w:bookmarkStart w:id="655" w:name="_Toc324404859"/>
      <w:bookmarkStart w:id="656" w:name="_Toc152045577"/>
      <w:r>
        <w:rPr>
          <w:rFonts w:hint="eastAsia" w:ascii="宋体" w:hAnsi="宋体" w:eastAsia="宋体" w:cs="宋体"/>
          <w:highlight w:val="none"/>
          <w:lang w:val="en-US" w:eastAsia="zh-CN"/>
        </w:rPr>
        <w:t>8</w:t>
      </w:r>
      <w:r>
        <w:rPr>
          <w:rFonts w:hint="eastAsia" w:ascii="宋体" w:hAnsi="宋体" w:eastAsia="宋体" w:cs="宋体"/>
          <w:highlight w:val="none"/>
        </w:rPr>
        <w:t>.3 对评标委员会成员的纪律要求</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p>
    <w:p w14:paraId="5256DC85">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评标委员会成员不得收受他人的财物或者其他好处，不得向他人透漏对投标文件的评审和比较、中标候选人的推荐情况以及评标有关的其他情况。在评标活动中，评标委员会成员应当客观、公正地履行职责，遵守职业道德，不得擅离职守，影响评标程序正常进行，不得使用第三章“评标办法”没有规定的评审因素和标准进行评标。</w:t>
      </w:r>
    </w:p>
    <w:p w14:paraId="6939E33C">
      <w:pPr>
        <w:pStyle w:val="3"/>
        <w:ind w:firstLine="422" w:firstLineChars="200"/>
        <w:rPr>
          <w:rFonts w:ascii="宋体" w:hAnsi="宋体" w:eastAsia="宋体" w:cs="宋体"/>
          <w:highlight w:val="none"/>
        </w:rPr>
      </w:pPr>
      <w:bookmarkStart w:id="657" w:name="_Toc35424935"/>
      <w:bookmarkStart w:id="658" w:name="_Toc506107313"/>
      <w:bookmarkStart w:id="659" w:name="_Toc296602465"/>
      <w:bookmarkStart w:id="660" w:name="_Toc18329"/>
      <w:bookmarkStart w:id="661" w:name="_Toc246996222"/>
      <w:bookmarkStart w:id="662" w:name="_Toc35425101"/>
      <w:bookmarkStart w:id="663" w:name="_Toc324404860"/>
      <w:bookmarkStart w:id="664" w:name="_Toc247085736"/>
      <w:bookmarkStart w:id="665" w:name="_Toc246996965"/>
      <w:bookmarkStart w:id="666" w:name="_Toc179632596"/>
      <w:bookmarkStart w:id="667" w:name="_Toc152042354"/>
      <w:bookmarkStart w:id="668" w:name="_Toc152045578"/>
      <w:bookmarkStart w:id="669" w:name="_Toc32214"/>
      <w:bookmarkStart w:id="670" w:name="_Toc15058898"/>
      <w:bookmarkStart w:id="671" w:name="_Toc78803371"/>
      <w:bookmarkStart w:id="672" w:name="_Toc144974546"/>
      <w:r>
        <w:rPr>
          <w:rFonts w:hint="eastAsia" w:ascii="宋体" w:hAnsi="宋体" w:eastAsia="宋体" w:cs="宋体"/>
          <w:highlight w:val="none"/>
          <w:lang w:val="en-US" w:eastAsia="zh-CN"/>
        </w:rPr>
        <w:t>8</w:t>
      </w:r>
      <w:r>
        <w:rPr>
          <w:rFonts w:hint="eastAsia" w:ascii="宋体" w:hAnsi="宋体" w:eastAsia="宋体" w:cs="宋体"/>
          <w:highlight w:val="none"/>
        </w:rPr>
        <w:t>.4 对与评标活动有关的工作人员的纪律要求</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p>
    <w:p w14:paraId="766BE765">
      <w:pPr>
        <w:spacing w:line="440" w:lineRule="exact"/>
        <w:ind w:firstLine="420" w:firstLineChars="200"/>
        <w:jc w:val="left"/>
        <w:rPr>
          <w:rFonts w:ascii="宋体" w:hAnsi="宋体" w:cs="宋体"/>
          <w:szCs w:val="21"/>
          <w:highlight w:val="none"/>
        </w:rPr>
      </w:pPr>
      <w:bookmarkStart w:id="673" w:name="_Toc152042355"/>
      <w:r>
        <w:rPr>
          <w:rFonts w:hint="eastAsia" w:ascii="宋体" w:hAnsi="宋体" w:cs="宋体"/>
          <w:szCs w:val="21"/>
          <w:highlight w:val="none"/>
        </w:rPr>
        <w:t>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bookmarkEnd w:id="673"/>
    </w:p>
    <w:p w14:paraId="6EC5285F">
      <w:pPr>
        <w:pStyle w:val="3"/>
        <w:ind w:firstLine="422" w:firstLineChars="200"/>
        <w:rPr>
          <w:rFonts w:ascii="宋体" w:hAnsi="宋体" w:eastAsia="宋体" w:cs="宋体"/>
          <w:highlight w:val="none"/>
        </w:rPr>
      </w:pPr>
      <w:bookmarkStart w:id="674" w:name="_Toc23607"/>
      <w:bookmarkStart w:id="675" w:name="_Toc152045579"/>
      <w:bookmarkStart w:id="676" w:name="_Toc247085737"/>
      <w:bookmarkStart w:id="677" w:name="_Toc296602466"/>
      <w:bookmarkStart w:id="678" w:name="_Toc246996223"/>
      <w:bookmarkStart w:id="679" w:name="_Toc506107314"/>
      <w:bookmarkStart w:id="680" w:name="_Toc78803372"/>
      <w:bookmarkStart w:id="681" w:name="_Toc324404861"/>
      <w:bookmarkStart w:id="682" w:name="_Toc15058899"/>
      <w:bookmarkStart w:id="683" w:name="_Toc152042356"/>
      <w:bookmarkStart w:id="684" w:name="_Toc35424936"/>
      <w:bookmarkStart w:id="685" w:name="_Toc179632597"/>
      <w:bookmarkStart w:id="686" w:name="_Toc35425102"/>
      <w:bookmarkStart w:id="687" w:name="_Toc246996966"/>
      <w:bookmarkStart w:id="688" w:name="_Toc2811"/>
      <w:r>
        <w:rPr>
          <w:rFonts w:hint="eastAsia" w:ascii="宋体" w:hAnsi="宋体" w:eastAsia="宋体" w:cs="宋体"/>
          <w:highlight w:val="none"/>
          <w:lang w:val="en-US" w:eastAsia="zh-CN"/>
        </w:rPr>
        <w:t>8</w:t>
      </w:r>
      <w:r>
        <w:rPr>
          <w:rFonts w:hint="eastAsia" w:ascii="宋体" w:hAnsi="宋体" w:eastAsia="宋体" w:cs="宋体"/>
          <w:highlight w:val="none"/>
        </w:rPr>
        <w:t>.5 投诉</w:t>
      </w:r>
      <w:bookmarkEnd w:id="672"/>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p>
    <w:p w14:paraId="6B9C537E">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lang w:val="en-US" w:eastAsia="zh-CN"/>
        </w:rPr>
        <w:t>8</w:t>
      </w:r>
      <w:r>
        <w:rPr>
          <w:rFonts w:hint="eastAsia" w:ascii="宋体" w:hAnsi="宋体" w:cs="宋体"/>
          <w:szCs w:val="21"/>
          <w:highlight w:val="none"/>
        </w:rPr>
        <w:t>.5.1投标人或者其他利害关系人认为招标投标活动不符合法律、行政法规规定的，可以自知道或者应当知道之日起10日内向有关行政监督部门投诉。投诉应当有明确的请求和必要的证明材料。</w:t>
      </w:r>
    </w:p>
    <w:p w14:paraId="39416942">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lang w:val="en-US" w:eastAsia="zh-CN"/>
        </w:rPr>
        <w:t>8</w:t>
      </w:r>
      <w:r>
        <w:rPr>
          <w:rFonts w:hint="eastAsia" w:ascii="宋体" w:hAnsi="宋体" w:cs="宋体"/>
          <w:szCs w:val="21"/>
          <w:highlight w:val="none"/>
        </w:rPr>
        <w:t>.5.2投标人和其他利害关系人对招标文件、开标和评标结果事项投诉的，应当按照投标人须知第2.3.2款、第5.3款、和第7.1.2款的规定先向招标人提出异议。异议答复期间不计算在第</w:t>
      </w:r>
      <w:r>
        <w:rPr>
          <w:rFonts w:hint="eastAsia" w:ascii="宋体" w:hAnsi="宋体" w:cs="宋体"/>
          <w:szCs w:val="21"/>
          <w:highlight w:val="none"/>
          <w:lang w:val="en-US" w:eastAsia="zh-CN"/>
        </w:rPr>
        <w:t>8</w:t>
      </w:r>
      <w:r>
        <w:rPr>
          <w:rFonts w:hint="eastAsia" w:ascii="宋体" w:hAnsi="宋体" w:cs="宋体"/>
          <w:szCs w:val="21"/>
          <w:highlight w:val="none"/>
        </w:rPr>
        <w:t>.5.1款规定的期限内。</w:t>
      </w:r>
    </w:p>
    <w:p w14:paraId="39FC7842">
      <w:pPr>
        <w:pStyle w:val="3"/>
        <w:spacing w:beforeLines="50" w:afterLines="50"/>
        <w:ind w:firstLine="422" w:firstLineChars="200"/>
        <w:rPr>
          <w:rFonts w:ascii="宋体" w:hAnsi="宋体" w:eastAsia="宋体" w:cs="宋体"/>
          <w:highlight w:val="none"/>
        </w:rPr>
      </w:pPr>
      <w:bookmarkStart w:id="689" w:name="_Toc152042357"/>
      <w:bookmarkStart w:id="690" w:name="_Toc246996224"/>
      <w:bookmarkStart w:id="691" w:name="_Toc152045580"/>
      <w:bookmarkStart w:id="692" w:name="_Toc20669"/>
      <w:bookmarkStart w:id="693" w:name="_Toc179632598"/>
      <w:bookmarkStart w:id="694" w:name="_Toc31643"/>
      <w:bookmarkStart w:id="695" w:name="_Toc247085738"/>
      <w:bookmarkStart w:id="696" w:name="_Toc16463"/>
      <w:bookmarkStart w:id="697" w:name="_Toc144974547"/>
      <w:bookmarkStart w:id="698" w:name="_Toc506107315"/>
      <w:bookmarkStart w:id="699" w:name="_Toc35424937"/>
      <w:bookmarkStart w:id="700" w:name="_Toc15058900"/>
      <w:bookmarkStart w:id="701" w:name="_Toc246996967"/>
      <w:bookmarkStart w:id="702" w:name="_Toc78803373"/>
      <w:bookmarkStart w:id="703" w:name="_Toc35425103"/>
      <w:bookmarkStart w:id="704" w:name="_Toc324404862"/>
      <w:r>
        <w:rPr>
          <w:rFonts w:hint="eastAsia" w:ascii="宋体" w:hAnsi="宋体" w:eastAsia="宋体" w:cs="宋体"/>
          <w:highlight w:val="none"/>
          <w:lang w:val="en-US" w:eastAsia="zh-CN"/>
        </w:rPr>
        <w:t>9</w:t>
      </w:r>
      <w:r>
        <w:rPr>
          <w:rFonts w:hint="eastAsia" w:ascii="宋体" w:hAnsi="宋体" w:eastAsia="宋体" w:cs="宋体"/>
          <w:highlight w:val="none"/>
        </w:rPr>
        <w:t>.需要补充的其他内容</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p>
    <w:p w14:paraId="2610702A">
      <w:pPr>
        <w:spacing w:line="440" w:lineRule="exact"/>
        <w:ind w:firstLine="420" w:firstLineChars="200"/>
        <w:jc w:val="left"/>
        <w:rPr>
          <w:rFonts w:ascii="宋体" w:hAnsi="宋体" w:cs="宋体"/>
          <w:szCs w:val="21"/>
          <w:highlight w:val="none"/>
        </w:rPr>
      </w:pPr>
      <w:bookmarkStart w:id="705" w:name="_Toc15058901"/>
      <w:r>
        <w:rPr>
          <w:rFonts w:hint="eastAsia" w:ascii="宋体" w:hAnsi="宋体" w:cs="宋体"/>
          <w:szCs w:val="21"/>
          <w:highlight w:val="none"/>
        </w:rPr>
        <w:t>需要补充的其他内容：见投标人须知前附表。</w:t>
      </w:r>
      <w:bookmarkEnd w:id="705"/>
    </w:p>
    <w:p w14:paraId="13695F73">
      <w:pPr>
        <w:spacing w:line="440" w:lineRule="exact"/>
        <w:jc w:val="left"/>
        <w:rPr>
          <w:rFonts w:ascii="宋体" w:hAnsi="宋体" w:cs="宋体"/>
          <w:szCs w:val="21"/>
          <w:highlight w:val="none"/>
        </w:rPr>
      </w:pPr>
    </w:p>
    <w:p w14:paraId="146D6C50">
      <w:pPr>
        <w:pageBreakBefore/>
        <w:spacing w:beforeLines="80" w:afterLines="80" w:line="440" w:lineRule="exact"/>
        <w:jc w:val="center"/>
        <w:outlineLvl w:val="1"/>
        <w:rPr>
          <w:rFonts w:ascii="宋体"/>
          <w:b/>
          <w:sz w:val="32"/>
          <w:szCs w:val="32"/>
          <w:highlight w:val="none"/>
        </w:rPr>
      </w:pPr>
      <w:bookmarkStart w:id="706" w:name="_Toc78803375"/>
      <w:r>
        <w:rPr>
          <w:rFonts w:hint="eastAsia" w:ascii="宋体"/>
          <w:b/>
          <w:sz w:val="32"/>
          <w:szCs w:val="32"/>
          <w:highlight w:val="none"/>
        </w:rPr>
        <w:t>第二章  资格审查</w:t>
      </w:r>
      <w:bookmarkEnd w:id="602"/>
      <w:r>
        <w:rPr>
          <w:rFonts w:hint="eastAsia" w:ascii="宋体"/>
          <w:b/>
          <w:sz w:val="32"/>
          <w:szCs w:val="32"/>
          <w:highlight w:val="none"/>
        </w:rPr>
        <w:t>办法</w:t>
      </w:r>
      <w:bookmarkEnd w:id="603"/>
      <w:bookmarkEnd w:id="604"/>
      <w:bookmarkEnd w:id="605"/>
      <w:bookmarkEnd w:id="606"/>
      <w:bookmarkEnd w:id="706"/>
    </w:p>
    <w:p w14:paraId="510BB1C6">
      <w:pPr>
        <w:spacing w:beforeLines="50" w:afterLines="50" w:line="440" w:lineRule="exact"/>
        <w:jc w:val="center"/>
        <w:rPr>
          <w:rFonts w:ascii="宋体" w:hAnsi="宋体" w:cs="宋体"/>
          <w:b/>
          <w:bCs/>
          <w:sz w:val="28"/>
          <w:szCs w:val="22"/>
          <w:highlight w:val="none"/>
        </w:rPr>
      </w:pPr>
      <w:bookmarkStart w:id="707" w:name="_Toc35425106"/>
      <w:bookmarkStart w:id="708" w:name="_Toc324404865"/>
      <w:bookmarkStart w:id="709" w:name="_Toc35424940"/>
      <w:bookmarkStart w:id="710" w:name="_Toc15058903"/>
      <w:bookmarkStart w:id="711" w:name="_Toc506107318"/>
      <w:r>
        <w:rPr>
          <w:rFonts w:hint="eastAsia" w:ascii="宋体" w:hAnsi="宋体" w:cs="宋体"/>
          <w:b/>
          <w:bCs/>
          <w:sz w:val="28"/>
          <w:szCs w:val="22"/>
          <w:highlight w:val="none"/>
        </w:rPr>
        <w:t>资格审查办法前附表</w:t>
      </w:r>
      <w:bookmarkEnd w:id="707"/>
      <w:bookmarkEnd w:id="708"/>
      <w:bookmarkEnd w:id="709"/>
      <w:bookmarkEnd w:id="710"/>
      <w:bookmarkEnd w:id="711"/>
    </w:p>
    <w:p w14:paraId="07C7DA4B">
      <w:pPr>
        <w:spacing w:beforeLines="50" w:afterLines="50" w:line="440" w:lineRule="exact"/>
        <w:jc w:val="center"/>
        <w:rPr>
          <w:b/>
          <w:bCs/>
          <w:sz w:val="24"/>
          <w:highlight w:val="none"/>
        </w:rPr>
      </w:pPr>
      <w:r>
        <w:rPr>
          <w:rFonts w:hint="eastAsia"/>
          <w:b/>
          <w:bCs/>
          <w:sz w:val="24"/>
          <w:highlight w:val="none"/>
        </w:rPr>
        <w:t>资信证明文件评审</w:t>
      </w:r>
    </w:p>
    <w:tbl>
      <w:tblPr>
        <w:tblStyle w:val="47"/>
        <w:tblW w:w="100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5"/>
        <w:gridCol w:w="1258"/>
        <w:gridCol w:w="6183"/>
        <w:gridCol w:w="1860"/>
      </w:tblGrid>
      <w:tr w14:paraId="3443A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2023" w:type="dxa"/>
            <w:gridSpan w:val="2"/>
            <w:noWrap/>
            <w:vAlign w:val="center"/>
          </w:tcPr>
          <w:p w14:paraId="21EA50D5">
            <w:pPr>
              <w:spacing w:line="440" w:lineRule="exact"/>
              <w:jc w:val="center"/>
              <w:rPr>
                <w:rFonts w:ascii="宋体" w:hAnsi="宋体" w:cs="宋体"/>
                <w:b/>
                <w:bCs/>
                <w:szCs w:val="21"/>
                <w:highlight w:val="none"/>
              </w:rPr>
            </w:pPr>
            <w:r>
              <w:rPr>
                <w:rFonts w:hint="eastAsia" w:ascii="宋体" w:hAnsi="宋体" w:cs="宋体"/>
                <w:b/>
                <w:bCs/>
                <w:szCs w:val="21"/>
                <w:highlight w:val="none"/>
              </w:rPr>
              <w:t>序号</w:t>
            </w:r>
          </w:p>
        </w:tc>
        <w:tc>
          <w:tcPr>
            <w:tcW w:w="6183" w:type="dxa"/>
            <w:noWrap/>
            <w:vAlign w:val="center"/>
          </w:tcPr>
          <w:p w14:paraId="737B946D">
            <w:pPr>
              <w:spacing w:line="440" w:lineRule="exact"/>
              <w:jc w:val="center"/>
              <w:rPr>
                <w:rFonts w:ascii="宋体" w:hAnsi="宋体" w:cs="宋体"/>
                <w:b/>
                <w:bCs/>
                <w:szCs w:val="21"/>
                <w:highlight w:val="none"/>
              </w:rPr>
            </w:pPr>
            <w:r>
              <w:rPr>
                <w:rFonts w:hint="eastAsia" w:ascii="宋体" w:hAnsi="宋体" w:cs="宋体"/>
                <w:b/>
                <w:bCs/>
                <w:szCs w:val="21"/>
                <w:highlight w:val="none"/>
              </w:rPr>
              <w:t>审查内容</w:t>
            </w:r>
          </w:p>
        </w:tc>
        <w:tc>
          <w:tcPr>
            <w:tcW w:w="1860" w:type="dxa"/>
            <w:noWrap/>
            <w:vAlign w:val="center"/>
          </w:tcPr>
          <w:p w14:paraId="10B4B499">
            <w:pPr>
              <w:spacing w:line="440" w:lineRule="exact"/>
              <w:jc w:val="center"/>
              <w:rPr>
                <w:rFonts w:ascii="宋体" w:hAnsi="宋体" w:cs="宋体"/>
                <w:b/>
                <w:bCs/>
                <w:szCs w:val="21"/>
                <w:highlight w:val="none"/>
              </w:rPr>
            </w:pPr>
            <w:r>
              <w:rPr>
                <w:rFonts w:hint="eastAsia" w:ascii="宋体" w:hAnsi="宋体" w:cs="宋体"/>
                <w:b/>
                <w:bCs/>
                <w:szCs w:val="21"/>
                <w:highlight w:val="none"/>
              </w:rPr>
              <w:t>评审标准</w:t>
            </w:r>
          </w:p>
        </w:tc>
      </w:tr>
      <w:tr w14:paraId="5E38F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65" w:type="dxa"/>
            <w:vMerge w:val="restart"/>
            <w:noWrap/>
            <w:vAlign w:val="center"/>
          </w:tcPr>
          <w:p w14:paraId="4867F738">
            <w:pPr>
              <w:spacing w:line="440" w:lineRule="exact"/>
              <w:jc w:val="center"/>
              <w:rPr>
                <w:rFonts w:ascii="宋体" w:hAnsi="宋体" w:cs="宋体"/>
                <w:szCs w:val="21"/>
                <w:highlight w:val="none"/>
              </w:rPr>
            </w:pPr>
            <w:r>
              <w:rPr>
                <w:rFonts w:hint="eastAsia" w:ascii="宋体" w:hAnsi="宋体" w:cs="宋体"/>
                <w:szCs w:val="21"/>
                <w:highlight w:val="none"/>
              </w:rPr>
              <w:t>1</w:t>
            </w:r>
          </w:p>
        </w:tc>
        <w:tc>
          <w:tcPr>
            <w:tcW w:w="1258" w:type="dxa"/>
            <w:vMerge w:val="restart"/>
            <w:noWrap/>
            <w:vAlign w:val="center"/>
          </w:tcPr>
          <w:p w14:paraId="12F9F292">
            <w:pPr>
              <w:spacing w:line="440" w:lineRule="exact"/>
              <w:jc w:val="center"/>
              <w:rPr>
                <w:rFonts w:ascii="宋体" w:hAnsi="宋体" w:cs="宋体"/>
                <w:b/>
                <w:bCs/>
                <w:szCs w:val="21"/>
                <w:highlight w:val="none"/>
              </w:rPr>
            </w:pPr>
            <w:r>
              <w:rPr>
                <w:rFonts w:hint="eastAsia" w:ascii="宋体" w:hAnsi="宋体" w:cs="宋体"/>
                <w:b/>
                <w:bCs/>
                <w:szCs w:val="21"/>
                <w:highlight w:val="none"/>
              </w:rPr>
              <w:t>审查资料</w:t>
            </w:r>
          </w:p>
        </w:tc>
        <w:tc>
          <w:tcPr>
            <w:tcW w:w="6183" w:type="dxa"/>
            <w:noWrap/>
            <w:vAlign w:val="center"/>
          </w:tcPr>
          <w:p w14:paraId="4223BCB8">
            <w:pPr>
              <w:spacing w:line="440" w:lineRule="exact"/>
              <w:rPr>
                <w:rFonts w:ascii="宋体" w:hAnsi="宋体" w:cs="宋体"/>
                <w:szCs w:val="21"/>
                <w:highlight w:val="none"/>
              </w:rPr>
            </w:pPr>
            <w:r>
              <w:rPr>
                <w:rFonts w:hint="eastAsia" w:ascii="宋体" w:hAnsi="宋体" w:cs="宋体"/>
                <w:szCs w:val="21"/>
                <w:highlight w:val="none"/>
              </w:rPr>
              <w:t>法定代表人身份证明文件和本人有效身份证(或法定代表人授权委托书和委托代理人有效身份证)</w:t>
            </w:r>
          </w:p>
        </w:tc>
        <w:tc>
          <w:tcPr>
            <w:tcW w:w="1860" w:type="dxa"/>
            <w:noWrap/>
            <w:vAlign w:val="center"/>
          </w:tcPr>
          <w:p w14:paraId="08425CC0">
            <w:pPr>
              <w:spacing w:line="440" w:lineRule="exact"/>
              <w:jc w:val="center"/>
              <w:rPr>
                <w:rFonts w:ascii="宋体" w:hAnsi="宋体" w:cs="宋体"/>
                <w:b/>
                <w:szCs w:val="21"/>
                <w:highlight w:val="none"/>
              </w:rPr>
            </w:pPr>
            <w:r>
              <w:rPr>
                <w:rFonts w:hint="eastAsia" w:ascii="宋体" w:hAnsi="宋体" w:cs="宋体"/>
                <w:b/>
                <w:szCs w:val="21"/>
                <w:highlight w:val="none"/>
              </w:rPr>
              <w:t>检验电子标书</w:t>
            </w:r>
          </w:p>
        </w:tc>
      </w:tr>
      <w:tr w14:paraId="0BB7C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765" w:type="dxa"/>
            <w:vMerge w:val="continue"/>
            <w:noWrap/>
            <w:vAlign w:val="center"/>
          </w:tcPr>
          <w:p w14:paraId="0CBF773D">
            <w:pPr>
              <w:spacing w:line="440" w:lineRule="exact"/>
              <w:jc w:val="center"/>
              <w:rPr>
                <w:rFonts w:ascii="宋体" w:hAnsi="宋体" w:cs="宋体"/>
                <w:szCs w:val="21"/>
                <w:highlight w:val="none"/>
              </w:rPr>
            </w:pPr>
          </w:p>
        </w:tc>
        <w:tc>
          <w:tcPr>
            <w:tcW w:w="1258" w:type="dxa"/>
            <w:vMerge w:val="continue"/>
            <w:noWrap/>
            <w:vAlign w:val="center"/>
          </w:tcPr>
          <w:p w14:paraId="5DD98737">
            <w:pPr>
              <w:spacing w:line="440" w:lineRule="exact"/>
              <w:jc w:val="center"/>
              <w:rPr>
                <w:rFonts w:ascii="宋体" w:hAnsi="宋体" w:cs="宋体"/>
                <w:b/>
                <w:bCs/>
                <w:szCs w:val="21"/>
                <w:highlight w:val="none"/>
              </w:rPr>
            </w:pPr>
          </w:p>
        </w:tc>
        <w:tc>
          <w:tcPr>
            <w:tcW w:w="6183" w:type="dxa"/>
            <w:noWrap/>
            <w:vAlign w:val="center"/>
          </w:tcPr>
          <w:p w14:paraId="356F4FA9">
            <w:pPr>
              <w:spacing w:line="440" w:lineRule="exact"/>
              <w:rPr>
                <w:rFonts w:ascii="宋体" w:hAnsi="宋体" w:cs="宋体"/>
                <w:szCs w:val="21"/>
                <w:highlight w:val="none"/>
              </w:rPr>
            </w:pPr>
            <w:r>
              <w:rPr>
                <w:rFonts w:hint="eastAsia" w:ascii="宋体" w:hAnsi="宋体" w:cs="宋体"/>
                <w:szCs w:val="21"/>
                <w:highlight w:val="none"/>
              </w:rPr>
              <w:t>诚信投标承诺书</w:t>
            </w:r>
          </w:p>
        </w:tc>
        <w:tc>
          <w:tcPr>
            <w:tcW w:w="1860" w:type="dxa"/>
            <w:vMerge w:val="restart"/>
            <w:noWrap/>
            <w:vAlign w:val="center"/>
          </w:tcPr>
          <w:p w14:paraId="1D178232">
            <w:pPr>
              <w:spacing w:line="440" w:lineRule="exact"/>
              <w:jc w:val="center"/>
              <w:rPr>
                <w:rFonts w:ascii="宋体" w:hAnsi="宋体" w:cs="宋体"/>
                <w:b/>
                <w:szCs w:val="21"/>
                <w:highlight w:val="none"/>
              </w:rPr>
            </w:pPr>
            <w:r>
              <w:rPr>
                <w:rFonts w:hint="eastAsia" w:ascii="宋体" w:hAnsi="宋体" w:cs="宋体"/>
                <w:b/>
                <w:szCs w:val="21"/>
                <w:highlight w:val="none"/>
              </w:rPr>
              <w:t>检验电子标书</w:t>
            </w:r>
          </w:p>
        </w:tc>
      </w:tr>
      <w:tr w14:paraId="6FB20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765" w:type="dxa"/>
            <w:vMerge w:val="continue"/>
            <w:noWrap/>
            <w:vAlign w:val="center"/>
          </w:tcPr>
          <w:p w14:paraId="7D8563C4">
            <w:pPr>
              <w:spacing w:line="440" w:lineRule="exact"/>
              <w:jc w:val="center"/>
              <w:rPr>
                <w:rFonts w:ascii="宋体" w:hAnsi="宋体" w:cs="宋体"/>
                <w:szCs w:val="21"/>
                <w:highlight w:val="none"/>
              </w:rPr>
            </w:pPr>
          </w:p>
        </w:tc>
        <w:tc>
          <w:tcPr>
            <w:tcW w:w="1258" w:type="dxa"/>
            <w:vMerge w:val="continue"/>
            <w:noWrap/>
            <w:vAlign w:val="center"/>
          </w:tcPr>
          <w:p w14:paraId="04C1B076">
            <w:pPr>
              <w:spacing w:line="440" w:lineRule="exact"/>
              <w:jc w:val="center"/>
              <w:rPr>
                <w:rFonts w:ascii="宋体" w:hAnsi="宋体" w:cs="宋体"/>
                <w:b/>
                <w:bCs/>
                <w:szCs w:val="21"/>
                <w:highlight w:val="none"/>
              </w:rPr>
            </w:pPr>
          </w:p>
        </w:tc>
        <w:tc>
          <w:tcPr>
            <w:tcW w:w="6183" w:type="dxa"/>
            <w:noWrap/>
            <w:vAlign w:val="center"/>
          </w:tcPr>
          <w:p w14:paraId="7DE2EBA3">
            <w:pPr>
              <w:spacing w:line="440" w:lineRule="exact"/>
              <w:rPr>
                <w:rFonts w:ascii="宋体" w:hAnsi="宋体" w:cs="宋体"/>
                <w:szCs w:val="21"/>
                <w:highlight w:val="none"/>
              </w:rPr>
            </w:pPr>
            <w:r>
              <w:rPr>
                <w:rFonts w:hint="eastAsia" w:ascii="宋体" w:hAnsi="宋体" w:cs="宋体"/>
                <w:szCs w:val="21"/>
                <w:highlight w:val="none"/>
              </w:rPr>
              <w:t>企业法人营业执照</w:t>
            </w:r>
          </w:p>
        </w:tc>
        <w:tc>
          <w:tcPr>
            <w:tcW w:w="1860" w:type="dxa"/>
            <w:vMerge w:val="continue"/>
            <w:noWrap/>
            <w:vAlign w:val="center"/>
          </w:tcPr>
          <w:p w14:paraId="779E57B8">
            <w:pPr>
              <w:spacing w:line="440" w:lineRule="exact"/>
              <w:rPr>
                <w:rFonts w:ascii="宋体" w:hAnsi="宋体" w:cs="宋体"/>
                <w:b/>
                <w:szCs w:val="21"/>
                <w:highlight w:val="none"/>
              </w:rPr>
            </w:pPr>
          </w:p>
        </w:tc>
      </w:tr>
      <w:tr w14:paraId="54849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765" w:type="dxa"/>
            <w:vMerge w:val="continue"/>
            <w:noWrap/>
            <w:vAlign w:val="center"/>
          </w:tcPr>
          <w:p w14:paraId="44F29A8D">
            <w:pPr>
              <w:spacing w:line="440" w:lineRule="exact"/>
              <w:jc w:val="center"/>
              <w:rPr>
                <w:rFonts w:ascii="宋体" w:hAnsi="宋体" w:cs="宋体"/>
                <w:szCs w:val="21"/>
                <w:highlight w:val="none"/>
              </w:rPr>
            </w:pPr>
          </w:p>
        </w:tc>
        <w:tc>
          <w:tcPr>
            <w:tcW w:w="1258" w:type="dxa"/>
            <w:vMerge w:val="continue"/>
            <w:noWrap/>
            <w:vAlign w:val="center"/>
          </w:tcPr>
          <w:p w14:paraId="5172F027">
            <w:pPr>
              <w:spacing w:line="440" w:lineRule="exact"/>
              <w:jc w:val="center"/>
              <w:rPr>
                <w:rFonts w:ascii="宋体" w:hAnsi="宋体" w:cs="宋体"/>
                <w:b/>
                <w:bCs/>
                <w:szCs w:val="21"/>
                <w:highlight w:val="none"/>
              </w:rPr>
            </w:pPr>
          </w:p>
        </w:tc>
        <w:tc>
          <w:tcPr>
            <w:tcW w:w="6183" w:type="dxa"/>
            <w:noWrap/>
            <w:vAlign w:val="top"/>
          </w:tcPr>
          <w:p w14:paraId="7910A869">
            <w:pPr>
              <w:keepNext w:val="0"/>
              <w:keepLines w:val="0"/>
              <w:pageBreakBefore w:val="0"/>
              <w:kinsoku/>
              <w:wordWrap/>
              <w:overflowPunct/>
              <w:topLinePunct w:val="0"/>
              <w:autoSpaceDN/>
              <w:bidi w:val="0"/>
              <w:adjustRightInd/>
              <w:snapToGrid/>
              <w:spacing w:line="440" w:lineRule="exact"/>
              <w:textAlignment w:val="auto"/>
              <w:rPr>
                <w:rFonts w:ascii="宋体" w:hAnsi="宋体" w:cs="宋体"/>
                <w:szCs w:val="21"/>
                <w:highlight w:val="none"/>
              </w:rPr>
            </w:pPr>
            <w:r>
              <w:rPr>
                <w:rFonts w:hint="eastAsia" w:ascii="宋体" w:hAnsi="宋体" w:cs="宋体"/>
                <w:bCs/>
                <w:color w:val="auto"/>
                <w:highlight w:val="none"/>
                <w:lang w:eastAsia="zh-CN"/>
              </w:rPr>
              <w:t>投标人拟派的项目负责人必须具有建设部颁发的注册在投标单位的</w:t>
            </w:r>
            <w:r>
              <w:rPr>
                <w:rFonts w:hint="eastAsia" w:ascii="宋体" w:hAnsi="宋体" w:cs="宋体"/>
                <w:bCs/>
                <w:color w:val="auto"/>
                <w:highlight w:val="none"/>
                <w:lang w:val="en-US" w:eastAsia="zh-CN"/>
              </w:rPr>
              <w:t>安装</w:t>
            </w:r>
            <w:r>
              <w:rPr>
                <w:rFonts w:hint="eastAsia" w:ascii="宋体" w:hAnsi="宋体" w:cs="宋体"/>
                <w:bCs/>
                <w:color w:val="auto"/>
                <w:highlight w:val="none"/>
                <w:lang w:eastAsia="zh-CN"/>
              </w:rPr>
              <w:t>工程专业</w:t>
            </w:r>
            <w:r>
              <w:rPr>
                <w:rFonts w:hint="eastAsia" w:ascii="宋体" w:hAnsi="宋体" w:cs="宋体"/>
                <w:color w:val="auto"/>
                <w:kern w:val="0"/>
                <w:sz w:val="21"/>
                <w:szCs w:val="21"/>
                <w:highlight w:val="none"/>
                <w:lang w:val="en-US" w:eastAsia="zh-CN"/>
              </w:rPr>
              <w:t>一级造价工程师注册证书</w:t>
            </w:r>
            <w:r>
              <w:rPr>
                <w:rFonts w:hint="eastAsia" w:ascii="宋体" w:hAnsi="宋体" w:cs="宋体"/>
                <w:bCs/>
                <w:color w:val="auto"/>
                <w:highlight w:val="none"/>
                <w:lang w:eastAsia="zh-CN"/>
              </w:rPr>
              <w:t>（或原注册造价工程师）</w:t>
            </w:r>
          </w:p>
        </w:tc>
        <w:tc>
          <w:tcPr>
            <w:tcW w:w="1860" w:type="dxa"/>
            <w:vMerge w:val="continue"/>
            <w:noWrap/>
            <w:vAlign w:val="center"/>
          </w:tcPr>
          <w:p w14:paraId="2BFDCB77">
            <w:pPr>
              <w:spacing w:line="440" w:lineRule="exact"/>
              <w:rPr>
                <w:rFonts w:ascii="宋体" w:hAnsi="宋体" w:cs="宋体"/>
                <w:szCs w:val="21"/>
                <w:highlight w:val="none"/>
              </w:rPr>
            </w:pPr>
          </w:p>
        </w:tc>
      </w:tr>
      <w:tr w14:paraId="7C446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765" w:type="dxa"/>
            <w:vMerge w:val="continue"/>
            <w:noWrap/>
            <w:vAlign w:val="center"/>
          </w:tcPr>
          <w:p w14:paraId="08434D79">
            <w:pPr>
              <w:spacing w:line="440" w:lineRule="exact"/>
              <w:jc w:val="center"/>
              <w:rPr>
                <w:rFonts w:ascii="宋体" w:hAnsi="宋体" w:cs="宋体"/>
                <w:szCs w:val="21"/>
                <w:highlight w:val="none"/>
              </w:rPr>
            </w:pPr>
          </w:p>
        </w:tc>
        <w:tc>
          <w:tcPr>
            <w:tcW w:w="1258" w:type="dxa"/>
            <w:vMerge w:val="continue"/>
            <w:noWrap/>
            <w:vAlign w:val="center"/>
          </w:tcPr>
          <w:p w14:paraId="08C3DF84">
            <w:pPr>
              <w:spacing w:line="440" w:lineRule="exact"/>
              <w:jc w:val="center"/>
              <w:rPr>
                <w:rFonts w:ascii="宋体" w:hAnsi="宋体" w:cs="宋体"/>
                <w:b/>
                <w:bCs/>
                <w:szCs w:val="21"/>
                <w:highlight w:val="none"/>
              </w:rPr>
            </w:pPr>
          </w:p>
        </w:tc>
        <w:tc>
          <w:tcPr>
            <w:tcW w:w="6183" w:type="dxa"/>
            <w:noWrap/>
            <w:vAlign w:val="top"/>
          </w:tcPr>
          <w:p w14:paraId="6547F5B2">
            <w:pPr>
              <w:keepNext w:val="0"/>
              <w:keepLines w:val="0"/>
              <w:pageBreakBefore w:val="0"/>
              <w:kinsoku/>
              <w:wordWrap/>
              <w:overflowPunct/>
              <w:topLinePunct w:val="0"/>
              <w:autoSpaceDN/>
              <w:bidi w:val="0"/>
              <w:adjustRightInd/>
              <w:snapToGrid/>
              <w:spacing w:line="440" w:lineRule="exact"/>
              <w:textAlignment w:val="auto"/>
              <w:rPr>
                <w:rFonts w:hint="eastAsia" w:ascii="宋体" w:hAnsi="宋体" w:eastAsia="宋体" w:cs="宋体"/>
                <w:sz w:val="21"/>
                <w:szCs w:val="21"/>
                <w:highlight w:val="none"/>
              </w:rPr>
            </w:pPr>
            <w:r>
              <w:rPr>
                <w:rFonts w:hint="eastAsia" w:ascii="宋体" w:hAnsi="宋体" w:cs="宋体"/>
                <w:szCs w:val="21"/>
                <w:highlight w:val="none"/>
              </w:rPr>
              <w:t>拟派项目负责人</w:t>
            </w:r>
            <w:r>
              <w:rPr>
                <w:rFonts w:hint="eastAsia" w:ascii="宋体" w:hAnsi="宋体" w:eastAsia="宋体" w:cs="宋体"/>
                <w:color w:val="000000"/>
                <w:szCs w:val="21"/>
                <w:highlight w:val="none"/>
              </w:rPr>
              <w:t>须持有社保部门出具的本单位为其缴纳的</w:t>
            </w:r>
            <w:r>
              <w:rPr>
                <w:rFonts w:hint="eastAsia" w:ascii="宋体" w:hAnsi="宋体" w:eastAsia="宋体" w:cs="宋体"/>
                <w:color w:val="000000"/>
                <w:szCs w:val="21"/>
                <w:highlight w:val="none"/>
                <w:lang w:val="en-US" w:eastAsia="zh-CN"/>
              </w:rPr>
              <w:t>2026年</w:t>
            </w:r>
            <w:r>
              <w:rPr>
                <w:rFonts w:hint="eastAsia" w:ascii="宋体" w:hAnsi="宋体" w:cs="宋体"/>
                <w:color w:val="000000"/>
                <w:szCs w:val="21"/>
                <w:highlight w:val="none"/>
                <w:lang w:val="en-US" w:eastAsia="zh-CN"/>
              </w:rPr>
              <w:t>7</w:t>
            </w:r>
            <w:r>
              <w:rPr>
                <w:rFonts w:hint="eastAsia" w:ascii="宋体" w:hAnsi="宋体" w:eastAsia="宋体" w:cs="宋体"/>
                <w:color w:val="000000"/>
                <w:szCs w:val="21"/>
                <w:highlight w:val="none"/>
                <w:lang w:val="en-US" w:eastAsia="zh-CN"/>
              </w:rPr>
              <w:t>月至2026年</w:t>
            </w:r>
            <w:r>
              <w:rPr>
                <w:rFonts w:hint="eastAsia" w:ascii="宋体" w:hAnsi="宋体" w:cs="宋体"/>
                <w:color w:val="000000"/>
                <w:szCs w:val="21"/>
                <w:highlight w:val="none"/>
                <w:lang w:val="en-US" w:eastAsia="zh-CN"/>
              </w:rPr>
              <w:t>10</w:t>
            </w:r>
            <w:r>
              <w:rPr>
                <w:rFonts w:hint="eastAsia" w:ascii="宋体" w:hAnsi="宋体" w:eastAsia="宋体" w:cs="宋体"/>
                <w:color w:val="000000"/>
                <w:szCs w:val="21"/>
                <w:highlight w:val="none"/>
                <w:lang w:val="en-US" w:eastAsia="zh-CN"/>
              </w:rPr>
              <w:t>月范围内任意</w:t>
            </w:r>
            <w:r>
              <w:rPr>
                <w:rFonts w:hint="eastAsia" w:ascii="宋体" w:hAnsi="宋体" w:eastAsia="宋体" w:cs="宋体"/>
                <w:color w:val="000000"/>
                <w:szCs w:val="21"/>
                <w:highlight w:val="none"/>
              </w:rPr>
              <w:t>连续三个月的养老保险证明</w:t>
            </w:r>
          </w:p>
        </w:tc>
        <w:tc>
          <w:tcPr>
            <w:tcW w:w="1860" w:type="dxa"/>
            <w:vMerge w:val="continue"/>
            <w:noWrap/>
            <w:vAlign w:val="center"/>
          </w:tcPr>
          <w:p w14:paraId="223D78F9">
            <w:pPr>
              <w:spacing w:line="440" w:lineRule="exact"/>
              <w:rPr>
                <w:rFonts w:ascii="宋体" w:hAnsi="宋体" w:cs="宋体"/>
                <w:szCs w:val="21"/>
                <w:highlight w:val="none"/>
              </w:rPr>
            </w:pPr>
          </w:p>
        </w:tc>
      </w:tr>
      <w:tr w14:paraId="4C6AD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765" w:type="dxa"/>
            <w:vMerge w:val="continue"/>
            <w:noWrap/>
            <w:vAlign w:val="center"/>
          </w:tcPr>
          <w:p w14:paraId="2C443F97">
            <w:pPr>
              <w:spacing w:line="440" w:lineRule="exact"/>
              <w:jc w:val="center"/>
              <w:rPr>
                <w:rFonts w:ascii="宋体" w:hAnsi="宋体" w:cs="宋体"/>
                <w:szCs w:val="21"/>
                <w:highlight w:val="none"/>
              </w:rPr>
            </w:pPr>
          </w:p>
        </w:tc>
        <w:tc>
          <w:tcPr>
            <w:tcW w:w="1258" w:type="dxa"/>
            <w:vMerge w:val="continue"/>
            <w:noWrap/>
            <w:vAlign w:val="center"/>
          </w:tcPr>
          <w:p w14:paraId="7D51B5B8">
            <w:pPr>
              <w:spacing w:line="440" w:lineRule="exact"/>
              <w:jc w:val="center"/>
              <w:rPr>
                <w:rFonts w:ascii="宋体" w:hAnsi="宋体" w:cs="宋体"/>
                <w:b/>
                <w:bCs/>
                <w:szCs w:val="21"/>
                <w:highlight w:val="none"/>
              </w:rPr>
            </w:pPr>
          </w:p>
        </w:tc>
        <w:tc>
          <w:tcPr>
            <w:tcW w:w="6183" w:type="dxa"/>
            <w:noWrap/>
            <w:vAlign w:val="top"/>
          </w:tcPr>
          <w:p w14:paraId="7DB448B8">
            <w:pPr>
              <w:spacing w:line="440" w:lineRule="exact"/>
              <w:rPr>
                <w:rFonts w:hint="eastAsia" w:ascii="宋体" w:hAnsi="宋体" w:eastAsia="宋体" w:cs="宋体"/>
                <w:highlight w:val="none"/>
                <w:lang w:eastAsia="zh-CN"/>
              </w:rPr>
            </w:pPr>
            <w:r>
              <w:rPr>
                <w:rFonts w:hint="eastAsia" w:ascii="宋体" w:hAnsi="宋体" w:eastAsia="宋体" w:cs="Times New Roman"/>
                <w:color w:val="000000"/>
                <w:szCs w:val="21"/>
                <w:highlight w:val="none"/>
                <w:lang w:val="en-US" w:eastAsia="zh-CN"/>
              </w:rPr>
              <w:t>服务承诺书</w:t>
            </w:r>
          </w:p>
        </w:tc>
        <w:tc>
          <w:tcPr>
            <w:tcW w:w="1860" w:type="dxa"/>
            <w:vMerge w:val="continue"/>
            <w:noWrap/>
            <w:vAlign w:val="center"/>
          </w:tcPr>
          <w:p w14:paraId="701C2C27">
            <w:pPr>
              <w:spacing w:line="440" w:lineRule="exact"/>
              <w:rPr>
                <w:rFonts w:ascii="宋体" w:hAnsi="宋体" w:cs="宋体"/>
                <w:szCs w:val="21"/>
                <w:highlight w:val="none"/>
              </w:rPr>
            </w:pPr>
          </w:p>
        </w:tc>
      </w:tr>
    </w:tbl>
    <w:p w14:paraId="44418C94">
      <w:pPr>
        <w:spacing w:line="440" w:lineRule="exact"/>
        <w:ind w:firstLine="422" w:firstLineChars="200"/>
        <w:jc w:val="left"/>
        <w:rPr>
          <w:rFonts w:ascii="宋体" w:hAnsi="宋体" w:cs="宋体"/>
          <w:b/>
          <w:bCs/>
          <w:szCs w:val="21"/>
          <w:highlight w:val="none"/>
        </w:rPr>
      </w:pPr>
      <w:r>
        <w:rPr>
          <w:rFonts w:hint="eastAsia" w:ascii="宋体" w:hAnsi="宋体" w:cs="宋体"/>
          <w:b/>
          <w:bCs/>
          <w:szCs w:val="21"/>
          <w:highlight w:val="none"/>
        </w:rPr>
        <w:t>重要提示：</w:t>
      </w:r>
    </w:p>
    <w:p w14:paraId="3BA6D769">
      <w:pPr>
        <w:spacing w:line="440" w:lineRule="exact"/>
        <w:ind w:firstLine="422" w:firstLineChars="200"/>
        <w:jc w:val="left"/>
        <w:rPr>
          <w:rFonts w:ascii="宋体" w:hAnsi="宋体" w:cs="宋体"/>
          <w:b/>
          <w:bCs/>
          <w:szCs w:val="21"/>
          <w:highlight w:val="none"/>
        </w:rPr>
      </w:pPr>
      <w:r>
        <w:rPr>
          <w:rFonts w:hint="eastAsia" w:ascii="宋体" w:hAnsi="宋体" w:cs="宋体"/>
          <w:b/>
          <w:bCs/>
          <w:szCs w:val="21"/>
          <w:highlight w:val="none"/>
        </w:rPr>
        <w:t>（</w:t>
      </w:r>
      <w:r>
        <w:rPr>
          <w:rFonts w:hint="eastAsia" w:ascii="宋体" w:hAnsi="宋体" w:cs="宋体"/>
          <w:b/>
          <w:bCs/>
          <w:szCs w:val="21"/>
          <w:highlight w:val="none"/>
          <w:lang w:val="en-US" w:eastAsia="zh-CN"/>
        </w:rPr>
        <w:t>1</w:t>
      </w:r>
      <w:r>
        <w:rPr>
          <w:rFonts w:hint="eastAsia" w:ascii="宋体" w:hAnsi="宋体" w:cs="宋体"/>
          <w:b/>
          <w:bCs/>
          <w:szCs w:val="21"/>
          <w:highlight w:val="none"/>
        </w:rPr>
        <w:t>）评标专家在检验电子投标文件过程中，如果由于投标人自身原因导致评标专家无法查看并检验电子投标文件中相关资料的，视为无效标处理。即使投标人将原件携带至现场的，同样按无效标处理。</w:t>
      </w:r>
    </w:p>
    <w:p w14:paraId="4A8A3FCB">
      <w:pPr>
        <w:pStyle w:val="3"/>
        <w:spacing w:beforeLines="50" w:afterLines="50"/>
        <w:ind w:firstLine="422" w:firstLineChars="200"/>
        <w:rPr>
          <w:rFonts w:ascii="宋体" w:hAnsi="宋体" w:eastAsia="宋体" w:cs="宋体"/>
          <w:highlight w:val="none"/>
        </w:rPr>
      </w:pPr>
      <w:bookmarkStart w:id="712" w:name="_Toc15058904"/>
      <w:bookmarkStart w:id="713" w:name="_Toc35425107"/>
      <w:bookmarkStart w:id="714" w:name="_Toc78803376"/>
      <w:bookmarkStart w:id="715" w:name="_Toc506107319"/>
      <w:bookmarkStart w:id="716" w:name="_Toc27127"/>
      <w:bookmarkStart w:id="717" w:name="_Toc35424941"/>
      <w:bookmarkStart w:id="718" w:name="_Toc324404866"/>
      <w:r>
        <w:rPr>
          <w:rFonts w:hint="eastAsia" w:ascii="宋体" w:hAnsi="宋体" w:eastAsia="宋体" w:cs="宋体"/>
          <w:highlight w:val="none"/>
        </w:rPr>
        <w:t>1.审查资料</w:t>
      </w:r>
      <w:bookmarkEnd w:id="712"/>
      <w:bookmarkEnd w:id="713"/>
      <w:bookmarkEnd w:id="714"/>
      <w:bookmarkEnd w:id="715"/>
      <w:bookmarkEnd w:id="716"/>
      <w:bookmarkEnd w:id="717"/>
      <w:bookmarkEnd w:id="718"/>
    </w:p>
    <w:p w14:paraId="393FDB9F">
      <w:pPr>
        <w:spacing w:line="440" w:lineRule="exact"/>
        <w:ind w:firstLine="420" w:firstLineChars="200"/>
        <w:jc w:val="left"/>
        <w:rPr>
          <w:rFonts w:hint="eastAsia" w:ascii="宋体" w:hAnsi="宋体" w:cs="宋体"/>
          <w:szCs w:val="21"/>
          <w:highlight w:val="none"/>
        </w:rPr>
      </w:pPr>
      <w:bookmarkStart w:id="719" w:name="_Toc15058905"/>
      <w:bookmarkStart w:id="720" w:name="_Toc35425108"/>
      <w:bookmarkStart w:id="721" w:name="_Toc12549"/>
      <w:bookmarkStart w:id="722" w:name="_Toc35424942"/>
      <w:bookmarkStart w:id="723" w:name="_Toc15058909"/>
      <w:bookmarkStart w:id="724" w:name="_Toc78803377"/>
      <w:bookmarkStart w:id="725" w:name="_Toc324404867"/>
      <w:bookmarkStart w:id="726" w:name="_Toc506107320"/>
      <w:r>
        <w:rPr>
          <w:rFonts w:hint="eastAsia" w:ascii="宋体" w:hAnsi="宋体" w:cs="宋体"/>
          <w:szCs w:val="21"/>
          <w:highlight w:val="none"/>
        </w:rPr>
        <w:t>（1）法定代表人身份证明文件和本人有效身份证(或法定代表人授权委托书和委托代理人有效身份证)；</w:t>
      </w:r>
    </w:p>
    <w:p w14:paraId="5E343FFC">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（2）诚信投标承诺书；</w:t>
      </w:r>
    </w:p>
    <w:p w14:paraId="3B7B0F5F">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（3）企业法人营业执照；</w:t>
      </w:r>
    </w:p>
    <w:p w14:paraId="181A1371">
      <w:pPr>
        <w:spacing w:line="440" w:lineRule="exact"/>
        <w:ind w:firstLine="420" w:firstLineChars="200"/>
        <w:jc w:val="left"/>
        <w:rPr>
          <w:rFonts w:hint="eastAsia" w:ascii="宋体" w:hAnsi="宋体" w:cs="宋体"/>
          <w:bCs/>
          <w:color w:val="auto"/>
          <w:highlight w:val="none"/>
          <w:lang w:eastAsia="zh-CN"/>
        </w:rPr>
      </w:pPr>
      <w:r>
        <w:rPr>
          <w:rFonts w:hint="eastAsia" w:ascii="宋体" w:hAnsi="宋体" w:cs="宋体"/>
          <w:szCs w:val="21"/>
          <w:highlight w:val="none"/>
        </w:rPr>
        <w:t>（</w:t>
      </w:r>
      <w:r>
        <w:rPr>
          <w:rFonts w:hint="eastAsia" w:ascii="宋体" w:hAnsi="宋体" w:cs="宋体"/>
          <w:szCs w:val="21"/>
          <w:highlight w:val="none"/>
          <w:lang w:val="en-US" w:eastAsia="zh-CN"/>
        </w:rPr>
        <w:t>4</w:t>
      </w:r>
      <w:r>
        <w:rPr>
          <w:rFonts w:hint="eastAsia" w:ascii="宋体" w:hAnsi="宋体" w:cs="宋体"/>
          <w:szCs w:val="21"/>
          <w:highlight w:val="none"/>
        </w:rPr>
        <w:t>）</w:t>
      </w:r>
      <w:r>
        <w:rPr>
          <w:rFonts w:hint="eastAsia" w:ascii="宋体" w:hAnsi="宋体" w:cs="宋体"/>
          <w:bCs/>
          <w:color w:val="auto"/>
          <w:highlight w:val="none"/>
          <w:lang w:eastAsia="zh-CN"/>
        </w:rPr>
        <w:t>投标人拟派的项目负责人必须具有建设部颁发的注册在投标单位的</w:t>
      </w:r>
      <w:r>
        <w:rPr>
          <w:rFonts w:hint="eastAsia" w:ascii="宋体" w:hAnsi="宋体" w:cs="宋体"/>
          <w:bCs/>
          <w:color w:val="auto"/>
          <w:highlight w:val="none"/>
          <w:lang w:val="en-US" w:eastAsia="zh-CN"/>
        </w:rPr>
        <w:t>安装</w:t>
      </w:r>
      <w:r>
        <w:rPr>
          <w:rFonts w:hint="eastAsia" w:ascii="宋体" w:hAnsi="宋体" w:cs="宋体"/>
          <w:bCs/>
          <w:color w:val="auto"/>
          <w:highlight w:val="none"/>
          <w:lang w:eastAsia="zh-CN"/>
        </w:rPr>
        <w:t>工程专业</w:t>
      </w:r>
      <w:r>
        <w:rPr>
          <w:rFonts w:hint="eastAsia" w:ascii="宋体" w:hAnsi="宋体" w:cs="宋体"/>
          <w:color w:val="auto"/>
          <w:kern w:val="0"/>
          <w:sz w:val="21"/>
          <w:szCs w:val="21"/>
          <w:highlight w:val="none"/>
          <w:lang w:val="en-US" w:eastAsia="zh-CN"/>
        </w:rPr>
        <w:t>一级造价工程师注册证书</w:t>
      </w:r>
      <w:r>
        <w:rPr>
          <w:rFonts w:hint="eastAsia" w:ascii="宋体" w:hAnsi="宋体" w:cs="宋体"/>
          <w:bCs/>
          <w:color w:val="auto"/>
          <w:highlight w:val="none"/>
          <w:lang w:eastAsia="zh-CN"/>
        </w:rPr>
        <w:t>（或原注册造价工程师）；</w:t>
      </w:r>
    </w:p>
    <w:p w14:paraId="723A86E7">
      <w:pPr>
        <w:spacing w:line="440" w:lineRule="exact"/>
        <w:ind w:firstLine="420" w:firstLineChars="200"/>
        <w:jc w:val="left"/>
        <w:rPr>
          <w:rFonts w:hint="eastAsia" w:ascii="宋体" w:hAnsi="宋体" w:eastAsia="宋体" w:cs="宋体"/>
          <w:bCs/>
          <w:color w:val="auto"/>
          <w:highlight w:val="none"/>
          <w:lang w:eastAsia="zh-CN"/>
        </w:rPr>
      </w:pPr>
      <w:r>
        <w:rPr>
          <w:rFonts w:hint="eastAsia" w:ascii="宋体" w:hAnsi="宋体" w:eastAsia="宋体" w:cs="宋体"/>
          <w:bCs/>
          <w:color w:val="auto"/>
          <w:highlight w:val="none"/>
          <w:lang w:eastAsia="zh-CN"/>
        </w:rPr>
        <w:t>（</w:t>
      </w:r>
      <w:r>
        <w:rPr>
          <w:rFonts w:hint="eastAsia" w:ascii="宋体" w:hAnsi="宋体" w:eastAsia="宋体" w:cs="宋体"/>
          <w:bCs/>
          <w:color w:val="auto"/>
          <w:highlight w:val="none"/>
          <w:lang w:val="en-US" w:eastAsia="zh-CN"/>
        </w:rPr>
        <w:t>5</w:t>
      </w:r>
      <w:r>
        <w:rPr>
          <w:rFonts w:hint="eastAsia" w:ascii="宋体" w:hAnsi="宋体" w:eastAsia="宋体" w:cs="宋体"/>
          <w:bCs/>
          <w:color w:val="auto"/>
          <w:highlight w:val="none"/>
          <w:lang w:eastAsia="zh-CN"/>
        </w:rPr>
        <w:t>）</w:t>
      </w:r>
      <w:r>
        <w:rPr>
          <w:rFonts w:hint="eastAsia" w:ascii="宋体" w:hAnsi="宋体" w:cs="宋体"/>
          <w:szCs w:val="21"/>
          <w:highlight w:val="none"/>
        </w:rPr>
        <w:t>拟派项目负责人</w:t>
      </w:r>
      <w:r>
        <w:rPr>
          <w:rFonts w:hint="eastAsia" w:ascii="宋体" w:hAnsi="宋体" w:eastAsia="宋体" w:cs="宋体"/>
          <w:color w:val="000000"/>
          <w:szCs w:val="21"/>
          <w:highlight w:val="none"/>
        </w:rPr>
        <w:t>须持有社保部门出具的本单位为其缴纳的</w:t>
      </w:r>
      <w:r>
        <w:rPr>
          <w:rFonts w:hint="eastAsia" w:ascii="宋体" w:hAnsi="宋体" w:cs="宋体"/>
          <w:color w:val="000000"/>
          <w:szCs w:val="21"/>
          <w:highlight w:val="none"/>
          <w:lang w:val="en-US" w:eastAsia="zh-CN"/>
        </w:rPr>
        <w:t>2026年7月至2026年10月</w:t>
      </w:r>
      <w:r>
        <w:rPr>
          <w:rFonts w:hint="eastAsia" w:ascii="宋体" w:hAnsi="宋体" w:eastAsia="宋体" w:cs="宋体"/>
          <w:color w:val="000000"/>
          <w:szCs w:val="21"/>
          <w:highlight w:val="none"/>
          <w:lang w:val="en-US" w:eastAsia="zh-CN"/>
        </w:rPr>
        <w:t>范围内任意</w:t>
      </w:r>
      <w:r>
        <w:rPr>
          <w:rFonts w:hint="eastAsia" w:ascii="宋体" w:hAnsi="宋体" w:eastAsia="宋体" w:cs="宋体"/>
          <w:color w:val="000000"/>
          <w:szCs w:val="21"/>
          <w:highlight w:val="none"/>
        </w:rPr>
        <w:t>连续三个月的养老保险证明</w:t>
      </w:r>
      <w:r>
        <w:rPr>
          <w:rFonts w:hint="eastAsia" w:ascii="宋体" w:hAnsi="宋体" w:eastAsia="宋体" w:cs="宋体"/>
          <w:bCs/>
          <w:color w:val="auto"/>
          <w:highlight w:val="none"/>
          <w:lang w:eastAsia="zh-CN"/>
        </w:rPr>
        <w:t>；</w:t>
      </w:r>
    </w:p>
    <w:p w14:paraId="1C8973B5">
      <w:pPr>
        <w:spacing w:line="440" w:lineRule="exact"/>
        <w:ind w:firstLine="420" w:firstLineChars="200"/>
        <w:jc w:val="left"/>
        <w:rPr>
          <w:rFonts w:hint="eastAsia" w:ascii="宋体" w:hAnsi="宋体" w:eastAsia="宋体" w:cs="宋体"/>
          <w:bCs/>
          <w:color w:val="auto"/>
          <w:highlight w:val="none"/>
          <w:lang w:eastAsia="zh-CN"/>
        </w:rPr>
      </w:pPr>
      <w:r>
        <w:rPr>
          <w:rFonts w:hint="eastAsia" w:ascii="宋体" w:hAnsi="宋体" w:eastAsia="宋体" w:cs="宋体"/>
          <w:color w:val="000000"/>
          <w:szCs w:val="21"/>
          <w:highlight w:val="none"/>
          <w:lang w:eastAsia="zh-CN"/>
        </w:rPr>
        <w:t>注：</w:t>
      </w:r>
      <w:r>
        <w:rPr>
          <w:rFonts w:hint="eastAsia" w:ascii="宋体" w:hAnsi="宋体" w:eastAsia="宋体" w:cs="宋体"/>
          <w:color w:val="000000"/>
          <w:szCs w:val="21"/>
          <w:highlight w:val="none"/>
          <w:lang w:val="en-US" w:eastAsia="zh-CN"/>
        </w:rPr>
        <w:t>1、</w:t>
      </w:r>
      <w:r>
        <w:rPr>
          <w:rFonts w:hint="eastAsia" w:ascii="宋体" w:hAnsi="宋体" w:eastAsia="宋体" w:cs="宋体"/>
          <w:color w:val="000000"/>
          <w:szCs w:val="21"/>
          <w:highlight w:val="none"/>
        </w:rPr>
        <w:t>投标人是事业单位的，暂未缴纳养老保险的，须由其主管部门出具证明</w:t>
      </w:r>
      <w:r>
        <w:rPr>
          <w:rFonts w:hint="eastAsia" w:ascii="宋体" w:hAnsi="宋体" w:eastAsia="宋体" w:cs="宋体"/>
          <w:color w:val="000000"/>
          <w:szCs w:val="21"/>
          <w:highlight w:val="none"/>
          <w:lang w:eastAsia="zh-CN"/>
        </w:rPr>
        <w:t>。</w:t>
      </w:r>
      <w:r>
        <w:rPr>
          <w:rFonts w:hint="eastAsia" w:ascii="宋体" w:hAnsi="宋体" w:eastAsia="宋体" w:cs="宋体"/>
          <w:color w:val="000000"/>
          <w:szCs w:val="21"/>
          <w:highlight w:val="none"/>
          <w:lang w:val="en-US" w:eastAsia="zh-CN"/>
        </w:rPr>
        <w:t>2、</w:t>
      </w:r>
      <w:r>
        <w:rPr>
          <w:rFonts w:hint="eastAsia" w:ascii="宋体" w:hAnsi="宋体" w:eastAsia="宋体" w:cs="宋体"/>
          <w:color w:val="000000"/>
          <w:szCs w:val="21"/>
          <w:highlight w:val="none"/>
          <w:lang w:eastAsia="zh-CN"/>
        </w:rPr>
        <w:t>如拟派项目经理为退休人员（包括提前退休人员，年龄在国家规定证书使用年限之前，执业年限应能覆盖项⽬⼯期），无法提供社保证明的，投标人应提供拟派项目经理的退休证及投标人企业聘用合同。提交的注册执业证书中聘用企业名称必须与投标人企业名称一致。</w:t>
      </w:r>
    </w:p>
    <w:p w14:paraId="06464384">
      <w:pPr>
        <w:spacing w:line="440" w:lineRule="exact"/>
        <w:ind w:firstLine="420" w:firstLineChars="200"/>
        <w:jc w:val="left"/>
        <w:rPr>
          <w:rFonts w:hint="eastAsia" w:ascii="宋体" w:hAnsi="宋体" w:eastAsia="宋体" w:cs="宋体"/>
          <w:highlight w:val="none"/>
          <w:lang w:val="en-US" w:eastAsia="zh-CN"/>
        </w:rPr>
      </w:pPr>
      <w:r>
        <w:rPr>
          <w:rFonts w:hint="eastAsia" w:ascii="宋体" w:hAnsi="宋体" w:cs="宋体"/>
          <w:highlight w:val="none"/>
          <w:lang w:eastAsia="zh-CN"/>
        </w:rPr>
        <w:t>（</w:t>
      </w:r>
      <w:r>
        <w:rPr>
          <w:rFonts w:hint="eastAsia" w:ascii="宋体" w:hAnsi="宋体" w:cs="宋体"/>
          <w:highlight w:val="none"/>
          <w:lang w:val="en-US" w:eastAsia="zh-CN"/>
        </w:rPr>
        <w:t>6</w:t>
      </w:r>
      <w:r>
        <w:rPr>
          <w:rFonts w:hint="eastAsia" w:ascii="宋体" w:hAnsi="宋体" w:cs="宋体"/>
          <w:highlight w:val="none"/>
          <w:lang w:eastAsia="zh-CN"/>
        </w:rPr>
        <w:t>）</w:t>
      </w:r>
      <w:r>
        <w:rPr>
          <w:rFonts w:hint="eastAsia" w:ascii="宋体" w:hAnsi="宋体" w:eastAsia="宋体" w:cs="Times New Roman"/>
          <w:color w:val="000000"/>
          <w:szCs w:val="21"/>
          <w:highlight w:val="none"/>
          <w:lang w:val="en-US" w:eastAsia="zh-CN"/>
        </w:rPr>
        <w:t>服务承诺书</w:t>
      </w:r>
      <w:r>
        <w:rPr>
          <w:rFonts w:hint="eastAsia" w:ascii="宋体" w:hAnsi="宋体" w:cs="宋体"/>
          <w:highlight w:val="none"/>
          <w:lang w:eastAsia="zh-CN"/>
        </w:rPr>
        <w:t>。</w:t>
      </w:r>
    </w:p>
    <w:bookmarkEnd w:id="719"/>
    <w:p w14:paraId="5990719C">
      <w:pPr>
        <w:pStyle w:val="3"/>
        <w:spacing w:beforeLines="50" w:afterLines="50"/>
        <w:ind w:firstLine="422" w:firstLineChars="200"/>
        <w:rPr>
          <w:rFonts w:ascii="宋体" w:hAnsi="宋体" w:eastAsia="宋体" w:cs="宋体"/>
          <w:highlight w:val="none"/>
        </w:rPr>
      </w:pPr>
      <w:r>
        <w:rPr>
          <w:rFonts w:hint="eastAsia" w:ascii="宋体" w:hAnsi="宋体" w:eastAsia="宋体" w:cs="宋体"/>
          <w:highlight w:val="none"/>
        </w:rPr>
        <w:t>2.审查办法</w:t>
      </w:r>
      <w:bookmarkEnd w:id="720"/>
      <w:bookmarkEnd w:id="721"/>
      <w:bookmarkEnd w:id="722"/>
      <w:bookmarkEnd w:id="723"/>
      <w:bookmarkEnd w:id="724"/>
      <w:bookmarkEnd w:id="725"/>
      <w:bookmarkEnd w:id="726"/>
    </w:p>
    <w:p w14:paraId="0B018554">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由资格审查委员会（评标委员会）按资格审查办法前附表中资格审查必要合格条件评审表要求对投标人审查资料进行核验。</w:t>
      </w:r>
    </w:p>
    <w:p w14:paraId="447D2762">
      <w:pPr>
        <w:pStyle w:val="3"/>
        <w:spacing w:beforeLines="50" w:afterLines="50"/>
        <w:ind w:firstLine="422" w:firstLineChars="200"/>
        <w:rPr>
          <w:rFonts w:ascii="宋体" w:hAnsi="宋体" w:eastAsia="宋体" w:cs="宋体"/>
          <w:highlight w:val="none"/>
        </w:rPr>
      </w:pPr>
      <w:bookmarkStart w:id="727" w:name="_Toc35424943"/>
      <w:bookmarkStart w:id="728" w:name="_Toc35425109"/>
      <w:bookmarkStart w:id="729" w:name="_Toc15626"/>
      <w:bookmarkStart w:id="730" w:name="_Toc324404868"/>
      <w:bookmarkStart w:id="731" w:name="_Toc78803378"/>
      <w:bookmarkStart w:id="732" w:name="_Toc15058910"/>
      <w:bookmarkStart w:id="733" w:name="_Toc506107321"/>
      <w:r>
        <w:rPr>
          <w:rFonts w:hint="eastAsia" w:ascii="宋体" w:hAnsi="宋体" w:eastAsia="宋体" w:cs="宋体"/>
          <w:highlight w:val="none"/>
        </w:rPr>
        <w:t>3.资格审查委员会和审查标准</w:t>
      </w:r>
      <w:bookmarkEnd w:id="727"/>
      <w:bookmarkEnd w:id="728"/>
      <w:bookmarkEnd w:id="729"/>
      <w:bookmarkEnd w:id="730"/>
      <w:bookmarkEnd w:id="731"/>
      <w:bookmarkEnd w:id="732"/>
      <w:bookmarkEnd w:id="733"/>
    </w:p>
    <w:p w14:paraId="48F20776">
      <w:pPr>
        <w:spacing w:line="440" w:lineRule="exact"/>
        <w:ind w:firstLine="420" w:firstLineChars="200"/>
        <w:jc w:val="left"/>
        <w:rPr>
          <w:rFonts w:hint="eastAsia" w:ascii="宋体" w:hAnsi="宋体" w:eastAsia="宋体" w:cs="宋体"/>
          <w:szCs w:val="21"/>
          <w:highlight w:val="none"/>
        </w:rPr>
      </w:pPr>
      <w:bookmarkStart w:id="734" w:name="_Toc15058911"/>
      <w:bookmarkStart w:id="735" w:name="_Toc35424944"/>
      <w:bookmarkStart w:id="736" w:name="_Toc78803379"/>
      <w:bookmarkStart w:id="737" w:name="_Toc10330"/>
      <w:bookmarkStart w:id="738" w:name="_Toc324404869"/>
      <w:bookmarkStart w:id="739" w:name="_Toc35425110"/>
      <w:bookmarkStart w:id="740" w:name="_Toc506107322"/>
      <w:r>
        <w:rPr>
          <w:rFonts w:hint="eastAsia" w:ascii="宋体" w:hAnsi="宋体" w:eastAsia="宋体" w:cs="宋体"/>
          <w:szCs w:val="21"/>
          <w:highlight w:val="none"/>
        </w:rPr>
        <w:t>3.1资格审查由招标人依法组建的资格审查委员会（或评标委员会）负责。审查标准见资格审查办法前附表。</w:t>
      </w:r>
    </w:p>
    <w:p w14:paraId="75FCAEF4">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3.2由资格审查委员会（评标委员会）按资格审查办法前附表要求对投标人的审查资料进行核验。投标申请人有下列情形之一的，其资格审查为不合格： </w:t>
      </w:r>
    </w:p>
    <w:p w14:paraId="465F4E80">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（1）未上传电子标书或电子标书经审查不合格；</w:t>
      </w:r>
    </w:p>
    <w:p w14:paraId="526FEED7">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w:t>
      </w:r>
      <w:r>
        <w:rPr>
          <w:rFonts w:hint="eastAsia" w:ascii="宋体" w:hAnsi="宋体" w:cs="宋体"/>
          <w:szCs w:val="21"/>
          <w:highlight w:val="none"/>
          <w:lang w:val="en-US" w:eastAsia="zh-CN"/>
        </w:rPr>
        <w:t>2</w:t>
      </w:r>
      <w:r>
        <w:rPr>
          <w:rFonts w:hint="eastAsia" w:ascii="宋体" w:hAnsi="宋体" w:eastAsia="宋体" w:cs="宋体"/>
          <w:szCs w:val="21"/>
          <w:highlight w:val="none"/>
        </w:rPr>
        <w:t>）法律、法规规定的其他情形。</w:t>
      </w:r>
    </w:p>
    <w:p w14:paraId="439F3B10">
      <w:pPr>
        <w:pStyle w:val="3"/>
        <w:spacing w:beforeLines="50" w:afterLines="50"/>
        <w:ind w:firstLine="422" w:firstLineChars="200"/>
        <w:rPr>
          <w:rFonts w:ascii="宋体" w:hAnsi="宋体" w:eastAsia="宋体" w:cs="宋体"/>
          <w:highlight w:val="none"/>
        </w:rPr>
      </w:pPr>
      <w:r>
        <w:rPr>
          <w:rFonts w:hint="eastAsia" w:ascii="宋体" w:hAnsi="宋体" w:eastAsia="宋体" w:cs="宋体"/>
          <w:highlight w:val="none"/>
        </w:rPr>
        <w:t>4.审查结果</w:t>
      </w:r>
      <w:bookmarkEnd w:id="734"/>
      <w:bookmarkEnd w:id="735"/>
      <w:bookmarkEnd w:id="736"/>
      <w:bookmarkEnd w:id="737"/>
      <w:bookmarkEnd w:id="738"/>
      <w:bookmarkEnd w:id="739"/>
      <w:bookmarkEnd w:id="740"/>
    </w:p>
    <w:p w14:paraId="58D45548">
      <w:pPr>
        <w:spacing w:line="440" w:lineRule="exact"/>
        <w:ind w:firstLine="420" w:firstLineChars="200"/>
        <w:jc w:val="left"/>
        <w:rPr>
          <w:rFonts w:ascii="宋体" w:hAnsi="宋体" w:cs="宋体"/>
          <w:szCs w:val="21"/>
          <w:highlight w:val="none"/>
        </w:rPr>
      </w:pPr>
      <w:r>
        <w:rPr>
          <w:rFonts w:hint="eastAsia" w:ascii="宋体" w:hAnsi="宋体" w:cs="宋体"/>
          <w:highlight w:val="none"/>
        </w:rPr>
        <w:t>只有通过资格审查的投标人才能进入下一步的评标程序。</w:t>
      </w:r>
      <w:bookmarkStart w:id="741" w:name="_Toc506107323"/>
    </w:p>
    <w:p w14:paraId="500CB5F4">
      <w:pPr>
        <w:pStyle w:val="2"/>
        <w:spacing w:beforeLines="50" w:afterLines="50"/>
        <w:rPr>
          <w:highlight w:val="none"/>
        </w:rPr>
      </w:pPr>
      <w:bookmarkStart w:id="742" w:name="_Toc15058912"/>
      <w:bookmarkStart w:id="743" w:name="_Toc35425111"/>
      <w:bookmarkStart w:id="744" w:name="_Toc35424945"/>
      <w:r>
        <w:rPr>
          <w:rFonts w:hint="eastAsia"/>
          <w:highlight w:val="none"/>
        </w:rPr>
        <w:br w:type="page"/>
      </w:r>
      <w:bookmarkStart w:id="745" w:name="_Toc78803380"/>
      <w:r>
        <w:rPr>
          <w:rFonts w:hint="eastAsia" w:ascii="Arial" w:hAnsi="Arial"/>
          <w:kern w:val="0"/>
          <w:sz w:val="32"/>
          <w:szCs w:val="32"/>
          <w:highlight w:val="none"/>
        </w:rPr>
        <w:t>第三章  评标办法</w:t>
      </w:r>
      <w:bookmarkEnd w:id="607"/>
      <w:bookmarkEnd w:id="741"/>
      <w:bookmarkEnd w:id="742"/>
      <w:bookmarkEnd w:id="743"/>
      <w:bookmarkEnd w:id="744"/>
      <w:bookmarkEnd w:id="745"/>
    </w:p>
    <w:p w14:paraId="3303ED71">
      <w:pPr>
        <w:spacing w:beforeLines="50" w:afterLines="50" w:line="440" w:lineRule="exact"/>
        <w:jc w:val="center"/>
        <w:rPr>
          <w:rFonts w:ascii="宋体" w:hAnsi="宋体" w:cs="宋体"/>
          <w:b/>
          <w:bCs/>
          <w:sz w:val="28"/>
          <w:szCs w:val="28"/>
          <w:highlight w:val="none"/>
        </w:rPr>
      </w:pPr>
      <w:bookmarkStart w:id="746" w:name="_Toc35424946"/>
      <w:bookmarkStart w:id="747" w:name="_Toc35425112"/>
      <w:r>
        <w:rPr>
          <w:rFonts w:hint="eastAsia" w:ascii="宋体" w:hAnsi="宋体" w:cs="宋体"/>
          <w:b/>
          <w:bCs/>
          <w:sz w:val="28"/>
          <w:szCs w:val="28"/>
          <w:highlight w:val="none"/>
        </w:rPr>
        <w:t>评标办法前附表</w:t>
      </w:r>
      <w:bookmarkEnd w:id="746"/>
      <w:bookmarkEnd w:id="747"/>
    </w:p>
    <w:p w14:paraId="1395A076">
      <w:pPr>
        <w:pStyle w:val="27"/>
        <w:keepNext w:val="0"/>
        <w:keepLines w:val="0"/>
        <w:pageBreakBefore w:val="0"/>
        <w:widowControl w:val="0"/>
        <w:numPr>
          <w:ilvl w:val="0"/>
          <w:numId w:val="0"/>
        </w:numPr>
        <w:kinsoku/>
        <w:wordWrap/>
        <w:overflowPunct/>
        <w:topLinePunct w:val="0"/>
        <w:autoSpaceDE/>
        <w:autoSpaceDN/>
        <w:bidi w:val="0"/>
        <w:adjustRightInd/>
        <w:snapToGrid/>
        <w:spacing w:before="95" w:beforeLines="30" w:after="95" w:afterLines="30" w:line="440" w:lineRule="exact"/>
        <w:ind w:leftChars="200"/>
        <w:jc w:val="center"/>
        <w:textAlignment w:val="auto"/>
        <w:rPr>
          <w:rFonts w:hint="eastAsia" w:ascii="Times New Roman" w:hAnsi="Times New Roman" w:eastAsia="宋体" w:cs="Times New Roman"/>
          <w:b/>
          <w:color w:val="auto"/>
          <w:sz w:val="28"/>
          <w:szCs w:val="21"/>
          <w:lang w:val="en-US" w:eastAsia="zh-CN"/>
        </w:rPr>
      </w:pPr>
      <w:r>
        <w:rPr>
          <w:rFonts w:hint="eastAsia" w:cs="Times New Roman"/>
          <w:b/>
          <w:color w:val="auto"/>
          <w:sz w:val="28"/>
          <w:szCs w:val="21"/>
          <w:lang w:val="en-US" w:eastAsia="zh-CN"/>
        </w:rPr>
        <w:t>（一）</w:t>
      </w:r>
      <w:r>
        <w:rPr>
          <w:rFonts w:hint="eastAsia" w:ascii="Times New Roman" w:hAnsi="Times New Roman" w:eastAsia="宋体" w:cs="Times New Roman"/>
          <w:b/>
          <w:color w:val="auto"/>
          <w:sz w:val="28"/>
          <w:szCs w:val="21"/>
          <w:lang w:val="en-US" w:eastAsia="zh-CN"/>
        </w:rPr>
        <w:t>资信标评分细则（</w:t>
      </w:r>
      <w:r>
        <w:rPr>
          <w:rFonts w:hint="eastAsia" w:cs="Times New Roman"/>
          <w:b/>
          <w:color w:val="auto"/>
          <w:sz w:val="28"/>
          <w:szCs w:val="21"/>
          <w:highlight w:val="none"/>
          <w:lang w:val="en-US" w:eastAsia="zh-CN"/>
        </w:rPr>
        <w:t>35</w:t>
      </w:r>
      <w:r>
        <w:rPr>
          <w:rFonts w:hint="eastAsia" w:ascii="Times New Roman" w:hAnsi="Times New Roman" w:eastAsia="宋体" w:cs="Times New Roman"/>
          <w:b/>
          <w:color w:val="auto"/>
          <w:sz w:val="28"/>
          <w:szCs w:val="21"/>
          <w:lang w:val="en-US" w:eastAsia="zh-CN"/>
        </w:rPr>
        <w:t>分）</w:t>
      </w:r>
    </w:p>
    <w:tbl>
      <w:tblPr>
        <w:tblStyle w:val="48"/>
        <w:tblW w:w="10208" w:type="dxa"/>
        <w:tblInd w:w="-5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18"/>
        <w:gridCol w:w="7990"/>
      </w:tblGrid>
      <w:tr w14:paraId="76CFD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2218" w:type="dxa"/>
            <w:vAlign w:val="center"/>
          </w:tcPr>
          <w:p w14:paraId="138AE8F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22" w:firstLineChars="200"/>
              <w:jc w:val="center"/>
              <w:textAlignment w:val="auto"/>
              <w:rPr>
                <w:rFonts w:hint="eastAsia"/>
                <w:color w:val="auto"/>
                <w:highlight w:val="none"/>
                <w:vertAlign w:val="baseline"/>
                <w:lang w:val="en-US" w:eastAsia="zh-CN"/>
              </w:rPr>
            </w:pPr>
            <w:r>
              <w:rPr>
                <w:rFonts w:hint="eastAsia" w:ascii="宋体" w:hAnsi="宋体" w:eastAsia="宋体" w:cs="宋体"/>
                <w:b/>
                <w:bCs/>
                <w:color w:val="auto"/>
                <w:sz w:val="21"/>
                <w:szCs w:val="21"/>
                <w:highlight w:val="none"/>
              </w:rPr>
              <w:t>评审因素</w:t>
            </w:r>
          </w:p>
        </w:tc>
        <w:tc>
          <w:tcPr>
            <w:tcW w:w="7990" w:type="dxa"/>
            <w:vAlign w:val="center"/>
          </w:tcPr>
          <w:p w14:paraId="1C278A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22" w:firstLineChars="200"/>
              <w:jc w:val="center"/>
              <w:textAlignment w:val="auto"/>
              <w:rPr>
                <w:rFonts w:hint="eastAsia"/>
                <w:color w:val="auto"/>
                <w:highlight w:val="none"/>
                <w:vertAlign w:val="baseline"/>
                <w:lang w:val="en-US" w:eastAsia="zh-CN"/>
              </w:rPr>
            </w:pPr>
            <w:r>
              <w:rPr>
                <w:rFonts w:hint="eastAsia" w:ascii="宋体" w:hAnsi="宋体" w:eastAsia="宋体" w:cs="宋体"/>
                <w:b/>
                <w:bCs/>
                <w:color w:val="auto"/>
                <w:sz w:val="21"/>
                <w:szCs w:val="21"/>
                <w:highlight w:val="none"/>
              </w:rPr>
              <w:t>评审标准</w:t>
            </w:r>
          </w:p>
        </w:tc>
      </w:tr>
      <w:tr w14:paraId="62FBF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2218" w:type="dxa"/>
            <w:vAlign w:val="center"/>
          </w:tcPr>
          <w:p w14:paraId="4534747D">
            <w:pPr>
              <w:keepNext w:val="0"/>
              <w:keepLines w:val="0"/>
              <w:suppressLineNumbers w:val="0"/>
              <w:spacing w:before="0" w:beforeAutospacing="0" w:after="0" w:afterAutospacing="0" w:line="500" w:lineRule="exact"/>
              <w:ind w:left="0" w:right="0" w:firstLine="28" w:firstLineChars="0"/>
              <w:jc w:val="center"/>
              <w:rPr>
                <w:rFonts w:hint="eastAsia"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企业业绩（20分）</w:t>
            </w:r>
          </w:p>
        </w:tc>
        <w:tc>
          <w:tcPr>
            <w:tcW w:w="7990" w:type="dxa"/>
            <w:vAlign w:val="center"/>
          </w:tcPr>
          <w:p w14:paraId="7A4121DB">
            <w:pPr>
              <w:keepNext w:val="0"/>
              <w:keepLines w:val="0"/>
              <w:suppressLineNumbers w:val="0"/>
              <w:adjustRightInd w:val="0"/>
              <w:spacing w:before="0" w:beforeAutospacing="0" w:after="0" w:afterAutospacing="0" w:line="360" w:lineRule="auto"/>
              <w:ind w:left="0" w:right="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rPr>
              <w:t>自20</w:t>
            </w:r>
            <w:r>
              <w:rPr>
                <w:rFonts w:hint="eastAsia" w:ascii="宋体" w:hAnsi="宋体" w:eastAsia="宋体" w:cs="宋体"/>
                <w:color w:val="auto"/>
                <w:sz w:val="21"/>
                <w:szCs w:val="21"/>
                <w:highlight w:val="none"/>
                <w:lang w:val="en-US" w:eastAsia="zh-CN"/>
              </w:rPr>
              <w:t>2</w:t>
            </w: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rPr>
              <w:t>年1月1日至投标截止</w:t>
            </w:r>
            <w:r>
              <w:rPr>
                <w:rFonts w:hint="eastAsia" w:ascii="宋体" w:hAnsi="宋体" w:eastAsia="宋体" w:cs="宋体"/>
                <w:color w:val="auto"/>
                <w:sz w:val="21"/>
                <w:szCs w:val="21"/>
                <w:highlight w:val="none"/>
                <w:lang w:val="en-US" w:eastAsia="zh-CN"/>
              </w:rPr>
              <w:t>时间，投标人每</w:t>
            </w:r>
            <w:r>
              <w:rPr>
                <w:rFonts w:hint="eastAsia" w:ascii="宋体" w:hAnsi="宋体" w:eastAsia="宋体" w:cs="宋体"/>
                <w:color w:val="auto"/>
                <w:sz w:val="21"/>
                <w:szCs w:val="21"/>
                <w:highlight w:val="none"/>
              </w:rPr>
              <w:t>完成过</w:t>
            </w:r>
            <w:r>
              <w:rPr>
                <w:rFonts w:hint="eastAsia" w:ascii="宋体" w:hAnsi="宋体" w:eastAsia="宋体" w:cs="宋体"/>
                <w:color w:val="auto"/>
                <w:sz w:val="21"/>
                <w:szCs w:val="21"/>
                <w:highlight w:val="none"/>
                <w:lang w:val="en-US" w:eastAsia="zh-CN"/>
              </w:rPr>
              <w:t>一个金额为</w:t>
            </w:r>
            <w:r>
              <w:rPr>
                <w:rFonts w:hint="eastAsia" w:ascii="宋体" w:hAnsi="宋体" w:cs="宋体"/>
                <w:color w:val="auto"/>
                <w:sz w:val="21"/>
                <w:szCs w:val="21"/>
                <w:highlight w:val="none"/>
                <w:lang w:val="en-US" w:eastAsia="zh-CN"/>
              </w:rPr>
              <w:t>500</w:t>
            </w:r>
            <w:r>
              <w:rPr>
                <w:rFonts w:hint="eastAsia" w:ascii="宋体" w:hAnsi="宋体" w:eastAsia="宋体" w:cs="宋体"/>
                <w:color w:val="auto"/>
                <w:sz w:val="21"/>
                <w:szCs w:val="21"/>
                <w:highlight w:val="none"/>
                <w:lang w:val="en-US" w:eastAsia="zh-CN"/>
              </w:rPr>
              <w:t>万元及以上</w:t>
            </w:r>
            <w:r>
              <w:rPr>
                <w:rFonts w:hint="eastAsia" w:ascii="宋体" w:hAnsi="宋体" w:cs="宋体"/>
                <w:color w:val="auto"/>
                <w:sz w:val="21"/>
                <w:szCs w:val="21"/>
                <w:highlight w:val="none"/>
                <w:lang w:val="en-US" w:eastAsia="zh-CN"/>
              </w:rPr>
              <w:t>安装</w:t>
            </w:r>
            <w:r>
              <w:rPr>
                <w:rFonts w:hint="eastAsia" w:ascii="宋体" w:hAnsi="宋体" w:eastAsia="宋体" w:cs="宋体"/>
                <w:color w:val="auto"/>
                <w:sz w:val="21"/>
                <w:szCs w:val="21"/>
                <w:highlight w:val="none"/>
                <w:lang w:val="en-US" w:eastAsia="zh-CN"/>
              </w:rPr>
              <w:t>工程的</w:t>
            </w:r>
            <w:r>
              <w:rPr>
                <w:rFonts w:hint="eastAsia" w:ascii="宋体" w:hAnsi="宋体" w:eastAsia="宋体" w:cs="宋体"/>
                <w:color w:val="auto"/>
                <w:sz w:val="21"/>
                <w:szCs w:val="21"/>
                <w:highlight w:val="none"/>
              </w:rPr>
              <w:t>跟踪审计（</w:t>
            </w:r>
            <w:r>
              <w:rPr>
                <w:rFonts w:hint="eastAsia" w:ascii="宋体" w:hAnsi="宋体" w:cs="宋体"/>
                <w:color w:val="auto"/>
                <w:sz w:val="21"/>
                <w:szCs w:val="21"/>
                <w:highlight w:val="none"/>
                <w:lang w:val="en-US" w:eastAsia="zh-CN"/>
              </w:rPr>
              <w:t>或</w:t>
            </w:r>
            <w:r>
              <w:rPr>
                <w:rFonts w:hint="eastAsia" w:ascii="宋体" w:hAnsi="宋体" w:eastAsia="宋体" w:cs="宋体"/>
                <w:color w:val="auto"/>
                <w:sz w:val="21"/>
                <w:szCs w:val="21"/>
                <w:highlight w:val="none"/>
              </w:rPr>
              <w:t>全过程造价控制）项目的得</w:t>
            </w: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rPr>
              <w:t>分</w:t>
            </w:r>
            <w:r>
              <w:rPr>
                <w:rFonts w:hint="eastAsia" w:ascii="宋体" w:hAnsi="宋体" w:eastAsia="宋体" w:cs="宋体"/>
                <w:color w:val="auto"/>
                <w:sz w:val="21"/>
                <w:szCs w:val="21"/>
                <w:highlight w:val="none"/>
                <w:lang w:val="zh-CN"/>
              </w:rPr>
              <w:t>，</w:t>
            </w:r>
            <w:r>
              <w:rPr>
                <w:rFonts w:hint="eastAsia" w:ascii="宋体" w:hAnsi="宋体" w:eastAsia="宋体" w:cs="宋体"/>
                <w:color w:val="auto"/>
                <w:sz w:val="21"/>
                <w:szCs w:val="21"/>
                <w:highlight w:val="none"/>
                <w:lang w:val="en-US" w:eastAsia="zh-CN"/>
              </w:rPr>
              <w:t>其他的不得分，</w:t>
            </w:r>
            <w:r>
              <w:rPr>
                <w:rFonts w:hint="eastAsia" w:ascii="宋体" w:hAnsi="宋体" w:eastAsia="宋体" w:cs="宋体"/>
                <w:color w:val="auto"/>
                <w:sz w:val="21"/>
                <w:szCs w:val="21"/>
                <w:highlight w:val="none"/>
                <w:lang w:val="zh-CN"/>
              </w:rPr>
              <w:t>本项最高</w:t>
            </w:r>
            <w:r>
              <w:rPr>
                <w:rFonts w:hint="eastAsia" w:ascii="宋体" w:hAnsi="宋体" w:eastAsia="宋体" w:cs="宋体"/>
                <w:color w:val="auto"/>
                <w:sz w:val="21"/>
                <w:szCs w:val="21"/>
                <w:highlight w:val="none"/>
                <w:lang w:val="en-US" w:eastAsia="zh-CN"/>
              </w:rPr>
              <w:t>20</w:t>
            </w:r>
            <w:r>
              <w:rPr>
                <w:rFonts w:hint="eastAsia" w:ascii="宋体" w:hAnsi="宋体" w:eastAsia="宋体" w:cs="宋体"/>
                <w:color w:val="auto"/>
                <w:sz w:val="21"/>
                <w:szCs w:val="21"/>
                <w:highlight w:val="none"/>
                <w:lang w:val="zh-CN"/>
              </w:rPr>
              <w:t>分。</w:t>
            </w:r>
          </w:p>
          <w:p w14:paraId="48379A51">
            <w:pPr>
              <w:keepNext w:val="0"/>
              <w:keepLines w:val="0"/>
              <w:suppressLineNumbers w:val="0"/>
              <w:adjustRightInd w:val="0"/>
              <w:spacing w:before="0" w:beforeAutospacing="0" w:after="0" w:afterAutospacing="0" w:line="360" w:lineRule="auto"/>
              <w:ind w:left="0" w:right="0"/>
              <w:rPr>
                <w:rFonts w:hint="eastAsia" w:ascii="宋体" w:hAnsi="宋体" w:cs="仿宋_GB2312"/>
                <w:b w:val="0"/>
                <w:bCs w:val="0"/>
                <w:color w:val="auto"/>
                <w:szCs w:val="21"/>
                <w:highlight w:val="none"/>
                <w:lang w:val="en-US" w:eastAsia="zh-CN"/>
              </w:rPr>
            </w:pPr>
            <w:r>
              <w:rPr>
                <w:rFonts w:hint="eastAsia" w:ascii="宋体" w:hAnsi="宋体" w:eastAsia="宋体" w:cs="宋体"/>
                <w:color w:val="auto"/>
                <w:sz w:val="21"/>
                <w:szCs w:val="21"/>
                <w:highlight w:val="none"/>
                <w:lang w:val="zh-CN"/>
              </w:rPr>
              <w:t>注：</w:t>
            </w:r>
            <w:r>
              <w:rPr>
                <w:rFonts w:hint="eastAsia" w:ascii="宋体" w:hAnsi="宋体" w:eastAsia="宋体" w:cs="宋体"/>
                <w:color w:val="auto"/>
                <w:sz w:val="21"/>
                <w:szCs w:val="21"/>
                <w:highlight w:val="none"/>
                <w:lang w:val="en-US" w:eastAsia="zh-CN"/>
              </w:rPr>
              <w:t>同时提供项目</w:t>
            </w:r>
            <w:r>
              <w:rPr>
                <w:rFonts w:hint="eastAsia" w:ascii="宋体" w:hAnsi="宋体" w:eastAsia="宋体" w:cs="宋体"/>
                <w:color w:val="auto"/>
                <w:sz w:val="21"/>
                <w:szCs w:val="21"/>
                <w:highlight w:val="none"/>
              </w:rPr>
              <w:t>咨询</w:t>
            </w:r>
            <w:r>
              <w:rPr>
                <w:rFonts w:hint="eastAsia" w:ascii="宋体" w:hAnsi="宋体" w:eastAsia="宋体" w:cs="宋体"/>
                <w:color w:val="auto"/>
                <w:sz w:val="21"/>
                <w:szCs w:val="21"/>
                <w:highlight w:val="none"/>
                <w:lang w:val="en-US" w:eastAsia="zh-CN"/>
              </w:rPr>
              <w:t>服务</w:t>
            </w:r>
            <w:r>
              <w:rPr>
                <w:rFonts w:hint="eastAsia" w:ascii="宋体" w:hAnsi="宋体" w:eastAsia="宋体" w:cs="宋体"/>
                <w:color w:val="auto"/>
                <w:sz w:val="21"/>
                <w:szCs w:val="21"/>
                <w:highlight w:val="none"/>
              </w:rPr>
              <w:t>合同</w:t>
            </w:r>
            <w:r>
              <w:rPr>
                <w:rFonts w:hint="eastAsia" w:ascii="宋体" w:hAnsi="宋体" w:eastAsia="宋体" w:cs="宋体"/>
                <w:color w:val="auto"/>
                <w:sz w:val="21"/>
                <w:szCs w:val="21"/>
                <w:highlight w:val="none"/>
                <w:lang w:val="en-US" w:eastAsia="zh-CN"/>
              </w:rPr>
              <w:t>和</w:t>
            </w:r>
            <w:r>
              <w:rPr>
                <w:rFonts w:hint="eastAsia" w:ascii="宋体" w:hAnsi="宋体" w:eastAsia="宋体" w:cs="宋体"/>
                <w:color w:val="auto"/>
                <w:sz w:val="21"/>
                <w:szCs w:val="21"/>
                <w:highlight w:val="none"/>
              </w:rPr>
              <w:t>咨询成果报告（文件），咨询成果报告（文件）是指</w:t>
            </w:r>
            <w:r>
              <w:rPr>
                <w:rFonts w:hint="eastAsia" w:ascii="宋体" w:hAnsi="宋体" w:eastAsia="宋体" w:cs="宋体"/>
                <w:color w:val="auto"/>
                <w:sz w:val="21"/>
                <w:szCs w:val="21"/>
                <w:highlight w:val="none"/>
                <w:lang w:val="en-US" w:eastAsia="zh-CN"/>
              </w:rPr>
              <w:t>投标人</w:t>
            </w:r>
            <w:r>
              <w:rPr>
                <w:rFonts w:hint="eastAsia" w:ascii="宋体" w:hAnsi="宋体" w:eastAsia="宋体" w:cs="宋体"/>
                <w:color w:val="auto"/>
                <w:sz w:val="21"/>
                <w:szCs w:val="21"/>
                <w:highlight w:val="none"/>
              </w:rPr>
              <w:t>作为全过程造价管理咨询单位出具的经建设单位认可的工程竣工审计报告主要页面</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时间以咨询成果报告（文件）出具时间为准，金额以咨询成果报告（文件）中载明的审定金额为准。若上述证明材料不能明确反映项目类型、项目规模等内容的，应另行提供委托单位出具并加盖其公章的证明材料。</w:t>
            </w:r>
          </w:p>
        </w:tc>
      </w:tr>
      <w:tr w14:paraId="4CF25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2218" w:type="dxa"/>
            <w:vAlign w:val="center"/>
          </w:tcPr>
          <w:p w14:paraId="2E8CE0FB">
            <w:pPr>
              <w:keepNext w:val="0"/>
              <w:keepLines w:val="0"/>
              <w:suppressLineNumbers w:val="0"/>
              <w:spacing w:before="0" w:beforeAutospacing="0" w:after="0" w:afterAutospacing="0" w:line="500" w:lineRule="exact"/>
              <w:ind w:left="0" w:right="0" w:firstLine="28" w:firstLineChars="0"/>
              <w:jc w:val="center"/>
              <w:rPr>
                <w:rFonts w:hint="eastAsia"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项目负责人实力</w:t>
            </w:r>
          </w:p>
          <w:p w14:paraId="7734AA4B">
            <w:pPr>
              <w:keepNext w:val="0"/>
              <w:keepLines w:val="0"/>
              <w:suppressLineNumbers w:val="0"/>
              <w:spacing w:before="0" w:beforeAutospacing="0" w:after="0" w:afterAutospacing="0" w:line="500" w:lineRule="exact"/>
              <w:ind w:left="0" w:right="0" w:firstLine="28" w:firstLineChars="0"/>
              <w:jc w:val="center"/>
              <w:rPr>
                <w:rFonts w:hint="default"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（5分）</w:t>
            </w:r>
          </w:p>
        </w:tc>
        <w:tc>
          <w:tcPr>
            <w:tcW w:w="7990" w:type="dxa"/>
            <w:vAlign w:val="center"/>
          </w:tcPr>
          <w:p w14:paraId="552DCAE5">
            <w:pPr>
              <w:keepNext w:val="0"/>
              <w:keepLines w:val="0"/>
              <w:suppressLineNumbers w:val="0"/>
              <w:adjustRightInd w:val="0"/>
              <w:spacing w:before="0" w:beforeAutospacing="0" w:after="0" w:afterAutospacing="0" w:line="360" w:lineRule="auto"/>
              <w:ind w:left="0" w:right="0"/>
              <w:rPr>
                <w:rFonts w:hint="default"/>
                <w:lang w:val="en-US" w:eastAsia="zh-CN"/>
              </w:rPr>
            </w:pPr>
            <w:r>
              <w:rPr>
                <w:rFonts w:hint="eastAsia"/>
                <w:lang w:val="en-US" w:eastAsia="zh-CN"/>
              </w:rPr>
              <w:t>拟派项目负责人</w:t>
            </w:r>
            <w:r>
              <w:rPr>
                <w:rFonts w:hint="eastAsia" w:ascii="宋体" w:hAnsi="宋体" w:eastAsia="宋体" w:cs="宋体"/>
                <w:color w:val="auto"/>
                <w:kern w:val="0"/>
                <w:sz w:val="21"/>
                <w:szCs w:val="21"/>
                <w:highlight w:val="none"/>
                <w:lang w:val="en-US" w:eastAsia="zh-CN"/>
              </w:rPr>
              <w:t>具有工程类高级及以上职称证书的得5分，</w:t>
            </w:r>
          </w:p>
        </w:tc>
      </w:tr>
      <w:tr w14:paraId="65879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trPr>
        <w:tc>
          <w:tcPr>
            <w:tcW w:w="2218" w:type="dxa"/>
            <w:vAlign w:val="center"/>
          </w:tcPr>
          <w:p w14:paraId="6BBBD55E">
            <w:pPr>
              <w:keepNext w:val="0"/>
              <w:keepLines w:val="0"/>
              <w:suppressLineNumbers w:val="0"/>
              <w:spacing w:before="0" w:beforeAutospacing="0" w:after="0" w:afterAutospacing="0" w:line="500" w:lineRule="exact"/>
              <w:ind w:left="0" w:right="0" w:firstLine="28" w:firstLineChars="0"/>
              <w:jc w:val="center"/>
              <w:rPr>
                <w:rFonts w:hint="eastAsia"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人员配置（</w:t>
            </w:r>
            <w:r>
              <w:rPr>
                <w:rFonts w:hint="eastAsia" w:ascii="宋体" w:hAnsi="宋体" w:cs="宋体"/>
                <w:bCs/>
                <w:color w:val="auto"/>
                <w:szCs w:val="21"/>
                <w:highlight w:val="none"/>
                <w:lang w:val="en-US" w:eastAsia="zh-CN"/>
              </w:rPr>
              <w:t>10</w:t>
            </w:r>
            <w:r>
              <w:rPr>
                <w:rFonts w:hint="eastAsia" w:ascii="宋体" w:hAnsi="宋体" w:eastAsia="宋体" w:cs="宋体"/>
                <w:bCs/>
                <w:color w:val="auto"/>
                <w:szCs w:val="21"/>
                <w:highlight w:val="none"/>
                <w:lang w:val="en-US" w:eastAsia="zh-CN"/>
              </w:rPr>
              <w:t>分）</w:t>
            </w:r>
          </w:p>
        </w:tc>
        <w:tc>
          <w:tcPr>
            <w:tcW w:w="7990" w:type="dxa"/>
            <w:vAlign w:val="center"/>
          </w:tcPr>
          <w:p w14:paraId="0DE42ABC">
            <w:pPr>
              <w:keepNext w:val="0"/>
              <w:keepLines w:val="0"/>
              <w:suppressLineNumbers w:val="0"/>
              <w:adjustRightInd w:val="0"/>
              <w:spacing w:before="0" w:beforeAutospacing="0" w:after="0" w:afterAutospacing="0" w:line="360" w:lineRule="auto"/>
              <w:ind w:left="0" w:right="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除项目负责人外，配备满足下列要求的项目组成员：①土建专业成员不少于1名，具有注册在投标单位的土木建筑工程专业二级及以上造价工程师注册证书；②安装专业成员不少于2名，具有注册在投标单位的安装工程专业二级及以上造价工程师注册证书；全部满足的得5分，其他的不得分。</w:t>
            </w:r>
          </w:p>
          <w:p w14:paraId="1B450D1D">
            <w:pPr>
              <w:keepNext w:val="0"/>
              <w:keepLines w:val="0"/>
              <w:suppressLineNumbers w:val="0"/>
              <w:adjustRightInd w:val="0"/>
              <w:spacing w:before="0" w:beforeAutospacing="0" w:after="0" w:afterAutospacing="0" w:line="360" w:lineRule="auto"/>
              <w:ind w:left="0" w:right="0"/>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注：同时提供人员配备表和对应人员身份证及注册证书。</w:t>
            </w:r>
          </w:p>
          <w:p w14:paraId="7EC7BF80">
            <w:pPr>
              <w:keepNext w:val="0"/>
              <w:keepLines w:val="0"/>
              <w:suppressLineNumbers w:val="0"/>
              <w:adjustRightInd w:val="0"/>
              <w:spacing w:before="0" w:beforeAutospacing="0" w:after="0" w:afterAutospacing="0" w:line="360" w:lineRule="auto"/>
              <w:ind w:left="0" w:right="0"/>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2、除项目负责人外，所配备人员中每有1人具有工程类中级及以上职称证书的得2.5分，其他的不得分，</w:t>
            </w:r>
            <w:r>
              <w:rPr>
                <w:rFonts w:hint="eastAsia" w:ascii="宋体" w:hAnsi="宋体" w:eastAsia="宋体" w:cs="宋体"/>
                <w:color w:val="auto"/>
                <w:sz w:val="21"/>
                <w:szCs w:val="21"/>
                <w:highlight w:val="none"/>
                <w:lang w:val="zh-CN" w:eastAsia="zh-CN"/>
              </w:rPr>
              <w:t>本项最高</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lang w:val="zh-CN" w:eastAsia="zh-CN"/>
              </w:rPr>
              <w:t>分。</w:t>
            </w:r>
          </w:p>
          <w:p w14:paraId="15343B16">
            <w:pPr>
              <w:keepNext w:val="0"/>
              <w:keepLines w:val="0"/>
              <w:suppressLineNumbers w:val="0"/>
              <w:adjustRightInd w:val="0"/>
              <w:spacing w:before="0" w:beforeAutospacing="0" w:after="0" w:afterAutospacing="0" w:line="360" w:lineRule="auto"/>
              <w:ind w:left="0" w:right="0"/>
              <w:rPr>
                <w:rFonts w:hint="default"/>
                <w:lang w:val="en-US" w:eastAsia="zh-CN"/>
              </w:rPr>
            </w:pPr>
            <w:r>
              <w:rPr>
                <w:rFonts w:hint="eastAsia" w:ascii="宋体" w:hAnsi="宋体" w:eastAsia="宋体" w:cs="宋体"/>
                <w:color w:val="auto"/>
                <w:sz w:val="21"/>
                <w:szCs w:val="21"/>
                <w:highlight w:val="none"/>
                <w:lang w:val="en-US" w:eastAsia="zh-CN"/>
              </w:rPr>
              <w:t>注：提供职称证书扫描件。</w:t>
            </w:r>
          </w:p>
        </w:tc>
      </w:tr>
    </w:tbl>
    <w:p w14:paraId="6EF3540D">
      <w:pPr>
        <w:pStyle w:val="27"/>
        <w:keepNext w:val="0"/>
        <w:keepLines w:val="0"/>
        <w:pageBreakBefore w:val="0"/>
        <w:widowControl w:val="0"/>
        <w:numPr>
          <w:ilvl w:val="0"/>
          <w:numId w:val="0"/>
        </w:numPr>
        <w:kinsoku/>
        <w:wordWrap/>
        <w:overflowPunct/>
        <w:topLinePunct w:val="0"/>
        <w:autoSpaceDE/>
        <w:autoSpaceDN/>
        <w:bidi w:val="0"/>
        <w:adjustRightInd/>
        <w:snapToGrid/>
        <w:spacing w:before="95" w:beforeLines="30" w:after="95" w:afterLines="30" w:line="440" w:lineRule="exact"/>
        <w:ind w:leftChars="200"/>
        <w:jc w:val="center"/>
        <w:textAlignment w:val="auto"/>
        <w:rPr>
          <w:rFonts w:hint="eastAsia" w:ascii="Times New Roman" w:hAnsi="Times New Roman" w:eastAsia="宋体" w:cs="Times New Roman"/>
          <w:b/>
          <w:color w:val="auto"/>
          <w:sz w:val="28"/>
          <w:szCs w:val="21"/>
          <w:lang w:val="en-US" w:eastAsia="zh-CN"/>
        </w:rPr>
      </w:pPr>
      <w:r>
        <w:rPr>
          <w:rFonts w:hint="eastAsia" w:ascii="Times New Roman" w:hAnsi="Times New Roman" w:eastAsia="宋体" w:cs="Times New Roman"/>
          <w:b/>
          <w:color w:val="auto"/>
          <w:sz w:val="28"/>
          <w:szCs w:val="21"/>
          <w:lang w:val="en-US" w:eastAsia="zh-CN"/>
        </w:rPr>
        <w:t>（二）技术标评分细则（</w:t>
      </w:r>
      <w:r>
        <w:rPr>
          <w:rFonts w:hint="eastAsia" w:cs="Times New Roman"/>
          <w:b/>
          <w:color w:val="auto"/>
          <w:sz w:val="28"/>
          <w:szCs w:val="21"/>
          <w:highlight w:val="none"/>
          <w:lang w:val="en-US" w:eastAsia="zh-CN"/>
        </w:rPr>
        <w:t>30</w:t>
      </w:r>
      <w:r>
        <w:rPr>
          <w:rFonts w:hint="eastAsia" w:ascii="Times New Roman" w:hAnsi="Times New Roman" w:eastAsia="宋体" w:cs="Times New Roman"/>
          <w:b/>
          <w:color w:val="auto"/>
          <w:sz w:val="28"/>
          <w:szCs w:val="21"/>
          <w:lang w:val="en-US" w:eastAsia="zh-CN"/>
        </w:rPr>
        <w:t>分）</w:t>
      </w:r>
    </w:p>
    <w:tbl>
      <w:tblPr>
        <w:tblStyle w:val="47"/>
        <w:tblW w:w="100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4"/>
        <w:gridCol w:w="5"/>
        <w:gridCol w:w="1136"/>
        <w:gridCol w:w="2610"/>
        <w:gridCol w:w="5614"/>
      </w:tblGrid>
      <w:tr w14:paraId="73901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729" w:type="dxa"/>
            <w:gridSpan w:val="2"/>
            <w:noWrap w:val="0"/>
            <w:vAlign w:val="center"/>
          </w:tcPr>
          <w:p w14:paraId="155CA13A">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序号</w:t>
            </w:r>
          </w:p>
        </w:tc>
        <w:tc>
          <w:tcPr>
            <w:tcW w:w="3746" w:type="dxa"/>
            <w:gridSpan w:val="2"/>
            <w:noWrap w:val="0"/>
            <w:vAlign w:val="center"/>
          </w:tcPr>
          <w:p w14:paraId="3F2A93D3">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评审因素</w:t>
            </w:r>
          </w:p>
        </w:tc>
        <w:tc>
          <w:tcPr>
            <w:tcW w:w="5614" w:type="dxa"/>
            <w:noWrap w:val="0"/>
            <w:vAlign w:val="center"/>
          </w:tcPr>
          <w:p w14:paraId="7E45889C">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评审标准</w:t>
            </w:r>
          </w:p>
        </w:tc>
      </w:tr>
      <w:tr w14:paraId="25D49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4" w:type="dxa"/>
            <w:noWrap w:val="0"/>
            <w:vAlign w:val="center"/>
          </w:tcPr>
          <w:p w14:paraId="6748EED5">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141" w:type="dxa"/>
            <w:gridSpan w:val="2"/>
            <w:noWrap w:val="0"/>
            <w:vAlign w:val="center"/>
          </w:tcPr>
          <w:p w14:paraId="59D4E2F5">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形式评审标准</w:t>
            </w:r>
          </w:p>
        </w:tc>
        <w:tc>
          <w:tcPr>
            <w:tcW w:w="2610" w:type="dxa"/>
            <w:noWrap w:val="0"/>
            <w:vAlign w:val="center"/>
          </w:tcPr>
          <w:p w14:paraId="5CB59329">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投标文件格式</w:t>
            </w:r>
          </w:p>
        </w:tc>
        <w:tc>
          <w:tcPr>
            <w:tcW w:w="5614" w:type="dxa"/>
            <w:noWrap w:val="0"/>
            <w:vAlign w:val="center"/>
          </w:tcPr>
          <w:p w14:paraId="28CE7FDB">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leftChars="0" w:right="0" w:firstLine="0" w:firstLineChars="0"/>
              <w:jc w:val="left"/>
              <w:textAlignment w:val="auto"/>
              <w:rPr>
                <w:rFonts w:hint="eastAsia"/>
                <w:color w:val="auto"/>
                <w:highlight w:val="none"/>
              </w:rPr>
            </w:pPr>
            <w:r>
              <w:rPr>
                <w:rFonts w:hint="eastAsia"/>
                <w:color w:val="auto"/>
                <w:highlight w:val="none"/>
              </w:rPr>
              <w:t>符合第</w:t>
            </w:r>
            <w:r>
              <w:rPr>
                <w:rFonts w:hint="eastAsia"/>
                <w:color w:val="auto"/>
                <w:highlight w:val="none"/>
                <w:lang w:val="en-US" w:eastAsia="zh-CN"/>
              </w:rPr>
              <w:t>六</w:t>
            </w:r>
            <w:r>
              <w:rPr>
                <w:rFonts w:hint="eastAsia"/>
                <w:color w:val="auto"/>
                <w:highlight w:val="none"/>
              </w:rPr>
              <w:t>章“投标文件格式”的要求，</w:t>
            </w:r>
          </w:p>
          <w:p w14:paraId="006D4420">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leftChars="0" w:right="0" w:firstLine="0" w:firstLineChars="0"/>
              <w:jc w:val="left"/>
              <w:textAlignment w:val="auto"/>
              <w:rPr>
                <w:rFonts w:hint="eastAsia"/>
                <w:color w:val="auto"/>
                <w:highlight w:val="none"/>
              </w:rPr>
            </w:pPr>
            <w:r>
              <w:rPr>
                <w:rFonts w:hint="eastAsia"/>
                <w:color w:val="auto"/>
                <w:highlight w:val="none"/>
              </w:rPr>
              <w:t>否则经评委会一致认定后,按照无效投标处理。</w:t>
            </w:r>
          </w:p>
        </w:tc>
      </w:tr>
      <w:tr w14:paraId="54BD1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jc w:val="center"/>
        </w:trPr>
        <w:tc>
          <w:tcPr>
            <w:tcW w:w="724" w:type="dxa"/>
            <w:vMerge w:val="restart"/>
            <w:noWrap w:val="0"/>
            <w:vAlign w:val="center"/>
          </w:tcPr>
          <w:p w14:paraId="4ED9C8E2">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1141" w:type="dxa"/>
            <w:gridSpan w:val="2"/>
            <w:vMerge w:val="restart"/>
            <w:noWrap w:val="0"/>
            <w:vAlign w:val="center"/>
          </w:tcPr>
          <w:p w14:paraId="497040A4">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响应性评审标准</w:t>
            </w:r>
          </w:p>
        </w:tc>
        <w:tc>
          <w:tcPr>
            <w:tcW w:w="2610" w:type="dxa"/>
            <w:noWrap w:val="0"/>
            <w:vAlign w:val="center"/>
          </w:tcPr>
          <w:p w14:paraId="37D3F8FD">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投标内容</w:t>
            </w:r>
          </w:p>
        </w:tc>
        <w:tc>
          <w:tcPr>
            <w:tcW w:w="5614" w:type="dxa"/>
            <w:noWrap w:val="0"/>
            <w:vAlign w:val="top"/>
          </w:tcPr>
          <w:p w14:paraId="3FD76355">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leftChars="0" w:right="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符合第</w:t>
            </w:r>
            <w:r>
              <w:rPr>
                <w:rFonts w:hint="eastAsia" w:ascii="宋体" w:hAnsi="宋体" w:cs="宋体"/>
                <w:color w:val="auto"/>
                <w:sz w:val="21"/>
                <w:szCs w:val="21"/>
                <w:highlight w:val="none"/>
                <w:lang w:val="en-US" w:eastAsia="zh-CN"/>
              </w:rPr>
              <w:t>一</w:t>
            </w:r>
            <w:r>
              <w:rPr>
                <w:rFonts w:hint="eastAsia" w:ascii="宋体" w:hAnsi="宋体" w:eastAsia="宋体" w:cs="宋体"/>
                <w:color w:val="auto"/>
                <w:sz w:val="21"/>
                <w:szCs w:val="21"/>
                <w:highlight w:val="none"/>
              </w:rPr>
              <w:t>章“投标人须知”第2.1项规定</w:t>
            </w:r>
          </w:p>
        </w:tc>
      </w:tr>
      <w:tr w14:paraId="61C6D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jc w:val="center"/>
        </w:trPr>
        <w:tc>
          <w:tcPr>
            <w:tcW w:w="724" w:type="dxa"/>
            <w:vMerge w:val="continue"/>
            <w:noWrap w:val="0"/>
            <w:vAlign w:val="top"/>
          </w:tcPr>
          <w:p w14:paraId="32F0C41F">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firstLine="420" w:firstLineChars="200"/>
              <w:jc w:val="center"/>
              <w:textAlignment w:val="auto"/>
              <w:rPr>
                <w:rFonts w:hint="eastAsia" w:ascii="宋体" w:hAnsi="宋体" w:eastAsia="宋体" w:cs="宋体"/>
                <w:color w:val="auto"/>
                <w:sz w:val="21"/>
                <w:szCs w:val="21"/>
                <w:highlight w:val="none"/>
              </w:rPr>
            </w:pPr>
          </w:p>
        </w:tc>
        <w:tc>
          <w:tcPr>
            <w:tcW w:w="1141" w:type="dxa"/>
            <w:gridSpan w:val="2"/>
            <w:vMerge w:val="continue"/>
            <w:noWrap w:val="0"/>
            <w:vAlign w:val="top"/>
          </w:tcPr>
          <w:p w14:paraId="78C1214A">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firstLine="420" w:firstLineChars="200"/>
              <w:jc w:val="left"/>
              <w:textAlignment w:val="auto"/>
              <w:rPr>
                <w:rFonts w:hint="eastAsia" w:ascii="宋体" w:hAnsi="宋体" w:eastAsia="宋体" w:cs="宋体"/>
                <w:color w:val="auto"/>
                <w:sz w:val="21"/>
                <w:szCs w:val="21"/>
                <w:highlight w:val="none"/>
              </w:rPr>
            </w:pPr>
          </w:p>
        </w:tc>
        <w:tc>
          <w:tcPr>
            <w:tcW w:w="2610" w:type="dxa"/>
            <w:noWrap w:val="0"/>
            <w:vAlign w:val="center"/>
          </w:tcPr>
          <w:p w14:paraId="564B9B9D">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权利义务</w:t>
            </w:r>
          </w:p>
        </w:tc>
        <w:tc>
          <w:tcPr>
            <w:tcW w:w="5614" w:type="dxa"/>
            <w:noWrap w:val="0"/>
            <w:vAlign w:val="top"/>
          </w:tcPr>
          <w:p w14:paraId="78BD690B">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leftChars="0" w:right="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r>
      <w:tr w14:paraId="709D1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exact"/>
          <w:jc w:val="center"/>
        </w:trPr>
        <w:tc>
          <w:tcPr>
            <w:tcW w:w="724" w:type="dxa"/>
            <w:vMerge w:val="continue"/>
            <w:noWrap w:val="0"/>
            <w:vAlign w:val="top"/>
          </w:tcPr>
          <w:p w14:paraId="5D0543BD">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firstLine="420" w:firstLineChars="200"/>
              <w:jc w:val="center"/>
              <w:textAlignment w:val="auto"/>
              <w:rPr>
                <w:rFonts w:hint="eastAsia" w:ascii="宋体" w:hAnsi="宋体" w:eastAsia="宋体" w:cs="宋体"/>
                <w:color w:val="auto"/>
                <w:sz w:val="21"/>
                <w:szCs w:val="21"/>
                <w:highlight w:val="none"/>
              </w:rPr>
            </w:pPr>
          </w:p>
        </w:tc>
        <w:tc>
          <w:tcPr>
            <w:tcW w:w="1141" w:type="dxa"/>
            <w:gridSpan w:val="2"/>
            <w:vMerge w:val="continue"/>
            <w:noWrap w:val="0"/>
            <w:vAlign w:val="top"/>
          </w:tcPr>
          <w:p w14:paraId="1180E469">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firstLine="420" w:firstLineChars="200"/>
              <w:jc w:val="left"/>
              <w:textAlignment w:val="auto"/>
              <w:rPr>
                <w:rFonts w:hint="eastAsia" w:ascii="宋体" w:hAnsi="宋体" w:eastAsia="宋体" w:cs="宋体"/>
                <w:color w:val="auto"/>
                <w:sz w:val="21"/>
                <w:szCs w:val="21"/>
                <w:highlight w:val="none"/>
              </w:rPr>
            </w:pPr>
          </w:p>
        </w:tc>
        <w:tc>
          <w:tcPr>
            <w:tcW w:w="2610" w:type="dxa"/>
            <w:noWrap w:val="0"/>
            <w:vAlign w:val="center"/>
          </w:tcPr>
          <w:p w14:paraId="0FFFF8FB">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技术标准和要求</w:t>
            </w:r>
          </w:p>
        </w:tc>
        <w:tc>
          <w:tcPr>
            <w:tcW w:w="5614" w:type="dxa"/>
            <w:noWrap w:val="0"/>
            <w:vAlign w:val="top"/>
          </w:tcPr>
          <w:p w14:paraId="50F7701D">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leftChars="0" w:right="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r>
      <w:tr w14:paraId="6E09C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724" w:type="dxa"/>
            <w:vMerge w:val="restart"/>
            <w:noWrap w:val="0"/>
            <w:vAlign w:val="center"/>
          </w:tcPr>
          <w:p w14:paraId="43A906D6">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1141" w:type="dxa"/>
            <w:gridSpan w:val="2"/>
            <w:vMerge w:val="restart"/>
            <w:noWrap w:val="0"/>
            <w:vAlign w:val="center"/>
          </w:tcPr>
          <w:p w14:paraId="23B7BF8D">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技术标评分标准（</w:t>
            </w:r>
            <w:r>
              <w:rPr>
                <w:rFonts w:hint="eastAsia" w:ascii="宋体" w:hAnsi="宋体" w:cs="宋体"/>
                <w:color w:val="auto"/>
                <w:sz w:val="21"/>
                <w:szCs w:val="21"/>
                <w:highlight w:val="none"/>
                <w:lang w:val="en-US" w:eastAsia="zh-CN"/>
              </w:rPr>
              <w:t>30</w:t>
            </w:r>
            <w:r>
              <w:rPr>
                <w:rFonts w:hint="eastAsia" w:ascii="宋体" w:hAnsi="宋体" w:eastAsia="宋体" w:cs="宋体"/>
                <w:color w:val="auto"/>
                <w:sz w:val="21"/>
                <w:szCs w:val="21"/>
                <w:highlight w:val="none"/>
              </w:rPr>
              <w:t>分）</w:t>
            </w:r>
          </w:p>
          <w:p w14:paraId="04B9BA46">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firstLine="420" w:firstLineChars="200"/>
              <w:jc w:val="center"/>
              <w:textAlignment w:val="auto"/>
              <w:rPr>
                <w:rFonts w:hint="eastAsia" w:ascii="宋体" w:hAnsi="宋体" w:eastAsia="宋体" w:cs="宋体"/>
                <w:color w:val="auto"/>
                <w:sz w:val="21"/>
                <w:szCs w:val="21"/>
                <w:highlight w:val="none"/>
                <w:lang w:eastAsia="zh-CN"/>
              </w:rPr>
            </w:pPr>
          </w:p>
        </w:tc>
        <w:tc>
          <w:tcPr>
            <w:tcW w:w="2610" w:type="dxa"/>
            <w:vMerge w:val="restart"/>
            <w:noWrap w:val="0"/>
            <w:vAlign w:val="center"/>
          </w:tcPr>
          <w:p w14:paraId="3AEA5ECD">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jc w:val="center"/>
              <w:textAlignment w:val="auto"/>
              <w:rPr>
                <w:rFonts w:hint="eastAsia" w:eastAsia="宋体"/>
                <w:color w:val="auto"/>
                <w:highlight w:val="none"/>
                <w:lang w:val="en-US" w:eastAsia="zh-CN"/>
              </w:rPr>
            </w:pPr>
            <w:r>
              <w:rPr>
                <w:rFonts w:hint="eastAsia" w:eastAsia="宋体"/>
                <w:color w:val="auto"/>
                <w:highlight w:val="none"/>
                <w:lang w:val="en-US" w:eastAsia="zh-CN"/>
              </w:rPr>
              <w:t>服务方案</w:t>
            </w:r>
          </w:p>
        </w:tc>
        <w:tc>
          <w:tcPr>
            <w:tcW w:w="5614" w:type="dxa"/>
            <w:shd w:val="clear" w:color="auto" w:fill="auto"/>
            <w:noWrap w:val="0"/>
            <w:vAlign w:val="center"/>
          </w:tcPr>
          <w:p w14:paraId="3FC1FF3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color w:val="auto"/>
                <w:highlight w:val="none"/>
                <w:lang w:val="en-US" w:eastAsia="zh-CN"/>
              </w:rPr>
            </w:pPr>
            <w:r>
              <w:rPr>
                <w:rFonts w:hint="default" w:ascii="宋体" w:hAnsi="宋体" w:eastAsia="宋体" w:cs="宋体"/>
                <w:color w:val="auto"/>
                <w:highlight w:val="none"/>
                <w:lang w:val="en-US" w:eastAsia="zh-CN"/>
              </w:rPr>
              <w:t>针对本</w:t>
            </w:r>
            <w:r>
              <w:rPr>
                <w:rFonts w:hint="eastAsia" w:ascii="宋体" w:hAnsi="宋体" w:cs="宋体"/>
                <w:bCs/>
                <w:color w:val="auto"/>
                <w:kern w:val="1"/>
                <w:sz w:val="21"/>
                <w:szCs w:val="21"/>
                <w:highlight w:val="none"/>
                <w:lang w:val="en-US" w:eastAsia="zh-CN"/>
              </w:rPr>
              <w:t>电力</w:t>
            </w:r>
            <w:r>
              <w:rPr>
                <w:rFonts w:hint="default" w:ascii="宋体" w:hAnsi="宋体" w:eastAsia="宋体" w:cs="宋体"/>
                <w:color w:val="auto"/>
                <w:highlight w:val="none"/>
                <w:lang w:val="en-US" w:eastAsia="zh-CN"/>
              </w:rPr>
              <w:t>工程特点，进行造价咨询难点、重点分析，制定相应的方案措施。根据方案的可行性、重难点分析的合理性</w:t>
            </w:r>
            <w:r>
              <w:rPr>
                <w:rFonts w:hint="eastAsia" w:ascii="宋体" w:hAnsi="宋体" w:eastAsia="宋体" w:cs="宋体"/>
                <w:color w:val="auto"/>
                <w:highlight w:val="none"/>
                <w:lang w:val="en-US" w:eastAsia="zh-CN"/>
              </w:rPr>
              <w:t>。</w:t>
            </w:r>
          </w:p>
          <w:p w14:paraId="0D8F3A5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1、方案全面详细，定位准确，服务内容针对 性强的得</w:t>
            </w:r>
            <w:r>
              <w:rPr>
                <w:rFonts w:hint="eastAsia" w:ascii="宋体" w:hAnsi="宋体" w:cs="宋体"/>
                <w:color w:val="auto"/>
                <w:highlight w:val="none"/>
                <w:lang w:val="en-US" w:eastAsia="zh-CN"/>
              </w:rPr>
              <w:t>6</w:t>
            </w:r>
            <w:r>
              <w:rPr>
                <w:rFonts w:hint="eastAsia" w:ascii="宋体" w:hAnsi="宋体" w:eastAsia="宋体" w:cs="宋体"/>
                <w:color w:val="auto"/>
                <w:highlight w:val="none"/>
                <w:lang w:val="en-US" w:eastAsia="zh-CN"/>
              </w:rPr>
              <w:t xml:space="preserve">分； </w:t>
            </w:r>
          </w:p>
          <w:p w14:paraId="02A0A1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2、方案基本符合实际，具有一定实用性的得</w:t>
            </w:r>
            <w:r>
              <w:rPr>
                <w:rFonts w:hint="eastAsia" w:ascii="宋体" w:hAnsi="宋体" w:cs="宋体"/>
                <w:color w:val="auto"/>
                <w:highlight w:val="none"/>
                <w:lang w:val="en-US" w:eastAsia="zh-CN"/>
              </w:rPr>
              <w:t>4</w:t>
            </w:r>
            <w:r>
              <w:rPr>
                <w:rFonts w:hint="eastAsia" w:ascii="宋体" w:hAnsi="宋体" w:eastAsia="宋体" w:cs="宋体"/>
                <w:color w:val="auto"/>
                <w:highlight w:val="none"/>
                <w:lang w:val="en-US" w:eastAsia="zh-CN"/>
              </w:rPr>
              <w:t xml:space="preserve">分； </w:t>
            </w:r>
          </w:p>
          <w:p w14:paraId="49E78B7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3、方案初步符合要求的、有待提升完善的得</w:t>
            </w:r>
            <w:r>
              <w:rPr>
                <w:rFonts w:hint="eastAsia" w:ascii="宋体" w:hAnsi="宋体" w:cs="宋体"/>
                <w:color w:val="auto"/>
                <w:highlight w:val="none"/>
                <w:lang w:val="en-US" w:eastAsia="zh-CN"/>
              </w:rPr>
              <w:t>2</w:t>
            </w:r>
            <w:r>
              <w:rPr>
                <w:rFonts w:hint="eastAsia" w:ascii="宋体" w:hAnsi="宋体" w:eastAsia="宋体" w:cs="宋体"/>
                <w:color w:val="auto"/>
                <w:highlight w:val="none"/>
                <w:lang w:val="en-US" w:eastAsia="zh-CN"/>
              </w:rPr>
              <w:t xml:space="preserve">分； </w:t>
            </w:r>
          </w:p>
          <w:p w14:paraId="1C223E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4、方案不符合要求的或未提供相应内容的不得分。</w:t>
            </w:r>
          </w:p>
          <w:p w14:paraId="53CCF46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highlight w:val="none"/>
                <w:lang w:val="en-US" w:eastAsia="zh-CN"/>
              </w:rPr>
              <w:t>本项满分</w:t>
            </w:r>
            <w:r>
              <w:rPr>
                <w:rFonts w:hint="eastAsia" w:ascii="宋体" w:hAnsi="宋体" w:cs="宋体"/>
                <w:color w:val="auto"/>
                <w:highlight w:val="none"/>
                <w:lang w:val="en-US" w:eastAsia="zh-CN"/>
              </w:rPr>
              <w:t>6</w:t>
            </w:r>
            <w:r>
              <w:rPr>
                <w:rFonts w:hint="eastAsia" w:ascii="宋体" w:hAnsi="宋体" w:eastAsia="宋体" w:cs="宋体"/>
                <w:color w:val="auto"/>
                <w:highlight w:val="none"/>
                <w:lang w:val="en-US" w:eastAsia="zh-CN"/>
              </w:rPr>
              <w:t>分。</w:t>
            </w:r>
          </w:p>
        </w:tc>
      </w:tr>
      <w:tr w14:paraId="233B3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5" w:hRule="atLeast"/>
          <w:jc w:val="center"/>
        </w:trPr>
        <w:tc>
          <w:tcPr>
            <w:tcW w:w="724" w:type="dxa"/>
            <w:vMerge w:val="continue"/>
            <w:noWrap w:val="0"/>
            <w:vAlign w:val="center"/>
          </w:tcPr>
          <w:p w14:paraId="3D9CFC32">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jc w:val="center"/>
              <w:textAlignment w:val="auto"/>
              <w:rPr>
                <w:rFonts w:hint="eastAsia" w:ascii="宋体" w:hAnsi="宋体" w:eastAsia="宋体" w:cs="宋体"/>
                <w:color w:val="auto"/>
                <w:sz w:val="21"/>
                <w:szCs w:val="21"/>
                <w:highlight w:val="none"/>
              </w:rPr>
            </w:pPr>
          </w:p>
        </w:tc>
        <w:tc>
          <w:tcPr>
            <w:tcW w:w="1141" w:type="dxa"/>
            <w:gridSpan w:val="2"/>
            <w:vMerge w:val="continue"/>
            <w:noWrap w:val="0"/>
            <w:vAlign w:val="center"/>
          </w:tcPr>
          <w:p w14:paraId="5C1951FA">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firstLine="420" w:firstLineChars="200"/>
              <w:jc w:val="center"/>
              <w:textAlignment w:val="auto"/>
              <w:rPr>
                <w:rFonts w:hint="eastAsia" w:ascii="宋体" w:hAnsi="宋体" w:eastAsia="宋体" w:cs="宋体"/>
                <w:color w:val="auto"/>
                <w:sz w:val="21"/>
                <w:szCs w:val="21"/>
                <w:highlight w:val="none"/>
                <w:lang w:eastAsia="zh-CN"/>
              </w:rPr>
            </w:pPr>
          </w:p>
        </w:tc>
        <w:tc>
          <w:tcPr>
            <w:tcW w:w="2610" w:type="dxa"/>
            <w:vMerge w:val="continue"/>
            <w:noWrap w:val="0"/>
            <w:vAlign w:val="center"/>
          </w:tcPr>
          <w:p w14:paraId="216C43BD">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jc w:val="center"/>
              <w:textAlignment w:val="auto"/>
              <w:rPr>
                <w:rFonts w:hint="eastAsia"/>
                <w:color w:val="auto"/>
                <w:highlight w:val="none"/>
              </w:rPr>
            </w:pPr>
          </w:p>
        </w:tc>
        <w:tc>
          <w:tcPr>
            <w:tcW w:w="5614" w:type="dxa"/>
            <w:shd w:val="clear" w:color="auto" w:fill="auto"/>
            <w:noWrap w:val="0"/>
            <w:vAlign w:val="center"/>
          </w:tcPr>
          <w:p w14:paraId="276D436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Times New Roman" w:hAnsi="Times New Roman" w:eastAsia="宋体" w:cs="Times New Roman"/>
                <w:lang w:val="en-US" w:eastAsia="zh-CN"/>
              </w:rPr>
            </w:pPr>
            <w:r>
              <w:rPr>
                <w:rFonts w:hint="default" w:ascii="Times New Roman" w:hAnsi="Times New Roman" w:eastAsia="宋体" w:cs="Times New Roman"/>
                <w:lang w:val="en-US" w:eastAsia="zh-CN"/>
              </w:rPr>
              <w:t>全过程跟踪审计工作质量及进度的保证措施。根据工作内容是否全面、工作方法和实施程序是否合理进行评审</w:t>
            </w:r>
            <w:r>
              <w:rPr>
                <w:rFonts w:hint="eastAsia" w:ascii="Times New Roman" w:hAnsi="Times New Roman" w:eastAsia="宋体" w:cs="Times New Roman"/>
                <w:lang w:val="en-US" w:eastAsia="zh-CN"/>
              </w:rPr>
              <w:t>。</w:t>
            </w:r>
          </w:p>
          <w:p w14:paraId="5B8A7C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1、方案全面详细，定位准确，服务内容针对 性强的得</w:t>
            </w:r>
            <w:r>
              <w:rPr>
                <w:rFonts w:hint="eastAsia" w:ascii="宋体" w:hAnsi="宋体" w:cs="宋体"/>
                <w:color w:val="auto"/>
                <w:highlight w:val="none"/>
                <w:lang w:val="en-US" w:eastAsia="zh-CN"/>
              </w:rPr>
              <w:t>6</w:t>
            </w:r>
            <w:r>
              <w:rPr>
                <w:rFonts w:hint="eastAsia" w:ascii="宋体" w:hAnsi="宋体" w:eastAsia="宋体" w:cs="宋体"/>
                <w:color w:val="auto"/>
                <w:highlight w:val="none"/>
                <w:lang w:val="en-US" w:eastAsia="zh-CN"/>
              </w:rPr>
              <w:t xml:space="preserve">分； </w:t>
            </w:r>
          </w:p>
          <w:p w14:paraId="3C42111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2、方案基本符合实际，具有一定实用性的得</w:t>
            </w:r>
            <w:r>
              <w:rPr>
                <w:rFonts w:hint="eastAsia" w:ascii="宋体" w:hAnsi="宋体" w:cs="宋体"/>
                <w:color w:val="auto"/>
                <w:highlight w:val="none"/>
                <w:lang w:val="en-US" w:eastAsia="zh-CN"/>
              </w:rPr>
              <w:t>4</w:t>
            </w:r>
            <w:r>
              <w:rPr>
                <w:rFonts w:hint="eastAsia" w:ascii="宋体" w:hAnsi="宋体" w:eastAsia="宋体" w:cs="宋体"/>
                <w:color w:val="auto"/>
                <w:highlight w:val="none"/>
                <w:lang w:val="en-US" w:eastAsia="zh-CN"/>
              </w:rPr>
              <w:t xml:space="preserve">分； </w:t>
            </w:r>
          </w:p>
          <w:p w14:paraId="6EEF83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3、方案初步符合要求的、有待提升完善的得</w:t>
            </w:r>
            <w:r>
              <w:rPr>
                <w:rFonts w:hint="eastAsia" w:ascii="宋体" w:hAnsi="宋体" w:cs="宋体"/>
                <w:color w:val="auto"/>
                <w:highlight w:val="none"/>
                <w:lang w:val="en-US" w:eastAsia="zh-CN"/>
              </w:rPr>
              <w:t>2</w:t>
            </w:r>
            <w:r>
              <w:rPr>
                <w:rFonts w:hint="eastAsia" w:ascii="宋体" w:hAnsi="宋体" w:eastAsia="宋体" w:cs="宋体"/>
                <w:color w:val="auto"/>
                <w:highlight w:val="none"/>
                <w:lang w:val="en-US" w:eastAsia="zh-CN"/>
              </w:rPr>
              <w:t xml:space="preserve">分； </w:t>
            </w:r>
          </w:p>
          <w:p w14:paraId="40EA5E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4、方案不符合要求的或未提供相应内容的不得分。</w:t>
            </w:r>
          </w:p>
          <w:p w14:paraId="27661E1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highlight w:val="none"/>
                <w:lang w:val="en-US" w:eastAsia="zh-CN"/>
              </w:rPr>
              <w:t>本项满分</w:t>
            </w:r>
            <w:r>
              <w:rPr>
                <w:rFonts w:hint="eastAsia" w:ascii="宋体" w:hAnsi="宋体" w:cs="宋体"/>
                <w:color w:val="auto"/>
                <w:highlight w:val="none"/>
                <w:lang w:val="en-US" w:eastAsia="zh-CN"/>
              </w:rPr>
              <w:t>6</w:t>
            </w:r>
            <w:r>
              <w:rPr>
                <w:rFonts w:hint="eastAsia" w:ascii="宋体" w:hAnsi="宋体" w:eastAsia="宋体" w:cs="宋体"/>
                <w:color w:val="auto"/>
                <w:highlight w:val="none"/>
                <w:lang w:val="en-US" w:eastAsia="zh-CN"/>
              </w:rPr>
              <w:t>分。</w:t>
            </w:r>
          </w:p>
        </w:tc>
      </w:tr>
      <w:tr w14:paraId="40894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724" w:type="dxa"/>
            <w:vMerge w:val="continue"/>
            <w:noWrap w:val="0"/>
            <w:vAlign w:val="center"/>
          </w:tcPr>
          <w:p w14:paraId="07668FE8">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firstLine="420" w:firstLineChars="200"/>
              <w:jc w:val="left"/>
              <w:textAlignment w:val="auto"/>
              <w:rPr>
                <w:rFonts w:hint="eastAsia" w:ascii="宋体" w:hAnsi="宋体" w:eastAsia="宋体" w:cs="宋体"/>
                <w:color w:val="auto"/>
                <w:sz w:val="21"/>
                <w:szCs w:val="21"/>
                <w:highlight w:val="none"/>
              </w:rPr>
            </w:pPr>
          </w:p>
        </w:tc>
        <w:tc>
          <w:tcPr>
            <w:tcW w:w="1141" w:type="dxa"/>
            <w:gridSpan w:val="2"/>
            <w:vMerge w:val="continue"/>
            <w:noWrap w:val="0"/>
            <w:vAlign w:val="center"/>
          </w:tcPr>
          <w:p w14:paraId="2E450C87">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firstLine="420" w:firstLineChars="200"/>
              <w:jc w:val="left"/>
              <w:textAlignment w:val="auto"/>
              <w:rPr>
                <w:rFonts w:hint="eastAsia" w:ascii="宋体" w:hAnsi="宋体" w:eastAsia="宋体" w:cs="宋体"/>
                <w:color w:val="auto"/>
                <w:kern w:val="0"/>
                <w:sz w:val="21"/>
                <w:szCs w:val="21"/>
                <w:highlight w:val="none"/>
                <w:lang w:val="en-US" w:eastAsia="zh-CN"/>
              </w:rPr>
            </w:pPr>
          </w:p>
        </w:tc>
        <w:tc>
          <w:tcPr>
            <w:tcW w:w="2610" w:type="dxa"/>
            <w:vMerge w:val="continue"/>
            <w:noWrap w:val="0"/>
            <w:vAlign w:val="center"/>
          </w:tcPr>
          <w:p w14:paraId="75CA15B5">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firstLine="420" w:firstLineChars="200"/>
              <w:jc w:val="left"/>
              <w:textAlignment w:val="auto"/>
              <w:rPr>
                <w:rFonts w:hint="eastAsia" w:ascii="宋体" w:hAnsi="宋体" w:eastAsia="宋体" w:cs="宋体"/>
                <w:sz w:val="21"/>
                <w:szCs w:val="21"/>
                <w:highlight w:val="none"/>
              </w:rPr>
            </w:pPr>
          </w:p>
        </w:tc>
        <w:tc>
          <w:tcPr>
            <w:tcW w:w="5614" w:type="dxa"/>
            <w:shd w:val="clear" w:color="auto" w:fill="auto"/>
            <w:noWrap w:val="0"/>
            <w:vAlign w:val="center"/>
          </w:tcPr>
          <w:p w14:paraId="7E7C045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color w:val="auto"/>
                <w:highlight w:val="none"/>
                <w:lang w:val="en-US" w:eastAsia="zh-CN"/>
              </w:rPr>
            </w:pPr>
            <w:r>
              <w:rPr>
                <w:rFonts w:hint="default" w:ascii="宋体" w:hAnsi="宋体" w:eastAsia="宋体" w:cs="宋体"/>
                <w:color w:val="auto"/>
                <w:highlight w:val="none"/>
                <w:lang w:val="en-US" w:eastAsia="zh-CN"/>
              </w:rPr>
              <w:t>对风险控制措施和跟审资料信息管理措施，服务质量保证措施、质量控制措施等进行评审，根据信息管理措施是否全面、是合理，是否可行进行评审</w:t>
            </w:r>
            <w:r>
              <w:rPr>
                <w:rFonts w:hint="eastAsia" w:ascii="宋体" w:hAnsi="宋体" w:eastAsia="宋体" w:cs="宋体"/>
                <w:color w:val="auto"/>
                <w:highlight w:val="none"/>
                <w:lang w:val="en-US" w:eastAsia="zh-CN"/>
              </w:rPr>
              <w:t>。</w:t>
            </w:r>
          </w:p>
          <w:p w14:paraId="02FD525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1、方案全面详细，定位准确，服务内容针对 性强的得</w:t>
            </w:r>
            <w:r>
              <w:rPr>
                <w:rFonts w:hint="eastAsia" w:ascii="宋体" w:hAnsi="宋体" w:cs="宋体"/>
                <w:color w:val="auto"/>
                <w:highlight w:val="none"/>
                <w:lang w:val="en-US" w:eastAsia="zh-CN"/>
              </w:rPr>
              <w:t>6</w:t>
            </w:r>
            <w:r>
              <w:rPr>
                <w:rFonts w:hint="eastAsia" w:ascii="宋体" w:hAnsi="宋体" w:eastAsia="宋体" w:cs="宋体"/>
                <w:color w:val="auto"/>
                <w:highlight w:val="none"/>
                <w:lang w:val="en-US" w:eastAsia="zh-CN"/>
              </w:rPr>
              <w:t xml:space="preserve">分； </w:t>
            </w:r>
          </w:p>
          <w:p w14:paraId="67C289F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2、方案基本符合实际，具有一定实用性的得</w:t>
            </w:r>
            <w:r>
              <w:rPr>
                <w:rFonts w:hint="eastAsia" w:ascii="宋体" w:hAnsi="宋体" w:cs="宋体"/>
                <w:color w:val="auto"/>
                <w:highlight w:val="none"/>
                <w:lang w:val="en-US" w:eastAsia="zh-CN"/>
              </w:rPr>
              <w:t>4</w:t>
            </w:r>
            <w:r>
              <w:rPr>
                <w:rFonts w:hint="eastAsia" w:ascii="宋体" w:hAnsi="宋体" w:eastAsia="宋体" w:cs="宋体"/>
                <w:color w:val="auto"/>
                <w:highlight w:val="none"/>
                <w:lang w:val="en-US" w:eastAsia="zh-CN"/>
              </w:rPr>
              <w:t xml:space="preserve">分； </w:t>
            </w:r>
          </w:p>
          <w:p w14:paraId="069FB88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3、方案初步符合要求的、有待提升完善的得</w:t>
            </w:r>
            <w:r>
              <w:rPr>
                <w:rFonts w:hint="eastAsia" w:ascii="宋体" w:hAnsi="宋体" w:cs="宋体"/>
                <w:color w:val="auto"/>
                <w:highlight w:val="none"/>
                <w:lang w:val="en-US" w:eastAsia="zh-CN"/>
              </w:rPr>
              <w:t>2</w:t>
            </w:r>
            <w:r>
              <w:rPr>
                <w:rFonts w:hint="eastAsia" w:ascii="宋体" w:hAnsi="宋体" w:eastAsia="宋体" w:cs="宋体"/>
                <w:color w:val="auto"/>
                <w:highlight w:val="none"/>
                <w:lang w:val="en-US" w:eastAsia="zh-CN"/>
              </w:rPr>
              <w:t xml:space="preserve">分； </w:t>
            </w:r>
          </w:p>
          <w:p w14:paraId="3DA20DB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4、方案不符合要求的或未提供相应内容的不得分。</w:t>
            </w:r>
          </w:p>
          <w:p w14:paraId="5F7FACE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sz w:val="21"/>
                <w:szCs w:val="21"/>
                <w:highlight w:val="none"/>
              </w:rPr>
            </w:pPr>
            <w:r>
              <w:rPr>
                <w:rFonts w:hint="eastAsia" w:ascii="宋体" w:hAnsi="宋体" w:eastAsia="宋体" w:cs="宋体"/>
                <w:color w:val="auto"/>
                <w:highlight w:val="none"/>
                <w:lang w:val="en-US" w:eastAsia="zh-CN"/>
              </w:rPr>
              <w:t>本项满分</w:t>
            </w:r>
            <w:r>
              <w:rPr>
                <w:rFonts w:hint="eastAsia" w:ascii="宋体" w:hAnsi="宋体" w:cs="宋体"/>
                <w:color w:val="auto"/>
                <w:highlight w:val="none"/>
                <w:lang w:val="en-US" w:eastAsia="zh-CN"/>
              </w:rPr>
              <w:t>6</w:t>
            </w:r>
            <w:r>
              <w:rPr>
                <w:rFonts w:hint="eastAsia" w:ascii="宋体" w:hAnsi="宋体" w:eastAsia="宋体" w:cs="宋体"/>
                <w:color w:val="auto"/>
                <w:highlight w:val="none"/>
                <w:lang w:val="en-US" w:eastAsia="zh-CN"/>
              </w:rPr>
              <w:t>分。</w:t>
            </w:r>
          </w:p>
        </w:tc>
      </w:tr>
      <w:tr w14:paraId="2A897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724" w:type="dxa"/>
            <w:vMerge w:val="continue"/>
            <w:noWrap w:val="0"/>
            <w:vAlign w:val="center"/>
          </w:tcPr>
          <w:p w14:paraId="55277712">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firstLine="420" w:firstLineChars="200"/>
              <w:jc w:val="left"/>
              <w:textAlignment w:val="auto"/>
              <w:rPr>
                <w:rFonts w:hint="eastAsia" w:ascii="宋体" w:hAnsi="宋体" w:eastAsia="宋体" w:cs="宋体"/>
                <w:color w:val="auto"/>
                <w:sz w:val="21"/>
                <w:szCs w:val="21"/>
                <w:highlight w:val="none"/>
              </w:rPr>
            </w:pPr>
          </w:p>
        </w:tc>
        <w:tc>
          <w:tcPr>
            <w:tcW w:w="1141" w:type="dxa"/>
            <w:gridSpan w:val="2"/>
            <w:vMerge w:val="continue"/>
            <w:noWrap w:val="0"/>
            <w:vAlign w:val="center"/>
          </w:tcPr>
          <w:p w14:paraId="261C13C6">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firstLine="420" w:firstLineChars="200"/>
              <w:jc w:val="left"/>
              <w:textAlignment w:val="auto"/>
              <w:rPr>
                <w:rFonts w:hint="eastAsia" w:ascii="宋体" w:hAnsi="宋体" w:eastAsia="宋体" w:cs="宋体"/>
                <w:color w:val="auto"/>
                <w:kern w:val="0"/>
                <w:sz w:val="21"/>
                <w:szCs w:val="21"/>
                <w:highlight w:val="none"/>
                <w:lang w:val="en-US" w:eastAsia="zh-CN"/>
              </w:rPr>
            </w:pPr>
          </w:p>
        </w:tc>
        <w:tc>
          <w:tcPr>
            <w:tcW w:w="2610" w:type="dxa"/>
            <w:vMerge w:val="continue"/>
            <w:noWrap w:val="0"/>
            <w:vAlign w:val="center"/>
          </w:tcPr>
          <w:p w14:paraId="77EB8FA3">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firstLine="420" w:firstLineChars="200"/>
              <w:jc w:val="left"/>
              <w:textAlignment w:val="auto"/>
              <w:rPr>
                <w:rFonts w:hint="eastAsia" w:ascii="宋体" w:hAnsi="宋体" w:eastAsia="宋体" w:cs="宋体"/>
                <w:sz w:val="21"/>
                <w:szCs w:val="21"/>
                <w:highlight w:val="none"/>
              </w:rPr>
            </w:pPr>
          </w:p>
        </w:tc>
        <w:tc>
          <w:tcPr>
            <w:tcW w:w="5614" w:type="dxa"/>
            <w:shd w:val="clear" w:color="auto" w:fill="auto"/>
            <w:noWrap w:val="0"/>
            <w:vAlign w:val="center"/>
          </w:tcPr>
          <w:p w14:paraId="20934E8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color w:val="auto"/>
                <w:highlight w:val="none"/>
                <w:lang w:val="en-US" w:eastAsia="zh-CN"/>
              </w:rPr>
            </w:pPr>
            <w:r>
              <w:rPr>
                <w:rFonts w:hint="default" w:ascii="宋体" w:hAnsi="宋体" w:eastAsia="宋体" w:cs="宋体"/>
                <w:color w:val="auto"/>
                <w:highlight w:val="none"/>
                <w:lang w:val="en-US" w:eastAsia="zh-CN"/>
              </w:rPr>
              <w:t>廉洁自律措施。根据管理措施是否全面、是合理，是否可行进行评审</w:t>
            </w:r>
            <w:r>
              <w:rPr>
                <w:rFonts w:hint="eastAsia" w:ascii="宋体" w:hAnsi="宋体" w:eastAsia="宋体" w:cs="宋体"/>
                <w:color w:val="auto"/>
                <w:highlight w:val="none"/>
                <w:lang w:val="en-US" w:eastAsia="zh-CN"/>
              </w:rPr>
              <w:t>。</w:t>
            </w:r>
          </w:p>
          <w:p w14:paraId="53E11F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1、方案全面详细，定位准确，服务内容针对 性强的得</w:t>
            </w:r>
            <w:r>
              <w:rPr>
                <w:rFonts w:hint="eastAsia" w:ascii="宋体" w:hAnsi="宋体" w:cs="宋体"/>
                <w:color w:val="auto"/>
                <w:highlight w:val="none"/>
                <w:lang w:val="en-US" w:eastAsia="zh-CN"/>
              </w:rPr>
              <w:t>6</w:t>
            </w:r>
            <w:r>
              <w:rPr>
                <w:rFonts w:hint="eastAsia" w:ascii="宋体" w:hAnsi="宋体" w:eastAsia="宋体" w:cs="宋体"/>
                <w:color w:val="auto"/>
                <w:highlight w:val="none"/>
                <w:lang w:val="en-US" w:eastAsia="zh-CN"/>
              </w:rPr>
              <w:t xml:space="preserve">分； </w:t>
            </w:r>
          </w:p>
          <w:p w14:paraId="595A02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2、方案基本符合实际，具有一定实用性的得</w:t>
            </w:r>
            <w:r>
              <w:rPr>
                <w:rFonts w:hint="eastAsia" w:ascii="宋体" w:hAnsi="宋体" w:cs="宋体"/>
                <w:color w:val="auto"/>
                <w:highlight w:val="none"/>
                <w:lang w:val="en-US" w:eastAsia="zh-CN"/>
              </w:rPr>
              <w:t>4</w:t>
            </w:r>
            <w:r>
              <w:rPr>
                <w:rFonts w:hint="eastAsia" w:ascii="宋体" w:hAnsi="宋体" w:eastAsia="宋体" w:cs="宋体"/>
                <w:color w:val="auto"/>
                <w:highlight w:val="none"/>
                <w:lang w:val="en-US" w:eastAsia="zh-CN"/>
              </w:rPr>
              <w:t xml:space="preserve">分； </w:t>
            </w:r>
          </w:p>
          <w:p w14:paraId="0E95A8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3、方案初步符合要求的、有待提升完善的得</w:t>
            </w:r>
            <w:r>
              <w:rPr>
                <w:rFonts w:hint="eastAsia" w:ascii="宋体" w:hAnsi="宋体" w:cs="宋体"/>
                <w:color w:val="auto"/>
                <w:highlight w:val="none"/>
                <w:lang w:val="en-US" w:eastAsia="zh-CN"/>
              </w:rPr>
              <w:t>2</w:t>
            </w:r>
            <w:r>
              <w:rPr>
                <w:rFonts w:hint="eastAsia" w:ascii="宋体" w:hAnsi="宋体" w:eastAsia="宋体" w:cs="宋体"/>
                <w:color w:val="auto"/>
                <w:highlight w:val="none"/>
                <w:lang w:val="en-US" w:eastAsia="zh-CN"/>
              </w:rPr>
              <w:t xml:space="preserve">分； </w:t>
            </w:r>
          </w:p>
          <w:p w14:paraId="0B960F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4、方案不符合要求的或未提供相应内容的不得分。</w:t>
            </w:r>
          </w:p>
          <w:p w14:paraId="7ECF7E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本项满分</w:t>
            </w:r>
            <w:r>
              <w:rPr>
                <w:rFonts w:hint="eastAsia" w:ascii="宋体" w:hAnsi="宋体" w:cs="宋体"/>
                <w:color w:val="auto"/>
                <w:highlight w:val="none"/>
                <w:lang w:val="en-US" w:eastAsia="zh-CN"/>
              </w:rPr>
              <w:t>6</w:t>
            </w:r>
            <w:r>
              <w:rPr>
                <w:rFonts w:hint="eastAsia" w:ascii="宋体" w:hAnsi="宋体" w:eastAsia="宋体" w:cs="宋体"/>
                <w:color w:val="auto"/>
                <w:highlight w:val="none"/>
                <w:lang w:val="en-US" w:eastAsia="zh-CN"/>
              </w:rPr>
              <w:t>分。</w:t>
            </w:r>
          </w:p>
        </w:tc>
      </w:tr>
      <w:tr w14:paraId="1F87E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jc w:val="center"/>
        </w:trPr>
        <w:tc>
          <w:tcPr>
            <w:tcW w:w="724" w:type="dxa"/>
            <w:vMerge w:val="continue"/>
            <w:noWrap w:val="0"/>
            <w:vAlign w:val="center"/>
          </w:tcPr>
          <w:p w14:paraId="04F4E730">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firstLine="420" w:firstLineChars="200"/>
              <w:jc w:val="left"/>
              <w:textAlignment w:val="auto"/>
              <w:rPr>
                <w:rFonts w:hint="eastAsia" w:ascii="宋体" w:hAnsi="宋体" w:eastAsia="宋体" w:cs="宋体"/>
                <w:color w:val="auto"/>
                <w:sz w:val="21"/>
                <w:szCs w:val="21"/>
                <w:highlight w:val="none"/>
              </w:rPr>
            </w:pPr>
          </w:p>
        </w:tc>
        <w:tc>
          <w:tcPr>
            <w:tcW w:w="1141" w:type="dxa"/>
            <w:gridSpan w:val="2"/>
            <w:vMerge w:val="continue"/>
            <w:noWrap w:val="0"/>
            <w:vAlign w:val="center"/>
          </w:tcPr>
          <w:p w14:paraId="30D64B07">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firstLine="420" w:firstLineChars="200"/>
              <w:jc w:val="left"/>
              <w:textAlignment w:val="auto"/>
              <w:rPr>
                <w:rFonts w:hint="eastAsia" w:ascii="宋体" w:hAnsi="宋体" w:eastAsia="宋体" w:cs="宋体"/>
                <w:color w:val="auto"/>
                <w:kern w:val="0"/>
                <w:sz w:val="21"/>
                <w:szCs w:val="21"/>
                <w:highlight w:val="none"/>
                <w:lang w:val="en-US" w:eastAsia="zh-CN"/>
              </w:rPr>
            </w:pPr>
          </w:p>
        </w:tc>
        <w:tc>
          <w:tcPr>
            <w:tcW w:w="2610" w:type="dxa"/>
            <w:vMerge w:val="continue"/>
            <w:noWrap w:val="0"/>
            <w:vAlign w:val="center"/>
          </w:tcPr>
          <w:p w14:paraId="32A84754">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firstLine="420" w:firstLineChars="200"/>
              <w:jc w:val="left"/>
              <w:textAlignment w:val="auto"/>
              <w:rPr>
                <w:rFonts w:hint="eastAsia" w:ascii="宋体" w:hAnsi="宋体" w:eastAsia="宋体" w:cs="宋体"/>
                <w:sz w:val="21"/>
                <w:szCs w:val="21"/>
                <w:highlight w:val="none"/>
              </w:rPr>
            </w:pPr>
          </w:p>
        </w:tc>
        <w:tc>
          <w:tcPr>
            <w:tcW w:w="5614" w:type="dxa"/>
            <w:shd w:val="clear" w:color="auto" w:fill="auto"/>
            <w:noWrap w:val="0"/>
            <w:vAlign w:val="center"/>
          </w:tcPr>
          <w:p w14:paraId="419D08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根据投标人提供的</w:t>
            </w:r>
            <w:r>
              <w:rPr>
                <w:rFonts w:hint="default" w:ascii="宋体" w:hAnsi="宋体" w:eastAsia="宋体" w:cs="宋体"/>
                <w:color w:val="auto"/>
                <w:highlight w:val="none"/>
                <w:lang w:val="en-US" w:eastAsia="zh-CN"/>
              </w:rPr>
              <w:t>项目组人员分工、责任进行详细</w:t>
            </w:r>
            <w:r>
              <w:rPr>
                <w:rFonts w:hint="eastAsia" w:ascii="宋体" w:hAnsi="宋体" w:eastAsia="宋体" w:cs="宋体"/>
                <w:color w:val="auto"/>
                <w:highlight w:val="none"/>
                <w:lang w:val="en-US" w:eastAsia="zh-CN"/>
              </w:rPr>
              <w:t>方案进行评审。</w:t>
            </w:r>
          </w:p>
          <w:p w14:paraId="3221796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1、方案全面详细，定位准确，服务内容针对 性强的得</w:t>
            </w:r>
            <w:r>
              <w:rPr>
                <w:rFonts w:hint="eastAsia" w:ascii="宋体" w:hAnsi="宋体" w:cs="宋体"/>
                <w:color w:val="auto"/>
                <w:highlight w:val="none"/>
                <w:lang w:val="en-US" w:eastAsia="zh-CN"/>
              </w:rPr>
              <w:t>6</w:t>
            </w:r>
            <w:r>
              <w:rPr>
                <w:rFonts w:hint="eastAsia" w:ascii="宋体" w:hAnsi="宋体" w:eastAsia="宋体" w:cs="宋体"/>
                <w:color w:val="auto"/>
                <w:highlight w:val="none"/>
                <w:lang w:val="en-US" w:eastAsia="zh-CN"/>
              </w:rPr>
              <w:t xml:space="preserve">分； </w:t>
            </w:r>
          </w:p>
          <w:p w14:paraId="7851CA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2、方案基本符合实际，具有一定实用性的得</w:t>
            </w:r>
            <w:r>
              <w:rPr>
                <w:rFonts w:hint="eastAsia" w:ascii="宋体" w:hAnsi="宋体" w:cs="宋体"/>
                <w:color w:val="auto"/>
                <w:highlight w:val="none"/>
                <w:lang w:val="en-US" w:eastAsia="zh-CN"/>
              </w:rPr>
              <w:t>4</w:t>
            </w:r>
            <w:r>
              <w:rPr>
                <w:rFonts w:hint="eastAsia" w:ascii="宋体" w:hAnsi="宋体" w:eastAsia="宋体" w:cs="宋体"/>
                <w:color w:val="auto"/>
                <w:highlight w:val="none"/>
                <w:lang w:val="en-US" w:eastAsia="zh-CN"/>
              </w:rPr>
              <w:t xml:space="preserve">分； </w:t>
            </w:r>
          </w:p>
          <w:p w14:paraId="45458B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3、方案初步符合要求的、有待提升完善的得</w:t>
            </w:r>
            <w:r>
              <w:rPr>
                <w:rFonts w:hint="eastAsia" w:ascii="宋体" w:hAnsi="宋体" w:cs="宋体"/>
                <w:color w:val="auto"/>
                <w:highlight w:val="none"/>
                <w:lang w:val="en-US" w:eastAsia="zh-CN"/>
              </w:rPr>
              <w:t>2</w:t>
            </w:r>
            <w:r>
              <w:rPr>
                <w:rFonts w:hint="eastAsia" w:ascii="宋体" w:hAnsi="宋体" w:eastAsia="宋体" w:cs="宋体"/>
                <w:color w:val="auto"/>
                <w:highlight w:val="none"/>
                <w:lang w:val="en-US" w:eastAsia="zh-CN"/>
              </w:rPr>
              <w:t xml:space="preserve">分； </w:t>
            </w:r>
          </w:p>
          <w:p w14:paraId="71E42CD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4、方案不符合要求的或未提供相应内容的不得分。</w:t>
            </w:r>
          </w:p>
          <w:p w14:paraId="4375A51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本项满分</w:t>
            </w:r>
            <w:r>
              <w:rPr>
                <w:rFonts w:hint="eastAsia" w:ascii="宋体" w:hAnsi="宋体" w:cs="宋体"/>
                <w:color w:val="auto"/>
                <w:highlight w:val="none"/>
                <w:lang w:val="en-US" w:eastAsia="zh-CN"/>
              </w:rPr>
              <w:t>6</w:t>
            </w:r>
            <w:r>
              <w:rPr>
                <w:rFonts w:hint="eastAsia" w:ascii="宋体" w:hAnsi="宋体" w:eastAsia="宋体" w:cs="宋体"/>
                <w:color w:val="auto"/>
                <w:highlight w:val="none"/>
                <w:lang w:val="en-US" w:eastAsia="zh-CN"/>
              </w:rPr>
              <w:t>分。</w:t>
            </w:r>
          </w:p>
        </w:tc>
      </w:tr>
    </w:tbl>
    <w:p w14:paraId="669BBA0D">
      <w:pPr>
        <w:pStyle w:val="198"/>
        <w:keepNext w:val="0"/>
        <w:keepLines w:val="0"/>
        <w:pageBreakBefore w:val="0"/>
        <w:widowControl w:val="0"/>
        <w:kinsoku/>
        <w:wordWrap/>
        <w:overflowPunct/>
        <w:topLinePunct w:val="0"/>
        <w:autoSpaceDE/>
        <w:autoSpaceDN/>
        <w:bidi w:val="0"/>
        <w:spacing w:line="440" w:lineRule="exact"/>
        <w:ind w:left="59" w:leftChars="28" w:firstLine="0"/>
        <w:jc w:val="left"/>
        <w:textAlignment w:val="auto"/>
        <w:rPr>
          <w:rFonts w:hint="eastAsia" w:ascii="宋体" w:hAnsi="宋体" w:eastAsia="宋体" w:cs="宋体"/>
          <w:b/>
          <w:bCs/>
          <w:szCs w:val="21"/>
          <w:highlight w:val="none"/>
          <w:lang w:eastAsia="zh-CN"/>
        </w:rPr>
      </w:pPr>
      <w:r>
        <w:rPr>
          <w:rFonts w:hint="eastAsia" w:ascii="宋体" w:hAnsi="宋体" w:cs="宋体"/>
          <w:b/>
          <w:bCs/>
          <w:szCs w:val="21"/>
          <w:highlight w:val="none"/>
        </w:rPr>
        <w:t>备注</w:t>
      </w:r>
      <w:r>
        <w:rPr>
          <w:rFonts w:hint="eastAsia" w:ascii="宋体" w:hAnsi="宋体" w:cs="宋体"/>
          <w:b/>
          <w:bCs/>
          <w:szCs w:val="21"/>
          <w:highlight w:val="none"/>
          <w:lang w:eastAsia="zh-CN"/>
        </w:rPr>
        <w:t>：</w:t>
      </w:r>
      <w:r>
        <w:rPr>
          <w:rFonts w:hint="eastAsia" w:ascii="宋体" w:hAnsi="宋体" w:cs="宋体"/>
          <w:b/>
          <w:bCs/>
          <w:szCs w:val="21"/>
          <w:highlight w:val="none"/>
        </w:rPr>
        <w:t>该项由专家评委评审打分，取所有评委评分的平均值为最终得分，保留两位小数点，第三位四舍五入</w:t>
      </w:r>
      <w:r>
        <w:rPr>
          <w:rFonts w:hint="eastAsia" w:ascii="宋体" w:hAnsi="宋体" w:cs="宋体"/>
          <w:b/>
          <w:bCs/>
          <w:szCs w:val="21"/>
          <w:highlight w:val="none"/>
          <w:lang w:eastAsia="zh-CN"/>
        </w:rPr>
        <w:t>。</w:t>
      </w:r>
    </w:p>
    <w:p w14:paraId="0B4C7729">
      <w:pPr>
        <w:spacing w:beforeLines="80" w:afterLines="80" w:line="440" w:lineRule="exact"/>
        <w:jc w:val="center"/>
        <w:rPr>
          <w:rFonts w:ascii="宋体" w:hAnsi="宋体" w:cs="宋体"/>
          <w:b/>
          <w:bCs/>
          <w:sz w:val="24"/>
          <w:highlight w:val="none"/>
        </w:rPr>
      </w:pPr>
      <w:r>
        <w:rPr>
          <w:rFonts w:hint="eastAsia" w:ascii="宋体" w:hAnsi="宋体" w:cs="宋体"/>
          <w:b/>
          <w:bCs/>
          <w:sz w:val="24"/>
          <w:highlight w:val="none"/>
        </w:rPr>
        <w:t>（</w:t>
      </w:r>
      <w:r>
        <w:rPr>
          <w:rFonts w:hint="eastAsia" w:ascii="宋体" w:hAnsi="宋体" w:cs="宋体"/>
          <w:b/>
          <w:bCs/>
          <w:sz w:val="24"/>
          <w:highlight w:val="none"/>
          <w:lang w:val="en-US" w:eastAsia="zh-CN"/>
        </w:rPr>
        <w:t>三</w:t>
      </w:r>
      <w:r>
        <w:rPr>
          <w:rFonts w:hint="eastAsia" w:ascii="宋体" w:hAnsi="宋体" w:cs="宋体"/>
          <w:b/>
          <w:bCs/>
          <w:sz w:val="24"/>
          <w:highlight w:val="none"/>
        </w:rPr>
        <w:t>）商务标评审</w:t>
      </w:r>
    </w:p>
    <w:tbl>
      <w:tblPr>
        <w:tblStyle w:val="47"/>
        <w:tblW w:w="95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1"/>
        <w:gridCol w:w="915"/>
        <w:gridCol w:w="945"/>
        <w:gridCol w:w="2158"/>
        <w:gridCol w:w="4727"/>
      </w:tblGrid>
      <w:tr w14:paraId="30732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2671" w:type="dxa"/>
            <w:gridSpan w:val="3"/>
            <w:noWrap/>
            <w:vAlign w:val="center"/>
          </w:tcPr>
          <w:p w14:paraId="7C34A325">
            <w:pPr>
              <w:spacing w:line="440" w:lineRule="exact"/>
              <w:jc w:val="center"/>
              <w:rPr>
                <w:rFonts w:ascii="宋体" w:hAnsi="宋体" w:cs="宋体"/>
                <w:b/>
                <w:bCs/>
                <w:szCs w:val="21"/>
                <w:highlight w:val="none"/>
              </w:rPr>
            </w:pPr>
            <w:r>
              <w:rPr>
                <w:rFonts w:hint="eastAsia" w:ascii="宋体" w:hAnsi="宋体" w:cs="宋体"/>
                <w:b/>
                <w:bCs/>
                <w:szCs w:val="21"/>
                <w:highlight w:val="none"/>
              </w:rPr>
              <w:t>条款号</w:t>
            </w:r>
          </w:p>
        </w:tc>
        <w:tc>
          <w:tcPr>
            <w:tcW w:w="2158" w:type="dxa"/>
            <w:noWrap/>
            <w:vAlign w:val="center"/>
          </w:tcPr>
          <w:p w14:paraId="1CF92DDF">
            <w:pPr>
              <w:spacing w:line="440" w:lineRule="exact"/>
              <w:jc w:val="center"/>
              <w:rPr>
                <w:rFonts w:ascii="宋体" w:hAnsi="宋体" w:cs="宋体"/>
                <w:b/>
                <w:bCs/>
                <w:szCs w:val="21"/>
                <w:highlight w:val="none"/>
              </w:rPr>
            </w:pPr>
            <w:r>
              <w:rPr>
                <w:rFonts w:hint="eastAsia" w:ascii="宋体" w:hAnsi="宋体" w:cs="宋体"/>
                <w:b/>
                <w:bCs/>
                <w:szCs w:val="21"/>
                <w:highlight w:val="none"/>
              </w:rPr>
              <w:t>评审因素</w:t>
            </w:r>
          </w:p>
        </w:tc>
        <w:tc>
          <w:tcPr>
            <w:tcW w:w="4727" w:type="dxa"/>
            <w:noWrap/>
            <w:vAlign w:val="center"/>
          </w:tcPr>
          <w:p w14:paraId="10027A3D">
            <w:pPr>
              <w:spacing w:line="440" w:lineRule="exact"/>
              <w:jc w:val="center"/>
              <w:rPr>
                <w:rFonts w:ascii="宋体" w:hAnsi="宋体" w:cs="宋体"/>
                <w:b/>
                <w:bCs/>
                <w:szCs w:val="21"/>
                <w:highlight w:val="none"/>
              </w:rPr>
            </w:pPr>
            <w:r>
              <w:rPr>
                <w:rFonts w:hint="eastAsia" w:ascii="宋体" w:hAnsi="宋体" w:cs="宋体"/>
                <w:b/>
                <w:bCs/>
                <w:szCs w:val="21"/>
                <w:highlight w:val="none"/>
              </w:rPr>
              <w:t>评审标准</w:t>
            </w:r>
          </w:p>
        </w:tc>
      </w:tr>
      <w:tr w14:paraId="3C6C1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811" w:type="dxa"/>
            <w:vMerge w:val="restart"/>
            <w:noWrap/>
            <w:vAlign w:val="center"/>
          </w:tcPr>
          <w:p w14:paraId="1606681B">
            <w:pPr>
              <w:spacing w:line="440" w:lineRule="exact"/>
              <w:jc w:val="center"/>
              <w:rPr>
                <w:rFonts w:ascii="宋体" w:hAnsi="宋体" w:cs="宋体"/>
                <w:szCs w:val="21"/>
                <w:highlight w:val="none"/>
              </w:rPr>
            </w:pPr>
            <w:r>
              <w:rPr>
                <w:rFonts w:hint="eastAsia" w:ascii="宋体" w:hAnsi="宋体" w:cs="宋体"/>
                <w:szCs w:val="21"/>
                <w:highlight w:val="none"/>
              </w:rPr>
              <w:t>4.2.1</w:t>
            </w:r>
          </w:p>
        </w:tc>
        <w:tc>
          <w:tcPr>
            <w:tcW w:w="1860" w:type="dxa"/>
            <w:gridSpan w:val="2"/>
            <w:vMerge w:val="restart"/>
            <w:noWrap/>
            <w:vAlign w:val="center"/>
          </w:tcPr>
          <w:p w14:paraId="2ABF61DD">
            <w:pPr>
              <w:spacing w:line="440" w:lineRule="exact"/>
              <w:jc w:val="center"/>
              <w:rPr>
                <w:rFonts w:ascii="宋体" w:hAnsi="宋体" w:cs="宋体"/>
                <w:szCs w:val="21"/>
                <w:highlight w:val="none"/>
              </w:rPr>
            </w:pPr>
            <w:r>
              <w:rPr>
                <w:rFonts w:hint="eastAsia" w:ascii="宋体" w:hAnsi="宋体" w:cs="宋体"/>
                <w:szCs w:val="21"/>
                <w:highlight w:val="none"/>
              </w:rPr>
              <w:t>形式评审标准</w:t>
            </w:r>
          </w:p>
        </w:tc>
        <w:tc>
          <w:tcPr>
            <w:tcW w:w="2158" w:type="dxa"/>
            <w:noWrap/>
            <w:vAlign w:val="center"/>
          </w:tcPr>
          <w:p w14:paraId="73517A2E">
            <w:pPr>
              <w:spacing w:line="440" w:lineRule="exact"/>
              <w:rPr>
                <w:rFonts w:ascii="宋体" w:hAnsi="宋体" w:cs="宋体"/>
                <w:szCs w:val="21"/>
                <w:highlight w:val="none"/>
              </w:rPr>
            </w:pPr>
            <w:r>
              <w:rPr>
                <w:rFonts w:hint="eastAsia" w:ascii="宋体" w:hAnsi="宋体" w:cs="宋体"/>
                <w:szCs w:val="21"/>
                <w:highlight w:val="none"/>
              </w:rPr>
              <w:t>投标函签字盖章</w:t>
            </w:r>
          </w:p>
        </w:tc>
        <w:tc>
          <w:tcPr>
            <w:tcW w:w="4727" w:type="dxa"/>
            <w:noWrap/>
          </w:tcPr>
          <w:p w14:paraId="2DBE6DD3">
            <w:pPr>
              <w:spacing w:line="440" w:lineRule="exact"/>
              <w:rPr>
                <w:rFonts w:ascii="宋体" w:hAnsi="宋体" w:cs="宋体"/>
                <w:szCs w:val="21"/>
                <w:highlight w:val="none"/>
              </w:rPr>
            </w:pPr>
            <w:r>
              <w:rPr>
                <w:rFonts w:hint="eastAsia" w:ascii="宋体" w:hAnsi="宋体" w:cs="宋体"/>
                <w:szCs w:val="21"/>
                <w:highlight w:val="none"/>
              </w:rPr>
              <w:t>有投标人及其法定代表人签章</w:t>
            </w:r>
          </w:p>
        </w:tc>
      </w:tr>
      <w:tr w14:paraId="5E027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811" w:type="dxa"/>
            <w:vMerge w:val="continue"/>
            <w:noWrap/>
          </w:tcPr>
          <w:p w14:paraId="274A7B26">
            <w:pPr>
              <w:spacing w:line="440" w:lineRule="exact"/>
              <w:rPr>
                <w:rFonts w:ascii="宋体" w:hAnsi="宋体" w:cs="宋体"/>
                <w:szCs w:val="21"/>
                <w:highlight w:val="none"/>
              </w:rPr>
            </w:pPr>
          </w:p>
        </w:tc>
        <w:tc>
          <w:tcPr>
            <w:tcW w:w="1860" w:type="dxa"/>
            <w:gridSpan w:val="2"/>
            <w:vMerge w:val="continue"/>
            <w:noWrap/>
          </w:tcPr>
          <w:p w14:paraId="7570E8C7">
            <w:pPr>
              <w:spacing w:line="440" w:lineRule="exact"/>
              <w:rPr>
                <w:rFonts w:ascii="宋体" w:hAnsi="宋体" w:cs="宋体"/>
                <w:szCs w:val="21"/>
                <w:highlight w:val="none"/>
              </w:rPr>
            </w:pPr>
          </w:p>
        </w:tc>
        <w:tc>
          <w:tcPr>
            <w:tcW w:w="2158" w:type="dxa"/>
            <w:noWrap/>
            <w:vAlign w:val="center"/>
          </w:tcPr>
          <w:p w14:paraId="45179B0C">
            <w:pPr>
              <w:spacing w:line="440" w:lineRule="exact"/>
              <w:rPr>
                <w:rFonts w:ascii="宋体" w:hAnsi="宋体" w:cs="宋体"/>
                <w:szCs w:val="21"/>
                <w:highlight w:val="none"/>
              </w:rPr>
            </w:pPr>
            <w:r>
              <w:rPr>
                <w:rFonts w:hint="eastAsia" w:ascii="宋体" w:hAnsi="宋体" w:cs="宋体"/>
                <w:szCs w:val="21"/>
                <w:highlight w:val="none"/>
              </w:rPr>
              <w:t>投标文件格式</w:t>
            </w:r>
          </w:p>
        </w:tc>
        <w:tc>
          <w:tcPr>
            <w:tcW w:w="4727" w:type="dxa"/>
            <w:noWrap/>
          </w:tcPr>
          <w:p w14:paraId="24166B6D">
            <w:pPr>
              <w:spacing w:line="440" w:lineRule="exact"/>
              <w:jc w:val="left"/>
              <w:rPr>
                <w:rFonts w:ascii="宋体" w:hAnsi="宋体" w:cs="宋体"/>
                <w:szCs w:val="21"/>
                <w:highlight w:val="none"/>
              </w:rPr>
            </w:pPr>
            <w:r>
              <w:rPr>
                <w:rFonts w:hint="eastAsia" w:ascii="宋体" w:hAnsi="宋体" w:cs="宋体"/>
                <w:szCs w:val="21"/>
                <w:highlight w:val="none"/>
              </w:rPr>
              <w:t>符合第</w:t>
            </w:r>
            <w:r>
              <w:rPr>
                <w:rFonts w:hint="eastAsia" w:ascii="宋体" w:hAnsi="宋体" w:cs="宋体"/>
                <w:szCs w:val="21"/>
                <w:highlight w:val="none"/>
                <w:lang w:val="en-US" w:eastAsia="zh-CN"/>
              </w:rPr>
              <w:t>六</w:t>
            </w:r>
            <w:r>
              <w:rPr>
                <w:rFonts w:hint="eastAsia" w:ascii="宋体" w:hAnsi="宋体" w:cs="宋体"/>
                <w:szCs w:val="21"/>
                <w:highlight w:val="none"/>
              </w:rPr>
              <w:t>章“投标文件格式”的要求</w:t>
            </w:r>
          </w:p>
        </w:tc>
      </w:tr>
      <w:tr w14:paraId="327F9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811" w:type="dxa"/>
            <w:vMerge w:val="continue"/>
            <w:noWrap/>
          </w:tcPr>
          <w:p w14:paraId="7C9F9938">
            <w:pPr>
              <w:spacing w:line="440" w:lineRule="exact"/>
              <w:rPr>
                <w:rFonts w:ascii="宋体" w:hAnsi="宋体" w:cs="宋体"/>
                <w:szCs w:val="21"/>
                <w:highlight w:val="none"/>
              </w:rPr>
            </w:pPr>
          </w:p>
        </w:tc>
        <w:tc>
          <w:tcPr>
            <w:tcW w:w="1860" w:type="dxa"/>
            <w:gridSpan w:val="2"/>
            <w:vMerge w:val="continue"/>
            <w:noWrap/>
          </w:tcPr>
          <w:p w14:paraId="083A6289">
            <w:pPr>
              <w:spacing w:line="440" w:lineRule="exact"/>
              <w:rPr>
                <w:rFonts w:ascii="宋体" w:hAnsi="宋体" w:cs="宋体"/>
                <w:szCs w:val="21"/>
                <w:highlight w:val="none"/>
              </w:rPr>
            </w:pPr>
          </w:p>
        </w:tc>
        <w:tc>
          <w:tcPr>
            <w:tcW w:w="2158" w:type="dxa"/>
            <w:noWrap/>
            <w:vAlign w:val="center"/>
          </w:tcPr>
          <w:p w14:paraId="5EC25201">
            <w:pPr>
              <w:spacing w:line="440" w:lineRule="exact"/>
              <w:rPr>
                <w:rFonts w:ascii="宋体" w:hAnsi="宋体" w:cs="宋体"/>
                <w:szCs w:val="21"/>
                <w:highlight w:val="none"/>
              </w:rPr>
            </w:pPr>
            <w:r>
              <w:rPr>
                <w:rFonts w:hint="eastAsia" w:ascii="宋体" w:hAnsi="宋体" w:cs="宋体"/>
                <w:szCs w:val="21"/>
                <w:highlight w:val="none"/>
              </w:rPr>
              <w:t>报价唯一</w:t>
            </w:r>
          </w:p>
        </w:tc>
        <w:tc>
          <w:tcPr>
            <w:tcW w:w="4727" w:type="dxa"/>
            <w:noWrap/>
          </w:tcPr>
          <w:p w14:paraId="1080A4B7">
            <w:pPr>
              <w:spacing w:line="440" w:lineRule="exact"/>
              <w:jc w:val="left"/>
              <w:rPr>
                <w:rFonts w:ascii="宋体" w:hAnsi="宋体" w:cs="宋体"/>
                <w:szCs w:val="21"/>
                <w:highlight w:val="none"/>
              </w:rPr>
            </w:pPr>
            <w:r>
              <w:rPr>
                <w:rFonts w:hint="eastAsia" w:ascii="宋体" w:hAnsi="宋体" w:cs="宋体"/>
                <w:szCs w:val="21"/>
                <w:highlight w:val="none"/>
              </w:rPr>
              <w:t>只能有一个报价</w:t>
            </w:r>
          </w:p>
        </w:tc>
      </w:tr>
      <w:tr w14:paraId="7D302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811" w:type="dxa"/>
            <w:vMerge w:val="restart"/>
            <w:noWrap/>
            <w:vAlign w:val="center"/>
          </w:tcPr>
          <w:p w14:paraId="27814028">
            <w:pPr>
              <w:spacing w:line="440" w:lineRule="exact"/>
              <w:jc w:val="center"/>
              <w:rPr>
                <w:rFonts w:ascii="宋体" w:hAnsi="宋体" w:cs="宋体"/>
                <w:szCs w:val="21"/>
                <w:highlight w:val="none"/>
              </w:rPr>
            </w:pPr>
            <w:r>
              <w:rPr>
                <w:rFonts w:hint="eastAsia" w:ascii="宋体" w:hAnsi="宋体" w:cs="宋体"/>
                <w:szCs w:val="21"/>
                <w:highlight w:val="none"/>
              </w:rPr>
              <w:t>4.2.2</w:t>
            </w:r>
          </w:p>
        </w:tc>
        <w:tc>
          <w:tcPr>
            <w:tcW w:w="1860" w:type="dxa"/>
            <w:gridSpan w:val="2"/>
            <w:vMerge w:val="restart"/>
            <w:noWrap/>
            <w:vAlign w:val="center"/>
          </w:tcPr>
          <w:p w14:paraId="477FB6B5">
            <w:pPr>
              <w:spacing w:line="440" w:lineRule="exact"/>
              <w:rPr>
                <w:rFonts w:ascii="宋体" w:hAnsi="宋体" w:cs="宋体"/>
                <w:szCs w:val="21"/>
                <w:highlight w:val="none"/>
              </w:rPr>
            </w:pPr>
            <w:r>
              <w:rPr>
                <w:rFonts w:hint="eastAsia" w:ascii="宋体" w:hAnsi="宋体" w:cs="宋体"/>
                <w:szCs w:val="21"/>
                <w:highlight w:val="none"/>
              </w:rPr>
              <w:t>响应性评审标准</w:t>
            </w:r>
          </w:p>
        </w:tc>
        <w:tc>
          <w:tcPr>
            <w:tcW w:w="2158" w:type="dxa"/>
            <w:noWrap/>
            <w:vAlign w:val="center"/>
          </w:tcPr>
          <w:p w14:paraId="341144D6">
            <w:pPr>
              <w:spacing w:line="440" w:lineRule="exact"/>
              <w:rPr>
                <w:rFonts w:ascii="宋体" w:hAnsi="宋体" w:cs="宋体"/>
                <w:szCs w:val="21"/>
                <w:highlight w:val="none"/>
              </w:rPr>
            </w:pPr>
            <w:r>
              <w:rPr>
                <w:rFonts w:hint="eastAsia" w:ascii="宋体" w:hAnsi="宋体" w:cs="宋体"/>
                <w:szCs w:val="21"/>
                <w:highlight w:val="none"/>
              </w:rPr>
              <w:t>服务期限</w:t>
            </w:r>
          </w:p>
        </w:tc>
        <w:tc>
          <w:tcPr>
            <w:tcW w:w="4727" w:type="dxa"/>
            <w:noWrap/>
            <w:vAlign w:val="center"/>
          </w:tcPr>
          <w:p w14:paraId="37215412">
            <w:pPr>
              <w:spacing w:line="440" w:lineRule="exact"/>
              <w:rPr>
                <w:rFonts w:ascii="宋体" w:hAnsi="宋体" w:cs="宋体"/>
                <w:szCs w:val="21"/>
                <w:highlight w:val="none"/>
              </w:rPr>
            </w:pPr>
            <w:r>
              <w:rPr>
                <w:rFonts w:hint="eastAsia" w:ascii="宋体" w:hAnsi="宋体" w:cs="宋体"/>
                <w:szCs w:val="21"/>
                <w:highlight w:val="none"/>
              </w:rPr>
              <w:t>符合投标须知前附表规定</w:t>
            </w:r>
          </w:p>
        </w:tc>
      </w:tr>
      <w:tr w14:paraId="5507E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811" w:type="dxa"/>
            <w:vMerge w:val="continue"/>
            <w:noWrap/>
          </w:tcPr>
          <w:p w14:paraId="1AFE4EF1">
            <w:pPr>
              <w:spacing w:line="440" w:lineRule="exact"/>
              <w:rPr>
                <w:rFonts w:ascii="宋体" w:hAnsi="宋体" w:cs="宋体"/>
                <w:szCs w:val="21"/>
                <w:highlight w:val="none"/>
              </w:rPr>
            </w:pPr>
          </w:p>
        </w:tc>
        <w:tc>
          <w:tcPr>
            <w:tcW w:w="1860" w:type="dxa"/>
            <w:gridSpan w:val="2"/>
            <w:vMerge w:val="continue"/>
            <w:noWrap/>
          </w:tcPr>
          <w:p w14:paraId="7B4C01AA">
            <w:pPr>
              <w:spacing w:line="440" w:lineRule="exact"/>
              <w:rPr>
                <w:rFonts w:ascii="宋体" w:hAnsi="宋体" w:cs="宋体"/>
                <w:szCs w:val="21"/>
                <w:highlight w:val="none"/>
              </w:rPr>
            </w:pPr>
          </w:p>
        </w:tc>
        <w:tc>
          <w:tcPr>
            <w:tcW w:w="2158" w:type="dxa"/>
            <w:noWrap/>
            <w:vAlign w:val="center"/>
          </w:tcPr>
          <w:p w14:paraId="1A3A3F53">
            <w:pPr>
              <w:spacing w:line="440" w:lineRule="exact"/>
              <w:rPr>
                <w:rFonts w:ascii="宋体" w:hAnsi="宋体" w:cs="宋体"/>
                <w:szCs w:val="21"/>
                <w:highlight w:val="none"/>
              </w:rPr>
            </w:pPr>
            <w:r>
              <w:rPr>
                <w:rFonts w:hint="eastAsia" w:ascii="宋体" w:hAnsi="宋体" w:cs="宋体"/>
                <w:szCs w:val="21"/>
                <w:highlight w:val="none"/>
              </w:rPr>
              <w:t>投标有效期</w:t>
            </w:r>
          </w:p>
        </w:tc>
        <w:tc>
          <w:tcPr>
            <w:tcW w:w="4727" w:type="dxa"/>
            <w:noWrap/>
            <w:vAlign w:val="center"/>
          </w:tcPr>
          <w:p w14:paraId="4CC287BA">
            <w:pPr>
              <w:spacing w:line="440" w:lineRule="exact"/>
              <w:rPr>
                <w:rFonts w:ascii="宋体" w:hAnsi="宋体" w:cs="宋体"/>
                <w:szCs w:val="21"/>
                <w:highlight w:val="none"/>
              </w:rPr>
            </w:pPr>
            <w:r>
              <w:rPr>
                <w:rFonts w:hint="eastAsia" w:ascii="宋体" w:hAnsi="宋体" w:cs="宋体"/>
                <w:szCs w:val="21"/>
                <w:highlight w:val="none"/>
              </w:rPr>
              <w:t>符合投标须知前附表规定</w:t>
            </w:r>
          </w:p>
        </w:tc>
      </w:tr>
      <w:tr w14:paraId="3F30D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811" w:type="dxa"/>
            <w:vMerge w:val="continue"/>
            <w:noWrap/>
          </w:tcPr>
          <w:p w14:paraId="2D8AC126">
            <w:pPr>
              <w:spacing w:line="440" w:lineRule="exact"/>
              <w:rPr>
                <w:rFonts w:ascii="宋体" w:hAnsi="宋体" w:cs="宋体"/>
                <w:szCs w:val="21"/>
                <w:highlight w:val="none"/>
              </w:rPr>
            </w:pPr>
          </w:p>
        </w:tc>
        <w:tc>
          <w:tcPr>
            <w:tcW w:w="1860" w:type="dxa"/>
            <w:gridSpan w:val="2"/>
            <w:vMerge w:val="continue"/>
            <w:noWrap/>
          </w:tcPr>
          <w:p w14:paraId="6058B882">
            <w:pPr>
              <w:spacing w:line="440" w:lineRule="exact"/>
              <w:rPr>
                <w:rFonts w:ascii="宋体" w:hAnsi="宋体" w:cs="宋体"/>
                <w:szCs w:val="21"/>
                <w:highlight w:val="none"/>
              </w:rPr>
            </w:pPr>
          </w:p>
        </w:tc>
        <w:tc>
          <w:tcPr>
            <w:tcW w:w="2158" w:type="dxa"/>
            <w:noWrap/>
            <w:vAlign w:val="center"/>
          </w:tcPr>
          <w:p w14:paraId="59243F41">
            <w:pPr>
              <w:spacing w:line="440" w:lineRule="exact"/>
              <w:rPr>
                <w:rFonts w:ascii="宋体" w:hAnsi="宋体" w:cs="宋体"/>
                <w:szCs w:val="21"/>
                <w:highlight w:val="none"/>
              </w:rPr>
            </w:pPr>
            <w:r>
              <w:rPr>
                <w:rFonts w:hint="eastAsia" w:ascii="宋体" w:hAnsi="宋体" w:cs="宋体"/>
                <w:szCs w:val="21"/>
                <w:highlight w:val="none"/>
              </w:rPr>
              <w:t>工程质量</w:t>
            </w:r>
          </w:p>
        </w:tc>
        <w:tc>
          <w:tcPr>
            <w:tcW w:w="4727" w:type="dxa"/>
            <w:noWrap/>
            <w:vAlign w:val="center"/>
          </w:tcPr>
          <w:p w14:paraId="6B69FB9B">
            <w:pPr>
              <w:spacing w:line="440" w:lineRule="exact"/>
              <w:rPr>
                <w:rFonts w:ascii="宋体" w:hAnsi="宋体" w:cs="宋体"/>
                <w:szCs w:val="21"/>
                <w:highlight w:val="none"/>
              </w:rPr>
            </w:pPr>
            <w:r>
              <w:rPr>
                <w:rFonts w:hint="eastAsia" w:ascii="宋体" w:hAnsi="宋体" w:cs="宋体"/>
                <w:szCs w:val="21"/>
                <w:highlight w:val="none"/>
              </w:rPr>
              <w:t>符合投标须知前附表规定</w:t>
            </w:r>
          </w:p>
        </w:tc>
      </w:tr>
      <w:tr w14:paraId="2F17D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811" w:type="dxa"/>
            <w:vMerge w:val="continue"/>
            <w:noWrap/>
          </w:tcPr>
          <w:p w14:paraId="58017497">
            <w:pPr>
              <w:spacing w:line="440" w:lineRule="exact"/>
              <w:rPr>
                <w:rFonts w:ascii="宋体" w:hAnsi="宋体" w:cs="宋体"/>
                <w:szCs w:val="21"/>
                <w:highlight w:val="none"/>
              </w:rPr>
            </w:pPr>
          </w:p>
        </w:tc>
        <w:tc>
          <w:tcPr>
            <w:tcW w:w="1860" w:type="dxa"/>
            <w:gridSpan w:val="2"/>
            <w:vMerge w:val="continue"/>
            <w:noWrap/>
          </w:tcPr>
          <w:p w14:paraId="03CDB8FB">
            <w:pPr>
              <w:spacing w:line="440" w:lineRule="exact"/>
              <w:rPr>
                <w:rFonts w:ascii="宋体" w:hAnsi="宋体" w:cs="宋体"/>
                <w:szCs w:val="21"/>
                <w:highlight w:val="none"/>
              </w:rPr>
            </w:pPr>
          </w:p>
        </w:tc>
        <w:tc>
          <w:tcPr>
            <w:tcW w:w="2158" w:type="dxa"/>
            <w:noWrap/>
            <w:vAlign w:val="center"/>
          </w:tcPr>
          <w:p w14:paraId="68CD3BA7">
            <w:pPr>
              <w:spacing w:line="440" w:lineRule="exact"/>
              <w:rPr>
                <w:rFonts w:ascii="宋体" w:hAnsi="宋体" w:cs="宋体"/>
                <w:szCs w:val="21"/>
                <w:highlight w:val="none"/>
              </w:rPr>
            </w:pPr>
            <w:r>
              <w:rPr>
                <w:rFonts w:hint="eastAsia" w:ascii="宋体" w:hAnsi="宋体" w:cs="宋体"/>
                <w:szCs w:val="21"/>
                <w:highlight w:val="none"/>
              </w:rPr>
              <w:t>投标文件内容</w:t>
            </w:r>
          </w:p>
        </w:tc>
        <w:tc>
          <w:tcPr>
            <w:tcW w:w="4727" w:type="dxa"/>
            <w:noWrap/>
            <w:vAlign w:val="center"/>
          </w:tcPr>
          <w:p w14:paraId="7A7D463D">
            <w:pPr>
              <w:spacing w:line="440" w:lineRule="exact"/>
              <w:rPr>
                <w:rFonts w:ascii="宋体" w:hAnsi="宋体" w:cs="宋体"/>
                <w:szCs w:val="21"/>
                <w:highlight w:val="none"/>
              </w:rPr>
            </w:pPr>
            <w:r>
              <w:rPr>
                <w:rFonts w:hint="eastAsia" w:ascii="宋体" w:hAnsi="宋体" w:cs="宋体"/>
                <w:szCs w:val="21"/>
                <w:highlight w:val="none"/>
              </w:rPr>
              <w:t>符合投标须知前附表规定</w:t>
            </w:r>
          </w:p>
        </w:tc>
      </w:tr>
      <w:tr w14:paraId="1D93E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811" w:type="dxa"/>
            <w:vMerge w:val="continue"/>
            <w:noWrap/>
          </w:tcPr>
          <w:p w14:paraId="7CC84D4C">
            <w:pPr>
              <w:spacing w:line="440" w:lineRule="exact"/>
              <w:rPr>
                <w:rFonts w:ascii="宋体" w:hAnsi="宋体" w:cs="宋体"/>
                <w:szCs w:val="21"/>
                <w:highlight w:val="none"/>
              </w:rPr>
            </w:pPr>
          </w:p>
        </w:tc>
        <w:tc>
          <w:tcPr>
            <w:tcW w:w="1860" w:type="dxa"/>
            <w:gridSpan w:val="2"/>
            <w:vMerge w:val="continue"/>
            <w:noWrap/>
          </w:tcPr>
          <w:p w14:paraId="6C3BBE5A">
            <w:pPr>
              <w:spacing w:line="440" w:lineRule="exact"/>
              <w:rPr>
                <w:rFonts w:ascii="宋体" w:hAnsi="宋体" w:cs="宋体"/>
                <w:szCs w:val="21"/>
                <w:highlight w:val="none"/>
              </w:rPr>
            </w:pPr>
          </w:p>
        </w:tc>
        <w:tc>
          <w:tcPr>
            <w:tcW w:w="2158" w:type="dxa"/>
            <w:noWrap/>
            <w:vAlign w:val="center"/>
          </w:tcPr>
          <w:p w14:paraId="7B8E7F30">
            <w:pPr>
              <w:spacing w:line="440" w:lineRule="exact"/>
              <w:rPr>
                <w:rFonts w:ascii="宋体" w:hAnsi="宋体" w:cs="宋体"/>
                <w:szCs w:val="21"/>
                <w:highlight w:val="none"/>
              </w:rPr>
            </w:pPr>
            <w:r>
              <w:rPr>
                <w:rFonts w:hint="eastAsia" w:ascii="宋体" w:hAnsi="宋体" w:cs="宋体"/>
                <w:szCs w:val="21"/>
                <w:highlight w:val="none"/>
              </w:rPr>
              <w:t>投标报价</w:t>
            </w:r>
          </w:p>
        </w:tc>
        <w:tc>
          <w:tcPr>
            <w:tcW w:w="4727" w:type="dxa"/>
            <w:noWrap/>
            <w:vAlign w:val="center"/>
          </w:tcPr>
          <w:p w14:paraId="2BF22B2C">
            <w:pPr>
              <w:spacing w:line="440" w:lineRule="exact"/>
              <w:rPr>
                <w:rFonts w:ascii="宋体" w:hAnsi="宋体" w:cs="宋体"/>
                <w:szCs w:val="21"/>
                <w:highlight w:val="none"/>
              </w:rPr>
            </w:pPr>
            <w:r>
              <w:rPr>
                <w:rFonts w:hint="eastAsia" w:ascii="宋体" w:hAnsi="宋体" w:cs="宋体"/>
                <w:szCs w:val="21"/>
                <w:highlight w:val="none"/>
              </w:rPr>
              <w:t>不高于最高限价</w:t>
            </w:r>
          </w:p>
        </w:tc>
      </w:tr>
      <w:tr w14:paraId="1CF67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1726" w:type="dxa"/>
            <w:gridSpan w:val="2"/>
            <w:noWrap/>
            <w:vAlign w:val="center"/>
          </w:tcPr>
          <w:p w14:paraId="66B78BCE">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报价（费率）</w:t>
            </w:r>
          </w:p>
          <w:p w14:paraId="49517FE3">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leftChars="0" w:right="0" w:rightChars="0"/>
              <w:jc w:val="center"/>
              <w:textAlignment w:val="auto"/>
              <w:rPr>
                <w:rFonts w:hint="default" w:ascii="宋体" w:hAnsi="宋体" w:cs="宋体"/>
                <w:bCs/>
                <w:color w:val="auto"/>
                <w:szCs w:val="21"/>
                <w:highlight w:val="none"/>
                <w:lang w:val="en-US"/>
              </w:rPr>
            </w:pPr>
            <w:r>
              <w:rPr>
                <w:rFonts w:hint="eastAsia" w:ascii="宋体" w:hAnsi="宋体" w:cs="宋体"/>
                <w:color w:val="auto"/>
                <w:sz w:val="21"/>
                <w:szCs w:val="21"/>
                <w:highlight w:val="none"/>
                <w:lang w:val="en-US" w:eastAsia="zh-CN"/>
              </w:rPr>
              <w:t>（35分）</w:t>
            </w:r>
          </w:p>
        </w:tc>
        <w:tc>
          <w:tcPr>
            <w:tcW w:w="7830" w:type="dxa"/>
            <w:gridSpan w:val="3"/>
            <w:noWrap/>
            <w:vAlign w:val="center"/>
          </w:tcPr>
          <w:p w14:paraId="7E45AB29">
            <w:pPr>
              <w:keepNext w:val="0"/>
              <w:keepLines w:val="0"/>
              <w:pageBreakBefore w:val="0"/>
              <w:widowControl w:val="0"/>
              <w:suppressLineNumbers w:val="0"/>
              <w:tabs>
                <w:tab w:val="left" w:pos="1080"/>
              </w:tabs>
              <w:kinsoku/>
              <w:wordWrap/>
              <w:overflowPunct/>
              <w:topLinePunct w:val="0"/>
              <w:autoSpaceDE/>
              <w:autoSpaceDN/>
              <w:bidi w:val="0"/>
              <w:adjustRightInd/>
              <w:snapToGrid/>
              <w:spacing w:before="0" w:beforeAutospacing="0" w:after="0" w:afterAutospacing="0" w:line="440" w:lineRule="exact"/>
              <w:ind w:left="0" w:right="0"/>
              <w:textAlignment w:val="auto"/>
              <w:rPr>
                <w:rFonts w:hint="eastAsia"/>
              </w:rPr>
            </w:pPr>
            <w:r>
              <w:rPr>
                <w:rFonts w:hint="eastAsia"/>
              </w:rPr>
              <w:t>采购人设置投标报价最高限价，各投标人有效报价不得高于最高限价，否则，其投标文件按无效标处理。投标单位所报基本费率为0‰或负数的，其商务标不得分，且该报价所对应的审计费不得作为评标基准价。</w:t>
            </w:r>
          </w:p>
          <w:p w14:paraId="03D58ADF">
            <w:pPr>
              <w:keepNext w:val="0"/>
              <w:keepLines w:val="0"/>
              <w:pageBreakBefore w:val="0"/>
              <w:widowControl w:val="0"/>
              <w:suppressLineNumbers w:val="0"/>
              <w:tabs>
                <w:tab w:val="left" w:pos="1080"/>
              </w:tabs>
              <w:kinsoku/>
              <w:wordWrap/>
              <w:overflowPunct/>
              <w:topLinePunct w:val="0"/>
              <w:autoSpaceDE/>
              <w:autoSpaceDN/>
              <w:bidi w:val="0"/>
              <w:adjustRightInd/>
              <w:snapToGrid/>
              <w:spacing w:before="0" w:beforeAutospacing="0" w:after="0" w:afterAutospacing="0" w:line="440" w:lineRule="exact"/>
              <w:ind w:left="0" w:right="0"/>
              <w:textAlignment w:val="auto"/>
              <w:rPr>
                <w:rFonts w:hint="eastAsia"/>
              </w:rPr>
            </w:pPr>
            <w:r>
              <w:rPr>
                <w:rFonts w:hint="eastAsia"/>
              </w:rPr>
              <w:t>1.评标基准价=所有有效投标人的最低报价；其得分为满分；</w:t>
            </w:r>
          </w:p>
          <w:p w14:paraId="1890079A">
            <w:pPr>
              <w:keepNext w:val="0"/>
              <w:keepLines w:val="0"/>
              <w:pageBreakBefore w:val="0"/>
              <w:widowControl w:val="0"/>
              <w:suppressLineNumbers w:val="0"/>
              <w:tabs>
                <w:tab w:val="left" w:pos="1080"/>
              </w:tabs>
              <w:kinsoku/>
              <w:wordWrap/>
              <w:overflowPunct/>
              <w:topLinePunct w:val="0"/>
              <w:autoSpaceDE/>
              <w:autoSpaceDN/>
              <w:bidi w:val="0"/>
              <w:adjustRightInd/>
              <w:snapToGrid/>
              <w:spacing w:before="0" w:beforeAutospacing="0" w:after="0" w:afterAutospacing="0" w:line="440" w:lineRule="exact"/>
              <w:ind w:left="0" w:right="0"/>
              <w:textAlignment w:val="auto"/>
              <w:rPr>
                <w:rFonts w:hint="eastAsia"/>
              </w:rPr>
            </w:pPr>
            <w:r>
              <w:rPr>
                <w:rFonts w:hint="eastAsia"/>
              </w:rPr>
              <w:t>2</w:t>
            </w:r>
            <w:r>
              <w:rPr>
                <w:rFonts w:hint="eastAsia"/>
                <w:lang w:val="en-US" w:eastAsia="zh-CN"/>
              </w:rPr>
              <w:t>.</w:t>
            </w:r>
            <w:r>
              <w:rPr>
                <w:rFonts w:hint="eastAsia"/>
              </w:rPr>
              <w:t>其它报价得分=评标基准价/投标报价*</w:t>
            </w:r>
            <w:r>
              <w:rPr>
                <w:rFonts w:hint="eastAsia"/>
                <w:lang w:val="en-US" w:eastAsia="zh-CN"/>
              </w:rPr>
              <w:t>35</w:t>
            </w:r>
            <w:r>
              <w:rPr>
                <w:rFonts w:hint="eastAsia"/>
              </w:rPr>
              <w:t>分，小数点后保留两位小数，第三位四舍五入；</w:t>
            </w:r>
          </w:p>
          <w:p w14:paraId="2401C476">
            <w:pPr>
              <w:keepNext w:val="0"/>
              <w:keepLines w:val="0"/>
              <w:pageBreakBefore w:val="0"/>
              <w:widowControl w:val="0"/>
              <w:suppressLineNumbers w:val="0"/>
              <w:tabs>
                <w:tab w:val="left" w:pos="1080"/>
              </w:tabs>
              <w:kinsoku/>
              <w:wordWrap/>
              <w:overflowPunct/>
              <w:topLinePunct w:val="0"/>
              <w:autoSpaceDE/>
              <w:autoSpaceDN/>
              <w:bidi w:val="0"/>
              <w:adjustRightInd/>
              <w:snapToGrid/>
              <w:spacing w:before="0" w:beforeAutospacing="0" w:after="0" w:afterAutospacing="0" w:line="440" w:lineRule="exact"/>
              <w:ind w:left="0" w:right="0"/>
              <w:jc w:val="left"/>
              <w:textAlignment w:val="auto"/>
              <w:rPr>
                <w:rFonts w:hint="eastAsia"/>
                <w:lang w:eastAsia="zh-CN"/>
              </w:rPr>
            </w:pPr>
            <w:r>
              <w:rPr>
                <w:rFonts w:hint="eastAsia"/>
                <w:lang w:val="en-US" w:eastAsia="zh-CN"/>
              </w:rPr>
              <w:t>3</w:t>
            </w:r>
            <w:r>
              <w:rPr>
                <w:rFonts w:hint="eastAsia"/>
              </w:rPr>
              <w:t>.本项分值由评标委员会负责组织计算</w:t>
            </w:r>
            <w:r>
              <w:rPr>
                <w:rFonts w:hint="eastAsia"/>
                <w:lang w:eastAsia="zh-CN"/>
              </w:rPr>
              <w:t>。</w:t>
            </w:r>
          </w:p>
          <w:p w14:paraId="17F2C858">
            <w:pPr>
              <w:keepNext w:val="0"/>
              <w:keepLines w:val="0"/>
              <w:pageBreakBefore w:val="0"/>
              <w:numPr>
                <w:ilvl w:val="0"/>
                <w:numId w:val="0"/>
              </w:numPr>
              <w:kinsoku/>
              <w:wordWrap/>
              <w:overflowPunct/>
              <w:autoSpaceDN/>
              <w:bidi w:val="0"/>
              <w:spacing w:line="400" w:lineRule="exact"/>
              <w:ind w:leftChars="0"/>
              <w:textAlignment w:val="auto"/>
              <w:rPr>
                <w:rFonts w:hint="eastAsia"/>
                <w:lang w:val="en-US" w:eastAsia="zh-CN"/>
              </w:rPr>
            </w:pPr>
            <w:r>
              <w:rPr>
                <w:rFonts w:hint="eastAsia"/>
                <w:lang w:val="en-US" w:eastAsia="zh-CN"/>
              </w:rPr>
              <w:t>注：（1）商务报价得分按照各投标单位所报费率计算得出的审计费用参与计算。投标单位所报基本费率为0‰或负数的，其商务标不得分，且该报价所对应的审计费不得作为评标基准价。审计费用计算公式=所报基本费率</w:t>
            </w:r>
            <w:r>
              <w:rPr>
                <w:rFonts w:hint="default"/>
                <w:lang w:val="en-US" w:eastAsia="zh-CN"/>
              </w:rPr>
              <w:t>×</w:t>
            </w:r>
            <w:r>
              <w:rPr>
                <w:rFonts w:hint="eastAsia"/>
                <w:lang w:val="en-US" w:eastAsia="zh-CN"/>
              </w:rPr>
              <w:t>500万元+（500万元</w:t>
            </w:r>
            <w:r>
              <w:rPr>
                <w:rFonts w:hint="default"/>
                <w:lang w:val="en-US" w:eastAsia="zh-CN"/>
              </w:rPr>
              <w:t>×</w:t>
            </w:r>
            <w:r>
              <w:rPr>
                <w:rFonts w:hint="eastAsia"/>
                <w:lang w:val="en-US" w:eastAsia="zh-CN"/>
              </w:rPr>
              <w:t>5%）</w:t>
            </w:r>
            <w:r>
              <w:rPr>
                <w:rFonts w:hint="default"/>
                <w:lang w:val="en-US" w:eastAsia="zh-CN"/>
              </w:rPr>
              <w:t>×</w:t>
            </w:r>
            <w:r>
              <w:rPr>
                <w:rFonts w:hint="eastAsia"/>
                <w:lang w:val="en-US" w:eastAsia="zh-CN"/>
              </w:rPr>
              <w:t>1.5%。</w:t>
            </w:r>
          </w:p>
          <w:p w14:paraId="1903C723">
            <w:pPr>
              <w:keepNext w:val="0"/>
              <w:keepLines w:val="0"/>
              <w:pageBreakBefore w:val="0"/>
              <w:numPr>
                <w:ilvl w:val="0"/>
                <w:numId w:val="0"/>
              </w:numPr>
              <w:kinsoku/>
              <w:wordWrap/>
              <w:overflowPunct/>
              <w:autoSpaceDN/>
              <w:bidi w:val="0"/>
              <w:spacing w:line="400" w:lineRule="exact"/>
              <w:ind w:leftChars="0"/>
              <w:textAlignment w:val="auto"/>
              <w:rPr>
                <w:rFonts w:hint="eastAsia"/>
                <w:lang w:val="en-US" w:eastAsia="zh-CN"/>
              </w:rPr>
            </w:pPr>
            <w:r>
              <w:rPr>
                <w:rFonts w:hint="eastAsia"/>
                <w:lang w:val="en-US" w:eastAsia="zh-CN"/>
              </w:rPr>
              <w:t>①基本费用中的500万元仅为计算商务报价得分时审计费用的取费基数，最终结算基数以最终审定工程结算价为准。</w:t>
            </w:r>
          </w:p>
          <w:p w14:paraId="4767ABD3">
            <w:pPr>
              <w:keepNext w:val="0"/>
              <w:keepLines w:val="0"/>
              <w:pageBreakBefore w:val="0"/>
              <w:numPr>
                <w:ilvl w:val="0"/>
                <w:numId w:val="0"/>
              </w:numPr>
              <w:kinsoku/>
              <w:wordWrap/>
              <w:overflowPunct/>
              <w:autoSpaceDN/>
              <w:bidi w:val="0"/>
              <w:spacing w:line="400" w:lineRule="exact"/>
              <w:ind w:leftChars="0"/>
              <w:textAlignment w:val="auto"/>
              <w:rPr>
                <w:rFonts w:hint="eastAsia"/>
                <w:lang w:val="en-US" w:eastAsia="zh-CN"/>
              </w:rPr>
            </w:pPr>
            <w:r>
              <w:rPr>
                <w:rFonts w:hint="eastAsia"/>
                <w:lang w:val="en-US" w:eastAsia="zh-CN"/>
              </w:rPr>
              <w:t>②审核成果费中的（500万元</w:t>
            </w:r>
            <w:r>
              <w:rPr>
                <w:rFonts w:hint="default"/>
                <w:lang w:val="en-US" w:eastAsia="zh-CN"/>
              </w:rPr>
              <w:t>×</w:t>
            </w:r>
            <w:r>
              <w:rPr>
                <w:rFonts w:hint="eastAsia"/>
                <w:lang w:val="en-US" w:eastAsia="zh-CN"/>
              </w:rPr>
              <w:t>5%）仅为计算商务报价得分时审计费用的取费基数，最终结算基数以实际审减额为准。</w:t>
            </w:r>
          </w:p>
          <w:p w14:paraId="7EB60A92">
            <w:pPr>
              <w:keepNext w:val="0"/>
              <w:keepLines w:val="0"/>
              <w:pageBreakBefore w:val="0"/>
              <w:numPr>
                <w:ilvl w:val="0"/>
                <w:numId w:val="0"/>
              </w:numPr>
              <w:kinsoku/>
              <w:wordWrap/>
              <w:overflowPunct/>
              <w:autoSpaceDN/>
              <w:bidi w:val="0"/>
              <w:spacing w:line="400" w:lineRule="exact"/>
              <w:ind w:leftChars="0"/>
              <w:textAlignment w:val="auto"/>
              <w:rPr>
                <w:rFonts w:hint="eastAsia"/>
                <w:lang w:val="en-US" w:eastAsia="zh-CN"/>
              </w:rPr>
            </w:pPr>
            <w:r>
              <w:rPr>
                <w:rFonts w:hint="eastAsia"/>
                <w:lang w:val="en-US" w:eastAsia="zh-CN"/>
              </w:rPr>
              <w:t>（2）开评审过程中计算出的审计费用仅用作于商务报价计算得分，不作为合同价的依据。后期结算时以中标基本费率、最终审定工程结算价及实际审减额为基数计算。</w:t>
            </w:r>
          </w:p>
          <w:p w14:paraId="02F716A1">
            <w:pPr>
              <w:keepNext w:val="0"/>
              <w:keepLines w:val="0"/>
              <w:pageBreakBefore w:val="0"/>
              <w:numPr>
                <w:ilvl w:val="0"/>
                <w:numId w:val="0"/>
              </w:numPr>
              <w:kinsoku/>
              <w:wordWrap/>
              <w:overflowPunct/>
              <w:autoSpaceDN/>
              <w:bidi w:val="0"/>
              <w:spacing w:line="400" w:lineRule="exact"/>
              <w:ind w:leftChars="0"/>
              <w:textAlignment w:val="auto"/>
              <w:rPr>
                <w:color w:val="auto"/>
                <w:highlight w:val="none"/>
              </w:rPr>
            </w:pPr>
            <w:r>
              <w:rPr>
                <w:rFonts w:hint="eastAsia"/>
                <w:lang w:val="en-US" w:eastAsia="zh-CN"/>
              </w:rPr>
              <w:t>本项分值由评标委员会负责组织计算。</w:t>
            </w:r>
          </w:p>
        </w:tc>
      </w:tr>
    </w:tbl>
    <w:p w14:paraId="59E5148A">
      <w:pPr>
        <w:pStyle w:val="3"/>
        <w:spacing w:beforeLines="50" w:afterLines="50"/>
        <w:ind w:firstLine="422" w:firstLineChars="200"/>
        <w:rPr>
          <w:rFonts w:ascii="宋体" w:hAnsi="宋体" w:eastAsia="宋体" w:cs="宋体"/>
          <w:highlight w:val="none"/>
        </w:rPr>
      </w:pPr>
      <w:bookmarkStart w:id="748" w:name="_Toc152045589"/>
      <w:bookmarkStart w:id="749" w:name="_Toc144974556"/>
      <w:bookmarkStart w:id="750" w:name="_Toc35424947"/>
      <w:bookmarkStart w:id="751" w:name="_Toc246996975"/>
      <w:bookmarkStart w:id="752" w:name="_Toc247085747"/>
      <w:bookmarkStart w:id="753" w:name="_Toc78803381"/>
      <w:bookmarkStart w:id="754" w:name="_Toc6491"/>
      <w:bookmarkStart w:id="755" w:name="_Toc35425113"/>
      <w:bookmarkStart w:id="756" w:name="_Toc15058913"/>
      <w:bookmarkStart w:id="757" w:name="_Toc324404872"/>
      <w:bookmarkStart w:id="758" w:name="_Toc152042366"/>
      <w:bookmarkStart w:id="759" w:name="_Toc246996232"/>
      <w:bookmarkStart w:id="760" w:name="_Toc506107324"/>
      <w:bookmarkStart w:id="761" w:name="_Toc179632607"/>
      <w:r>
        <w:rPr>
          <w:rFonts w:hint="eastAsia" w:ascii="宋体" w:hAnsi="宋体" w:eastAsia="宋体" w:cs="宋体"/>
          <w:highlight w:val="none"/>
        </w:rPr>
        <w:t>1.评标方法</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p>
    <w:p w14:paraId="172AB4E8">
      <w:pPr>
        <w:snapToGrid w:val="0"/>
        <w:spacing w:line="440" w:lineRule="exact"/>
        <w:ind w:right="252" w:rightChars="120" w:firstLine="420" w:firstLineChars="200"/>
        <w:jc w:val="left"/>
        <w:rPr>
          <w:rFonts w:ascii="宋体" w:hAnsi="宋体" w:cs="宋体"/>
          <w:szCs w:val="21"/>
          <w:highlight w:val="none"/>
        </w:rPr>
      </w:pPr>
      <w:bookmarkStart w:id="762" w:name="_Toc324404873"/>
      <w:bookmarkStart w:id="763" w:name="_Toc296602478"/>
      <w:bookmarkStart w:id="764" w:name="_Toc247085748"/>
      <w:bookmarkStart w:id="765" w:name="_Toc246996976"/>
      <w:bookmarkStart w:id="766" w:name="_Toc144974557"/>
      <w:bookmarkStart w:id="767" w:name="_Toc152042367"/>
      <w:bookmarkStart w:id="768" w:name="_Toc152045590"/>
      <w:bookmarkStart w:id="769" w:name="_Toc246996233"/>
      <w:bookmarkStart w:id="770" w:name="_Toc179632608"/>
      <w:r>
        <w:rPr>
          <w:rFonts w:hint="eastAsia" w:ascii="宋体" w:hAnsi="宋体" w:cs="宋体"/>
          <w:szCs w:val="21"/>
          <w:highlight w:val="none"/>
        </w:rPr>
        <w:t>本次评标采用综合评估法。评标委员会对满足招标文件实质性要求的投标文件，按照本章规定的评分标准进行打分，并按总得分（资信分+技术分+商务分）由高到低顺序推荐中标候选人</w:t>
      </w:r>
      <w:r>
        <w:rPr>
          <w:rFonts w:hint="eastAsia" w:ascii="宋体" w:hAnsi="宋体" w:cs="宋体"/>
          <w:szCs w:val="21"/>
          <w:highlight w:val="none"/>
          <w:lang w:val="en-US" w:eastAsia="zh-CN"/>
        </w:rPr>
        <w:t>3</w:t>
      </w:r>
      <w:r>
        <w:rPr>
          <w:rFonts w:hint="eastAsia" w:ascii="宋体" w:hAnsi="宋体" w:cs="宋体"/>
          <w:szCs w:val="21"/>
          <w:highlight w:val="none"/>
        </w:rPr>
        <w:t>名，并标明</w:t>
      </w:r>
      <w:r>
        <w:rPr>
          <w:rFonts w:hint="eastAsia" w:ascii="宋体" w:hAnsi="宋体" w:cs="宋体"/>
          <w:color w:val="auto"/>
          <w:szCs w:val="21"/>
          <w:highlight w:val="none"/>
        </w:rPr>
        <w:t>排序，但投标报价低于其成本的除外。总评分相等时，以投标报价低的优先；若投标报价也相等，由</w:t>
      </w:r>
      <w:r>
        <w:rPr>
          <w:rFonts w:hint="eastAsia" w:ascii="宋体" w:hAnsi="宋体" w:cs="宋体"/>
          <w:szCs w:val="21"/>
          <w:highlight w:val="none"/>
        </w:rPr>
        <w:t>招标人抽签确定。</w:t>
      </w:r>
    </w:p>
    <w:p w14:paraId="3F12DD3B">
      <w:pPr>
        <w:pStyle w:val="3"/>
        <w:spacing w:beforeLines="50" w:afterLines="50"/>
        <w:ind w:firstLine="422" w:firstLineChars="200"/>
        <w:rPr>
          <w:rFonts w:ascii="宋体" w:hAnsi="宋体" w:eastAsia="宋体" w:cs="宋体"/>
          <w:highlight w:val="none"/>
        </w:rPr>
      </w:pPr>
      <w:bookmarkStart w:id="771" w:name="_Toc35425114"/>
      <w:bookmarkStart w:id="772" w:name="_Toc506107325"/>
      <w:bookmarkStart w:id="773" w:name="_Toc15058914"/>
      <w:bookmarkStart w:id="774" w:name="_Toc35424948"/>
      <w:bookmarkStart w:id="775" w:name="_Toc11945"/>
      <w:bookmarkStart w:id="776" w:name="_Toc78803382"/>
      <w:r>
        <w:rPr>
          <w:rFonts w:hint="eastAsia" w:ascii="宋体" w:hAnsi="宋体" w:eastAsia="宋体" w:cs="宋体"/>
          <w:highlight w:val="none"/>
        </w:rPr>
        <w:t>2.评标委员会的职责</w:t>
      </w:r>
      <w:bookmarkEnd w:id="762"/>
      <w:bookmarkEnd w:id="771"/>
      <w:bookmarkEnd w:id="772"/>
      <w:bookmarkEnd w:id="773"/>
      <w:bookmarkEnd w:id="774"/>
      <w:bookmarkEnd w:id="775"/>
      <w:bookmarkEnd w:id="776"/>
    </w:p>
    <w:p w14:paraId="009BCFE2">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评标委员会应当根据本评标办法，应进行系统地评审和比较，向招标人推荐中标候选人或根据招标人的授权直接确定中标人。各评委必须独立评审，提出评审意见，不受任何单位或者个人的干预。各评委对其各自评审结果负责，并在评标报告上签字确认。对评标结论持有异议的评标委员会成员可以书面方式阐述其不同意见和理由。评标委员会成员拒绝在评标报告上签字且不陈述其不同意见和理由的，视为同意评标结论。评标委员会应当对此作出书面说明并记录在案。</w:t>
      </w:r>
    </w:p>
    <w:p w14:paraId="59C91FEC">
      <w:pPr>
        <w:spacing w:line="440" w:lineRule="exact"/>
        <w:ind w:firstLine="420" w:firstLineChars="200"/>
        <w:jc w:val="left"/>
        <w:rPr>
          <w:rFonts w:ascii="宋体" w:hAnsi="宋体" w:cs="宋体"/>
          <w:szCs w:val="21"/>
          <w:highlight w:val="none"/>
        </w:rPr>
      </w:pPr>
      <w:bookmarkStart w:id="777" w:name="_Toc78803383"/>
      <w:r>
        <w:rPr>
          <w:rFonts w:hint="eastAsia" w:ascii="宋体" w:hAnsi="宋体" w:cs="宋体"/>
          <w:szCs w:val="21"/>
          <w:highlight w:val="none"/>
        </w:rPr>
        <w:t>评标委员会应加强对报价合理性审查。评标评审委员会认为投标人的报价明显低于其他通过符合性审查投标人的报价，有可能影响项目质量或者不能诚信履约的，应当要求其线上远程在开标大厅合理的时间内提供书面说明，必要时提交相关证明材料；投标人不能证明其报价合理性的，评标评审委员会应当将其作为无效投标处理。</w:t>
      </w:r>
      <w:bookmarkEnd w:id="777"/>
    </w:p>
    <w:p w14:paraId="2EE942C7">
      <w:pPr>
        <w:pStyle w:val="3"/>
        <w:spacing w:beforeLines="50" w:afterLines="50"/>
        <w:ind w:firstLine="422" w:firstLineChars="200"/>
        <w:rPr>
          <w:rFonts w:ascii="宋体" w:hAnsi="宋体" w:eastAsia="宋体" w:cs="宋体"/>
          <w:highlight w:val="none"/>
        </w:rPr>
      </w:pPr>
      <w:bookmarkStart w:id="778" w:name="_Toc78803384"/>
      <w:bookmarkStart w:id="779" w:name="_Toc35424949"/>
      <w:bookmarkStart w:id="780" w:name="_Toc35425115"/>
      <w:bookmarkStart w:id="781" w:name="_Toc506107326"/>
      <w:bookmarkStart w:id="782" w:name="_Toc15058915"/>
      <w:bookmarkStart w:id="783" w:name="_Toc324404874"/>
      <w:bookmarkStart w:id="784" w:name="_Toc17377"/>
      <w:r>
        <w:rPr>
          <w:rFonts w:hint="eastAsia" w:ascii="宋体" w:hAnsi="宋体" w:eastAsia="宋体" w:cs="宋体"/>
          <w:highlight w:val="none"/>
        </w:rPr>
        <w:t>3.评标程序</w:t>
      </w:r>
      <w:bookmarkEnd w:id="778"/>
      <w:bookmarkEnd w:id="779"/>
      <w:bookmarkEnd w:id="780"/>
      <w:bookmarkEnd w:id="781"/>
      <w:bookmarkEnd w:id="782"/>
      <w:bookmarkEnd w:id="783"/>
      <w:bookmarkEnd w:id="784"/>
    </w:p>
    <w:p w14:paraId="6091849E">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评标先做准备工作，先进行资信评审，然后进行技术标评审，最后进行商务标评审。</w:t>
      </w:r>
    </w:p>
    <w:p w14:paraId="6E980930">
      <w:pPr>
        <w:pStyle w:val="3"/>
        <w:ind w:firstLine="422" w:firstLineChars="200"/>
        <w:rPr>
          <w:rFonts w:ascii="宋体" w:hAnsi="宋体" w:eastAsia="宋体" w:cs="宋体"/>
          <w:highlight w:val="none"/>
        </w:rPr>
      </w:pPr>
      <w:bookmarkStart w:id="785" w:name="_Toc78803385"/>
      <w:bookmarkStart w:id="786" w:name="_Toc15058916"/>
      <w:bookmarkStart w:id="787" w:name="_Toc35424950"/>
      <w:bookmarkStart w:id="788" w:name="_Toc35425116"/>
      <w:bookmarkStart w:id="789" w:name="_Toc27389"/>
      <w:r>
        <w:rPr>
          <w:rFonts w:hint="eastAsia" w:ascii="宋体" w:hAnsi="宋体" w:eastAsia="宋体" w:cs="宋体"/>
          <w:highlight w:val="none"/>
        </w:rPr>
        <w:t>3.1评标准备工作</w:t>
      </w:r>
      <w:bookmarkEnd w:id="785"/>
      <w:bookmarkEnd w:id="786"/>
      <w:bookmarkEnd w:id="787"/>
      <w:bookmarkEnd w:id="788"/>
      <w:bookmarkEnd w:id="789"/>
    </w:p>
    <w:p w14:paraId="12DD11ED">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评标委员会熟悉评标工作情况：</w:t>
      </w:r>
    </w:p>
    <w:p w14:paraId="61A7679E">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（1）阅读由招标人或者其委托的工程代理机构编制的招标项目情况材料。</w:t>
      </w:r>
    </w:p>
    <w:p w14:paraId="33273880">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（2）阅读、研究招标文件和相关评标资料，获取评标所需要的重要信息和数据，至少应了解和熟悉以下内容：招标项目的范围和性质，招标文件规定的主要技术要求、标准和商务条款。</w:t>
      </w:r>
    </w:p>
    <w:p w14:paraId="3514C364">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（3）熟悉招标文件规定的评标标准和评标方法及在评标过程中需要考虑的相关因素。</w:t>
      </w:r>
    </w:p>
    <w:p w14:paraId="0377C0C5">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（4）核对评标工作用表。</w:t>
      </w:r>
    </w:p>
    <w:p w14:paraId="13E391E0">
      <w:pPr>
        <w:pStyle w:val="3"/>
        <w:ind w:firstLine="422" w:firstLineChars="200"/>
        <w:rPr>
          <w:rFonts w:ascii="宋体" w:hAnsi="宋体" w:eastAsia="宋体" w:cs="宋体"/>
          <w:highlight w:val="none"/>
        </w:rPr>
      </w:pPr>
      <w:bookmarkStart w:id="790" w:name="_Toc35425117"/>
      <w:bookmarkStart w:id="791" w:name="_Toc78803386"/>
      <w:bookmarkStart w:id="792" w:name="_Toc35424951"/>
      <w:bookmarkStart w:id="793" w:name="_Toc1299"/>
      <w:bookmarkStart w:id="794" w:name="_Toc15058917"/>
      <w:bookmarkStart w:id="795" w:name="_Toc24650"/>
      <w:bookmarkStart w:id="796" w:name="_Toc12200"/>
      <w:bookmarkStart w:id="797" w:name="_Toc506107327"/>
      <w:bookmarkStart w:id="798" w:name="_Toc324404875"/>
      <w:bookmarkStart w:id="799" w:name="_Toc35424954"/>
      <w:bookmarkStart w:id="800" w:name="_Toc15058919"/>
      <w:bookmarkStart w:id="801" w:name="_Toc35425120"/>
      <w:r>
        <w:rPr>
          <w:rFonts w:hint="eastAsia" w:ascii="宋体" w:hAnsi="宋体" w:eastAsia="宋体" w:cs="宋体"/>
          <w:highlight w:val="none"/>
        </w:rPr>
        <w:t>3.2技术标评审</w:t>
      </w:r>
      <w:bookmarkEnd w:id="790"/>
      <w:bookmarkEnd w:id="791"/>
      <w:bookmarkEnd w:id="792"/>
      <w:bookmarkEnd w:id="793"/>
      <w:bookmarkEnd w:id="794"/>
      <w:bookmarkEnd w:id="795"/>
    </w:p>
    <w:p w14:paraId="755D589C">
      <w:pPr>
        <w:spacing w:line="440" w:lineRule="exact"/>
        <w:ind w:firstLine="420" w:firstLineChars="200"/>
        <w:rPr>
          <w:rFonts w:ascii="宋体" w:hAnsi="宋体" w:cs="宋体"/>
          <w:szCs w:val="21"/>
          <w:highlight w:val="none"/>
        </w:rPr>
      </w:pPr>
      <w:r>
        <w:rPr>
          <w:rFonts w:hint="eastAsia" w:ascii="宋体" w:hAnsi="宋体" w:cs="宋体"/>
          <w:szCs w:val="21"/>
          <w:highlight w:val="none"/>
        </w:rPr>
        <w:t>详见技术标评审表。</w:t>
      </w:r>
    </w:p>
    <w:p w14:paraId="6912EA5D">
      <w:pPr>
        <w:pStyle w:val="3"/>
        <w:ind w:firstLine="422" w:firstLineChars="200"/>
        <w:rPr>
          <w:rFonts w:ascii="宋体" w:hAnsi="宋体" w:eastAsia="宋体" w:cs="宋体"/>
          <w:highlight w:val="none"/>
        </w:rPr>
      </w:pPr>
      <w:bookmarkStart w:id="802" w:name="_Toc15058918"/>
      <w:bookmarkStart w:id="803" w:name="_Toc35425118"/>
      <w:bookmarkStart w:id="804" w:name="_Toc11990"/>
      <w:bookmarkStart w:id="805" w:name="_Toc17468"/>
      <w:bookmarkStart w:id="806" w:name="_Toc35424952"/>
      <w:bookmarkStart w:id="807" w:name="_Toc78803387"/>
      <w:r>
        <w:rPr>
          <w:rFonts w:hint="eastAsia" w:ascii="宋体" w:hAnsi="宋体" w:eastAsia="宋体" w:cs="宋体"/>
          <w:highlight w:val="none"/>
        </w:rPr>
        <w:t>3.3商务标评审</w:t>
      </w:r>
      <w:bookmarkEnd w:id="802"/>
      <w:bookmarkEnd w:id="803"/>
      <w:bookmarkEnd w:id="804"/>
      <w:bookmarkEnd w:id="805"/>
      <w:bookmarkEnd w:id="806"/>
      <w:bookmarkEnd w:id="807"/>
    </w:p>
    <w:p w14:paraId="686CA6CF">
      <w:pPr>
        <w:spacing w:line="440" w:lineRule="exact"/>
        <w:ind w:firstLine="420" w:firstLineChars="200"/>
        <w:rPr>
          <w:rFonts w:ascii="宋体" w:hAnsi="宋体" w:cs="宋体"/>
          <w:szCs w:val="21"/>
          <w:highlight w:val="none"/>
        </w:rPr>
      </w:pPr>
      <w:r>
        <w:rPr>
          <w:rFonts w:hint="eastAsia" w:ascii="宋体" w:hAnsi="宋体" w:cs="宋体"/>
          <w:szCs w:val="21"/>
          <w:highlight w:val="none"/>
        </w:rPr>
        <w:t>详见商务标评审表。</w:t>
      </w:r>
    </w:p>
    <w:p w14:paraId="56AFC15C">
      <w:pPr>
        <w:spacing w:line="440" w:lineRule="exact"/>
        <w:ind w:firstLine="422" w:firstLineChars="200"/>
        <w:rPr>
          <w:rFonts w:ascii="宋体" w:hAnsi="宋体" w:cs="宋体"/>
          <w:color w:val="auto"/>
          <w:szCs w:val="21"/>
          <w:highlight w:val="none"/>
        </w:rPr>
      </w:pPr>
      <w:bookmarkStart w:id="808" w:name="_Toc78803388"/>
      <w:bookmarkStart w:id="809" w:name="_Toc18087"/>
      <w:bookmarkStart w:id="810" w:name="_Toc35425119"/>
      <w:bookmarkStart w:id="811" w:name="_Toc35424953"/>
      <w:bookmarkStart w:id="812" w:name="_Toc26895"/>
      <w:r>
        <w:rPr>
          <w:rStyle w:val="197"/>
          <w:rFonts w:hint="eastAsia" w:ascii="宋体" w:hAnsi="宋体" w:eastAsia="宋体" w:cs="宋体"/>
          <w:highlight w:val="none"/>
        </w:rPr>
        <w:t>3.4推荐中标候选人</w:t>
      </w:r>
      <w:bookmarkEnd w:id="808"/>
      <w:bookmarkEnd w:id="809"/>
      <w:bookmarkEnd w:id="810"/>
      <w:bookmarkEnd w:id="811"/>
      <w:bookmarkEnd w:id="812"/>
      <w:r>
        <w:rPr>
          <w:rFonts w:hint="eastAsia" w:ascii="宋体" w:hAnsi="宋体" w:cs="宋体"/>
          <w:b/>
          <w:bCs/>
          <w:highlight w:val="none"/>
        </w:rPr>
        <w:t>：</w:t>
      </w:r>
      <w:r>
        <w:rPr>
          <w:rFonts w:hint="eastAsia" w:ascii="宋体" w:hAnsi="宋体" w:cs="宋体"/>
          <w:highlight w:val="none"/>
        </w:rPr>
        <w:t>资信评审、技术标评审、商务标</w:t>
      </w:r>
      <w:r>
        <w:rPr>
          <w:rFonts w:hint="eastAsia" w:ascii="宋体" w:hAnsi="宋体" w:cs="宋体"/>
          <w:color w:val="auto"/>
          <w:highlight w:val="none"/>
        </w:rPr>
        <w:t>评审后，推荐</w:t>
      </w:r>
      <w:r>
        <w:rPr>
          <w:rFonts w:hint="eastAsia" w:ascii="宋体" w:hAnsi="宋体" w:cs="宋体"/>
          <w:color w:val="auto"/>
          <w:highlight w:val="none"/>
          <w:u w:val="single"/>
        </w:rPr>
        <w:t xml:space="preserve"> </w:t>
      </w:r>
      <w:r>
        <w:rPr>
          <w:rFonts w:hint="eastAsia" w:ascii="宋体" w:hAnsi="宋体" w:cs="宋体"/>
          <w:color w:val="auto"/>
          <w:highlight w:val="none"/>
          <w:u w:val="single"/>
          <w:lang w:val="en-US" w:eastAsia="zh-CN"/>
        </w:rPr>
        <w:t>3</w:t>
      </w:r>
      <w:r>
        <w:rPr>
          <w:rFonts w:hint="eastAsia" w:ascii="宋体" w:hAnsi="宋体" w:cs="宋体"/>
          <w:color w:val="auto"/>
          <w:highlight w:val="none"/>
          <w:u w:val="single"/>
        </w:rPr>
        <w:t xml:space="preserve"> </w:t>
      </w:r>
      <w:r>
        <w:rPr>
          <w:rFonts w:hint="eastAsia" w:ascii="宋体" w:hAnsi="宋体" w:cs="宋体"/>
          <w:color w:val="auto"/>
          <w:highlight w:val="none"/>
        </w:rPr>
        <w:t>名中标候选人。</w:t>
      </w:r>
    </w:p>
    <w:p w14:paraId="3113A55A">
      <w:pPr>
        <w:pStyle w:val="3"/>
        <w:spacing w:beforeLines="50" w:afterLines="50"/>
        <w:ind w:firstLine="422" w:firstLineChars="200"/>
        <w:rPr>
          <w:rFonts w:ascii="宋体" w:hAnsi="宋体" w:eastAsia="宋体" w:cs="宋体"/>
          <w:highlight w:val="none"/>
        </w:rPr>
      </w:pPr>
      <w:bookmarkStart w:id="813" w:name="_Toc78803389"/>
      <w:r>
        <w:rPr>
          <w:rFonts w:hint="eastAsia" w:ascii="宋体" w:hAnsi="宋体" w:eastAsia="宋体" w:cs="宋体"/>
          <w:highlight w:val="none"/>
        </w:rPr>
        <w:t>4.评审内容</w:t>
      </w:r>
      <w:bookmarkEnd w:id="796"/>
      <w:bookmarkEnd w:id="797"/>
      <w:bookmarkEnd w:id="798"/>
      <w:bookmarkEnd w:id="799"/>
      <w:bookmarkEnd w:id="800"/>
      <w:bookmarkEnd w:id="801"/>
      <w:bookmarkEnd w:id="813"/>
    </w:p>
    <w:p w14:paraId="0F1392E9">
      <w:pPr>
        <w:pStyle w:val="3"/>
        <w:ind w:firstLine="422" w:firstLineChars="200"/>
        <w:rPr>
          <w:rFonts w:ascii="宋体" w:hAnsi="宋体" w:eastAsia="宋体" w:cs="宋体"/>
          <w:highlight w:val="none"/>
        </w:rPr>
      </w:pPr>
      <w:bookmarkStart w:id="814" w:name="_Toc78803390"/>
      <w:bookmarkStart w:id="815" w:name="_Toc9630"/>
      <w:r>
        <w:rPr>
          <w:rFonts w:hint="eastAsia" w:ascii="宋体" w:hAnsi="宋体" w:eastAsia="宋体" w:cs="宋体"/>
          <w:highlight w:val="none"/>
        </w:rPr>
        <w:t>4.1</w:t>
      </w:r>
      <w:bookmarkEnd w:id="814"/>
      <w:bookmarkEnd w:id="815"/>
      <w:bookmarkStart w:id="816" w:name="_Toc3531"/>
      <w:bookmarkStart w:id="817" w:name="_Toc35424956"/>
      <w:bookmarkStart w:id="818" w:name="_Toc15058921"/>
      <w:bookmarkStart w:id="819" w:name="_Toc35425122"/>
      <w:bookmarkStart w:id="820" w:name="_Toc78803391"/>
      <w:bookmarkStart w:id="821" w:name="_Toc324404876"/>
      <w:r>
        <w:rPr>
          <w:rFonts w:hint="eastAsia" w:ascii="宋体" w:hAnsi="宋体" w:eastAsia="宋体" w:cs="宋体"/>
          <w:highlight w:val="none"/>
        </w:rPr>
        <w:t>商务标评审</w:t>
      </w:r>
      <w:bookmarkEnd w:id="816"/>
      <w:bookmarkEnd w:id="817"/>
      <w:bookmarkEnd w:id="818"/>
      <w:bookmarkEnd w:id="819"/>
      <w:bookmarkEnd w:id="820"/>
    </w:p>
    <w:p w14:paraId="79EFB735">
      <w:pPr>
        <w:spacing w:line="440" w:lineRule="exact"/>
        <w:ind w:firstLine="420" w:firstLineChars="200"/>
        <w:jc w:val="left"/>
        <w:rPr>
          <w:rFonts w:ascii="宋体" w:hAnsi="宋体" w:cs="宋体"/>
          <w:highlight w:val="none"/>
        </w:rPr>
      </w:pPr>
      <w:r>
        <w:rPr>
          <w:rFonts w:hint="eastAsia" w:ascii="宋体" w:hAnsi="宋体" w:cs="宋体"/>
          <w:highlight w:val="none"/>
        </w:rPr>
        <w:t>只有通过技术标评审的投标才能够进入本阶段评审。</w:t>
      </w:r>
    </w:p>
    <w:p w14:paraId="7908D5C2">
      <w:pPr>
        <w:spacing w:line="440" w:lineRule="exact"/>
        <w:ind w:firstLine="420" w:firstLineChars="200"/>
        <w:jc w:val="left"/>
        <w:rPr>
          <w:rFonts w:ascii="宋体" w:hAnsi="宋体" w:cs="宋体"/>
          <w:highlight w:val="none"/>
        </w:rPr>
      </w:pPr>
      <w:r>
        <w:rPr>
          <w:rFonts w:hint="eastAsia" w:ascii="宋体" w:hAnsi="宋体" w:cs="宋体"/>
          <w:highlight w:val="none"/>
        </w:rPr>
        <w:t>4.1.1形式性评审标准：见商务标评审表。</w:t>
      </w:r>
    </w:p>
    <w:p w14:paraId="5FDB8153">
      <w:pPr>
        <w:spacing w:line="440" w:lineRule="exact"/>
        <w:ind w:firstLine="420" w:firstLineChars="200"/>
        <w:jc w:val="left"/>
        <w:rPr>
          <w:rFonts w:ascii="宋体" w:hAnsi="宋体" w:cs="宋体"/>
          <w:highlight w:val="none"/>
        </w:rPr>
      </w:pPr>
      <w:r>
        <w:rPr>
          <w:rFonts w:hint="eastAsia" w:ascii="宋体" w:hAnsi="宋体" w:cs="宋体"/>
          <w:highlight w:val="none"/>
        </w:rPr>
        <w:t>4.1.2响应性评审标准：见商务标评审表。</w:t>
      </w:r>
    </w:p>
    <w:p w14:paraId="5104F405">
      <w:pPr>
        <w:spacing w:line="440" w:lineRule="exact"/>
        <w:ind w:firstLine="420" w:firstLineChars="200"/>
        <w:jc w:val="left"/>
        <w:rPr>
          <w:rFonts w:ascii="宋体" w:hAnsi="宋体" w:cs="宋体"/>
          <w:highlight w:val="none"/>
        </w:rPr>
      </w:pPr>
      <w:r>
        <w:rPr>
          <w:rFonts w:hint="eastAsia" w:ascii="宋体" w:hAnsi="宋体" w:cs="宋体"/>
          <w:highlight w:val="none"/>
        </w:rPr>
        <w:t>评标委员会依据上述标准对投标文件进行初步评审。有一项不符合评审标准的，作无效投标处理。</w:t>
      </w:r>
    </w:p>
    <w:p w14:paraId="5FFAD8BA">
      <w:pPr>
        <w:spacing w:line="440" w:lineRule="exact"/>
        <w:ind w:firstLine="420" w:firstLineChars="200"/>
        <w:jc w:val="left"/>
        <w:rPr>
          <w:rFonts w:ascii="宋体" w:hAnsi="宋体" w:cs="宋体"/>
          <w:highlight w:val="none"/>
        </w:rPr>
      </w:pPr>
      <w:r>
        <w:rPr>
          <w:rFonts w:hint="eastAsia" w:ascii="宋体" w:hAnsi="宋体" w:cs="宋体"/>
          <w:highlight w:val="none"/>
        </w:rPr>
        <w:t>4.1.3投标报价评审</w:t>
      </w:r>
    </w:p>
    <w:p w14:paraId="43D228EB">
      <w:pPr>
        <w:spacing w:line="440" w:lineRule="exact"/>
        <w:ind w:firstLine="420" w:firstLineChars="200"/>
        <w:jc w:val="left"/>
        <w:rPr>
          <w:rFonts w:ascii="宋体" w:hAnsi="宋体" w:cs="宋体"/>
          <w:highlight w:val="none"/>
        </w:rPr>
      </w:pPr>
      <w:r>
        <w:rPr>
          <w:rFonts w:hint="eastAsia" w:ascii="宋体" w:hAnsi="宋体" w:cs="宋体"/>
          <w:highlight w:val="none"/>
        </w:rPr>
        <w:t>评标委员会发现投标人的投标报价明显低于其他投标报价，使得其投标报价可能低于其成本的，应当要求该投标人作出书面说明并提供相应的证明材料。投标人不能合理说明或者不能提供相应证明材料的，由评标委员会认定该投标人以低于成本报价竞标，其投标作无效投标处理。</w:t>
      </w:r>
    </w:p>
    <w:p w14:paraId="7914B093">
      <w:pPr>
        <w:spacing w:line="440" w:lineRule="exact"/>
        <w:ind w:firstLine="420" w:firstLineChars="200"/>
        <w:jc w:val="left"/>
        <w:rPr>
          <w:rFonts w:ascii="宋体" w:hAnsi="宋体" w:cs="宋体"/>
          <w:highlight w:val="none"/>
        </w:rPr>
      </w:pPr>
      <w:r>
        <w:rPr>
          <w:rFonts w:hint="eastAsia" w:ascii="宋体" w:hAnsi="宋体" w:cs="宋体"/>
          <w:highlight w:val="none"/>
        </w:rPr>
        <w:t>4.1.4评标委员会审查投标文件，投标报价有错误的，评标委员会按以下原则对投标报价进行修正。</w:t>
      </w:r>
    </w:p>
    <w:p w14:paraId="263D918E">
      <w:pPr>
        <w:spacing w:line="440" w:lineRule="exact"/>
        <w:ind w:firstLine="420" w:firstLineChars="200"/>
        <w:jc w:val="left"/>
        <w:rPr>
          <w:rFonts w:ascii="宋体" w:hAnsi="宋体" w:cs="宋体"/>
          <w:highlight w:val="none"/>
        </w:rPr>
      </w:pPr>
      <w:r>
        <w:rPr>
          <w:rFonts w:hint="eastAsia" w:ascii="宋体" w:hAnsi="宋体" w:cs="宋体"/>
          <w:highlight w:val="none"/>
        </w:rPr>
        <w:t>（1）投标文件中的大写金额与小写金额不一致的，以大写金额为准。</w:t>
      </w:r>
    </w:p>
    <w:p w14:paraId="62D11E9B">
      <w:pPr>
        <w:spacing w:line="440" w:lineRule="exact"/>
        <w:ind w:firstLine="420" w:firstLineChars="200"/>
        <w:jc w:val="left"/>
        <w:rPr>
          <w:rFonts w:ascii="宋体" w:hAnsi="宋体" w:cs="宋体"/>
          <w:szCs w:val="21"/>
          <w:highlight w:val="none"/>
        </w:rPr>
      </w:pPr>
      <w:r>
        <w:rPr>
          <w:rFonts w:hint="eastAsia" w:ascii="宋体" w:hAnsi="宋体" w:cs="宋体"/>
          <w:highlight w:val="none"/>
        </w:rPr>
        <w:t>（2）总价金额与依据单价计算出的结果不一致的，以单价金额为准修正总价，但单价金额小数点有明显错误的除外。</w:t>
      </w:r>
    </w:p>
    <w:p w14:paraId="5839829A">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按上述修正错误的原则及方法调整或修正投标文件的投标报价，调整或修正的价格经投标人书面确认后具有约束力。中标价原则上以调整或修正后的价格为准，调整或修正后的价格与投标报价相比，价格低的为中标价。投标人不接受的，其投标将被拒绝。</w:t>
      </w:r>
    </w:p>
    <w:p w14:paraId="0D8AA3CD">
      <w:pPr>
        <w:pStyle w:val="3"/>
        <w:spacing w:beforeLines="50" w:afterLines="50"/>
        <w:ind w:firstLine="422" w:firstLineChars="200"/>
        <w:rPr>
          <w:rFonts w:ascii="宋体" w:hAnsi="宋体" w:eastAsia="宋体" w:cs="宋体"/>
          <w:highlight w:val="none"/>
        </w:rPr>
      </w:pPr>
      <w:bookmarkStart w:id="822" w:name="_Toc78803392"/>
      <w:bookmarkStart w:id="823" w:name="_Toc506107328"/>
      <w:bookmarkStart w:id="824" w:name="_Toc13125"/>
      <w:bookmarkStart w:id="825" w:name="_Toc35425123"/>
      <w:bookmarkStart w:id="826" w:name="_Toc35424957"/>
      <w:bookmarkStart w:id="827" w:name="_Toc15058922"/>
      <w:r>
        <w:rPr>
          <w:rFonts w:hint="eastAsia" w:ascii="宋体" w:hAnsi="宋体" w:eastAsia="宋体" w:cs="宋体"/>
          <w:highlight w:val="none"/>
        </w:rPr>
        <w:t>5.无效投标条款</w:t>
      </w:r>
      <w:bookmarkEnd w:id="821"/>
      <w:bookmarkEnd w:id="822"/>
      <w:bookmarkEnd w:id="823"/>
      <w:bookmarkEnd w:id="824"/>
      <w:bookmarkEnd w:id="825"/>
      <w:bookmarkEnd w:id="826"/>
      <w:bookmarkEnd w:id="827"/>
    </w:p>
    <w:p w14:paraId="0DF5C347">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5.</w:t>
      </w:r>
      <w:r>
        <w:rPr>
          <w:rFonts w:hint="eastAsia" w:ascii="宋体" w:hAnsi="宋体" w:cs="宋体"/>
          <w:szCs w:val="21"/>
          <w:highlight w:val="none"/>
          <w:lang w:val="en-US" w:eastAsia="zh-CN"/>
        </w:rPr>
        <w:t>1</w:t>
      </w:r>
      <w:r>
        <w:rPr>
          <w:rFonts w:hint="eastAsia" w:ascii="宋体" w:hAnsi="宋体" w:cs="宋体"/>
          <w:szCs w:val="21"/>
          <w:highlight w:val="none"/>
        </w:rPr>
        <w:t>由资格审查委员会（评标委员会）按资格审查办法前附表要求对投标人审查资料的第二章《资格审查办法》进行核验。投标申请人有下列情形之一的，其资格审查为不合格：</w:t>
      </w:r>
    </w:p>
    <w:p w14:paraId="528FDC53">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（1）未上传电子标书或电子标书经审查不合格；</w:t>
      </w:r>
    </w:p>
    <w:p w14:paraId="18F35659">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w:t>
      </w:r>
      <w:r>
        <w:rPr>
          <w:rFonts w:hint="eastAsia" w:ascii="宋体" w:hAnsi="宋体" w:cs="宋体"/>
          <w:szCs w:val="21"/>
          <w:highlight w:val="none"/>
          <w:lang w:val="en-US" w:eastAsia="zh-CN"/>
        </w:rPr>
        <w:t>2</w:t>
      </w:r>
      <w:r>
        <w:rPr>
          <w:rFonts w:hint="eastAsia" w:ascii="宋体" w:hAnsi="宋体" w:cs="宋体"/>
          <w:szCs w:val="21"/>
          <w:highlight w:val="none"/>
        </w:rPr>
        <w:t>）法律、法规规定的其他情形。</w:t>
      </w:r>
    </w:p>
    <w:p w14:paraId="0343ABAF">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5.</w:t>
      </w:r>
      <w:r>
        <w:rPr>
          <w:rFonts w:hint="eastAsia" w:ascii="宋体" w:hAnsi="宋体" w:cs="宋体"/>
          <w:szCs w:val="21"/>
          <w:highlight w:val="none"/>
          <w:lang w:val="en-US" w:eastAsia="zh-CN"/>
        </w:rPr>
        <w:t>2</w:t>
      </w:r>
      <w:r>
        <w:rPr>
          <w:rFonts w:hint="eastAsia" w:ascii="宋体" w:hAnsi="宋体" w:cs="宋体"/>
          <w:szCs w:val="21"/>
          <w:highlight w:val="none"/>
        </w:rPr>
        <w:t>投标人有下列情形的，经评审后其投标作无效投标处理无效投标：</w:t>
      </w:r>
    </w:p>
    <w:p w14:paraId="2F946A19">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5.</w:t>
      </w:r>
      <w:r>
        <w:rPr>
          <w:rFonts w:hint="eastAsia" w:ascii="宋体" w:hAnsi="宋体" w:cs="宋体"/>
          <w:szCs w:val="21"/>
          <w:highlight w:val="none"/>
          <w:lang w:val="en-US" w:eastAsia="zh-CN"/>
        </w:rPr>
        <w:t>2</w:t>
      </w:r>
      <w:r>
        <w:rPr>
          <w:rFonts w:hint="eastAsia" w:ascii="宋体" w:hAnsi="宋体" w:cs="宋体"/>
          <w:szCs w:val="21"/>
          <w:highlight w:val="none"/>
        </w:rPr>
        <w:t>.1商标评审</w:t>
      </w:r>
    </w:p>
    <w:p w14:paraId="5AF5194A">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(1)评标委员会依据《商务标评审表》进行形式性评审和响应性评审。有一项不符合评审标准的，做无效投标处理；</w:t>
      </w:r>
    </w:p>
    <w:p w14:paraId="5172AA92">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（2）商务标详细评审标准中有任何一项不能通过评审的，作无效投标处理。</w:t>
      </w:r>
    </w:p>
    <w:p w14:paraId="57BB8B85">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5.</w:t>
      </w:r>
      <w:r>
        <w:rPr>
          <w:rFonts w:hint="eastAsia" w:ascii="宋体" w:hAnsi="宋体" w:cs="宋体"/>
          <w:szCs w:val="21"/>
          <w:highlight w:val="none"/>
          <w:lang w:val="en-US" w:eastAsia="zh-CN"/>
        </w:rPr>
        <w:t>3</w:t>
      </w:r>
      <w:r>
        <w:rPr>
          <w:rFonts w:hint="eastAsia" w:ascii="宋体" w:hAnsi="宋体" w:cs="宋体"/>
          <w:szCs w:val="21"/>
          <w:highlight w:val="none"/>
        </w:rPr>
        <w:t>其他无效投标情况：</w:t>
      </w:r>
    </w:p>
    <w:p w14:paraId="78EF0F0C">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评标委员会发现投标人的投标报价明显低于其他投标报价，使得其投标报价可能低于其成本的，应当要求该投标人作出书面说明并提供相应的证明材料。投标人不能合理说明或者不能提供相应证明材料的，由评标委员会认定该投标人以低于成本报价竞标，其投标作无效投标处理。</w:t>
      </w:r>
    </w:p>
    <w:p w14:paraId="3ED44CD2">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（2）按第三章《评标方法》4.2.4条款修正错误的原则及方法调整或修正投标文件的投标报价，调整或修正的价格经投标人书面确认后具有约束力。投标人不接修正价格的，其投标将被拒绝。</w:t>
      </w:r>
    </w:p>
    <w:p w14:paraId="6F0CAC95">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w:t>
      </w:r>
      <w:r>
        <w:rPr>
          <w:rFonts w:hint="eastAsia" w:ascii="宋体" w:hAnsi="宋体" w:cs="宋体"/>
          <w:szCs w:val="21"/>
          <w:highlight w:val="none"/>
          <w:lang w:val="en-US" w:eastAsia="zh-CN"/>
        </w:rPr>
        <w:t>3</w:t>
      </w:r>
      <w:r>
        <w:rPr>
          <w:rFonts w:hint="eastAsia" w:ascii="宋体" w:hAnsi="宋体" w:cs="宋体"/>
          <w:szCs w:val="21"/>
          <w:highlight w:val="none"/>
        </w:rPr>
        <w:t>）投标人有串通投标、弄虚作假、行贿等违法行为。</w:t>
      </w:r>
    </w:p>
    <w:p w14:paraId="125E9495">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w:t>
      </w:r>
      <w:r>
        <w:rPr>
          <w:rFonts w:hint="eastAsia" w:ascii="宋体" w:hAnsi="宋体" w:cs="宋体"/>
          <w:szCs w:val="21"/>
          <w:highlight w:val="none"/>
          <w:lang w:val="en-US" w:eastAsia="zh-CN"/>
        </w:rPr>
        <w:t>4</w:t>
      </w:r>
      <w:r>
        <w:rPr>
          <w:rFonts w:hint="eastAsia" w:ascii="宋体" w:hAnsi="宋体" w:cs="宋体"/>
          <w:szCs w:val="21"/>
          <w:highlight w:val="none"/>
        </w:rPr>
        <w:t>）投标文件没有对招标文件的实质性要求和条件作出响应。</w:t>
      </w:r>
    </w:p>
    <w:p w14:paraId="0FC20269">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w:t>
      </w:r>
      <w:r>
        <w:rPr>
          <w:rFonts w:hint="eastAsia" w:ascii="宋体" w:hAnsi="宋体" w:cs="宋体"/>
          <w:szCs w:val="21"/>
          <w:highlight w:val="none"/>
          <w:lang w:val="en-US" w:eastAsia="zh-CN"/>
        </w:rPr>
        <w:t>5</w:t>
      </w:r>
      <w:r>
        <w:rPr>
          <w:rFonts w:hint="eastAsia" w:ascii="宋体" w:hAnsi="宋体" w:cs="宋体"/>
          <w:szCs w:val="21"/>
          <w:highlight w:val="none"/>
        </w:rPr>
        <w:t>）未按规定的格式填写导致实质性内容不全以及实质上不响应，或者关键字迹模糊、无法辨认。</w:t>
      </w:r>
    </w:p>
    <w:p w14:paraId="1099022A">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w:t>
      </w:r>
      <w:r>
        <w:rPr>
          <w:rFonts w:hint="eastAsia" w:ascii="宋体" w:hAnsi="宋体" w:cs="宋体"/>
          <w:szCs w:val="21"/>
          <w:highlight w:val="none"/>
          <w:lang w:val="en-US" w:eastAsia="zh-CN"/>
        </w:rPr>
        <w:t>6</w:t>
      </w:r>
      <w:r>
        <w:rPr>
          <w:rFonts w:hint="eastAsia" w:ascii="宋体" w:hAnsi="宋体" w:cs="宋体"/>
          <w:szCs w:val="21"/>
          <w:highlight w:val="none"/>
        </w:rPr>
        <w:t>）同一投标人提交两个以上不同的投标文件或者投标报价，但招标文件规定提交备选投标的除外。</w:t>
      </w:r>
    </w:p>
    <w:p w14:paraId="0C71CF41">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w:t>
      </w:r>
      <w:r>
        <w:rPr>
          <w:rFonts w:hint="eastAsia" w:ascii="宋体" w:hAnsi="宋体" w:cs="宋体"/>
          <w:szCs w:val="21"/>
          <w:highlight w:val="none"/>
          <w:lang w:val="en-US" w:eastAsia="zh-CN"/>
        </w:rPr>
        <w:t>7</w:t>
      </w:r>
      <w:r>
        <w:rPr>
          <w:rFonts w:hint="eastAsia" w:ascii="宋体" w:hAnsi="宋体" w:cs="宋体"/>
          <w:szCs w:val="21"/>
          <w:highlight w:val="none"/>
        </w:rPr>
        <w:t>）投标文件中存在招标人不能接受的其他实质性条件。</w:t>
      </w:r>
    </w:p>
    <w:p w14:paraId="641BCD2B">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w:t>
      </w:r>
      <w:r>
        <w:rPr>
          <w:rFonts w:hint="eastAsia" w:ascii="宋体" w:hAnsi="宋体" w:cs="宋体"/>
          <w:szCs w:val="21"/>
          <w:highlight w:val="none"/>
          <w:lang w:val="en-US" w:eastAsia="zh-CN"/>
        </w:rPr>
        <w:t>8</w:t>
      </w:r>
      <w:r>
        <w:rPr>
          <w:rFonts w:hint="eastAsia" w:ascii="宋体" w:hAnsi="宋体" w:cs="宋体"/>
          <w:szCs w:val="21"/>
          <w:highlight w:val="none"/>
        </w:rPr>
        <w:t>）投标文件中填报的拟任项目负责人与资格审查通过的项目负责人前后不一致的。</w:t>
      </w:r>
    </w:p>
    <w:p w14:paraId="6FD5979B">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w:t>
      </w:r>
      <w:r>
        <w:rPr>
          <w:rFonts w:hint="eastAsia" w:ascii="宋体" w:hAnsi="宋体" w:cs="宋体"/>
          <w:szCs w:val="21"/>
          <w:highlight w:val="none"/>
          <w:lang w:val="en-US" w:eastAsia="zh-CN"/>
        </w:rPr>
        <w:t>9</w:t>
      </w:r>
      <w:r>
        <w:rPr>
          <w:rFonts w:hint="eastAsia" w:ascii="宋体" w:hAnsi="宋体" w:cs="宋体"/>
          <w:szCs w:val="21"/>
          <w:highlight w:val="none"/>
        </w:rPr>
        <w:t>）投标人拒不按照要求对投标文件进行澄清、说明、补正的，或评标委员会根据招标文件的规定对招标文件的计算错误进行修正后，投标人不接受修正的投标报价的。</w:t>
      </w:r>
    </w:p>
    <w:p w14:paraId="62290F12">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w:t>
      </w:r>
      <w:r>
        <w:rPr>
          <w:rFonts w:hint="eastAsia" w:ascii="宋体" w:hAnsi="宋体" w:cs="宋体"/>
          <w:szCs w:val="21"/>
          <w:highlight w:val="none"/>
          <w:lang w:val="en-US" w:eastAsia="zh-CN"/>
        </w:rPr>
        <w:t>0</w:t>
      </w:r>
      <w:r>
        <w:rPr>
          <w:rFonts w:hint="eastAsia" w:ascii="宋体" w:hAnsi="宋体" w:cs="宋体"/>
          <w:szCs w:val="21"/>
          <w:highlight w:val="none"/>
        </w:rPr>
        <w:t>）投标人单方面出现其他投标人材料。</w:t>
      </w:r>
    </w:p>
    <w:p w14:paraId="7E65EDBC">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w:t>
      </w:r>
      <w:r>
        <w:rPr>
          <w:rFonts w:hint="eastAsia" w:ascii="宋体" w:hAnsi="宋体" w:cs="宋体"/>
          <w:szCs w:val="21"/>
          <w:highlight w:val="none"/>
          <w:lang w:val="en-US" w:eastAsia="zh-CN"/>
        </w:rPr>
        <w:t>1</w:t>
      </w:r>
      <w:r>
        <w:rPr>
          <w:rFonts w:hint="eastAsia" w:ascii="宋体" w:hAnsi="宋体" w:cs="宋体"/>
          <w:szCs w:val="21"/>
          <w:highlight w:val="none"/>
        </w:rPr>
        <w:t>）法律、法规规定的其他情形。</w:t>
      </w:r>
    </w:p>
    <w:p w14:paraId="6C2FB7F4">
      <w:pPr>
        <w:pStyle w:val="3"/>
        <w:spacing w:beforeLines="50" w:afterLines="50"/>
        <w:ind w:firstLine="422" w:firstLineChars="200"/>
        <w:rPr>
          <w:rFonts w:ascii="宋体" w:hAnsi="宋体" w:eastAsia="宋体" w:cs="宋体"/>
          <w:highlight w:val="none"/>
        </w:rPr>
      </w:pPr>
      <w:bookmarkStart w:id="828" w:name="_Toc78803393"/>
      <w:bookmarkStart w:id="829" w:name="_Toc35425124"/>
      <w:bookmarkStart w:id="830" w:name="_Toc35424958"/>
      <w:bookmarkStart w:id="831" w:name="_Toc324404877"/>
      <w:bookmarkStart w:id="832" w:name="_Toc506107329"/>
      <w:bookmarkStart w:id="833" w:name="_Toc15058923"/>
      <w:bookmarkStart w:id="834" w:name="_Toc27846"/>
      <w:r>
        <w:rPr>
          <w:rFonts w:hint="eastAsia" w:ascii="宋体" w:hAnsi="宋体" w:eastAsia="宋体" w:cs="宋体"/>
          <w:highlight w:val="none"/>
        </w:rPr>
        <w:t>6.投标文件的澄清和补正</w:t>
      </w:r>
      <w:bookmarkEnd w:id="828"/>
      <w:bookmarkEnd w:id="829"/>
      <w:bookmarkEnd w:id="830"/>
      <w:bookmarkEnd w:id="831"/>
      <w:bookmarkEnd w:id="832"/>
      <w:bookmarkEnd w:id="833"/>
      <w:bookmarkEnd w:id="834"/>
    </w:p>
    <w:p w14:paraId="2F477AC9">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6.1在评标过程中，评标委员会可以要求投标人对所提交的投标文件中不明确的内容进行书面澄清或说明，或者对细微偏差进行补正。评标委员会不接受投标人主动提出的澄清、说明或补正。</w:t>
      </w:r>
    </w:p>
    <w:p w14:paraId="681AC398">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6.2澄清、说明和补正不得改变投标文件的实质性内容（算术性错误修正的除外）。投标人的书面澄清、说明和补正属于投标文件的组成部分。</w:t>
      </w:r>
    </w:p>
    <w:p w14:paraId="2FE1D5D1">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6.3评标委员会对投标人提交的澄清、说明和补正有疑问的，可以要求投标人进一步澄清、说明或补正、直至满足评标委员会的要求。</w:t>
      </w:r>
    </w:p>
    <w:p w14:paraId="149643F2">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按照投标文件规定进行澄清、补正后的投标报价经投标人的法定代表人或其委托代理人确认后即为该投标人的最终投标报价。投标人一旦中标，此报价即为中标价。</w:t>
      </w:r>
    </w:p>
    <w:p w14:paraId="4D82B21A">
      <w:pPr>
        <w:pStyle w:val="3"/>
        <w:spacing w:beforeLines="50" w:afterLines="50"/>
        <w:ind w:firstLine="422" w:firstLineChars="200"/>
        <w:rPr>
          <w:rFonts w:ascii="宋体" w:hAnsi="宋体" w:eastAsia="宋体" w:cs="宋体"/>
          <w:highlight w:val="none"/>
        </w:rPr>
      </w:pPr>
      <w:bookmarkStart w:id="835" w:name="_Toc324404878"/>
      <w:bookmarkStart w:id="836" w:name="_Toc13990"/>
      <w:bookmarkStart w:id="837" w:name="_Toc35425125"/>
      <w:bookmarkStart w:id="838" w:name="_Toc78803394"/>
      <w:bookmarkStart w:id="839" w:name="_Toc506107330"/>
      <w:bookmarkStart w:id="840" w:name="_Toc15058924"/>
      <w:bookmarkStart w:id="841" w:name="_Toc35424959"/>
      <w:r>
        <w:rPr>
          <w:rFonts w:hint="eastAsia" w:ascii="宋体" w:hAnsi="宋体" w:eastAsia="宋体" w:cs="宋体"/>
          <w:highlight w:val="none"/>
        </w:rPr>
        <w:t>7.评分标准</w:t>
      </w:r>
      <w:bookmarkEnd w:id="835"/>
      <w:bookmarkEnd w:id="836"/>
      <w:bookmarkEnd w:id="837"/>
      <w:bookmarkEnd w:id="838"/>
      <w:bookmarkEnd w:id="839"/>
      <w:bookmarkEnd w:id="840"/>
      <w:bookmarkEnd w:id="841"/>
    </w:p>
    <w:p w14:paraId="30E8B7B9">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商务标评分标准：见商务标评审表。</w:t>
      </w:r>
    </w:p>
    <w:p w14:paraId="24D3B8BC">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技术标评分标准：见技术标评审表。</w:t>
      </w:r>
    </w:p>
    <w:p w14:paraId="481120C8">
      <w:pPr>
        <w:spacing w:line="440" w:lineRule="exact"/>
        <w:ind w:firstLine="420" w:firstLineChars="200"/>
        <w:jc w:val="left"/>
        <w:rPr>
          <w:rFonts w:hAnsi="宋体" w:cs="宋体"/>
          <w:highlight w:val="none"/>
        </w:rPr>
      </w:pPr>
      <w:r>
        <w:rPr>
          <w:rFonts w:hint="eastAsia" w:ascii="宋体" w:hAnsi="宋体" w:cs="宋体"/>
          <w:szCs w:val="21"/>
          <w:highlight w:val="none"/>
        </w:rPr>
        <w:t>资信</w:t>
      </w:r>
      <w:r>
        <w:rPr>
          <w:rFonts w:hint="eastAsia" w:ascii="宋体" w:hAnsi="宋体" w:cs="宋体"/>
          <w:szCs w:val="21"/>
          <w:highlight w:val="none"/>
          <w:lang w:val="en-US" w:eastAsia="zh-CN"/>
        </w:rPr>
        <w:t>标</w:t>
      </w:r>
      <w:r>
        <w:rPr>
          <w:rFonts w:hint="eastAsia" w:ascii="宋体" w:hAnsi="宋体" w:cs="宋体"/>
          <w:szCs w:val="21"/>
          <w:highlight w:val="none"/>
        </w:rPr>
        <w:t>评分标准：见资信评分细则</w:t>
      </w:r>
      <w:r>
        <w:rPr>
          <w:rFonts w:hint="eastAsia" w:hAnsi="宋体" w:cs="宋体"/>
          <w:szCs w:val="21"/>
          <w:highlight w:val="none"/>
        </w:rPr>
        <w:t>。</w:t>
      </w:r>
    </w:p>
    <w:p w14:paraId="26B2972C">
      <w:pPr>
        <w:pStyle w:val="3"/>
        <w:spacing w:beforeLines="50" w:afterLines="50"/>
        <w:ind w:firstLine="422" w:firstLineChars="200"/>
        <w:rPr>
          <w:rFonts w:ascii="宋体" w:hAnsi="宋体" w:eastAsia="宋体" w:cs="宋体"/>
          <w:highlight w:val="none"/>
        </w:rPr>
      </w:pPr>
      <w:bookmarkStart w:id="842" w:name="_Toc506107331"/>
      <w:bookmarkStart w:id="843" w:name="_Toc78803395"/>
      <w:bookmarkStart w:id="844" w:name="_Toc15058925"/>
      <w:bookmarkStart w:id="845" w:name="_Toc22863"/>
      <w:bookmarkStart w:id="846" w:name="_Toc324404879"/>
      <w:bookmarkStart w:id="847" w:name="_Toc35424960"/>
      <w:bookmarkStart w:id="848" w:name="_Toc35425126"/>
      <w:r>
        <w:rPr>
          <w:rFonts w:hint="eastAsia" w:ascii="宋体" w:hAnsi="宋体" w:eastAsia="宋体" w:cs="宋体"/>
          <w:highlight w:val="none"/>
        </w:rPr>
        <w:t>8.评审结果</w:t>
      </w:r>
      <w:bookmarkEnd w:id="842"/>
      <w:bookmarkEnd w:id="843"/>
      <w:bookmarkEnd w:id="844"/>
      <w:bookmarkEnd w:id="845"/>
      <w:bookmarkEnd w:id="846"/>
      <w:bookmarkEnd w:id="847"/>
      <w:bookmarkEnd w:id="848"/>
    </w:p>
    <w:p w14:paraId="6C92BA2F">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8.1除投标人须知前附表授权直接确定中标人外，评标委员会按照总得分由高到低顺序推荐中标候选人。</w:t>
      </w:r>
    </w:p>
    <w:p w14:paraId="538B5B07">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8.2评标委员会完成评标后，应当向招标人提交书面评标报告。评标报告应当如实记载以下内容：</w:t>
      </w:r>
    </w:p>
    <w:p w14:paraId="32C6C454">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（1）基本情况和数据表。</w:t>
      </w:r>
    </w:p>
    <w:p w14:paraId="420D2A53">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（2）评标委员会成员名单。</w:t>
      </w:r>
    </w:p>
    <w:p w14:paraId="02179E2D">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（3）开标记录。</w:t>
      </w:r>
    </w:p>
    <w:p w14:paraId="11B25BD4">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（4）符合要求的投标人一览表。</w:t>
      </w:r>
    </w:p>
    <w:p w14:paraId="43A30256">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（5）废标情况说明。</w:t>
      </w:r>
    </w:p>
    <w:p w14:paraId="424F00F7">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（6）评标标准、评标方法或者评标因素。</w:t>
      </w:r>
    </w:p>
    <w:p w14:paraId="2FCC2BB6">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（7）经评审的价格一览表。</w:t>
      </w:r>
    </w:p>
    <w:p w14:paraId="2E694374">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（8）经评审的投标人排序。</w:t>
      </w:r>
    </w:p>
    <w:p w14:paraId="3FF8F216">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（9）推荐的中标候选人名单与签订合同前要处理的事宜。</w:t>
      </w:r>
    </w:p>
    <w:p w14:paraId="1CB6501F">
      <w:pPr>
        <w:spacing w:line="44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（10）澄清、说明、补正事项纪要。</w:t>
      </w:r>
    </w:p>
    <w:p w14:paraId="41797198">
      <w:pPr>
        <w:spacing w:line="44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8.3评标委员会推荐的中标候选人应当限定在</w:t>
      </w:r>
      <w:r>
        <w:rPr>
          <w:rFonts w:hint="eastAsia" w:ascii="宋体" w:hAnsi="宋体" w:cs="宋体"/>
          <w:color w:val="auto"/>
          <w:szCs w:val="21"/>
          <w:highlight w:val="none"/>
          <w:u w:val="single"/>
          <w:lang w:val="en-US" w:eastAsia="zh-CN"/>
        </w:rPr>
        <w:t xml:space="preserve">3 </w:t>
      </w:r>
      <w:r>
        <w:rPr>
          <w:rFonts w:hint="eastAsia" w:ascii="宋体" w:hAnsi="宋体" w:cs="宋体"/>
          <w:color w:val="auto"/>
          <w:szCs w:val="21"/>
          <w:highlight w:val="none"/>
        </w:rPr>
        <w:t>名。</w:t>
      </w:r>
    </w:p>
    <w:p w14:paraId="6FC48964">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8.4依法必须进行招标的项目，招标人应当确定排名第一的中标候选人为中标人。第一中标候选人放弃中标、因不可抗力提出不能履行合同，不按招标文件要求提交履约保证金，或者被查实存在影响中标结果的违法行为等情形，不符合中标条件的，投标保证金不予退还，招标人可以按照评标委员会提出的中标候选人名单排序依次确定其他中标候选人为中标人，也可以依法重新组织招标。</w:t>
      </w:r>
    </w:p>
    <w:p w14:paraId="1EF70C63">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依法必须进行招标的项目，除第一中标候选人或者中标人以外的其他投标人存在串通投标、弄虚作假、行贿情形且在评标过程中未被发现的，视为对中标结果没有造成实质性影响，招标人可以依法继续开展招标活动。</w:t>
      </w:r>
    </w:p>
    <w:p w14:paraId="3E1A994F">
      <w:pPr>
        <w:pStyle w:val="3"/>
        <w:spacing w:beforeLines="50" w:afterLines="50"/>
        <w:ind w:firstLine="422" w:firstLineChars="200"/>
        <w:rPr>
          <w:rFonts w:ascii="宋体" w:hAnsi="宋体" w:eastAsia="宋体" w:cs="宋体"/>
          <w:highlight w:val="none"/>
        </w:rPr>
      </w:pPr>
      <w:bookmarkStart w:id="849" w:name="_Toc324404880"/>
      <w:bookmarkStart w:id="850" w:name="_Toc1576"/>
      <w:bookmarkStart w:id="851" w:name="_Toc506107332"/>
      <w:bookmarkStart w:id="852" w:name="_Toc78803396"/>
      <w:bookmarkStart w:id="853" w:name="_Toc35425127"/>
      <w:bookmarkStart w:id="854" w:name="_Toc15058926"/>
      <w:bookmarkStart w:id="855" w:name="_Toc35424961"/>
      <w:r>
        <w:rPr>
          <w:rFonts w:hint="eastAsia" w:ascii="宋体" w:hAnsi="宋体" w:eastAsia="宋体" w:cs="宋体"/>
          <w:highlight w:val="none"/>
        </w:rPr>
        <w:t>9.其他</w:t>
      </w:r>
      <w:bookmarkEnd w:id="849"/>
      <w:bookmarkEnd w:id="850"/>
      <w:bookmarkEnd w:id="851"/>
      <w:bookmarkEnd w:id="852"/>
      <w:bookmarkEnd w:id="853"/>
      <w:bookmarkEnd w:id="854"/>
      <w:bookmarkEnd w:id="855"/>
    </w:p>
    <w:p w14:paraId="51C03621">
      <w:pPr>
        <w:spacing w:line="440" w:lineRule="exact"/>
        <w:ind w:firstLine="420" w:firstLineChars="200"/>
        <w:jc w:val="left"/>
        <w:rPr>
          <w:highlight w:val="none"/>
        </w:rPr>
      </w:pPr>
      <w:r>
        <w:rPr>
          <w:rFonts w:hint="eastAsia" w:ascii="宋体" w:hAnsi="宋体" w:cs="宋体"/>
          <w:szCs w:val="21"/>
          <w:highlight w:val="none"/>
        </w:rPr>
        <w:t>投标人提供的与投标文件有关的各类证书、证明、文件、资料等的真实性、合法性由投标人负全责。</w:t>
      </w:r>
      <w:bookmarkEnd w:id="763"/>
      <w:bookmarkEnd w:id="764"/>
      <w:bookmarkEnd w:id="765"/>
      <w:bookmarkEnd w:id="766"/>
      <w:bookmarkEnd w:id="767"/>
      <w:bookmarkEnd w:id="768"/>
      <w:bookmarkEnd w:id="769"/>
      <w:bookmarkEnd w:id="770"/>
      <w:bookmarkStart w:id="856" w:name="_Toc246996252"/>
      <w:bookmarkStart w:id="857" w:name="_Toc246996995"/>
      <w:bookmarkStart w:id="858" w:name="_Toc152042387"/>
      <w:bookmarkStart w:id="859" w:name="_Toc152045609"/>
      <w:bookmarkStart w:id="860" w:name="_Toc247085767"/>
      <w:bookmarkStart w:id="861" w:name="_Toc144974577"/>
      <w:bookmarkStart w:id="862" w:name="_Toc324404881"/>
      <w:bookmarkStart w:id="863" w:name="_Toc417623601"/>
      <w:bookmarkStart w:id="864" w:name="_Toc179632627"/>
    </w:p>
    <w:bookmarkEnd w:id="856"/>
    <w:bookmarkEnd w:id="857"/>
    <w:bookmarkEnd w:id="858"/>
    <w:bookmarkEnd w:id="859"/>
    <w:bookmarkEnd w:id="860"/>
    <w:bookmarkEnd w:id="861"/>
    <w:bookmarkEnd w:id="862"/>
    <w:bookmarkEnd w:id="863"/>
    <w:bookmarkEnd w:id="864"/>
    <w:p w14:paraId="01EE8AAD">
      <w:pPr>
        <w:rPr>
          <w:highlight w:val="none"/>
        </w:rPr>
      </w:pPr>
      <w:bookmarkStart w:id="865" w:name="_Toc15058927"/>
      <w:bookmarkStart w:id="866" w:name="_Toc506107333"/>
      <w:bookmarkStart w:id="867" w:name="_Toc35424962"/>
      <w:bookmarkStart w:id="868" w:name="_Toc35425128"/>
      <w:bookmarkStart w:id="869" w:name="_Toc144974826"/>
      <w:bookmarkStart w:id="870" w:name="_Toc152045767"/>
      <w:bookmarkStart w:id="871" w:name="_Toc152042546"/>
      <w:bookmarkStart w:id="872" w:name="_Toc179632785"/>
    </w:p>
    <w:p w14:paraId="65923B12">
      <w:pPr>
        <w:rPr>
          <w:rFonts w:hint="eastAsia"/>
        </w:rPr>
      </w:pPr>
      <w:r>
        <w:rPr>
          <w:rFonts w:hint="eastAsia"/>
          <w:highlight w:val="none"/>
        </w:rPr>
        <w:br w:type="page"/>
      </w:r>
      <w:bookmarkStart w:id="873" w:name="_Toc78803397"/>
    </w:p>
    <w:bookmarkEnd w:id="865"/>
    <w:bookmarkEnd w:id="866"/>
    <w:bookmarkEnd w:id="867"/>
    <w:bookmarkEnd w:id="868"/>
    <w:bookmarkEnd w:id="873"/>
    <w:p w14:paraId="226BC7FC">
      <w:pPr>
        <w:pStyle w:val="2"/>
        <w:numPr>
          <w:ilvl w:val="0"/>
          <w:numId w:val="1"/>
        </w:numPr>
        <w:rPr>
          <w:rFonts w:hint="eastAsia" w:ascii="Arial" w:hAnsi="Arial"/>
          <w:kern w:val="0"/>
          <w:sz w:val="32"/>
          <w:szCs w:val="32"/>
        </w:rPr>
      </w:pPr>
      <w:bookmarkStart w:id="874" w:name="_Toc16721"/>
      <w:r>
        <w:rPr>
          <w:rFonts w:hint="eastAsia" w:ascii="Arial" w:hAnsi="Arial"/>
          <w:kern w:val="0"/>
          <w:sz w:val="32"/>
          <w:szCs w:val="32"/>
        </w:rPr>
        <w:t xml:space="preserve"> 合同条款及格式</w:t>
      </w:r>
      <w:bookmarkEnd w:id="874"/>
    </w:p>
    <w:p w14:paraId="24D23B78">
      <w:pPr>
        <w:numPr>
          <w:ilvl w:val="0"/>
          <w:numId w:val="0"/>
        </w:numPr>
      </w:pPr>
    </w:p>
    <w:bookmarkEnd w:id="869"/>
    <w:bookmarkEnd w:id="870"/>
    <w:bookmarkEnd w:id="871"/>
    <w:bookmarkEnd w:id="872"/>
    <w:p w14:paraId="75AEB28F">
      <w:pPr>
        <w:keepNext w:val="0"/>
        <w:keepLines w:val="0"/>
        <w:pageBreakBefore w:val="0"/>
        <w:kinsoku/>
        <w:wordWrap/>
        <w:overflowPunct/>
        <w:topLinePunct w:val="0"/>
        <w:autoSpaceDE/>
        <w:autoSpaceDN/>
        <w:bidi w:val="0"/>
        <w:adjustRightInd w:val="0"/>
        <w:snapToGrid w:val="0"/>
        <w:spacing w:line="410" w:lineRule="exact"/>
        <w:jc w:val="left"/>
        <w:textAlignment w:val="auto"/>
        <w:rPr>
          <w:rFonts w:hint="eastAsia" w:ascii="宋体" w:hAnsi="宋体" w:eastAsia="宋体" w:cs="宋体"/>
          <w:color w:val="auto"/>
          <w:kern w:val="0"/>
          <w:sz w:val="21"/>
          <w:szCs w:val="21"/>
          <w:u w:val="single"/>
          <w:lang w:val="en-US" w:eastAsia="zh-CN"/>
        </w:rPr>
      </w:pPr>
      <w:bookmarkStart w:id="875" w:name="_Toc484173788"/>
      <w:bookmarkStart w:id="876" w:name="_Toc506107339"/>
      <w:bookmarkStart w:id="877" w:name="_Toc23466"/>
      <w:bookmarkStart w:id="878" w:name="_Toc21849"/>
      <w:bookmarkStart w:id="879" w:name="_Toc506107340"/>
      <w:bookmarkStart w:id="880" w:name="_Toc78803398"/>
      <w:bookmarkStart w:id="881" w:name="_Toc15058934"/>
      <w:bookmarkStart w:id="882" w:name="_Toc35425136"/>
      <w:bookmarkStart w:id="883" w:name="_Toc246997097"/>
      <w:bookmarkStart w:id="884" w:name="_Toc152042575"/>
      <w:bookmarkStart w:id="885" w:name="_Toc179632806"/>
      <w:bookmarkStart w:id="886" w:name="_Toc144974855"/>
      <w:bookmarkStart w:id="887" w:name="_Toc35424970"/>
      <w:bookmarkStart w:id="888" w:name="_Toc247085872"/>
      <w:bookmarkStart w:id="889" w:name="_Toc324404888"/>
      <w:bookmarkStart w:id="890" w:name="_Toc246996354"/>
      <w:bookmarkStart w:id="891" w:name="_Toc152045786"/>
      <w:r>
        <w:rPr>
          <w:rFonts w:hint="eastAsia" w:ascii="宋体" w:hAnsi="宋体" w:eastAsia="宋体" w:cs="宋体"/>
          <w:color w:val="auto"/>
          <w:kern w:val="0"/>
          <w:sz w:val="21"/>
          <w:szCs w:val="21"/>
        </w:rPr>
        <w:t>委托方（甲方）：</w:t>
      </w:r>
      <w:r>
        <w:rPr>
          <w:rFonts w:hint="eastAsia" w:ascii="宋体" w:hAnsi="宋体" w:eastAsia="宋体" w:cs="宋体"/>
          <w:color w:val="auto"/>
          <w:kern w:val="0"/>
          <w:sz w:val="21"/>
          <w:szCs w:val="21"/>
          <w:u w:val="single"/>
          <w:lang w:val="en-US" w:eastAsia="zh-CN"/>
        </w:rPr>
        <w:t xml:space="preserve">                         </w:t>
      </w:r>
    </w:p>
    <w:p w14:paraId="0BB07543">
      <w:pPr>
        <w:keepNext w:val="0"/>
        <w:keepLines w:val="0"/>
        <w:pageBreakBefore w:val="0"/>
        <w:kinsoku/>
        <w:wordWrap/>
        <w:overflowPunct/>
        <w:topLinePunct w:val="0"/>
        <w:autoSpaceDE/>
        <w:autoSpaceDN/>
        <w:bidi w:val="0"/>
        <w:adjustRightInd w:val="0"/>
        <w:snapToGrid w:val="0"/>
        <w:spacing w:line="410" w:lineRule="exact"/>
        <w:jc w:val="left"/>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受托方（乙方）：</w:t>
      </w:r>
      <w:r>
        <w:rPr>
          <w:rFonts w:hint="eastAsia" w:ascii="宋体" w:hAnsi="宋体" w:eastAsia="宋体" w:cs="宋体"/>
          <w:color w:val="auto"/>
          <w:kern w:val="0"/>
          <w:sz w:val="21"/>
          <w:szCs w:val="21"/>
          <w:u w:val="single"/>
          <w:lang w:val="en-US" w:eastAsia="zh-CN"/>
        </w:rPr>
        <w:t xml:space="preserve">                         </w:t>
      </w:r>
    </w:p>
    <w:p w14:paraId="1810E43E">
      <w:pPr>
        <w:keepNext w:val="0"/>
        <w:keepLines w:val="0"/>
        <w:pageBreakBefore w:val="0"/>
        <w:widowControl/>
        <w:kinsoku/>
        <w:wordWrap/>
        <w:overflowPunct/>
        <w:topLinePunct w:val="0"/>
        <w:autoSpaceDE/>
        <w:autoSpaceDN/>
        <w:bidi w:val="0"/>
        <w:spacing w:line="410" w:lineRule="exact"/>
        <w:ind w:firstLine="420" w:firstLineChars="200"/>
        <w:jc w:val="left"/>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为保证</w:t>
      </w:r>
      <w:r>
        <w:rPr>
          <w:rFonts w:hint="eastAsia" w:ascii="宋体" w:hAnsi="宋体" w:eastAsia="宋体" w:cs="宋体"/>
          <w:color w:val="auto"/>
          <w:kern w:val="0"/>
          <w:sz w:val="21"/>
          <w:szCs w:val="21"/>
          <w:u w:val="single"/>
          <w:lang w:val="en-US" w:eastAsia="zh-CN"/>
        </w:rPr>
        <w:t xml:space="preserve">                      （项目名称）   </w:t>
      </w:r>
      <w:r>
        <w:rPr>
          <w:rFonts w:hint="eastAsia" w:ascii="宋体" w:hAnsi="宋体" w:eastAsia="宋体" w:cs="宋体"/>
          <w:color w:val="auto"/>
          <w:kern w:val="0"/>
          <w:sz w:val="21"/>
          <w:szCs w:val="21"/>
        </w:rPr>
        <w:t>跟踪审计工作质量和效率，依据《中华人民共和国审计法》、《中华人民共和国</w:t>
      </w:r>
      <w:r>
        <w:rPr>
          <w:rFonts w:hint="eastAsia" w:ascii="宋体" w:hAnsi="宋体" w:eastAsia="宋体" w:cs="宋体"/>
          <w:color w:val="auto"/>
          <w:kern w:val="0"/>
          <w:sz w:val="21"/>
          <w:szCs w:val="21"/>
          <w:lang w:val="en-US" w:eastAsia="zh-CN"/>
        </w:rPr>
        <w:t>民法典</w:t>
      </w:r>
      <w:r>
        <w:rPr>
          <w:rFonts w:hint="eastAsia" w:ascii="宋体" w:hAnsi="宋体" w:eastAsia="宋体" w:cs="宋体"/>
          <w:color w:val="auto"/>
          <w:kern w:val="0"/>
          <w:sz w:val="21"/>
          <w:szCs w:val="21"/>
        </w:rPr>
        <w:t>》等有关法律法规，甲、乙双方经协商一致，自愿签订本协议。</w:t>
      </w:r>
    </w:p>
    <w:p w14:paraId="04D99F5B">
      <w:pPr>
        <w:keepNext w:val="0"/>
        <w:keepLines w:val="0"/>
        <w:pageBreakBefore w:val="0"/>
        <w:widowControl w:val="0"/>
        <w:kinsoku/>
        <w:wordWrap/>
        <w:overflowPunct/>
        <w:topLinePunct w:val="0"/>
        <w:autoSpaceDE/>
        <w:autoSpaceDN/>
        <w:bidi w:val="0"/>
        <w:adjustRightInd/>
        <w:snapToGrid w:val="0"/>
        <w:spacing w:before="93" w:beforeLines="30" w:after="93" w:afterLines="30" w:line="410" w:lineRule="exact"/>
        <w:ind w:firstLine="472" w:firstLineChars="196"/>
        <w:jc w:val="left"/>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一、跟踪审计项目</w:t>
      </w:r>
    </w:p>
    <w:p w14:paraId="6D580292">
      <w:pPr>
        <w:keepNext w:val="0"/>
        <w:keepLines w:val="0"/>
        <w:pageBreakBefore w:val="0"/>
        <w:kinsoku/>
        <w:wordWrap/>
        <w:overflowPunct/>
        <w:topLinePunct w:val="0"/>
        <w:autoSpaceDE/>
        <w:autoSpaceDN/>
        <w:bidi w:val="0"/>
        <w:snapToGrid w:val="0"/>
        <w:spacing w:line="410" w:lineRule="exact"/>
        <w:ind w:firstLine="570"/>
        <w:jc w:val="left"/>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rPr>
        <w:t>1.项目名称：</w:t>
      </w:r>
      <w:r>
        <w:rPr>
          <w:rFonts w:hint="eastAsia" w:ascii="宋体" w:hAnsi="宋体" w:eastAsia="宋体" w:cs="宋体"/>
          <w:color w:val="auto"/>
          <w:kern w:val="0"/>
          <w:sz w:val="21"/>
          <w:szCs w:val="21"/>
          <w:lang w:val="en-US" w:eastAsia="zh-CN"/>
        </w:rPr>
        <w:t xml:space="preserve"> </w:t>
      </w:r>
      <w:r>
        <w:rPr>
          <w:rFonts w:hint="eastAsia" w:ascii="宋体" w:hAnsi="宋体" w:eastAsia="宋体" w:cs="宋体"/>
          <w:color w:val="auto"/>
          <w:kern w:val="0"/>
          <w:sz w:val="21"/>
          <w:szCs w:val="21"/>
          <w:u w:val="single"/>
          <w:lang w:val="en-US" w:eastAsia="zh-CN"/>
        </w:rPr>
        <w:t xml:space="preserve">                                </w:t>
      </w:r>
    </w:p>
    <w:p w14:paraId="2529BCA4">
      <w:pPr>
        <w:keepNext w:val="0"/>
        <w:keepLines w:val="0"/>
        <w:pageBreakBefore w:val="0"/>
        <w:kinsoku/>
        <w:wordWrap/>
        <w:overflowPunct/>
        <w:topLinePunct w:val="0"/>
        <w:autoSpaceDE/>
        <w:autoSpaceDN/>
        <w:bidi w:val="0"/>
        <w:snapToGrid w:val="0"/>
        <w:spacing w:line="410" w:lineRule="exact"/>
        <w:ind w:firstLine="570"/>
        <w:jc w:val="left"/>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2.项目投资额：</w:t>
      </w:r>
      <w:r>
        <w:rPr>
          <w:rFonts w:hint="eastAsia" w:ascii="宋体" w:hAnsi="宋体" w:eastAsia="宋体" w:cs="宋体"/>
          <w:color w:val="auto"/>
          <w:kern w:val="0"/>
          <w:sz w:val="21"/>
          <w:szCs w:val="21"/>
          <w:lang w:val="en-US" w:eastAsia="zh-CN"/>
        </w:rPr>
        <w:t xml:space="preserve"> </w:t>
      </w:r>
      <w:r>
        <w:rPr>
          <w:rFonts w:hint="eastAsia" w:ascii="宋体" w:hAnsi="宋体" w:eastAsia="宋体" w:cs="宋体"/>
          <w:color w:val="auto"/>
          <w:kern w:val="0"/>
          <w:sz w:val="21"/>
          <w:szCs w:val="21"/>
          <w:u w:val="single"/>
          <w:lang w:val="en-US" w:eastAsia="zh-CN"/>
        </w:rPr>
        <w:t xml:space="preserve">                             </w:t>
      </w:r>
      <w:r>
        <w:rPr>
          <w:rFonts w:hint="eastAsia" w:ascii="宋体" w:hAnsi="宋体" w:eastAsia="宋体" w:cs="宋体"/>
          <w:color w:val="auto"/>
          <w:kern w:val="0"/>
          <w:sz w:val="21"/>
          <w:szCs w:val="21"/>
          <w:u w:val="single"/>
        </w:rPr>
        <w:t xml:space="preserve"> </w:t>
      </w:r>
    </w:p>
    <w:p w14:paraId="798AE112">
      <w:pPr>
        <w:keepNext w:val="0"/>
        <w:keepLines w:val="0"/>
        <w:pageBreakBefore w:val="0"/>
        <w:widowControl w:val="0"/>
        <w:kinsoku/>
        <w:wordWrap/>
        <w:overflowPunct/>
        <w:topLinePunct w:val="0"/>
        <w:autoSpaceDE/>
        <w:autoSpaceDN/>
        <w:bidi w:val="0"/>
        <w:adjustRightInd/>
        <w:snapToGrid w:val="0"/>
        <w:spacing w:before="93" w:beforeLines="30" w:after="93" w:afterLines="30" w:line="410" w:lineRule="exact"/>
        <w:ind w:firstLine="472" w:firstLineChars="196"/>
        <w:jc w:val="left"/>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二、项目跟踪审计内容</w:t>
      </w:r>
    </w:p>
    <w:p w14:paraId="61AC005F">
      <w:pPr>
        <w:keepNext w:val="0"/>
        <w:keepLines w:val="0"/>
        <w:pageBreakBefore w:val="0"/>
        <w:widowControl/>
        <w:kinsoku/>
        <w:wordWrap/>
        <w:overflowPunct/>
        <w:topLinePunct w:val="0"/>
        <w:autoSpaceDE/>
        <w:autoSpaceDN/>
        <w:bidi w:val="0"/>
        <w:adjustRightInd/>
        <w:snapToGrid w:val="0"/>
        <w:spacing w:line="410" w:lineRule="exact"/>
        <w:ind w:firstLine="420" w:firstLineChars="200"/>
        <w:textAlignment w:val="baseline"/>
        <w:rPr>
          <w:rFonts w:hint="eastAsia" w:ascii="宋体" w:hAnsi="宋体" w:eastAsia="宋体" w:cs="宋体"/>
          <w:kern w:val="0"/>
          <w:szCs w:val="21"/>
          <w:u w:val="none" w:color="000000"/>
        </w:rPr>
      </w:pPr>
      <w:r>
        <w:rPr>
          <w:rFonts w:hint="eastAsia" w:ascii="宋体" w:hAnsi="宋体" w:eastAsia="宋体" w:cs="宋体"/>
          <w:kern w:val="0"/>
          <w:szCs w:val="21"/>
          <w:u w:val="none" w:color="000000"/>
          <w:lang w:val="en-US" w:eastAsia="zh-CN"/>
        </w:rPr>
        <w:t>1.</w:t>
      </w:r>
      <w:r>
        <w:rPr>
          <w:rFonts w:hint="eastAsia" w:ascii="宋体" w:hAnsi="宋体" w:eastAsia="宋体" w:cs="宋体"/>
          <w:kern w:val="0"/>
          <w:szCs w:val="21"/>
          <w:u w:val="none" w:color="000000"/>
        </w:rPr>
        <w:t xml:space="preserve">成立项目跟踪（结算）审计组，编制跟踪（结算）审计实施方案，确定投资控制目标、重点环节及应对措施； </w:t>
      </w:r>
    </w:p>
    <w:p w14:paraId="26DE3BB3">
      <w:pPr>
        <w:keepNext w:val="0"/>
        <w:keepLines w:val="0"/>
        <w:pageBreakBefore w:val="0"/>
        <w:widowControl/>
        <w:kinsoku/>
        <w:wordWrap/>
        <w:overflowPunct/>
        <w:topLinePunct w:val="0"/>
        <w:autoSpaceDE/>
        <w:autoSpaceDN/>
        <w:bidi w:val="0"/>
        <w:adjustRightInd/>
        <w:snapToGrid w:val="0"/>
        <w:spacing w:line="410" w:lineRule="exact"/>
        <w:ind w:firstLine="420" w:firstLineChars="200"/>
        <w:textAlignment w:val="baseline"/>
        <w:rPr>
          <w:rFonts w:hint="eastAsia" w:ascii="宋体" w:hAnsi="宋体" w:eastAsia="宋体" w:cs="宋体"/>
          <w:kern w:val="0"/>
          <w:szCs w:val="21"/>
          <w:u w:val="none" w:color="000000"/>
        </w:rPr>
      </w:pPr>
      <w:r>
        <w:rPr>
          <w:rFonts w:hint="eastAsia" w:ascii="宋体" w:hAnsi="宋体" w:eastAsia="宋体" w:cs="宋体"/>
          <w:kern w:val="0"/>
          <w:szCs w:val="21"/>
          <w:u w:val="none" w:color="000000"/>
          <w:lang w:val="en-US" w:eastAsia="zh-CN"/>
        </w:rPr>
        <w:t>2.</w:t>
      </w:r>
      <w:r>
        <w:rPr>
          <w:rFonts w:hint="eastAsia" w:ascii="宋体" w:hAnsi="宋体" w:eastAsia="宋体" w:cs="宋体"/>
          <w:kern w:val="0"/>
          <w:szCs w:val="21"/>
          <w:u w:val="none" w:color="000000"/>
        </w:rPr>
        <w:t>审核项目前期资料（图纸、工程量清单及控制价、招标投标文件、施工合同等），向甲方提交审核结果；</w:t>
      </w:r>
    </w:p>
    <w:p w14:paraId="1435D7F5">
      <w:pPr>
        <w:keepNext w:val="0"/>
        <w:keepLines w:val="0"/>
        <w:pageBreakBefore w:val="0"/>
        <w:widowControl/>
        <w:kinsoku/>
        <w:wordWrap/>
        <w:overflowPunct/>
        <w:topLinePunct w:val="0"/>
        <w:autoSpaceDE/>
        <w:autoSpaceDN/>
        <w:bidi w:val="0"/>
        <w:adjustRightInd/>
        <w:snapToGrid w:val="0"/>
        <w:spacing w:line="410" w:lineRule="exact"/>
        <w:ind w:firstLine="420" w:firstLineChars="200"/>
        <w:textAlignment w:val="baseline"/>
        <w:rPr>
          <w:rFonts w:hint="eastAsia" w:ascii="宋体" w:hAnsi="宋体" w:eastAsia="宋体" w:cs="宋体"/>
          <w:kern w:val="0"/>
          <w:szCs w:val="21"/>
          <w:u w:val="none" w:color="000000"/>
        </w:rPr>
      </w:pPr>
      <w:r>
        <w:rPr>
          <w:rFonts w:hint="eastAsia" w:ascii="宋体" w:hAnsi="宋体" w:eastAsia="宋体" w:cs="宋体"/>
          <w:kern w:val="0"/>
          <w:szCs w:val="21"/>
          <w:u w:val="none" w:color="000000"/>
          <w:lang w:val="en-US" w:eastAsia="zh-CN"/>
        </w:rPr>
        <w:t>3.</w:t>
      </w:r>
      <w:r>
        <w:rPr>
          <w:rFonts w:hint="eastAsia" w:ascii="宋体" w:hAnsi="宋体" w:eastAsia="宋体" w:cs="宋体"/>
          <w:kern w:val="0"/>
          <w:szCs w:val="21"/>
          <w:u w:val="none" w:color="000000"/>
        </w:rPr>
        <w:t>对承包方上报的请款期已完成合格工程量的计量、计价进行审核，并提供按工程形象进度付款的意见、建议；</w:t>
      </w:r>
    </w:p>
    <w:p w14:paraId="294BBE09">
      <w:pPr>
        <w:keepNext w:val="0"/>
        <w:keepLines w:val="0"/>
        <w:pageBreakBefore w:val="0"/>
        <w:widowControl/>
        <w:kinsoku/>
        <w:wordWrap/>
        <w:overflowPunct/>
        <w:topLinePunct w:val="0"/>
        <w:autoSpaceDE/>
        <w:autoSpaceDN/>
        <w:bidi w:val="0"/>
        <w:adjustRightInd/>
        <w:snapToGrid w:val="0"/>
        <w:spacing w:line="410" w:lineRule="exact"/>
        <w:ind w:firstLine="420" w:firstLineChars="200"/>
        <w:textAlignment w:val="baseline"/>
        <w:rPr>
          <w:rFonts w:hint="eastAsia" w:ascii="宋体" w:hAnsi="宋体" w:eastAsia="宋体" w:cs="宋体"/>
          <w:kern w:val="0"/>
          <w:szCs w:val="21"/>
          <w:u w:val="none" w:color="000000"/>
        </w:rPr>
      </w:pPr>
      <w:r>
        <w:rPr>
          <w:rFonts w:hint="eastAsia" w:ascii="宋体" w:hAnsi="宋体" w:eastAsia="宋体" w:cs="宋体"/>
          <w:kern w:val="0"/>
          <w:szCs w:val="21"/>
          <w:u w:val="none" w:color="000000"/>
          <w:lang w:val="en-US" w:eastAsia="zh-CN"/>
        </w:rPr>
        <w:t>4.</w:t>
      </w:r>
      <w:r>
        <w:rPr>
          <w:rFonts w:hint="eastAsia" w:ascii="宋体" w:hAnsi="宋体" w:eastAsia="宋体" w:cs="宋体"/>
          <w:kern w:val="0"/>
          <w:szCs w:val="21"/>
          <w:u w:val="none" w:color="000000"/>
        </w:rPr>
        <w:t>及时核定分阶段完工的项目分部、分项工程价款结算，项目竣工后，及时提交完整的竣工结算审核报告；</w:t>
      </w:r>
    </w:p>
    <w:p w14:paraId="396C98E9">
      <w:pPr>
        <w:keepNext w:val="0"/>
        <w:keepLines w:val="0"/>
        <w:pageBreakBefore w:val="0"/>
        <w:widowControl/>
        <w:kinsoku/>
        <w:wordWrap/>
        <w:overflowPunct/>
        <w:topLinePunct w:val="0"/>
        <w:autoSpaceDE/>
        <w:autoSpaceDN/>
        <w:bidi w:val="0"/>
        <w:adjustRightInd/>
        <w:snapToGrid w:val="0"/>
        <w:spacing w:line="410" w:lineRule="exact"/>
        <w:ind w:firstLine="420" w:firstLineChars="200"/>
        <w:textAlignment w:val="baseline"/>
        <w:rPr>
          <w:rFonts w:hint="eastAsia" w:ascii="宋体" w:hAnsi="宋体" w:eastAsia="宋体" w:cs="宋体"/>
          <w:kern w:val="0"/>
          <w:szCs w:val="21"/>
          <w:u w:val="none" w:color="000000"/>
        </w:rPr>
      </w:pPr>
      <w:r>
        <w:rPr>
          <w:rFonts w:hint="eastAsia" w:ascii="宋体" w:hAnsi="宋体" w:eastAsia="宋体" w:cs="宋体"/>
          <w:kern w:val="0"/>
          <w:szCs w:val="21"/>
          <w:u w:val="none" w:color="000000"/>
          <w:lang w:val="en-US" w:eastAsia="zh-CN"/>
        </w:rPr>
        <w:t>5.</w:t>
      </w:r>
      <w:r>
        <w:rPr>
          <w:rFonts w:hint="eastAsia" w:ascii="宋体" w:hAnsi="宋体" w:eastAsia="宋体" w:cs="宋体"/>
          <w:kern w:val="0"/>
          <w:szCs w:val="21"/>
          <w:u w:val="none" w:color="000000"/>
        </w:rPr>
        <w:t>协助甲方及时审核设计变更、经济签证等发生的费用，超过一定限额的，提请甲方履行报批程序；</w:t>
      </w:r>
    </w:p>
    <w:p w14:paraId="7A7A3950">
      <w:pPr>
        <w:keepNext w:val="0"/>
        <w:keepLines w:val="0"/>
        <w:pageBreakBefore w:val="0"/>
        <w:widowControl/>
        <w:kinsoku/>
        <w:wordWrap/>
        <w:overflowPunct/>
        <w:topLinePunct w:val="0"/>
        <w:autoSpaceDE/>
        <w:autoSpaceDN/>
        <w:bidi w:val="0"/>
        <w:adjustRightInd/>
        <w:snapToGrid w:val="0"/>
        <w:spacing w:line="410" w:lineRule="exact"/>
        <w:ind w:firstLine="420" w:firstLineChars="200"/>
        <w:textAlignment w:val="baseline"/>
        <w:rPr>
          <w:rFonts w:hint="eastAsia" w:ascii="宋体" w:hAnsi="宋体" w:eastAsia="宋体" w:cs="宋体"/>
          <w:kern w:val="0"/>
          <w:szCs w:val="21"/>
          <w:u w:val="none" w:color="000000"/>
        </w:rPr>
      </w:pPr>
      <w:r>
        <w:rPr>
          <w:rFonts w:hint="eastAsia" w:ascii="宋体" w:hAnsi="宋体" w:eastAsia="宋体" w:cs="宋体"/>
          <w:kern w:val="0"/>
          <w:szCs w:val="21"/>
          <w:u w:val="none" w:color="000000"/>
          <w:lang w:val="en-US" w:eastAsia="zh-CN"/>
        </w:rPr>
        <w:t>6.</w:t>
      </w:r>
      <w:r>
        <w:rPr>
          <w:rFonts w:hint="eastAsia" w:ascii="宋体" w:hAnsi="宋体" w:eastAsia="宋体" w:cs="宋体"/>
          <w:kern w:val="0"/>
          <w:szCs w:val="21"/>
          <w:u w:val="none" w:color="000000"/>
        </w:rPr>
        <w:t>项目承、发包方发生工程价款结算争议时，为甲方提供咨询意见；</w:t>
      </w:r>
    </w:p>
    <w:p w14:paraId="569925A5">
      <w:pPr>
        <w:keepNext w:val="0"/>
        <w:keepLines w:val="0"/>
        <w:pageBreakBefore w:val="0"/>
        <w:widowControl/>
        <w:kinsoku/>
        <w:wordWrap/>
        <w:overflowPunct/>
        <w:topLinePunct w:val="0"/>
        <w:autoSpaceDE/>
        <w:autoSpaceDN/>
        <w:bidi w:val="0"/>
        <w:adjustRightInd/>
        <w:snapToGrid w:val="0"/>
        <w:spacing w:line="410" w:lineRule="exact"/>
        <w:ind w:firstLine="420" w:firstLineChars="200"/>
        <w:textAlignment w:val="baseline"/>
        <w:rPr>
          <w:rFonts w:hint="eastAsia" w:ascii="宋体" w:hAnsi="宋体" w:eastAsia="宋体" w:cs="宋体"/>
          <w:kern w:val="0"/>
          <w:szCs w:val="21"/>
          <w:u w:val="none" w:color="000000"/>
        </w:rPr>
      </w:pPr>
      <w:r>
        <w:rPr>
          <w:rFonts w:hint="eastAsia" w:ascii="宋体" w:hAnsi="宋体" w:eastAsia="宋体" w:cs="宋体"/>
          <w:kern w:val="0"/>
          <w:szCs w:val="21"/>
          <w:u w:val="none" w:color="000000"/>
          <w:lang w:val="en-US" w:eastAsia="zh-CN"/>
        </w:rPr>
        <w:t>7.</w:t>
      </w:r>
      <w:r>
        <w:rPr>
          <w:rFonts w:hint="eastAsia" w:ascii="宋体" w:hAnsi="宋体" w:eastAsia="宋体" w:cs="宋体"/>
          <w:kern w:val="0"/>
          <w:szCs w:val="21"/>
          <w:u w:val="none" w:color="000000"/>
        </w:rPr>
        <w:t xml:space="preserve">参与项目建设管理的有关会议，对项目投资控制的有关事项发表独立审计意见； </w:t>
      </w:r>
    </w:p>
    <w:p w14:paraId="70371380">
      <w:pPr>
        <w:keepNext w:val="0"/>
        <w:keepLines w:val="0"/>
        <w:pageBreakBefore w:val="0"/>
        <w:widowControl/>
        <w:kinsoku/>
        <w:wordWrap/>
        <w:overflowPunct/>
        <w:topLinePunct w:val="0"/>
        <w:autoSpaceDE/>
        <w:autoSpaceDN/>
        <w:bidi w:val="0"/>
        <w:adjustRightInd/>
        <w:snapToGrid w:val="0"/>
        <w:spacing w:line="410" w:lineRule="exact"/>
        <w:ind w:firstLine="420" w:firstLineChars="200"/>
        <w:textAlignment w:val="baseline"/>
        <w:rPr>
          <w:rFonts w:hint="eastAsia" w:ascii="宋体" w:hAnsi="宋体" w:eastAsia="宋体" w:cs="宋体"/>
          <w:kern w:val="0"/>
          <w:szCs w:val="21"/>
          <w:u w:val="none" w:color="000000"/>
        </w:rPr>
      </w:pPr>
      <w:r>
        <w:rPr>
          <w:rFonts w:hint="eastAsia" w:ascii="宋体" w:hAnsi="宋体" w:eastAsia="宋体" w:cs="宋体"/>
          <w:kern w:val="0"/>
          <w:szCs w:val="21"/>
          <w:u w:val="none" w:color="000000"/>
          <w:lang w:val="en-US" w:eastAsia="zh-CN"/>
        </w:rPr>
        <w:t>8.</w:t>
      </w:r>
      <w:r>
        <w:rPr>
          <w:rFonts w:hint="eastAsia" w:ascii="宋体" w:hAnsi="宋体" w:eastAsia="宋体" w:cs="宋体"/>
          <w:kern w:val="0"/>
          <w:szCs w:val="21"/>
          <w:u w:val="none" w:color="000000"/>
        </w:rPr>
        <w:t>其他与项目投资控制相关的工作。</w:t>
      </w:r>
    </w:p>
    <w:p w14:paraId="316C8E45">
      <w:pPr>
        <w:keepNext w:val="0"/>
        <w:keepLines w:val="0"/>
        <w:pageBreakBefore w:val="0"/>
        <w:widowControl w:val="0"/>
        <w:kinsoku/>
        <w:wordWrap/>
        <w:overflowPunct/>
        <w:topLinePunct w:val="0"/>
        <w:autoSpaceDE/>
        <w:autoSpaceDN/>
        <w:bidi w:val="0"/>
        <w:adjustRightInd/>
        <w:snapToGrid w:val="0"/>
        <w:spacing w:before="93" w:beforeLines="30" w:after="93" w:afterLines="30" w:line="410" w:lineRule="exact"/>
        <w:ind w:firstLine="472" w:firstLineChars="196"/>
        <w:jc w:val="left"/>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三</w:t>
      </w:r>
      <w:r>
        <w:rPr>
          <w:rFonts w:hint="eastAsia" w:ascii="宋体" w:hAnsi="宋体" w:eastAsia="宋体" w:cs="宋体"/>
          <w:b/>
          <w:bCs/>
          <w:color w:val="auto"/>
          <w:sz w:val="24"/>
          <w:szCs w:val="24"/>
        </w:rPr>
        <w:t>、项目跟踪审计组及人员配备要求</w:t>
      </w:r>
    </w:p>
    <w:p w14:paraId="6C3CE879">
      <w:pPr>
        <w:keepNext w:val="0"/>
        <w:keepLines w:val="0"/>
        <w:pageBreakBefore w:val="0"/>
        <w:widowControl/>
        <w:kinsoku/>
        <w:wordWrap/>
        <w:overflowPunct/>
        <w:topLinePunct w:val="0"/>
        <w:autoSpaceDE/>
        <w:autoSpaceDN/>
        <w:bidi w:val="0"/>
        <w:adjustRightInd/>
        <w:snapToGrid w:val="0"/>
        <w:spacing w:line="410" w:lineRule="exact"/>
        <w:ind w:firstLine="420" w:firstLineChars="200"/>
        <w:textAlignment w:val="baseline"/>
        <w:rPr>
          <w:rFonts w:hint="eastAsia" w:ascii="宋体" w:hAnsi="宋体" w:eastAsia="宋体" w:cs="宋体"/>
          <w:kern w:val="0"/>
          <w:szCs w:val="21"/>
          <w:u w:val="none" w:color="000000"/>
        </w:rPr>
      </w:pPr>
      <w:r>
        <w:rPr>
          <w:rFonts w:hint="eastAsia" w:ascii="宋体" w:hAnsi="宋体" w:eastAsia="宋体" w:cs="宋体"/>
          <w:kern w:val="0"/>
          <w:szCs w:val="21"/>
          <w:u w:val="none" w:color="000000"/>
        </w:rPr>
        <w:t>1.乙方须成立项目跟踪（结算）审计组，配备相应数量具有相关专业执业资质的审计人员（须为备选库入库人员）。本项目审计组负责人为姓名、注册造价师证书号、联系电话，成员为姓名、</w:t>
      </w:r>
      <w:r>
        <w:rPr>
          <w:rFonts w:hint="eastAsia" w:ascii="宋体" w:hAnsi="宋体" w:eastAsia="宋体" w:cs="宋体"/>
          <w:kern w:val="0"/>
          <w:szCs w:val="21"/>
          <w:u w:val="none" w:color="000000"/>
          <w:lang w:val="en-US" w:eastAsia="zh-CN"/>
        </w:rPr>
        <w:t>造价师</w:t>
      </w:r>
      <w:r>
        <w:rPr>
          <w:rFonts w:hint="eastAsia" w:ascii="宋体" w:hAnsi="宋体" w:eastAsia="宋体" w:cs="宋体"/>
          <w:kern w:val="0"/>
          <w:szCs w:val="21"/>
          <w:u w:val="none" w:color="000000"/>
        </w:rPr>
        <w:t>证书号、联系电话（现场负责人）；</w:t>
      </w:r>
    </w:p>
    <w:p w14:paraId="48A2AAA0">
      <w:pPr>
        <w:keepNext w:val="0"/>
        <w:keepLines w:val="0"/>
        <w:pageBreakBefore w:val="0"/>
        <w:widowControl/>
        <w:kinsoku/>
        <w:wordWrap/>
        <w:overflowPunct/>
        <w:topLinePunct w:val="0"/>
        <w:autoSpaceDE/>
        <w:autoSpaceDN/>
        <w:bidi w:val="0"/>
        <w:adjustRightInd/>
        <w:snapToGrid w:val="0"/>
        <w:spacing w:line="410" w:lineRule="exact"/>
        <w:ind w:firstLine="420" w:firstLineChars="200"/>
        <w:textAlignment w:val="baseline"/>
        <w:rPr>
          <w:rFonts w:hint="eastAsia" w:ascii="宋体" w:hAnsi="宋体" w:eastAsia="宋体" w:cs="宋体"/>
          <w:kern w:val="0"/>
          <w:szCs w:val="21"/>
          <w:u w:val="none" w:color="000000"/>
        </w:rPr>
      </w:pPr>
      <w:r>
        <w:rPr>
          <w:rFonts w:hint="eastAsia" w:ascii="宋体" w:hAnsi="宋体" w:eastAsia="宋体" w:cs="宋体"/>
          <w:kern w:val="0"/>
          <w:szCs w:val="21"/>
          <w:u w:val="none" w:color="000000"/>
        </w:rPr>
        <w:t>2.项目审计人员须服从甲方的工作安排，未经甲方许可，乙方不得随意更换、调整审计组人员。</w:t>
      </w:r>
    </w:p>
    <w:p w14:paraId="31A13E69">
      <w:pPr>
        <w:keepNext w:val="0"/>
        <w:keepLines w:val="0"/>
        <w:pageBreakBefore w:val="0"/>
        <w:widowControl w:val="0"/>
        <w:kinsoku/>
        <w:wordWrap/>
        <w:overflowPunct/>
        <w:topLinePunct w:val="0"/>
        <w:autoSpaceDE/>
        <w:autoSpaceDN/>
        <w:bidi w:val="0"/>
        <w:adjustRightInd/>
        <w:snapToGrid w:val="0"/>
        <w:spacing w:before="93" w:beforeLines="30" w:after="93" w:afterLines="30" w:line="410" w:lineRule="exact"/>
        <w:ind w:firstLine="472" w:firstLineChars="196"/>
        <w:jc w:val="left"/>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五、项目跟踪审计质量要求</w:t>
      </w:r>
    </w:p>
    <w:p w14:paraId="69E5EDEE">
      <w:pPr>
        <w:keepNext w:val="0"/>
        <w:keepLines w:val="0"/>
        <w:pageBreakBefore w:val="0"/>
        <w:widowControl/>
        <w:kinsoku/>
        <w:wordWrap/>
        <w:overflowPunct/>
        <w:topLinePunct w:val="0"/>
        <w:autoSpaceDE/>
        <w:autoSpaceDN/>
        <w:bidi w:val="0"/>
        <w:adjustRightInd/>
        <w:snapToGrid w:val="0"/>
        <w:spacing w:line="410" w:lineRule="exact"/>
        <w:ind w:firstLine="420" w:firstLineChars="200"/>
        <w:textAlignment w:val="baseline"/>
        <w:rPr>
          <w:rFonts w:hint="eastAsia" w:ascii="宋体" w:hAnsi="宋体" w:eastAsia="宋体" w:cs="宋体"/>
          <w:kern w:val="0"/>
          <w:szCs w:val="21"/>
          <w:u w:val="none" w:color="000000"/>
        </w:rPr>
      </w:pPr>
      <w:r>
        <w:rPr>
          <w:rFonts w:hint="eastAsia" w:ascii="宋体" w:hAnsi="宋体" w:eastAsia="宋体" w:cs="宋体"/>
          <w:kern w:val="0"/>
          <w:szCs w:val="21"/>
          <w:u w:val="none" w:color="000000"/>
        </w:rPr>
        <w:t>项目跟踪审计、结算审核服务费的误差违约金处罚根据第三方复审、综合计划科复核或市财政工程造价审核中心的审核结果确定：</w:t>
      </w:r>
    </w:p>
    <w:p w14:paraId="2F161DBC">
      <w:pPr>
        <w:keepNext w:val="0"/>
        <w:keepLines w:val="0"/>
        <w:pageBreakBefore w:val="0"/>
        <w:widowControl/>
        <w:kinsoku/>
        <w:wordWrap/>
        <w:overflowPunct/>
        <w:topLinePunct w:val="0"/>
        <w:autoSpaceDE/>
        <w:autoSpaceDN/>
        <w:bidi w:val="0"/>
        <w:adjustRightInd/>
        <w:snapToGrid w:val="0"/>
        <w:spacing w:line="410" w:lineRule="exact"/>
        <w:ind w:firstLine="420" w:firstLineChars="200"/>
        <w:textAlignment w:val="baseline"/>
        <w:rPr>
          <w:rFonts w:hint="eastAsia" w:ascii="宋体" w:hAnsi="宋体" w:eastAsia="宋体" w:cs="宋体"/>
          <w:kern w:val="0"/>
          <w:szCs w:val="21"/>
          <w:u w:val="none" w:color="000000"/>
        </w:rPr>
      </w:pPr>
      <w:r>
        <w:rPr>
          <w:rFonts w:hint="eastAsia" w:ascii="宋体" w:hAnsi="宋体" w:eastAsia="宋体" w:cs="宋体"/>
          <w:kern w:val="0"/>
          <w:szCs w:val="21"/>
          <w:u w:val="none" w:color="000000"/>
        </w:rPr>
        <w:t>（一）审核结果误差在1%-2%（含）之间，以服务费的25%作为违约金；</w:t>
      </w:r>
    </w:p>
    <w:p w14:paraId="04835798">
      <w:pPr>
        <w:keepNext w:val="0"/>
        <w:keepLines w:val="0"/>
        <w:pageBreakBefore w:val="0"/>
        <w:widowControl/>
        <w:kinsoku/>
        <w:wordWrap/>
        <w:overflowPunct/>
        <w:topLinePunct w:val="0"/>
        <w:autoSpaceDE/>
        <w:autoSpaceDN/>
        <w:bidi w:val="0"/>
        <w:adjustRightInd/>
        <w:snapToGrid w:val="0"/>
        <w:spacing w:line="410" w:lineRule="exact"/>
        <w:ind w:firstLine="420" w:firstLineChars="200"/>
        <w:textAlignment w:val="baseline"/>
        <w:rPr>
          <w:rFonts w:hint="eastAsia" w:ascii="宋体" w:hAnsi="宋体" w:eastAsia="宋体" w:cs="宋体"/>
          <w:kern w:val="0"/>
          <w:szCs w:val="21"/>
          <w:u w:val="none" w:color="000000"/>
        </w:rPr>
      </w:pPr>
      <w:r>
        <w:rPr>
          <w:rFonts w:hint="eastAsia" w:ascii="宋体" w:hAnsi="宋体" w:eastAsia="宋体" w:cs="宋体"/>
          <w:kern w:val="0"/>
          <w:szCs w:val="21"/>
          <w:u w:val="none" w:color="000000"/>
        </w:rPr>
        <w:t>（二）审核结果误差在2%-3%（含）之间，以服务费的50%作为违约金；</w:t>
      </w:r>
    </w:p>
    <w:p w14:paraId="5FD97417">
      <w:pPr>
        <w:keepNext w:val="0"/>
        <w:keepLines w:val="0"/>
        <w:pageBreakBefore w:val="0"/>
        <w:widowControl/>
        <w:kinsoku/>
        <w:wordWrap/>
        <w:overflowPunct/>
        <w:topLinePunct w:val="0"/>
        <w:autoSpaceDE/>
        <w:autoSpaceDN/>
        <w:bidi w:val="0"/>
        <w:adjustRightInd/>
        <w:snapToGrid w:val="0"/>
        <w:spacing w:line="410" w:lineRule="exact"/>
        <w:ind w:firstLine="420" w:firstLineChars="200"/>
        <w:textAlignment w:val="baseline"/>
        <w:rPr>
          <w:rFonts w:hint="eastAsia" w:ascii="宋体" w:hAnsi="宋体" w:eastAsia="宋体" w:cs="宋体"/>
          <w:kern w:val="0"/>
          <w:szCs w:val="21"/>
          <w:u w:val="none" w:color="000000"/>
        </w:rPr>
      </w:pPr>
      <w:r>
        <w:rPr>
          <w:rFonts w:hint="eastAsia" w:ascii="宋体" w:hAnsi="宋体" w:eastAsia="宋体" w:cs="宋体"/>
          <w:kern w:val="0"/>
          <w:szCs w:val="21"/>
          <w:u w:val="none" w:color="000000"/>
        </w:rPr>
        <w:t>（三）审核结果误差在3%-4%（含）之间，以服务费的75%作为违约金；</w:t>
      </w:r>
    </w:p>
    <w:p w14:paraId="10D1203A">
      <w:pPr>
        <w:keepNext w:val="0"/>
        <w:keepLines w:val="0"/>
        <w:pageBreakBefore w:val="0"/>
        <w:widowControl/>
        <w:kinsoku/>
        <w:wordWrap/>
        <w:overflowPunct/>
        <w:topLinePunct w:val="0"/>
        <w:autoSpaceDE/>
        <w:autoSpaceDN/>
        <w:bidi w:val="0"/>
        <w:adjustRightInd/>
        <w:snapToGrid w:val="0"/>
        <w:spacing w:line="410" w:lineRule="exact"/>
        <w:ind w:firstLine="420" w:firstLineChars="200"/>
        <w:textAlignment w:val="baseline"/>
        <w:rPr>
          <w:rFonts w:hint="eastAsia" w:ascii="宋体" w:hAnsi="宋体" w:eastAsia="宋体" w:cs="宋体"/>
          <w:kern w:val="0"/>
          <w:szCs w:val="21"/>
          <w:u w:val="none" w:color="000000"/>
        </w:rPr>
      </w:pPr>
      <w:r>
        <w:rPr>
          <w:rFonts w:hint="eastAsia" w:ascii="宋体" w:hAnsi="宋体" w:eastAsia="宋体" w:cs="宋体"/>
          <w:kern w:val="0"/>
          <w:szCs w:val="21"/>
          <w:u w:val="none" w:color="000000"/>
        </w:rPr>
        <w:t>（四）审核结果误差超过4%的, 以全额服务费作为违约金。</w:t>
      </w:r>
    </w:p>
    <w:p w14:paraId="7957A530">
      <w:pPr>
        <w:keepNext w:val="0"/>
        <w:keepLines w:val="0"/>
        <w:pageBreakBefore w:val="0"/>
        <w:widowControl w:val="0"/>
        <w:kinsoku/>
        <w:wordWrap/>
        <w:overflowPunct/>
        <w:topLinePunct w:val="0"/>
        <w:autoSpaceDE/>
        <w:autoSpaceDN/>
        <w:bidi w:val="0"/>
        <w:adjustRightInd/>
        <w:snapToGrid w:val="0"/>
        <w:spacing w:before="93" w:beforeLines="30" w:after="93" w:afterLines="30" w:line="410" w:lineRule="exact"/>
        <w:ind w:firstLine="472" w:firstLineChars="196"/>
        <w:jc w:val="left"/>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六、项目跟踪审计服务费用标准及结算方式</w:t>
      </w:r>
    </w:p>
    <w:p w14:paraId="6D6D988A">
      <w:pPr>
        <w:keepNext w:val="0"/>
        <w:keepLines w:val="0"/>
        <w:pageBreakBefore w:val="0"/>
        <w:kinsoku/>
        <w:wordWrap/>
        <w:overflowPunct/>
        <w:topLinePunct w:val="0"/>
        <w:autoSpaceDE/>
        <w:autoSpaceDN/>
        <w:bidi w:val="0"/>
        <w:snapToGrid w:val="0"/>
        <w:spacing w:line="410" w:lineRule="exact"/>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1.项目跟踪审计服务费用标准</w:t>
      </w:r>
    </w:p>
    <w:p w14:paraId="425125CB">
      <w:pPr>
        <w:keepNext w:val="0"/>
        <w:keepLines w:val="0"/>
        <w:pageBreakBefore w:val="0"/>
        <w:kinsoku/>
        <w:wordWrap/>
        <w:overflowPunct/>
        <w:topLinePunct w:val="0"/>
        <w:autoSpaceDE/>
        <w:autoSpaceDN/>
        <w:bidi w:val="0"/>
        <w:snapToGrid w:val="0"/>
        <w:spacing w:line="410" w:lineRule="exact"/>
        <w:ind w:firstLine="555"/>
        <w:jc w:val="left"/>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本项目基本费率为</w:t>
      </w:r>
      <w:r>
        <w:rPr>
          <w:rFonts w:hint="eastAsia" w:ascii="宋体" w:hAnsi="宋体" w:eastAsia="宋体" w:cs="宋体"/>
          <w:color w:val="auto"/>
          <w:sz w:val="21"/>
          <w:szCs w:val="21"/>
          <w:u w:val="single"/>
          <w:lang w:val="en-US" w:eastAsia="zh-CN"/>
        </w:rPr>
        <w:t xml:space="preserve">    </w:t>
      </w:r>
      <w:r>
        <w:rPr>
          <w:rFonts w:hint="eastAsia" w:ascii="宋体" w:hAnsi="宋体" w:eastAsia="宋体" w:cs="宋体"/>
          <w:color w:val="auto"/>
          <w:sz w:val="21"/>
          <w:szCs w:val="21"/>
          <w:lang w:val="en-US" w:eastAsia="zh-CN"/>
        </w:rPr>
        <w:t>‰，审核成果费率为：</w:t>
      </w:r>
      <w:r>
        <w:rPr>
          <w:rFonts w:hint="eastAsia" w:ascii="宋体" w:hAnsi="宋体" w:eastAsia="宋体" w:cs="宋体"/>
          <w:color w:val="auto"/>
          <w:sz w:val="21"/>
          <w:szCs w:val="21"/>
          <w:u w:val="single"/>
          <w:lang w:val="en-US" w:eastAsia="zh-CN"/>
        </w:rPr>
        <w:t xml:space="preserve">   </w:t>
      </w:r>
      <w:r>
        <w:rPr>
          <w:rFonts w:hint="eastAsia" w:ascii="宋体" w:hAnsi="宋体" w:eastAsia="宋体" w:cs="宋体"/>
          <w:color w:val="auto"/>
          <w:sz w:val="21"/>
          <w:szCs w:val="21"/>
          <w:lang w:val="en-US" w:eastAsia="zh-CN"/>
        </w:rPr>
        <w:t>％</w:t>
      </w:r>
    </w:p>
    <w:p w14:paraId="6DE7AD24">
      <w:pPr>
        <w:keepNext w:val="0"/>
        <w:keepLines w:val="0"/>
        <w:pageBreakBefore w:val="0"/>
        <w:kinsoku/>
        <w:wordWrap/>
        <w:overflowPunct/>
        <w:topLinePunct w:val="0"/>
        <w:autoSpaceDE/>
        <w:autoSpaceDN/>
        <w:bidi w:val="0"/>
        <w:snapToGrid w:val="0"/>
        <w:spacing w:line="410" w:lineRule="exact"/>
        <w:ind w:firstLine="555"/>
        <w:jc w:val="left"/>
        <w:textAlignment w:val="auto"/>
        <w:rPr>
          <w:rFonts w:hint="eastAsia"/>
          <w:highlight w:val="none"/>
          <w:lang w:eastAsia="zh-CN"/>
        </w:rPr>
      </w:pPr>
      <w:r>
        <w:rPr>
          <w:rFonts w:hint="eastAsia" w:ascii="宋体" w:hAnsi="宋体" w:eastAsia="宋体" w:cs="宋体"/>
          <w:color w:val="auto"/>
          <w:sz w:val="21"/>
          <w:szCs w:val="21"/>
        </w:rPr>
        <w:t>说明：（1）跟踪审计</w:t>
      </w:r>
      <w:r>
        <w:rPr>
          <w:rFonts w:hint="eastAsia" w:ascii="宋体" w:hAnsi="宋体" w:eastAsia="宋体" w:cs="宋体"/>
          <w:color w:val="auto"/>
          <w:sz w:val="21"/>
          <w:szCs w:val="21"/>
          <w:highlight w:val="none"/>
        </w:rPr>
        <w:t>费用计算方式为：基本费用+审核成果费用</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highlight w:val="none"/>
          <w:lang w:val="en-US" w:eastAsia="zh-CN"/>
        </w:rPr>
        <w:t>即最终</w:t>
      </w:r>
      <w:r>
        <w:rPr>
          <w:rFonts w:hint="eastAsia" w:ascii="宋体" w:hAnsi="宋体" w:cs="宋体"/>
          <w:color w:val="auto"/>
          <w:highlight w:val="none"/>
          <w:lang w:val="en-US" w:eastAsia="zh-CN"/>
        </w:rPr>
        <w:t>审计费用计算公式=所报基本费率×500万元+（500万元×5%）×1.5%。</w:t>
      </w:r>
      <w:r>
        <w:rPr>
          <w:rFonts w:hint="eastAsia" w:ascii="宋体" w:hAnsi="宋体" w:cs="宋体"/>
          <w:b/>
          <w:bCs/>
          <w:highlight w:val="none"/>
          <w:lang w:val="en-US" w:eastAsia="zh-CN"/>
        </w:rPr>
        <w:t>合同履行期内各项目审计费用累计至28万元时，完成履约项目后合同终止，正在履约的项目不做费用增加</w:t>
      </w:r>
      <w:r>
        <w:rPr>
          <w:rFonts w:hint="eastAsia" w:ascii="宋体" w:hAnsi="宋体" w:eastAsia="宋体" w:cs="宋体"/>
          <w:b/>
          <w:bCs/>
          <w:highlight w:val="none"/>
          <w:lang w:val="en-US" w:eastAsia="zh-CN"/>
        </w:rPr>
        <w:t>。</w:t>
      </w:r>
    </w:p>
    <w:p w14:paraId="384FD5A5">
      <w:pPr>
        <w:keepNext w:val="0"/>
        <w:keepLines w:val="0"/>
        <w:pageBreakBefore w:val="0"/>
        <w:kinsoku/>
        <w:wordWrap/>
        <w:overflowPunct/>
        <w:topLinePunct w:val="0"/>
        <w:autoSpaceDE/>
        <w:autoSpaceDN/>
        <w:bidi w:val="0"/>
        <w:snapToGrid w:val="0"/>
        <w:spacing w:line="410" w:lineRule="exact"/>
        <w:ind w:firstLine="555"/>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2.项目跟踪审计费用结算方式</w:t>
      </w:r>
    </w:p>
    <w:p w14:paraId="0E2562BB">
      <w:pPr>
        <w:keepNext w:val="0"/>
        <w:keepLines w:val="0"/>
        <w:pageBreakBefore w:val="0"/>
        <w:kinsoku/>
        <w:wordWrap/>
        <w:overflowPunct/>
        <w:topLinePunct w:val="0"/>
        <w:autoSpaceDE/>
        <w:autoSpaceDN/>
        <w:bidi w:val="0"/>
        <w:snapToGrid w:val="0"/>
        <w:spacing w:line="41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按甲方要求及时完成各工程审计工作并出具审核报告，交付甲方审查确认后，按照审计委托协议约定一次性无息支付结算后审计服务费用。</w:t>
      </w:r>
    </w:p>
    <w:p w14:paraId="7A45080B">
      <w:pPr>
        <w:keepNext w:val="0"/>
        <w:keepLines w:val="0"/>
        <w:pageBreakBefore w:val="0"/>
        <w:kinsoku/>
        <w:wordWrap/>
        <w:overflowPunct/>
        <w:topLinePunct w:val="0"/>
        <w:autoSpaceDE/>
        <w:autoSpaceDN/>
        <w:bidi w:val="0"/>
        <w:snapToGrid w:val="0"/>
        <w:spacing w:line="410" w:lineRule="exact"/>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（2）乙方未按要求完成跟踪审计工作并移交相关资料，甲方有权拒付审计服务费用，并按照《政府投资项目跟踪审计协审机构跟踪审计工作考核办法》的有关规定追究项目协审机构相关责任。</w:t>
      </w:r>
    </w:p>
    <w:p w14:paraId="58D4B843">
      <w:pPr>
        <w:pStyle w:val="42"/>
        <w:keepNext w:val="0"/>
        <w:keepLines w:val="0"/>
        <w:pageBreakBefore w:val="0"/>
        <w:kinsoku/>
        <w:wordWrap/>
        <w:overflowPunct/>
        <w:topLinePunct w:val="0"/>
        <w:autoSpaceDE/>
        <w:autoSpaceDN/>
        <w:bidi w:val="0"/>
        <w:snapToGrid w:val="0"/>
        <w:spacing w:before="0" w:beforeAutospacing="0" w:after="0" w:afterAutospacing="0" w:line="410" w:lineRule="exact"/>
        <w:ind w:firstLine="482" w:firstLineChars="200"/>
        <w:textAlignment w:val="auto"/>
        <w:rPr>
          <w:rFonts w:hint="eastAsia" w:hAnsi="Times New Roman" w:eastAsia="宋体" w:cs="宋体"/>
          <w:b/>
          <w:bCs/>
          <w:color w:val="auto"/>
          <w:kern w:val="0"/>
          <w:sz w:val="24"/>
          <w:szCs w:val="24"/>
          <w:highlight w:val="none"/>
          <w:lang w:val="en-US" w:eastAsia="zh-CN" w:bidi="ar-SA"/>
        </w:rPr>
      </w:pPr>
      <w:r>
        <w:rPr>
          <w:rFonts w:hint="eastAsia" w:hAnsi="Times New Roman" w:eastAsia="宋体" w:cs="宋体"/>
          <w:b/>
          <w:bCs/>
          <w:color w:val="auto"/>
          <w:kern w:val="0"/>
          <w:sz w:val="24"/>
          <w:szCs w:val="24"/>
          <w:highlight w:val="none"/>
          <w:lang w:val="en-US" w:eastAsia="zh-CN" w:bidi="ar-SA"/>
        </w:rPr>
        <w:t>七、审计质量、时限及过程管理要求</w:t>
      </w:r>
    </w:p>
    <w:p w14:paraId="0FBA6500">
      <w:pPr>
        <w:keepNext w:val="0"/>
        <w:keepLines w:val="0"/>
        <w:pageBreakBefore w:val="0"/>
        <w:kinsoku/>
        <w:wordWrap/>
        <w:overflowPunct/>
        <w:topLinePunct w:val="0"/>
        <w:autoSpaceDE/>
        <w:autoSpaceDN/>
        <w:bidi w:val="0"/>
        <w:snapToGrid w:val="0"/>
        <w:spacing w:line="410" w:lineRule="exact"/>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跟踪审计</w:t>
      </w:r>
      <w:r>
        <w:rPr>
          <w:rFonts w:hint="eastAsia" w:ascii="宋体" w:hAnsi="宋体" w:eastAsia="宋体" w:cs="宋体"/>
          <w:color w:val="auto"/>
          <w:sz w:val="21"/>
          <w:szCs w:val="21"/>
        </w:rPr>
        <w:t>机构应及时认真地分析阅读工程量清单及控制价、招投标文件、合同（协议）、施工图纸、设计变更、技术签证等相关文件资料，在施工现场勘察测量和了解实际情况并做好记录。</w:t>
      </w:r>
      <w:r>
        <w:rPr>
          <w:rFonts w:hint="eastAsia" w:ascii="宋体" w:hAnsi="宋体" w:eastAsia="宋体" w:cs="宋体"/>
          <w:color w:val="auto"/>
          <w:sz w:val="21"/>
          <w:szCs w:val="21"/>
          <w:lang w:eastAsia="zh-CN"/>
        </w:rPr>
        <w:t>跟踪审计机构</w:t>
      </w:r>
      <w:r>
        <w:rPr>
          <w:rFonts w:hint="eastAsia" w:ascii="宋体" w:hAnsi="宋体" w:eastAsia="宋体" w:cs="宋体"/>
          <w:color w:val="auto"/>
          <w:sz w:val="21"/>
          <w:szCs w:val="21"/>
        </w:rPr>
        <w:t>应根据建设单位、监理单位、施工单位提供的有关资料在《工程造价咨询服务管理办法》文件规定的工作日内完成审核工作，不得无故拖延时间。</w:t>
      </w:r>
    </w:p>
    <w:p w14:paraId="310924D8">
      <w:pPr>
        <w:keepNext w:val="0"/>
        <w:keepLines w:val="0"/>
        <w:pageBreakBefore w:val="0"/>
        <w:kinsoku/>
        <w:wordWrap/>
        <w:overflowPunct/>
        <w:topLinePunct w:val="0"/>
        <w:autoSpaceDE/>
        <w:autoSpaceDN/>
        <w:bidi w:val="0"/>
        <w:snapToGrid w:val="0"/>
        <w:spacing w:line="410" w:lineRule="exact"/>
        <w:ind w:firstLine="420" w:firstLineChars="200"/>
        <w:jc w:val="left"/>
        <w:textAlignment w:val="auto"/>
        <w:rPr>
          <w:rFonts w:hint="eastAsia"/>
        </w:rPr>
      </w:pPr>
      <w:r>
        <w:rPr>
          <w:rFonts w:hint="eastAsia" w:ascii="宋体" w:hAnsi="宋体" w:eastAsia="宋体" w:cs="宋体"/>
          <w:color w:val="auto"/>
          <w:sz w:val="21"/>
          <w:szCs w:val="21"/>
          <w:lang w:val="en-US" w:eastAsia="zh-CN"/>
        </w:rPr>
        <w:t>跟踪审计</w:t>
      </w:r>
      <w:r>
        <w:rPr>
          <w:rFonts w:hint="eastAsia" w:ascii="宋体" w:hAnsi="宋体" w:eastAsia="宋体" w:cs="宋体"/>
          <w:color w:val="auto"/>
          <w:sz w:val="21"/>
          <w:szCs w:val="21"/>
        </w:rPr>
        <w:t>机构在</w:t>
      </w:r>
      <w:r>
        <w:rPr>
          <w:rFonts w:hint="eastAsia" w:ascii="宋体" w:hAnsi="宋体" w:eastAsia="宋体" w:cs="宋体"/>
          <w:color w:val="auto"/>
          <w:sz w:val="21"/>
          <w:szCs w:val="21"/>
          <w:lang w:val="en-US" w:eastAsia="zh-CN"/>
        </w:rPr>
        <w:t>跟踪审计</w:t>
      </w:r>
      <w:r>
        <w:rPr>
          <w:rFonts w:hint="eastAsia" w:ascii="宋体" w:hAnsi="宋体" w:eastAsia="宋体" w:cs="宋体"/>
          <w:color w:val="auto"/>
          <w:sz w:val="21"/>
          <w:szCs w:val="21"/>
        </w:rPr>
        <w:t>过程须遵守招标人制定的《工程造价咨询服务管理办法》</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以及为提升审计质量和效率、控制廉政风险等方面制定的各项规定。</w:t>
      </w:r>
    </w:p>
    <w:p w14:paraId="7A5CB7E0">
      <w:pPr>
        <w:keepNext w:val="0"/>
        <w:keepLines w:val="0"/>
        <w:pageBreakBefore w:val="0"/>
        <w:widowControl w:val="0"/>
        <w:kinsoku/>
        <w:wordWrap/>
        <w:overflowPunct/>
        <w:topLinePunct w:val="0"/>
        <w:autoSpaceDE/>
        <w:autoSpaceDN/>
        <w:bidi w:val="0"/>
        <w:adjustRightInd/>
        <w:snapToGrid w:val="0"/>
        <w:spacing w:before="93" w:beforeLines="30" w:after="93" w:afterLines="30" w:line="410" w:lineRule="exact"/>
        <w:ind w:firstLine="472" w:firstLineChars="196"/>
        <w:jc w:val="left"/>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八</w:t>
      </w:r>
      <w:r>
        <w:rPr>
          <w:rFonts w:hint="eastAsia" w:ascii="宋体" w:hAnsi="宋体" w:eastAsia="宋体" w:cs="宋体"/>
          <w:b/>
          <w:bCs/>
          <w:color w:val="auto"/>
          <w:sz w:val="24"/>
          <w:szCs w:val="24"/>
        </w:rPr>
        <w:t>、项目跟踪审计工作考核奖惩</w:t>
      </w:r>
    </w:p>
    <w:p w14:paraId="63D24F62">
      <w:pPr>
        <w:keepNext w:val="0"/>
        <w:keepLines w:val="0"/>
        <w:pageBreakBefore w:val="0"/>
        <w:kinsoku/>
        <w:wordWrap/>
        <w:overflowPunct/>
        <w:topLinePunct w:val="0"/>
        <w:autoSpaceDE/>
        <w:autoSpaceDN/>
        <w:bidi w:val="0"/>
        <w:snapToGrid w:val="0"/>
        <w:spacing w:line="410" w:lineRule="exact"/>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rPr>
        <w:t>造价企业有下列情形之一的，可扣减审计服务费用，终止审计委托协议，提请行政主管部门给予警告、通报，清除出库，有限期或无限期禁止从事我处项目等处罚，构成犯罪的，依法追究刑事责任：</w:t>
      </w:r>
    </w:p>
    <w:p w14:paraId="313A1F78">
      <w:pPr>
        <w:keepNext w:val="0"/>
        <w:keepLines w:val="0"/>
        <w:pageBreakBefore w:val="0"/>
        <w:kinsoku/>
        <w:wordWrap/>
        <w:overflowPunct/>
        <w:topLinePunct w:val="0"/>
        <w:autoSpaceDE/>
        <w:autoSpaceDN/>
        <w:bidi w:val="0"/>
        <w:snapToGrid w:val="0"/>
        <w:spacing w:line="410" w:lineRule="exact"/>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rPr>
        <w:t>）工程结算审核报告存在重大失误或质量低劣；</w:t>
      </w:r>
    </w:p>
    <w:p w14:paraId="061A3600">
      <w:pPr>
        <w:keepNext w:val="0"/>
        <w:keepLines w:val="0"/>
        <w:pageBreakBefore w:val="0"/>
        <w:kinsoku/>
        <w:wordWrap/>
        <w:overflowPunct/>
        <w:topLinePunct w:val="0"/>
        <w:autoSpaceDE/>
        <w:autoSpaceDN/>
        <w:bidi w:val="0"/>
        <w:snapToGrid w:val="0"/>
        <w:spacing w:line="410" w:lineRule="exact"/>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rPr>
        <w:t>）因自身工作错误或过失造成重大损失；</w:t>
      </w:r>
    </w:p>
    <w:p w14:paraId="0A2A8BE8">
      <w:pPr>
        <w:keepNext w:val="0"/>
        <w:keepLines w:val="0"/>
        <w:pageBreakBefore w:val="0"/>
        <w:kinsoku/>
        <w:wordWrap/>
        <w:overflowPunct/>
        <w:topLinePunct w:val="0"/>
        <w:autoSpaceDE/>
        <w:autoSpaceDN/>
        <w:bidi w:val="0"/>
        <w:snapToGrid w:val="0"/>
        <w:spacing w:line="410" w:lineRule="exact"/>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）未经允许私自向施工单位透露审核情况或信息；</w:t>
      </w:r>
    </w:p>
    <w:p w14:paraId="4AA9B705">
      <w:pPr>
        <w:keepNext w:val="0"/>
        <w:keepLines w:val="0"/>
        <w:pageBreakBefore w:val="0"/>
        <w:kinsoku/>
        <w:wordWrap/>
        <w:overflowPunct/>
        <w:topLinePunct w:val="0"/>
        <w:autoSpaceDE/>
        <w:autoSpaceDN/>
        <w:bidi w:val="0"/>
        <w:snapToGrid w:val="0"/>
        <w:spacing w:line="410" w:lineRule="exact"/>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4</w:t>
      </w:r>
      <w:r>
        <w:rPr>
          <w:rFonts w:hint="eastAsia" w:ascii="宋体" w:hAnsi="宋体" w:eastAsia="宋体" w:cs="宋体"/>
          <w:color w:val="auto"/>
          <w:sz w:val="21"/>
          <w:szCs w:val="21"/>
        </w:rPr>
        <w:t>）向相关单位或个人索要财物等谋取不正当利益；</w:t>
      </w:r>
    </w:p>
    <w:p w14:paraId="1FF76901">
      <w:pPr>
        <w:keepNext w:val="0"/>
        <w:keepLines w:val="0"/>
        <w:pageBreakBefore w:val="0"/>
        <w:kinsoku/>
        <w:wordWrap/>
        <w:overflowPunct/>
        <w:topLinePunct w:val="0"/>
        <w:autoSpaceDE/>
        <w:autoSpaceDN/>
        <w:bidi w:val="0"/>
        <w:snapToGrid w:val="0"/>
        <w:spacing w:line="410" w:lineRule="exact"/>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5</w:t>
      </w:r>
      <w:r>
        <w:rPr>
          <w:rFonts w:hint="eastAsia" w:ascii="宋体" w:hAnsi="宋体" w:eastAsia="宋体" w:cs="宋体"/>
          <w:color w:val="auto"/>
          <w:sz w:val="21"/>
          <w:szCs w:val="21"/>
        </w:rPr>
        <w:t>）单独或与其他各方串通舞弊、弄虚作假；</w:t>
      </w:r>
    </w:p>
    <w:p w14:paraId="4A0CAA29">
      <w:pPr>
        <w:keepNext w:val="0"/>
        <w:keepLines w:val="0"/>
        <w:pageBreakBefore w:val="0"/>
        <w:kinsoku/>
        <w:wordWrap/>
        <w:overflowPunct/>
        <w:topLinePunct w:val="0"/>
        <w:autoSpaceDE/>
        <w:autoSpaceDN/>
        <w:bidi w:val="0"/>
        <w:snapToGrid w:val="0"/>
        <w:spacing w:line="410" w:lineRule="exact"/>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6</w:t>
      </w:r>
      <w:r>
        <w:rPr>
          <w:rFonts w:hint="eastAsia" w:ascii="宋体" w:hAnsi="宋体" w:eastAsia="宋体" w:cs="宋体"/>
          <w:color w:val="auto"/>
          <w:sz w:val="21"/>
          <w:szCs w:val="21"/>
        </w:rPr>
        <w:t>）其他违反法律法规和规定的行为。</w:t>
      </w:r>
    </w:p>
    <w:p w14:paraId="06E8A2D3">
      <w:pPr>
        <w:keepNext w:val="0"/>
        <w:keepLines w:val="0"/>
        <w:pageBreakBefore w:val="0"/>
        <w:kinsoku/>
        <w:wordWrap/>
        <w:overflowPunct/>
        <w:topLinePunct w:val="0"/>
        <w:autoSpaceDE/>
        <w:autoSpaceDN/>
        <w:bidi w:val="0"/>
        <w:snapToGrid w:val="0"/>
        <w:spacing w:line="410" w:lineRule="exact"/>
        <w:ind w:firstLine="420" w:firstLineChars="200"/>
        <w:jc w:val="left"/>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2.按《</w:t>
      </w:r>
      <w:r>
        <w:rPr>
          <w:rFonts w:hint="eastAsia" w:ascii="宋体" w:hAnsi="宋体" w:eastAsia="宋体" w:cs="宋体"/>
          <w:color w:val="auto"/>
          <w:sz w:val="21"/>
          <w:szCs w:val="21"/>
        </w:rPr>
        <w:t>跟踪审计单位履约考核扣款细则</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执行，详见附件。</w:t>
      </w:r>
    </w:p>
    <w:p w14:paraId="575FC2D8">
      <w:pPr>
        <w:keepNext w:val="0"/>
        <w:keepLines w:val="0"/>
        <w:pageBreakBefore w:val="0"/>
        <w:kinsoku/>
        <w:wordWrap/>
        <w:overflowPunct/>
        <w:topLinePunct w:val="0"/>
        <w:autoSpaceDE/>
        <w:autoSpaceDN/>
        <w:bidi w:val="0"/>
        <w:snapToGrid w:val="0"/>
        <w:spacing w:line="410" w:lineRule="exact"/>
        <w:ind w:firstLine="482" w:firstLineChars="200"/>
        <w:jc w:val="left"/>
        <w:textAlignment w:val="auto"/>
        <w:rPr>
          <w:rFonts w:hint="eastAsia" w:ascii="宋体" w:hAnsi="宋体" w:eastAsia="宋体" w:cs="宋体"/>
          <w:color w:val="auto"/>
          <w:sz w:val="21"/>
          <w:szCs w:val="21"/>
        </w:rPr>
      </w:pPr>
      <w:r>
        <w:rPr>
          <w:rFonts w:hint="eastAsia" w:ascii="宋体" w:hAnsi="宋体" w:eastAsia="宋体" w:cs="宋体"/>
          <w:b/>
          <w:bCs/>
          <w:color w:val="auto"/>
          <w:sz w:val="24"/>
          <w:szCs w:val="24"/>
          <w:lang w:val="en-US" w:eastAsia="zh-CN"/>
        </w:rPr>
        <w:t>九</w:t>
      </w:r>
      <w:r>
        <w:rPr>
          <w:rFonts w:hint="eastAsia" w:ascii="宋体" w:hAnsi="宋体" w:eastAsia="宋体" w:cs="宋体"/>
          <w:b/>
          <w:bCs/>
          <w:color w:val="auto"/>
          <w:sz w:val="24"/>
          <w:szCs w:val="24"/>
        </w:rPr>
        <w:t>、甲乙双方的权利和义务</w:t>
      </w:r>
      <w:r>
        <w:rPr>
          <w:rFonts w:hint="eastAsia" w:ascii="宋体" w:hAnsi="宋体" w:eastAsia="宋体" w:cs="宋体"/>
          <w:color w:val="auto"/>
          <w:sz w:val="21"/>
          <w:szCs w:val="21"/>
        </w:rPr>
        <w:t xml:space="preserve"> </w:t>
      </w:r>
    </w:p>
    <w:p w14:paraId="0D9AD366">
      <w:pPr>
        <w:keepNext w:val="0"/>
        <w:keepLines w:val="0"/>
        <w:pageBreakBefore w:val="0"/>
        <w:kinsoku/>
        <w:wordWrap/>
        <w:overflowPunct/>
        <w:topLinePunct w:val="0"/>
        <w:autoSpaceDE/>
        <w:autoSpaceDN/>
        <w:bidi w:val="0"/>
        <w:snapToGrid w:val="0"/>
        <w:spacing w:line="410" w:lineRule="exact"/>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 xml:space="preserve">1.甲方权利和义务 </w:t>
      </w:r>
    </w:p>
    <w:p w14:paraId="3121B3DA">
      <w:pPr>
        <w:keepNext w:val="0"/>
        <w:keepLines w:val="0"/>
        <w:pageBreakBefore w:val="0"/>
        <w:kinsoku/>
        <w:wordWrap/>
        <w:overflowPunct/>
        <w:topLinePunct w:val="0"/>
        <w:autoSpaceDE/>
        <w:autoSpaceDN/>
        <w:bidi w:val="0"/>
        <w:snapToGrid w:val="0"/>
        <w:spacing w:line="410" w:lineRule="exact"/>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（1）甲方有权对乙方的跟踪审计项目实施监督，对乙方审计工作程序、质量和效率等进行检查考核；</w:t>
      </w:r>
    </w:p>
    <w:p w14:paraId="251BEEC2">
      <w:pPr>
        <w:keepNext w:val="0"/>
        <w:keepLines w:val="0"/>
        <w:pageBreakBefore w:val="0"/>
        <w:kinsoku/>
        <w:wordWrap/>
        <w:overflowPunct/>
        <w:topLinePunct w:val="0"/>
        <w:autoSpaceDE/>
        <w:autoSpaceDN/>
        <w:bidi w:val="0"/>
        <w:snapToGrid w:val="0"/>
        <w:spacing w:line="410" w:lineRule="exact"/>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（2）项目跟踪审计过程中，甲方如发现乙方所派审计人员不符合要求或不能胜任岗位工作职责的，甲方有权要求乙方及时调换，或视情况给予相应的处理、处罚；</w:t>
      </w:r>
    </w:p>
    <w:p w14:paraId="5B00FEA3">
      <w:pPr>
        <w:keepNext w:val="0"/>
        <w:keepLines w:val="0"/>
        <w:pageBreakBefore w:val="0"/>
        <w:kinsoku/>
        <w:wordWrap/>
        <w:overflowPunct/>
        <w:topLinePunct w:val="0"/>
        <w:autoSpaceDE/>
        <w:autoSpaceDN/>
        <w:bidi w:val="0"/>
        <w:snapToGrid w:val="0"/>
        <w:spacing w:line="410" w:lineRule="exact"/>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（3）甲方保证乙方审计服务费用的按时到位。</w:t>
      </w:r>
    </w:p>
    <w:p w14:paraId="7751D45E">
      <w:pPr>
        <w:keepNext w:val="0"/>
        <w:keepLines w:val="0"/>
        <w:pageBreakBefore w:val="0"/>
        <w:kinsoku/>
        <w:wordWrap/>
        <w:overflowPunct/>
        <w:topLinePunct w:val="0"/>
        <w:autoSpaceDE/>
        <w:autoSpaceDN/>
        <w:bidi w:val="0"/>
        <w:snapToGrid w:val="0"/>
        <w:spacing w:line="410" w:lineRule="exact"/>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2.乙方权利和义务</w:t>
      </w:r>
    </w:p>
    <w:p w14:paraId="0BA24650">
      <w:pPr>
        <w:keepNext w:val="0"/>
        <w:keepLines w:val="0"/>
        <w:pageBreakBefore w:val="0"/>
        <w:kinsoku/>
        <w:wordWrap/>
        <w:overflowPunct/>
        <w:topLinePunct w:val="0"/>
        <w:autoSpaceDE/>
        <w:autoSpaceDN/>
        <w:bidi w:val="0"/>
        <w:snapToGrid w:val="0"/>
        <w:spacing w:line="410" w:lineRule="exact"/>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（1）乙方在完成审计任务后，有权及时取得审计服务费用；</w:t>
      </w:r>
    </w:p>
    <w:p w14:paraId="08BACA2B">
      <w:pPr>
        <w:keepNext w:val="0"/>
        <w:keepLines w:val="0"/>
        <w:pageBreakBefore w:val="0"/>
        <w:kinsoku/>
        <w:wordWrap/>
        <w:overflowPunct/>
        <w:topLinePunct w:val="0"/>
        <w:autoSpaceDE/>
        <w:autoSpaceDN/>
        <w:bidi w:val="0"/>
        <w:snapToGrid w:val="0"/>
        <w:spacing w:line="410" w:lineRule="exact"/>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（2）乙方须依照甲方工作要求及行业准则、规范，按时、保质、保量完成所承担的审计任务；</w:t>
      </w:r>
    </w:p>
    <w:p w14:paraId="34CA1273">
      <w:pPr>
        <w:keepNext w:val="0"/>
        <w:keepLines w:val="0"/>
        <w:pageBreakBefore w:val="0"/>
        <w:kinsoku/>
        <w:wordWrap/>
        <w:overflowPunct/>
        <w:topLinePunct w:val="0"/>
        <w:autoSpaceDE/>
        <w:autoSpaceDN/>
        <w:bidi w:val="0"/>
        <w:snapToGrid w:val="0"/>
        <w:spacing w:line="410" w:lineRule="exact"/>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（3）乙方必须对审计人员进行廉政教育，如发现有违反廉洁自律规定的行为，应立即更换人员，并对其严肃处理。同时，甲方可根据性质及情节，扣减相应审计服务费用。</w:t>
      </w:r>
    </w:p>
    <w:p w14:paraId="74D1F0C6">
      <w:pPr>
        <w:keepNext w:val="0"/>
        <w:keepLines w:val="0"/>
        <w:pageBreakBefore w:val="0"/>
        <w:kinsoku/>
        <w:wordWrap/>
        <w:overflowPunct/>
        <w:topLinePunct w:val="0"/>
        <w:autoSpaceDE/>
        <w:autoSpaceDN/>
        <w:bidi w:val="0"/>
        <w:snapToGrid w:val="0"/>
        <w:spacing w:line="410" w:lineRule="exact"/>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3、双方权力和责任</w:t>
      </w:r>
    </w:p>
    <w:p w14:paraId="1A222D59">
      <w:pPr>
        <w:keepNext w:val="0"/>
        <w:keepLines w:val="0"/>
        <w:pageBreakBefore w:val="0"/>
        <w:kinsoku/>
        <w:wordWrap/>
        <w:overflowPunct/>
        <w:topLinePunct w:val="0"/>
        <w:autoSpaceDE/>
        <w:autoSpaceDN/>
        <w:bidi w:val="0"/>
        <w:snapToGrid w:val="0"/>
        <w:spacing w:line="410" w:lineRule="exact"/>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lang w:eastAsia="zh-CN"/>
        </w:rPr>
        <w:t>甲方</w:t>
      </w:r>
      <w:r>
        <w:rPr>
          <w:rFonts w:hint="eastAsia" w:ascii="宋体" w:hAnsi="宋体" w:eastAsia="宋体" w:cs="宋体"/>
          <w:color w:val="auto"/>
          <w:sz w:val="21"/>
          <w:szCs w:val="21"/>
        </w:rPr>
        <w:t>有权进行现场调查和监督，随时调阅有关资料，参与审计的查证、对账和答疑等有关活动。若</w:t>
      </w:r>
      <w:r>
        <w:rPr>
          <w:rFonts w:hint="eastAsia" w:ascii="宋体" w:hAnsi="宋体" w:eastAsia="宋体" w:cs="宋体"/>
          <w:color w:val="auto"/>
          <w:sz w:val="21"/>
          <w:szCs w:val="21"/>
          <w:lang w:eastAsia="zh-CN"/>
        </w:rPr>
        <w:t>跟踪审计机构</w:t>
      </w:r>
      <w:r>
        <w:rPr>
          <w:rFonts w:hint="eastAsia" w:ascii="宋体" w:hAnsi="宋体" w:eastAsia="宋体" w:cs="宋体"/>
          <w:color w:val="auto"/>
          <w:sz w:val="21"/>
          <w:szCs w:val="21"/>
        </w:rPr>
        <w:t>未按委托协议完成业务或审计工作中出现严重差错，</w:t>
      </w:r>
      <w:r>
        <w:rPr>
          <w:rFonts w:hint="eastAsia" w:ascii="宋体" w:hAnsi="宋体" w:eastAsia="宋体" w:cs="宋体"/>
          <w:color w:val="auto"/>
          <w:sz w:val="21"/>
          <w:szCs w:val="21"/>
          <w:lang w:eastAsia="zh-CN"/>
        </w:rPr>
        <w:t>甲方</w:t>
      </w:r>
      <w:r>
        <w:rPr>
          <w:rFonts w:hint="eastAsia" w:ascii="宋体" w:hAnsi="宋体" w:eastAsia="宋体" w:cs="宋体"/>
          <w:color w:val="auto"/>
          <w:sz w:val="21"/>
          <w:szCs w:val="21"/>
        </w:rPr>
        <w:t>有权追究</w:t>
      </w:r>
      <w:r>
        <w:rPr>
          <w:rFonts w:hint="eastAsia" w:ascii="宋体" w:hAnsi="宋体" w:eastAsia="宋体" w:cs="宋体"/>
          <w:color w:val="auto"/>
          <w:sz w:val="21"/>
          <w:szCs w:val="21"/>
          <w:lang w:eastAsia="zh-CN"/>
        </w:rPr>
        <w:t>跟踪审计机构</w:t>
      </w:r>
      <w:r>
        <w:rPr>
          <w:rFonts w:hint="eastAsia" w:ascii="宋体" w:hAnsi="宋体" w:eastAsia="宋体" w:cs="宋体"/>
          <w:color w:val="auto"/>
          <w:sz w:val="21"/>
          <w:szCs w:val="21"/>
        </w:rPr>
        <w:t>法律和经济责任，并视情节扣减部分或全部审计服务费用，直至终止委托关系。</w:t>
      </w:r>
    </w:p>
    <w:p w14:paraId="33924AB5">
      <w:pPr>
        <w:keepNext w:val="0"/>
        <w:keepLines w:val="0"/>
        <w:pageBreakBefore w:val="0"/>
        <w:kinsoku/>
        <w:wordWrap/>
        <w:overflowPunct/>
        <w:topLinePunct w:val="0"/>
        <w:autoSpaceDE/>
        <w:autoSpaceDN/>
        <w:bidi w:val="0"/>
        <w:snapToGrid w:val="0"/>
        <w:spacing w:line="410" w:lineRule="exact"/>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lang w:eastAsia="zh-CN"/>
        </w:rPr>
        <w:t>甲方</w:t>
      </w:r>
      <w:r>
        <w:rPr>
          <w:rFonts w:hint="eastAsia" w:ascii="宋体" w:hAnsi="宋体" w:eastAsia="宋体" w:cs="宋体"/>
          <w:color w:val="auto"/>
          <w:sz w:val="21"/>
          <w:szCs w:val="21"/>
        </w:rPr>
        <w:t>监督协议的执行，协调和处理履约过程中的问题，对</w:t>
      </w:r>
      <w:r>
        <w:rPr>
          <w:rFonts w:hint="eastAsia" w:ascii="宋体" w:hAnsi="宋体" w:eastAsia="宋体" w:cs="宋体"/>
          <w:color w:val="auto"/>
          <w:sz w:val="21"/>
          <w:szCs w:val="21"/>
          <w:lang w:eastAsia="zh-CN"/>
        </w:rPr>
        <w:t>跟踪审计机构</w:t>
      </w:r>
      <w:r>
        <w:rPr>
          <w:rFonts w:hint="eastAsia" w:ascii="宋体" w:hAnsi="宋体" w:eastAsia="宋体" w:cs="宋体"/>
          <w:color w:val="auto"/>
          <w:sz w:val="21"/>
          <w:szCs w:val="21"/>
        </w:rPr>
        <w:t>审计工作开展情况进行考核，主要内容包括审计程序、现场履职、审计质量和效率、廉政纪律等方面，考核结果作为经济奖惩和以后参与政府投资项目审计服务的重要依据。</w:t>
      </w:r>
    </w:p>
    <w:p w14:paraId="300FE6A3">
      <w:pPr>
        <w:keepNext w:val="0"/>
        <w:keepLines w:val="0"/>
        <w:pageBreakBefore w:val="0"/>
        <w:kinsoku/>
        <w:wordWrap/>
        <w:overflowPunct/>
        <w:topLinePunct w:val="0"/>
        <w:autoSpaceDE/>
        <w:autoSpaceDN/>
        <w:bidi w:val="0"/>
        <w:snapToGrid w:val="0"/>
        <w:spacing w:line="410" w:lineRule="exact"/>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lang w:eastAsia="zh-CN"/>
        </w:rPr>
        <w:t>跟踪审计机构</w:t>
      </w:r>
      <w:r>
        <w:rPr>
          <w:rFonts w:hint="eastAsia" w:ascii="宋体" w:hAnsi="宋体" w:eastAsia="宋体" w:cs="宋体"/>
          <w:color w:val="auto"/>
          <w:sz w:val="21"/>
          <w:szCs w:val="21"/>
        </w:rPr>
        <w:t>应本着客观、公正、公平的原则，正确履行审计职责，同时承担相应的法律责任。对</w:t>
      </w:r>
      <w:r>
        <w:rPr>
          <w:rFonts w:hint="eastAsia" w:ascii="宋体" w:hAnsi="宋体" w:eastAsia="宋体" w:cs="宋体"/>
          <w:color w:val="auto"/>
          <w:sz w:val="21"/>
          <w:szCs w:val="21"/>
          <w:lang w:eastAsia="zh-CN"/>
        </w:rPr>
        <w:t>跟踪审计机构</w:t>
      </w:r>
      <w:r>
        <w:rPr>
          <w:rFonts w:hint="eastAsia" w:ascii="宋体" w:hAnsi="宋体" w:eastAsia="宋体" w:cs="宋体"/>
          <w:color w:val="auto"/>
          <w:sz w:val="21"/>
          <w:szCs w:val="21"/>
        </w:rPr>
        <w:t>滥用职权、与施工单位串通、徇私舞弊、玩忽职守的，视情节，按有关规定对</w:t>
      </w:r>
      <w:r>
        <w:rPr>
          <w:rFonts w:hint="eastAsia" w:ascii="宋体" w:hAnsi="宋体" w:eastAsia="宋体" w:cs="宋体"/>
          <w:color w:val="auto"/>
          <w:sz w:val="21"/>
          <w:szCs w:val="21"/>
          <w:lang w:eastAsia="zh-CN"/>
        </w:rPr>
        <w:t>跟踪审计机构</w:t>
      </w:r>
      <w:r>
        <w:rPr>
          <w:rFonts w:hint="eastAsia" w:ascii="宋体" w:hAnsi="宋体" w:eastAsia="宋体" w:cs="宋体"/>
          <w:color w:val="auto"/>
          <w:sz w:val="21"/>
          <w:szCs w:val="21"/>
        </w:rPr>
        <w:t>及其当事人进行处理处罚；情节严重，涉嫌违法违纪的，依法移送纪检、司法机关查处。</w:t>
      </w:r>
    </w:p>
    <w:p w14:paraId="3F1896BB">
      <w:pPr>
        <w:keepNext w:val="0"/>
        <w:keepLines w:val="0"/>
        <w:pageBreakBefore w:val="0"/>
        <w:widowControl w:val="0"/>
        <w:kinsoku/>
        <w:wordWrap/>
        <w:overflowPunct/>
        <w:topLinePunct w:val="0"/>
        <w:autoSpaceDE/>
        <w:autoSpaceDN/>
        <w:bidi w:val="0"/>
        <w:adjustRightInd/>
        <w:snapToGrid w:val="0"/>
        <w:spacing w:before="93" w:beforeLines="30" w:after="93" w:afterLines="30" w:line="410" w:lineRule="exact"/>
        <w:ind w:firstLine="472" w:firstLineChars="196"/>
        <w:jc w:val="left"/>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十</w:t>
      </w:r>
      <w:r>
        <w:rPr>
          <w:rFonts w:hint="eastAsia" w:ascii="宋体" w:hAnsi="宋体" w:eastAsia="宋体" w:cs="宋体"/>
          <w:b/>
          <w:bCs/>
          <w:color w:val="auto"/>
          <w:sz w:val="24"/>
          <w:szCs w:val="24"/>
        </w:rPr>
        <w:t>、附则</w:t>
      </w:r>
    </w:p>
    <w:p w14:paraId="76B7C082">
      <w:pPr>
        <w:keepNext w:val="0"/>
        <w:keepLines w:val="0"/>
        <w:pageBreakBefore w:val="0"/>
        <w:kinsoku/>
        <w:wordWrap/>
        <w:overflowPunct/>
        <w:topLinePunct w:val="0"/>
        <w:autoSpaceDE/>
        <w:autoSpaceDN/>
        <w:bidi w:val="0"/>
        <w:snapToGrid w:val="0"/>
        <w:spacing w:line="410" w:lineRule="exact"/>
        <w:ind w:firstLine="420" w:firstLineChars="200"/>
        <w:jc w:val="left"/>
        <w:textAlignment w:val="auto"/>
        <w:rPr>
          <w:rFonts w:hint="eastAsia" w:ascii="宋体" w:hAnsi="宋体" w:eastAsia="宋体" w:cs="宋体"/>
          <w:b/>
          <w:color w:val="auto"/>
          <w:sz w:val="21"/>
          <w:szCs w:val="21"/>
        </w:rPr>
      </w:pPr>
      <w:r>
        <w:rPr>
          <w:rFonts w:hint="eastAsia" w:ascii="宋体" w:hAnsi="宋体" w:eastAsia="宋体" w:cs="宋体"/>
          <w:color w:val="auto"/>
          <w:sz w:val="21"/>
          <w:szCs w:val="21"/>
        </w:rPr>
        <w:t>1.本协议一式</w:t>
      </w:r>
      <w:r>
        <w:rPr>
          <w:rFonts w:hint="eastAsia" w:ascii="宋体" w:hAnsi="宋体" w:eastAsia="宋体" w:cs="宋体"/>
          <w:color w:val="auto"/>
          <w:sz w:val="21"/>
          <w:szCs w:val="21"/>
          <w:lang w:val="en-US" w:eastAsia="zh-CN"/>
        </w:rPr>
        <w:t>肆</w:t>
      </w:r>
      <w:r>
        <w:rPr>
          <w:rFonts w:hint="eastAsia" w:ascii="宋体" w:hAnsi="宋体" w:eastAsia="宋体" w:cs="宋体"/>
          <w:color w:val="auto"/>
          <w:sz w:val="21"/>
          <w:szCs w:val="21"/>
        </w:rPr>
        <w:t>份，具有同等法律效力，甲方、乙方各执</w:t>
      </w:r>
      <w:r>
        <w:rPr>
          <w:rFonts w:hint="eastAsia" w:ascii="宋体" w:hAnsi="宋体" w:eastAsia="宋体" w:cs="宋体"/>
          <w:color w:val="auto"/>
          <w:sz w:val="21"/>
          <w:szCs w:val="21"/>
          <w:lang w:eastAsia="zh-CN"/>
        </w:rPr>
        <w:t>贰</w:t>
      </w:r>
      <w:r>
        <w:rPr>
          <w:rFonts w:hint="eastAsia" w:ascii="宋体" w:hAnsi="宋体" w:eastAsia="宋体" w:cs="宋体"/>
          <w:color w:val="auto"/>
          <w:sz w:val="21"/>
          <w:szCs w:val="21"/>
        </w:rPr>
        <w:t>份。</w:t>
      </w:r>
    </w:p>
    <w:p w14:paraId="65194A25">
      <w:pPr>
        <w:keepNext w:val="0"/>
        <w:keepLines w:val="0"/>
        <w:pageBreakBefore w:val="0"/>
        <w:kinsoku/>
        <w:wordWrap/>
        <w:overflowPunct/>
        <w:topLinePunct w:val="0"/>
        <w:autoSpaceDE/>
        <w:autoSpaceDN/>
        <w:bidi w:val="0"/>
        <w:snapToGrid w:val="0"/>
        <w:spacing w:line="410" w:lineRule="exact"/>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2.本协议未尽事宜，由甲乙双方协商解决。协商不成，可向滁州市南谯区人民法院提起诉讼。</w:t>
      </w:r>
    </w:p>
    <w:p w14:paraId="2EBEA088">
      <w:pPr>
        <w:keepNext w:val="0"/>
        <w:keepLines w:val="0"/>
        <w:pageBreakBefore w:val="0"/>
        <w:kinsoku/>
        <w:wordWrap/>
        <w:overflowPunct/>
        <w:topLinePunct w:val="0"/>
        <w:autoSpaceDE/>
        <w:autoSpaceDN/>
        <w:bidi w:val="0"/>
        <w:snapToGrid w:val="0"/>
        <w:spacing w:line="410" w:lineRule="exact"/>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3.本合同自双方签章后生效。</w:t>
      </w:r>
    </w:p>
    <w:p w14:paraId="63E4D3D4">
      <w:pPr>
        <w:pStyle w:val="42"/>
        <w:keepNext w:val="0"/>
        <w:keepLines w:val="0"/>
        <w:pageBreakBefore w:val="0"/>
        <w:kinsoku/>
        <w:wordWrap/>
        <w:overflowPunct/>
        <w:topLinePunct w:val="0"/>
        <w:autoSpaceDE/>
        <w:autoSpaceDN/>
        <w:bidi w:val="0"/>
        <w:snapToGrid w:val="0"/>
        <w:spacing w:before="0" w:beforeAutospacing="0" w:after="0" w:afterAutospacing="0" w:line="410" w:lineRule="exact"/>
        <w:ind w:firstLine="480" w:firstLineChars="200"/>
        <w:textAlignment w:val="auto"/>
        <w:rPr>
          <w:rFonts w:hint="eastAsia" w:eastAsia="宋体" w:cs="Times New Roman"/>
          <w:color w:val="auto"/>
          <w:kern w:val="2"/>
          <w:sz w:val="24"/>
          <w:szCs w:val="24"/>
          <w:highlight w:val="none"/>
        </w:rPr>
      </w:pPr>
    </w:p>
    <w:p w14:paraId="396820AD">
      <w:pPr>
        <w:pStyle w:val="42"/>
        <w:keepNext w:val="0"/>
        <w:keepLines w:val="0"/>
        <w:pageBreakBefore w:val="0"/>
        <w:kinsoku/>
        <w:wordWrap/>
        <w:overflowPunct/>
        <w:topLinePunct w:val="0"/>
        <w:autoSpaceDE/>
        <w:autoSpaceDN/>
        <w:bidi w:val="0"/>
        <w:snapToGrid w:val="0"/>
        <w:spacing w:before="0" w:beforeAutospacing="0" w:after="0" w:afterAutospacing="0" w:line="410" w:lineRule="exact"/>
        <w:ind w:firstLine="480" w:firstLineChars="200"/>
        <w:textAlignment w:val="auto"/>
        <w:rPr>
          <w:rFonts w:hint="eastAsia" w:eastAsia="宋体" w:cs="Times New Roman"/>
          <w:color w:val="auto"/>
          <w:kern w:val="2"/>
          <w:sz w:val="24"/>
          <w:szCs w:val="24"/>
          <w:highlight w:val="none"/>
        </w:rPr>
      </w:pPr>
      <w:r>
        <w:rPr>
          <w:rFonts w:hint="eastAsia" w:eastAsia="宋体" w:cs="Times New Roman"/>
          <w:color w:val="auto"/>
          <w:kern w:val="2"/>
          <w:sz w:val="24"/>
          <w:szCs w:val="24"/>
          <w:highlight w:val="none"/>
        </w:rPr>
        <w:t xml:space="preserve">甲方（签章）                              乙方（签章）           </w:t>
      </w:r>
    </w:p>
    <w:p w14:paraId="1AAF7F9B">
      <w:pPr>
        <w:ind w:firstLine="480" w:firstLineChars="200"/>
        <w:rPr>
          <w:rFonts w:hint="eastAsia" w:eastAsia="宋体" w:cs="Times New Roman"/>
          <w:color w:val="auto"/>
          <w:kern w:val="2"/>
          <w:sz w:val="24"/>
          <w:szCs w:val="24"/>
          <w:highlight w:val="none"/>
        </w:rPr>
      </w:pPr>
      <w:r>
        <w:rPr>
          <w:rFonts w:hint="eastAsia" w:eastAsia="宋体" w:cs="Times New Roman"/>
          <w:color w:val="auto"/>
          <w:kern w:val="2"/>
          <w:sz w:val="24"/>
          <w:szCs w:val="24"/>
          <w:highlight w:val="none"/>
        </w:rPr>
        <w:t xml:space="preserve">年   月   日                             </w:t>
      </w:r>
      <w:r>
        <w:rPr>
          <w:rFonts w:hint="eastAsia" w:eastAsia="宋体" w:cs="Times New Roman"/>
          <w:color w:val="auto"/>
          <w:kern w:val="2"/>
          <w:sz w:val="24"/>
          <w:szCs w:val="24"/>
          <w:highlight w:val="none"/>
          <w:lang w:val="en-US" w:eastAsia="zh-CN"/>
        </w:rPr>
        <w:t xml:space="preserve"> </w:t>
      </w:r>
      <w:r>
        <w:rPr>
          <w:rFonts w:hint="eastAsia" w:eastAsia="宋体" w:cs="Times New Roman"/>
          <w:color w:val="auto"/>
          <w:kern w:val="2"/>
          <w:sz w:val="24"/>
          <w:szCs w:val="24"/>
          <w:highlight w:val="none"/>
        </w:rPr>
        <w:t>年  月  日  </w:t>
      </w:r>
    </w:p>
    <w:p w14:paraId="7EBF5234">
      <w:pPr>
        <w:rPr>
          <w:rFonts w:hint="eastAsia" w:cs="Times New Roman"/>
          <w:color w:val="auto"/>
          <w:kern w:val="2"/>
          <w:sz w:val="24"/>
          <w:szCs w:val="24"/>
          <w:highlight w:val="none"/>
          <w:lang w:val="en-US" w:eastAsia="zh-CN"/>
        </w:rPr>
      </w:pPr>
      <w:r>
        <w:rPr>
          <w:rFonts w:hint="eastAsia" w:cs="Times New Roman"/>
          <w:color w:val="auto"/>
          <w:kern w:val="2"/>
          <w:sz w:val="24"/>
          <w:szCs w:val="24"/>
          <w:highlight w:val="none"/>
          <w:lang w:val="en-US" w:eastAsia="zh-CN"/>
        </w:rPr>
        <w:br w:type="page"/>
      </w:r>
    </w:p>
    <w:p w14:paraId="504A3552">
      <w:pPr>
        <w:ind w:firstLine="482" w:firstLineChars="200"/>
        <w:rPr>
          <w:rFonts w:hint="eastAsia" w:cs="Times New Roman"/>
          <w:b/>
          <w:bCs/>
          <w:color w:val="auto"/>
          <w:kern w:val="2"/>
          <w:sz w:val="24"/>
          <w:szCs w:val="24"/>
          <w:highlight w:val="none"/>
          <w:lang w:val="en-US" w:eastAsia="zh-CN"/>
        </w:rPr>
      </w:pPr>
      <w:r>
        <w:rPr>
          <w:rFonts w:hint="eastAsia" w:cs="Times New Roman"/>
          <w:b/>
          <w:bCs/>
          <w:color w:val="auto"/>
          <w:kern w:val="2"/>
          <w:sz w:val="24"/>
          <w:szCs w:val="24"/>
          <w:highlight w:val="none"/>
          <w:lang w:val="en-US" w:eastAsia="zh-CN"/>
        </w:rPr>
        <w:t>附件：跟踪审计单位履约考核扣款细则</w:t>
      </w:r>
      <w:bookmarkStart w:id="892" w:name="heading_10"/>
    </w:p>
    <w:p w14:paraId="65B964E6">
      <w:pPr>
        <w:ind w:firstLine="482" w:firstLineChars="200"/>
        <w:rPr>
          <w:rFonts w:hint="eastAsia" w:cs="Times New Roman"/>
          <w:b/>
          <w:bCs/>
          <w:color w:val="auto"/>
          <w:kern w:val="2"/>
          <w:sz w:val="24"/>
          <w:szCs w:val="24"/>
          <w:highlight w:val="none"/>
          <w:lang w:val="en-US" w:eastAsia="zh-CN"/>
        </w:rPr>
      </w:pPr>
      <w:r>
        <w:rPr>
          <w:rFonts w:hint="eastAsia" w:cs="Times New Roman"/>
          <w:b/>
          <w:bCs/>
          <w:color w:val="auto"/>
          <w:kern w:val="2"/>
          <w:sz w:val="24"/>
          <w:szCs w:val="24"/>
          <w:highlight w:val="none"/>
          <w:lang w:val="en-US" w:eastAsia="zh-CN"/>
        </w:rPr>
        <w:t>1. 总则</w:t>
      </w:r>
      <w:bookmarkEnd w:id="892"/>
    </w:p>
    <w:p w14:paraId="30A37CED">
      <w:pPr>
        <w:keepNext w:val="0"/>
        <w:keepLines w:val="0"/>
        <w:pageBreakBefore w:val="0"/>
        <w:kinsoku/>
        <w:wordWrap/>
        <w:overflowPunct/>
        <w:topLinePunct w:val="0"/>
        <w:autoSpaceDE/>
        <w:autoSpaceDN/>
        <w:bidi w:val="0"/>
        <w:snapToGrid w:val="0"/>
        <w:spacing w:line="410" w:lineRule="exact"/>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本细则适用于</w:t>
      </w:r>
      <w:r>
        <w:rPr>
          <w:rFonts w:hint="eastAsia" w:ascii="宋体" w:hAnsi="宋体" w:eastAsia="宋体" w:cs="宋体"/>
          <w:color w:val="auto"/>
          <w:sz w:val="21"/>
          <w:szCs w:val="21"/>
          <w:lang w:val="en-US" w:eastAsia="zh-CN"/>
        </w:rPr>
        <w:t>翼然公司</w:t>
      </w:r>
      <w:r>
        <w:rPr>
          <w:rFonts w:hint="eastAsia" w:ascii="宋体" w:hAnsi="宋体" w:eastAsia="宋体" w:cs="宋体"/>
          <w:color w:val="auto"/>
          <w:sz w:val="21"/>
          <w:szCs w:val="21"/>
        </w:rPr>
        <w:t>新能源项目全过程跟踪审计服务，覆盖项目投资管控、变更签证审核、进度款核定、结算初审及造价风险防控等全部履职内容。所有违规扣款均从当期咨询服务费中直接扣除，作为单位履约评价、费用结算、年度考评及清退处置的依据。</w:t>
      </w:r>
    </w:p>
    <w:p w14:paraId="2F8F9A72">
      <w:pPr>
        <w:ind w:firstLine="482" w:firstLineChars="200"/>
        <w:rPr>
          <w:rFonts w:hint="eastAsia" w:cs="Times New Roman"/>
          <w:b/>
          <w:bCs/>
          <w:color w:val="auto"/>
          <w:kern w:val="2"/>
          <w:sz w:val="24"/>
          <w:szCs w:val="24"/>
          <w:highlight w:val="none"/>
          <w:lang w:val="en-US" w:eastAsia="zh-CN"/>
        </w:rPr>
      </w:pPr>
      <w:bookmarkStart w:id="893" w:name="heading_11"/>
      <w:r>
        <w:rPr>
          <w:rFonts w:hint="eastAsia" w:cs="Times New Roman"/>
          <w:b/>
          <w:bCs/>
          <w:color w:val="auto"/>
          <w:kern w:val="2"/>
          <w:sz w:val="24"/>
          <w:szCs w:val="24"/>
          <w:highlight w:val="none"/>
          <w:lang w:val="en-US" w:eastAsia="zh-CN"/>
        </w:rPr>
        <w:t>2. 会议履职违规扣款</w:t>
      </w:r>
      <w:bookmarkEnd w:id="893"/>
    </w:p>
    <w:p w14:paraId="7A6DE4D4">
      <w:pPr>
        <w:keepNext w:val="0"/>
        <w:keepLines w:val="0"/>
        <w:pageBreakBefore w:val="0"/>
        <w:kinsoku/>
        <w:wordWrap/>
        <w:overflowPunct/>
        <w:topLinePunct w:val="0"/>
        <w:autoSpaceDE/>
        <w:autoSpaceDN/>
        <w:bidi w:val="0"/>
        <w:snapToGrid w:val="0"/>
        <w:spacing w:line="410" w:lineRule="exact"/>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项目例会、造价专题会、变更签证评审会、业主专项调度会，须由跟踪审计项目负责人本人参会。无故缺席，单次扣款500元；迟到、早退超15分钟或委托非授权人员参会，单次扣款300元；年度累计3次无故缺席，额外加扣2000元并通报整改。</w:t>
      </w:r>
    </w:p>
    <w:p w14:paraId="2023B7E0">
      <w:pPr>
        <w:keepNext w:val="0"/>
        <w:keepLines w:val="0"/>
        <w:pageBreakBefore w:val="0"/>
        <w:kinsoku/>
        <w:wordWrap/>
        <w:overflowPunct/>
        <w:topLinePunct w:val="0"/>
        <w:autoSpaceDE/>
        <w:autoSpaceDN/>
        <w:bidi w:val="0"/>
        <w:snapToGrid w:val="0"/>
        <w:spacing w:line="410" w:lineRule="exact"/>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未按会议要求提前报送动态投资台账、变更签证统计、产值审核报表、造价风险提示等资料，逾期未报的，单次扣款300元；台账更新滞后、数据错漏、统计不实的，按单项问题扣款200元。</w:t>
      </w:r>
    </w:p>
    <w:p w14:paraId="5A573209">
      <w:pPr>
        <w:keepNext w:val="0"/>
        <w:keepLines w:val="0"/>
        <w:pageBreakBefore w:val="0"/>
        <w:kinsoku/>
        <w:wordWrap/>
        <w:overflowPunct/>
        <w:topLinePunct w:val="0"/>
        <w:autoSpaceDE/>
        <w:autoSpaceDN/>
        <w:bidi w:val="0"/>
        <w:snapToGrid w:val="0"/>
        <w:spacing w:line="410" w:lineRule="exact"/>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未按期完成会议明确的价款复核、签证认定、超概预警、造价审核等工作的，单次扣款400元；因审核疏漏出现错审、漏审，拖延结算进度、影响项目推进的，单次扣款600元。</w:t>
      </w:r>
    </w:p>
    <w:p w14:paraId="15DF2FF9">
      <w:pPr>
        <w:keepNext w:val="0"/>
        <w:keepLines w:val="0"/>
        <w:pageBreakBefore w:val="0"/>
        <w:kinsoku/>
        <w:wordWrap/>
        <w:overflowPunct/>
        <w:topLinePunct w:val="0"/>
        <w:autoSpaceDE/>
        <w:autoSpaceDN/>
        <w:bidi w:val="0"/>
        <w:snapToGrid w:val="0"/>
        <w:spacing w:line="410" w:lineRule="exact"/>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参与重大变更、造价争议调处、设备调价、超概风险研判等专项会议时，无法提供有效计价依据、造价分析及控价建议，履职支撑不足的，单次扣款500元。</w:t>
      </w:r>
    </w:p>
    <w:p w14:paraId="325689FF">
      <w:pPr>
        <w:ind w:firstLine="482" w:firstLineChars="200"/>
        <w:rPr>
          <w:rFonts w:hint="eastAsia" w:cs="Times New Roman"/>
          <w:b/>
          <w:bCs/>
          <w:color w:val="auto"/>
          <w:kern w:val="2"/>
          <w:sz w:val="24"/>
          <w:szCs w:val="24"/>
          <w:highlight w:val="none"/>
          <w:lang w:val="en-US" w:eastAsia="zh-CN"/>
        </w:rPr>
      </w:pPr>
      <w:bookmarkStart w:id="894" w:name="heading_12"/>
      <w:r>
        <w:rPr>
          <w:rFonts w:hint="eastAsia" w:cs="Times New Roman"/>
          <w:b/>
          <w:bCs/>
          <w:color w:val="auto"/>
          <w:kern w:val="2"/>
          <w:sz w:val="24"/>
          <w:szCs w:val="24"/>
          <w:highlight w:val="none"/>
          <w:lang w:val="en-US" w:eastAsia="zh-CN"/>
        </w:rPr>
        <w:t>3. 人员在岗履职违规扣款</w:t>
      </w:r>
      <w:bookmarkEnd w:id="894"/>
    </w:p>
    <w:p w14:paraId="2A7223D8">
      <w:pPr>
        <w:keepNext w:val="0"/>
        <w:keepLines w:val="0"/>
        <w:pageBreakBefore w:val="0"/>
        <w:kinsoku/>
        <w:wordWrap/>
        <w:overflowPunct/>
        <w:topLinePunct w:val="0"/>
        <w:autoSpaceDE/>
        <w:autoSpaceDN/>
        <w:bidi w:val="0"/>
        <w:snapToGrid w:val="0"/>
        <w:spacing w:line="410" w:lineRule="exact"/>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核心造价人员、项目负责人未经业主报备擅自更换的，按人次扣款1500元；在岗人员无证上岗、专业资质与造价工作不匹配的，单次扣款800元。</w:t>
      </w:r>
    </w:p>
    <w:p w14:paraId="097AEF8C">
      <w:pPr>
        <w:ind w:firstLine="482" w:firstLineChars="200"/>
        <w:rPr>
          <w:rFonts w:hint="eastAsia" w:cs="Times New Roman"/>
          <w:b/>
          <w:bCs/>
          <w:color w:val="auto"/>
          <w:kern w:val="2"/>
          <w:sz w:val="24"/>
          <w:szCs w:val="24"/>
          <w:highlight w:val="none"/>
          <w:lang w:val="en-US" w:eastAsia="zh-CN"/>
        </w:rPr>
      </w:pPr>
      <w:bookmarkStart w:id="895" w:name="heading_13"/>
      <w:r>
        <w:rPr>
          <w:rFonts w:hint="eastAsia" w:cs="Times New Roman"/>
          <w:b/>
          <w:bCs/>
          <w:color w:val="auto"/>
          <w:kern w:val="2"/>
          <w:sz w:val="24"/>
          <w:szCs w:val="24"/>
          <w:highlight w:val="none"/>
          <w:lang w:val="en-US" w:eastAsia="zh-CN"/>
        </w:rPr>
        <w:t>4. 变更签证与索赔审核违规扣款</w:t>
      </w:r>
      <w:bookmarkEnd w:id="895"/>
    </w:p>
    <w:p w14:paraId="16E0992B">
      <w:pPr>
        <w:keepNext w:val="0"/>
        <w:keepLines w:val="0"/>
        <w:pageBreakBefore w:val="0"/>
        <w:kinsoku/>
        <w:wordWrap/>
        <w:overflowPunct/>
        <w:topLinePunct w:val="0"/>
        <w:autoSpaceDE/>
        <w:autoSpaceDN/>
        <w:bidi w:val="0"/>
        <w:snapToGrid w:val="0"/>
        <w:spacing w:line="410" w:lineRule="exact"/>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现场签证未实地核实，默许事后补签、违规签证，未落实前置审核管控的，单次扣款1000元；审核不严出现工程量虚高、高套定额、高估冒算、重复计价等问题的，视造价损失情况单次扣款1000至3000元，并负责配合整改、追回损失；未及时识别并制止不合理签证及违规计价行为的，单次扣款800元。</w:t>
      </w:r>
    </w:p>
    <w:p w14:paraId="7922775B">
      <w:pPr>
        <w:ind w:firstLine="482" w:firstLineChars="200"/>
        <w:rPr>
          <w:rFonts w:hint="eastAsia" w:cs="Times New Roman"/>
          <w:b/>
          <w:bCs/>
          <w:color w:val="auto"/>
          <w:kern w:val="2"/>
          <w:sz w:val="24"/>
          <w:szCs w:val="24"/>
          <w:highlight w:val="none"/>
          <w:lang w:val="en-US" w:eastAsia="zh-CN"/>
        </w:rPr>
      </w:pPr>
      <w:bookmarkStart w:id="896" w:name="heading_14"/>
      <w:r>
        <w:rPr>
          <w:rFonts w:hint="eastAsia" w:cs="Times New Roman"/>
          <w:b/>
          <w:bCs/>
          <w:color w:val="auto"/>
          <w:kern w:val="2"/>
          <w:sz w:val="24"/>
          <w:szCs w:val="24"/>
          <w:highlight w:val="none"/>
          <w:lang w:val="en-US" w:eastAsia="zh-CN"/>
        </w:rPr>
        <w:t>5. 进度款与结算审核违规扣款</w:t>
      </w:r>
      <w:bookmarkEnd w:id="896"/>
    </w:p>
    <w:p w14:paraId="5948D9D8">
      <w:pPr>
        <w:keepNext w:val="0"/>
        <w:keepLines w:val="0"/>
        <w:pageBreakBefore w:val="0"/>
        <w:kinsoku/>
        <w:wordWrap/>
        <w:overflowPunct/>
        <w:topLinePunct w:val="0"/>
        <w:autoSpaceDE/>
        <w:autoSpaceDN/>
        <w:bidi w:val="0"/>
        <w:snapToGrid w:val="0"/>
        <w:spacing w:line="410" w:lineRule="exact"/>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项目产值、进度款审核超期延误的，单次扣款400元；审核结果偏差较大、存在错漏项、计价适用错误的，单次扣款800元；未识别超付风险、未及时开展造价预警，造成资金管控隐患的，单次扣款1200元。</w:t>
      </w:r>
    </w:p>
    <w:p w14:paraId="476C275A">
      <w:pPr>
        <w:ind w:firstLine="482" w:firstLineChars="200"/>
        <w:rPr>
          <w:rFonts w:hint="eastAsia" w:cs="Times New Roman"/>
          <w:b/>
          <w:bCs/>
          <w:color w:val="auto"/>
          <w:kern w:val="2"/>
          <w:sz w:val="24"/>
          <w:szCs w:val="24"/>
          <w:highlight w:val="none"/>
          <w:lang w:val="en-US" w:eastAsia="zh-CN"/>
        </w:rPr>
      </w:pPr>
      <w:bookmarkStart w:id="897" w:name="heading_15"/>
      <w:r>
        <w:rPr>
          <w:rFonts w:hint="eastAsia" w:cs="Times New Roman"/>
          <w:b/>
          <w:bCs/>
          <w:color w:val="auto"/>
          <w:kern w:val="2"/>
          <w:sz w:val="24"/>
          <w:szCs w:val="24"/>
          <w:highlight w:val="none"/>
          <w:lang w:val="en-US" w:eastAsia="zh-CN"/>
        </w:rPr>
        <w:t>6. 投资台账与风险管控违规扣款</w:t>
      </w:r>
      <w:bookmarkEnd w:id="897"/>
    </w:p>
    <w:p w14:paraId="41FBA5AA">
      <w:pPr>
        <w:keepNext w:val="0"/>
        <w:keepLines w:val="0"/>
        <w:pageBreakBefore w:val="0"/>
        <w:kinsoku/>
        <w:wordWrap/>
        <w:overflowPunct/>
        <w:topLinePunct w:val="0"/>
        <w:autoSpaceDE/>
        <w:autoSpaceDN/>
        <w:bidi w:val="0"/>
        <w:snapToGrid w:val="0"/>
        <w:spacing w:line="410" w:lineRule="exact"/>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项目投资台账、变更签证台账、超概预警台账管理混乱、更新滞后、存在缺漏的，按单项台账扣款300元；未按季度、年度开展投资分析及造价风险预警报送的，单次扣款500元。</w:t>
      </w:r>
    </w:p>
    <w:p w14:paraId="4761064D">
      <w:pPr>
        <w:ind w:firstLine="482" w:firstLineChars="200"/>
        <w:rPr>
          <w:rFonts w:hint="eastAsia" w:cs="Times New Roman"/>
          <w:b/>
          <w:bCs/>
          <w:color w:val="auto"/>
          <w:kern w:val="2"/>
          <w:sz w:val="24"/>
          <w:szCs w:val="24"/>
          <w:highlight w:val="none"/>
          <w:lang w:val="en-US" w:eastAsia="zh-CN"/>
        </w:rPr>
      </w:pPr>
      <w:bookmarkStart w:id="898" w:name="heading_16"/>
      <w:r>
        <w:rPr>
          <w:rFonts w:hint="eastAsia" w:cs="Times New Roman"/>
          <w:b/>
          <w:bCs/>
          <w:color w:val="auto"/>
          <w:kern w:val="2"/>
          <w:sz w:val="24"/>
          <w:szCs w:val="24"/>
          <w:highlight w:val="none"/>
          <w:lang w:val="en-US" w:eastAsia="zh-CN"/>
        </w:rPr>
        <w:t>7. 履约服务配合违规扣款</w:t>
      </w:r>
      <w:bookmarkEnd w:id="898"/>
    </w:p>
    <w:p w14:paraId="2775BDAD">
      <w:pPr>
        <w:keepNext w:val="0"/>
        <w:keepLines w:val="0"/>
        <w:pageBreakBefore w:val="0"/>
        <w:kinsoku/>
        <w:wordWrap/>
        <w:overflowPunct/>
        <w:topLinePunct w:val="0"/>
        <w:autoSpaceDE/>
        <w:autoSpaceDN/>
        <w:bidi w:val="0"/>
        <w:snapToGrid w:val="0"/>
        <w:spacing w:line="410" w:lineRule="exact"/>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消极配合业主专项审计、现场巡查、竣工决算、资料核查等工作，存在推诿拖延、资料报送滞后等情况的，视情节轻重，单次扣款300至800元。</w:t>
      </w:r>
    </w:p>
    <w:p w14:paraId="0886E4C4">
      <w:pPr>
        <w:ind w:firstLine="640" w:firstLineChars="200"/>
        <w:rPr>
          <w:rFonts w:hint="eastAsia"/>
          <w:sz w:val="32"/>
          <w:szCs w:val="32"/>
        </w:rPr>
      </w:pPr>
    </w:p>
    <w:p w14:paraId="25F33252">
      <w:pPr>
        <w:pStyle w:val="2"/>
        <w:pageBreakBefore w:val="0"/>
        <w:kinsoku/>
        <w:wordWrap/>
        <w:overflowPunct/>
        <w:topLinePunct w:val="0"/>
        <w:autoSpaceDE/>
        <w:autoSpaceDN/>
        <w:bidi w:val="0"/>
        <w:adjustRightInd/>
        <w:spacing w:before="156" w:beforeLines="50" w:after="156" w:afterLines="50" w:line="460" w:lineRule="exact"/>
        <w:jc w:val="center"/>
        <w:rPr>
          <w:rFonts w:hint="eastAsia"/>
          <w:sz w:val="32"/>
          <w:szCs w:val="32"/>
        </w:rPr>
      </w:pPr>
      <w:r>
        <w:rPr>
          <w:rFonts w:hint="eastAsia"/>
          <w:sz w:val="32"/>
          <w:szCs w:val="32"/>
        </w:rPr>
        <w:t>第五章  技术标准和要求</w:t>
      </w:r>
      <w:bookmarkEnd w:id="875"/>
      <w:bookmarkEnd w:id="876"/>
      <w:bookmarkEnd w:id="877"/>
      <w:bookmarkEnd w:id="878"/>
    </w:p>
    <w:p w14:paraId="23061951">
      <w:pPr>
        <w:pageBreakBefore w:val="0"/>
        <w:kinsoku/>
        <w:wordWrap/>
        <w:overflowPunct/>
        <w:topLinePunct w:val="0"/>
        <w:autoSpaceDE/>
        <w:autoSpaceDN/>
        <w:bidi w:val="0"/>
        <w:adjustRightInd/>
        <w:spacing w:line="460" w:lineRule="exact"/>
        <w:ind w:firstLine="482" w:firstLineChars="200"/>
        <w:jc w:val="left"/>
        <w:rPr>
          <w:rFonts w:ascii="宋体" w:hAnsi="宋体"/>
          <w:b/>
          <w:bCs w:val="0"/>
          <w:kern w:val="0"/>
          <w:sz w:val="24"/>
          <w:lang w:val="zh-CN"/>
        </w:rPr>
      </w:pPr>
      <w:bookmarkStart w:id="899" w:name="_Toc15912049"/>
      <w:bookmarkStart w:id="900" w:name="_Toc15568852"/>
      <w:r>
        <w:rPr>
          <w:rFonts w:hint="eastAsia" w:ascii="宋体" w:hAnsi="宋体"/>
          <w:b/>
          <w:bCs w:val="0"/>
          <w:kern w:val="0"/>
          <w:sz w:val="24"/>
          <w:lang w:val="en-US" w:eastAsia="zh-CN"/>
        </w:rPr>
        <w:t>一、技术标准</w:t>
      </w:r>
      <w:r>
        <w:rPr>
          <w:rFonts w:ascii="宋体" w:hAnsi="宋体"/>
          <w:b/>
          <w:bCs w:val="0"/>
          <w:kern w:val="0"/>
          <w:sz w:val="24"/>
          <w:lang w:val="zh-CN"/>
        </w:rPr>
        <w:t>按国家</w:t>
      </w:r>
      <w:r>
        <w:rPr>
          <w:rFonts w:hint="eastAsia" w:ascii="宋体" w:hAnsi="宋体"/>
          <w:b/>
          <w:bCs w:val="0"/>
          <w:kern w:val="0"/>
          <w:sz w:val="24"/>
          <w:lang w:val="zh-CN"/>
        </w:rPr>
        <w:t>、</w:t>
      </w:r>
      <w:r>
        <w:rPr>
          <w:rFonts w:hint="eastAsia" w:ascii="宋体" w:hAnsi="宋体"/>
          <w:b/>
          <w:bCs w:val="0"/>
          <w:kern w:val="0"/>
          <w:sz w:val="24"/>
        </w:rPr>
        <w:t>地方、行业</w:t>
      </w:r>
      <w:r>
        <w:rPr>
          <w:rFonts w:ascii="宋体" w:hAnsi="宋体"/>
          <w:b/>
          <w:bCs w:val="0"/>
          <w:kern w:val="0"/>
          <w:sz w:val="24"/>
          <w:lang w:val="zh-CN"/>
        </w:rPr>
        <w:t>相关标准执行</w:t>
      </w:r>
      <w:bookmarkEnd w:id="899"/>
      <w:bookmarkEnd w:id="900"/>
    </w:p>
    <w:p w14:paraId="7D1385A7">
      <w:pPr>
        <w:pageBreakBefore w:val="0"/>
        <w:kinsoku/>
        <w:wordWrap/>
        <w:overflowPunct/>
        <w:topLinePunct w:val="0"/>
        <w:autoSpaceDE/>
        <w:autoSpaceDN/>
        <w:bidi w:val="0"/>
        <w:adjustRightInd/>
        <w:spacing w:line="460" w:lineRule="exact"/>
        <w:ind w:firstLine="482" w:firstLineChars="200"/>
        <w:jc w:val="left"/>
        <w:rPr>
          <w:rFonts w:hint="eastAsia" w:ascii="宋体" w:hAnsi="宋体" w:eastAsia="宋体"/>
          <w:b/>
          <w:bCs w:val="0"/>
          <w:kern w:val="0"/>
          <w:sz w:val="24"/>
          <w:lang w:val="en-US" w:eastAsia="zh-CN"/>
        </w:rPr>
      </w:pPr>
      <w:r>
        <w:rPr>
          <w:rFonts w:hint="eastAsia" w:ascii="宋体" w:hAnsi="宋体" w:eastAsia="宋体"/>
          <w:b/>
          <w:bCs w:val="0"/>
          <w:kern w:val="0"/>
          <w:sz w:val="24"/>
          <w:lang w:val="en-US" w:eastAsia="zh-CN"/>
        </w:rPr>
        <w:t>二、项目审计内容</w:t>
      </w:r>
    </w:p>
    <w:p w14:paraId="2350BCFC">
      <w:pPr>
        <w:keepNext w:val="0"/>
        <w:keepLines w:val="0"/>
        <w:pageBreakBefore w:val="0"/>
        <w:widowControl/>
        <w:kinsoku/>
        <w:wordWrap/>
        <w:overflowPunct/>
        <w:topLinePunct w:val="0"/>
        <w:autoSpaceDE/>
        <w:autoSpaceDN/>
        <w:bidi w:val="0"/>
        <w:adjustRightInd/>
        <w:snapToGrid w:val="0"/>
        <w:spacing w:line="460" w:lineRule="exact"/>
        <w:ind w:firstLine="420" w:firstLineChars="200"/>
        <w:textAlignment w:val="baseline"/>
        <w:rPr>
          <w:rFonts w:hint="eastAsia" w:ascii="宋体" w:hAnsi="宋体" w:eastAsia="宋体" w:cs="宋体"/>
          <w:kern w:val="0"/>
          <w:szCs w:val="21"/>
          <w:u w:val="none" w:color="000000"/>
        </w:rPr>
      </w:pPr>
      <w:r>
        <w:rPr>
          <w:rFonts w:hint="eastAsia" w:ascii="宋体" w:hAnsi="宋体" w:eastAsia="宋体" w:cs="宋体"/>
          <w:kern w:val="0"/>
          <w:szCs w:val="21"/>
          <w:u w:val="none" w:color="000000"/>
          <w:lang w:eastAsia="zh-CN"/>
        </w:rPr>
        <w:t>（</w:t>
      </w:r>
      <w:r>
        <w:rPr>
          <w:rFonts w:hint="eastAsia" w:ascii="宋体" w:hAnsi="宋体" w:eastAsia="宋体" w:cs="宋体"/>
          <w:kern w:val="0"/>
          <w:szCs w:val="21"/>
          <w:u w:val="none" w:color="000000"/>
          <w:lang w:val="en-US" w:eastAsia="zh-CN"/>
        </w:rPr>
        <w:t>1</w:t>
      </w:r>
      <w:r>
        <w:rPr>
          <w:rFonts w:hint="eastAsia" w:ascii="宋体" w:hAnsi="宋体" w:eastAsia="宋体" w:cs="宋体"/>
          <w:kern w:val="0"/>
          <w:szCs w:val="21"/>
          <w:u w:val="none" w:color="000000"/>
          <w:lang w:eastAsia="zh-CN"/>
        </w:rPr>
        <w:t>）</w:t>
      </w:r>
      <w:r>
        <w:rPr>
          <w:rFonts w:hint="eastAsia" w:ascii="宋体" w:hAnsi="宋体" w:eastAsia="宋体" w:cs="宋体"/>
          <w:kern w:val="0"/>
          <w:szCs w:val="21"/>
          <w:u w:val="none" w:color="000000"/>
        </w:rPr>
        <w:t xml:space="preserve">成立项目跟踪（结算）审计组，编制跟踪（结算）审计实施方案，确定投资控制目标、重点环节及应对措施； </w:t>
      </w:r>
    </w:p>
    <w:p w14:paraId="40CE48D7">
      <w:pPr>
        <w:keepNext w:val="0"/>
        <w:keepLines w:val="0"/>
        <w:pageBreakBefore w:val="0"/>
        <w:widowControl/>
        <w:kinsoku/>
        <w:wordWrap/>
        <w:overflowPunct/>
        <w:topLinePunct w:val="0"/>
        <w:autoSpaceDE/>
        <w:autoSpaceDN/>
        <w:bidi w:val="0"/>
        <w:adjustRightInd/>
        <w:snapToGrid w:val="0"/>
        <w:spacing w:line="460" w:lineRule="exact"/>
        <w:ind w:firstLine="420" w:firstLineChars="200"/>
        <w:textAlignment w:val="baseline"/>
        <w:rPr>
          <w:rFonts w:hint="eastAsia" w:ascii="宋体" w:hAnsi="宋体" w:eastAsia="宋体" w:cs="宋体"/>
          <w:kern w:val="0"/>
          <w:szCs w:val="21"/>
          <w:u w:val="none" w:color="000000"/>
        </w:rPr>
      </w:pPr>
      <w:r>
        <w:rPr>
          <w:rFonts w:hint="eastAsia" w:ascii="宋体" w:hAnsi="宋体" w:eastAsia="宋体" w:cs="宋体"/>
          <w:kern w:val="0"/>
          <w:szCs w:val="21"/>
          <w:u w:val="none" w:color="000000"/>
          <w:lang w:eastAsia="zh-CN"/>
        </w:rPr>
        <w:t>（</w:t>
      </w:r>
      <w:r>
        <w:rPr>
          <w:rFonts w:hint="eastAsia" w:ascii="宋体" w:hAnsi="宋体" w:eastAsia="宋体" w:cs="宋体"/>
          <w:kern w:val="0"/>
          <w:szCs w:val="21"/>
          <w:u w:val="none" w:color="000000"/>
          <w:lang w:val="en-US" w:eastAsia="zh-CN"/>
        </w:rPr>
        <w:t>2</w:t>
      </w:r>
      <w:r>
        <w:rPr>
          <w:rFonts w:hint="eastAsia" w:ascii="宋体" w:hAnsi="宋体" w:eastAsia="宋体" w:cs="宋体"/>
          <w:kern w:val="0"/>
          <w:szCs w:val="21"/>
          <w:u w:val="none" w:color="000000"/>
          <w:lang w:eastAsia="zh-CN"/>
        </w:rPr>
        <w:t>）</w:t>
      </w:r>
      <w:r>
        <w:rPr>
          <w:rFonts w:hint="eastAsia" w:ascii="宋体" w:hAnsi="宋体" w:eastAsia="宋体" w:cs="宋体"/>
          <w:kern w:val="0"/>
          <w:szCs w:val="21"/>
          <w:u w:val="none" w:color="000000"/>
        </w:rPr>
        <w:t>审核项目前期资料（图纸、工程量清单及控制价、招标投标文件、施工合同等），向甲方提交审核结果；</w:t>
      </w:r>
    </w:p>
    <w:p w14:paraId="3CB9FD1B">
      <w:pPr>
        <w:keepNext w:val="0"/>
        <w:keepLines w:val="0"/>
        <w:pageBreakBefore w:val="0"/>
        <w:widowControl/>
        <w:kinsoku/>
        <w:wordWrap/>
        <w:overflowPunct/>
        <w:topLinePunct w:val="0"/>
        <w:autoSpaceDE/>
        <w:autoSpaceDN/>
        <w:bidi w:val="0"/>
        <w:adjustRightInd/>
        <w:snapToGrid w:val="0"/>
        <w:spacing w:line="460" w:lineRule="exact"/>
        <w:ind w:firstLine="420" w:firstLineChars="200"/>
        <w:textAlignment w:val="baseline"/>
        <w:rPr>
          <w:rFonts w:hint="eastAsia" w:ascii="宋体" w:hAnsi="宋体" w:eastAsia="宋体" w:cs="宋体"/>
          <w:kern w:val="0"/>
          <w:szCs w:val="21"/>
          <w:u w:val="none" w:color="000000"/>
        </w:rPr>
      </w:pPr>
      <w:r>
        <w:rPr>
          <w:rFonts w:hint="eastAsia" w:ascii="宋体" w:hAnsi="宋体" w:eastAsia="宋体" w:cs="宋体"/>
          <w:kern w:val="0"/>
          <w:szCs w:val="21"/>
          <w:u w:val="none" w:color="000000"/>
          <w:lang w:eastAsia="zh-CN"/>
        </w:rPr>
        <w:t>（</w:t>
      </w:r>
      <w:r>
        <w:rPr>
          <w:rFonts w:hint="eastAsia" w:ascii="宋体" w:hAnsi="宋体" w:eastAsia="宋体" w:cs="宋体"/>
          <w:kern w:val="0"/>
          <w:szCs w:val="21"/>
          <w:u w:val="none" w:color="000000"/>
          <w:lang w:val="en-US" w:eastAsia="zh-CN"/>
        </w:rPr>
        <w:t>3</w:t>
      </w:r>
      <w:r>
        <w:rPr>
          <w:rFonts w:hint="eastAsia" w:ascii="宋体" w:hAnsi="宋体" w:eastAsia="宋体" w:cs="宋体"/>
          <w:kern w:val="0"/>
          <w:szCs w:val="21"/>
          <w:u w:val="none" w:color="000000"/>
          <w:lang w:eastAsia="zh-CN"/>
        </w:rPr>
        <w:t>）</w:t>
      </w:r>
      <w:r>
        <w:rPr>
          <w:rFonts w:hint="eastAsia" w:ascii="宋体" w:hAnsi="宋体" w:eastAsia="宋体" w:cs="宋体"/>
          <w:kern w:val="0"/>
          <w:szCs w:val="21"/>
          <w:u w:val="none" w:color="000000"/>
        </w:rPr>
        <w:t>对承包方上报的请款期已完成合格工程量的计量、计价进行审核，并提供按工程形象进度付款的意见、建议；</w:t>
      </w:r>
    </w:p>
    <w:p w14:paraId="1770D580">
      <w:pPr>
        <w:keepNext w:val="0"/>
        <w:keepLines w:val="0"/>
        <w:pageBreakBefore w:val="0"/>
        <w:widowControl/>
        <w:kinsoku/>
        <w:wordWrap/>
        <w:overflowPunct/>
        <w:topLinePunct w:val="0"/>
        <w:autoSpaceDE/>
        <w:autoSpaceDN/>
        <w:bidi w:val="0"/>
        <w:adjustRightInd/>
        <w:snapToGrid w:val="0"/>
        <w:spacing w:line="460" w:lineRule="exact"/>
        <w:ind w:firstLine="420" w:firstLineChars="200"/>
        <w:textAlignment w:val="baseline"/>
        <w:rPr>
          <w:rFonts w:hint="eastAsia" w:ascii="宋体" w:hAnsi="宋体" w:eastAsia="宋体" w:cs="宋体"/>
          <w:kern w:val="0"/>
          <w:szCs w:val="21"/>
          <w:u w:val="none" w:color="000000"/>
        </w:rPr>
      </w:pPr>
      <w:r>
        <w:rPr>
          <w:rFonts w:hint="eastAsia" w:ascii="宋体" w:hAnsi="宋体" w:eastAsia="宋体" w:cs="宋体"/>
          <w:kern w:val="0"/>
          <w:szCs w:val="21"/>
          <w:u w:val="none" w:color="000000"/>
          <w:lang w:eastAsia="zh-CN"/>
        </w:rPr>
        <w:t>（</w:t>
      </w:r>
      <w:r>
        <w:rPr>
          <w:rFonts w:hint="eastAsia" w:ascii="宋体" w:hAnsi="宋体" w:eastAsia="宋体" w:cs="宋体"/>
          <w:kern w:val="0"/>
          <w:szCs w:val="21"/>
          <w:u w:val="none" w:color="000000"/>
          <w:lang w:val="en-US" w:eastAsia="zh-CN"/>
        </w:rPr>
        <w:t>4</w:t>
      </w:r>
      <w:r>
        <w:rPr>
          <w:rFonts w:hint="eastAsia" w:ascii="宋体" w:hAnsi="宋体" w:eastAsia="宋体" w:cs="宋体"/>
          <w:kern w:val="0"/>
          <w:szCs w:val="21"/>
          <w:u w:val="none" w:color="000000"/>
          <w:lang w:eastAsia="zh-CN"/>
        </w:rPr>
        <w:t>）</w:t>
      </w:r>
      <w:r>
        <w:rPr>
          <w:rFonts w:hint="eastAsia" w:ascii="宋体" w:hAnsi="宋体" w:eastAsia="宋体" w:cs="宋体"/>
          <w:kern w:val="0"/>
          <w:szCs w:val="21"/>
          <w:u w:val="none" w:color="000000"/>
        </w:rPr>
        <w:t>及时核定分阶段完工的项目分部、分项工程价款结算，项目竣工后，及时提交完整的竣工结算审核报告；</w:t>
      </w:r>
    </w:p>
    <w:p w14:paraId="65AE2135">
      <w:pPr>
        <w:keepNext w:val="0"/>
        <w:keepLines w:val="0"/>
        <w:pageBreakBefore w:val="0"/>
        <w:widowControl/>
        <w:kinsoku/>
        <w:wordWrap/>
        <w:overflowPunct/>
        <w:topLinePunct w:val="0"/>
        <w:autoSpaceDE/>
        <w:autoSpaceDN/>
        <w:bidi w:val="0"/>
        <w:adjustRightInd/>
        <w:snapToGrid w:val="0"/>
        <w:spacing w:line="460" w:lineRule="exact"/>
        <w:ind w:firstLine="420" w:firstLineChars="200"/>
        <w:textAlignment w:val="baseline"/>
        <w:rPr>
          <w:rFonts w:hint="eastAsia" w:ascii="宋体" w:hAnsi="宋体" w:eastAsia="宋体" w:cs="宋体"/>
          <w:kern w:val="0"/>
          <w:szCs w:val="21"/>
          <w:u w:val="none" w:color="000000"/>
        </w:rPr>
      </w:pPr>
      <w:r>
        <w:rPr>
          <w:rFonts w:hint="eastAsia" w:ascii="宋体" w:hAnsi="宋体" w:eastAsia="宋体" w:cs="宋体"/>
          <w:kern w:val="0"/>
          <w:szCs w:val="21"/>
          <w:u w:val="none" w:color="000000"/>
          <w:lang w:eastAsia="zh-CN"/>
        </w:rPr>
        <w:t>（</w:t>
      </w:r>
      <w:r>
        <w:rPr>
          <w:rFonts w:hint="eastAsia" w:ascii="宋体" w:hAnsi="宋体" w:eastAsia="宋体" w:cs="宋体"/>
          <w:kern w:val="0"/>
          <w:szCs w:val="21"/>
          <w:u w:val="none" w:color="000000"/>
          <w:lang w:val="en-US" w:eastAsia="zh-CN"/>
        </w:rPr>
        <w:t>5</w:t>
      </w:r>
      <w:r>
        <w:rPr>
          <w:rFonts w:hint="eastAsia" w:ascii="宋体" w:hAnsi="宋体" w:eastAsia="宋体" w:cs="宋体"/>
          <w:kern w:val="0"/>
          <w:szCs w:val="21"/>
          <w:u w:val="none" w:color="000000"/>
          <w:lang w:eastAsia="zh-CN"/>
        </w:rPr>
        <w:t>）</w:t>
      </w:r>
      <w:r>
        <w:rPr>
          <w:rFonts w:hint="eastAsia" w:ascii="宋体" w:hAnsi="宋体" w:eastAsia="宋体" w:cs="宋体"/>
          <w:kern w:val="0"/>
          <w:szCs w:val="21"/>
          <w:u w:val="none" w:color="000000"/>
        </w:rPr>
        <w:t>协助甲方及时审核设计变更、经济签证等发生的费用，超过一定限额的，提请甲方履行报批程序；</w:t>
      </w:r>
    </w:p>
    <w:p w14:paraId="260D6FC9">
      <w:pPr>
        <w:keepNext w:val="0"/>
        <w:keepLines w:val="0"/>
        <w:pageBreakBefore w:val="0"/>
        <w:widowControl/>
        <w:kinsoku/>
        <w:wordWrap/>
        <w:overflowPunct/>
        <w:topLinePunct w:val="0"/>
        <w:autoSpaceDE/>
        <w:autoSpaceDN/>
        <w:bidi w:val="0"/>
        <w:adjustRightInd/>
        <w:snapToGrid w:val="0"/>
        <w:spacing w:line="460" w:lineRule="exact"/>
        <w:ind w:firstLine="420" w:firstLineChars="200"/>
        <w:textAlignment w:val="baseline"/>
        <w:rPr>
          <w:rFonts w:hint="eastAsia" w:ascii="宋体" w:hAnsi="宋体" w:eastAsia="宋体" w:cs="宋体"/>
          <w:kern w:val="0"/>
          <w:szCs w:val="21"/>
          <w:u w:val="none" w:color="000000"/>
        </w:rPr>
      </w:pPr>
      <w:r>
        <w:rPr>
          <w:rFonts w:hint="eastAsia" w:ascii="宋体" w:hAnsi="宋体" w:eastAsia="宋体" w:cs="宋体"/>
          <w:kern w:val="0"/>
          <w:szCs w:val="21"/>
          <w:u w:val="none" w:color="000000"/>
          <w:lang w:eastAsia="zh-CN"/>
        </w:rPr>
        <w:t>（</w:t>
      </w:r>
      <w:r>
        <w:rPr>
          <w:rFonts w:hint="eastAsia" w:ascii="宋体" w:hAnsi="宋体" w:eastAsia="宋体" w:cs="宋体"/>
          <w:kern w:val="0"/>
          <w:szCs w:val="21"/>
          <w:u w:val="none" w:color="000000"/>
          <w:lang w:val="en-US" w:eastAsia="zh-CN"/>
        </w:rPr>
        <w:t>6</w:t>
      </w:r>
      <w:r>
        <w:rPr>
          <w:rFonts w:hint="eastAsia" w:ascii="宋体" w:hAnsi="宋体" w:eastAsia="宋体" w:cs="宋体"/>
          <w:kern w:val="0"/>
          <w:szCs w:val="21"/>
          <w:u w:val="none" w:color="000000"/>
          <w:lang w:eastAsia="zh-CN"/>
        </w:rPr>
        <w:t>）</w:t>
      </w:r>
      <w:r>
        <w:rPr>
          <w:rFonts w:hint="eastAsia" w:ascii="宋体" w:hAnsi="宋体" w:eastAsia="宋体" w:cs="宋体"/>
          <w:kern w:val="0"/>
          <w:szCs w:val="21"/>
          <w:u w:val="none" w:color="000000"/>
        </w:rPr>
        <w:t>项目承、发包方发生工程价款结算争议时，为甲方提供咨询意见；</w:t>
      </w:r>
    </w:p>
    <w:p w14:paraId="0D933BB0">
      <w:pPr>
        <w:keepNext w:val="0"/>
        <w:keepLines w:val="0"/>
        <w:pageBreakBefore w:val="0"/>
        <w:widowControl/>
        <w:kinsoku/>
        <w:wordWrap/>
        <w:overflowPunct/>
        <w:topLinePunct w:val="0"/>
        <w:autoSpaceDE/>
        <w:autoSpaceDN/>
        <w:bidi w:val="0"/>
        <w:adjustRightInd/>
        <w:snapToGrid w:val="0"/>
        <w:spacing w:line="460" w:lineRule="exact"/>
        <w:ind w:firstLine="420" w:firstLineChars="200"/>
        <w:textAlignment w:val="baseline"/>
        <w:rPr>
          <w:rFonts w:hint="eastAsia" w:ascii="宋体" w:hAnsi="宋体" w:eastAsia="宋体" w:cs="宋体"/>
          <w:kern w:val="0"/>
          <w:szCs w:val="21"/>
          <w:u w:val="none" w:color="000000"/>
        </w:rPr>
      </w:pPr>
      <w:r>
        <w:rPr>
          <w:rFonts w:hint="eastAsia" w:ascii="宋体" w:hAnsi="宋体" w:eastAsia="宋体" w:cs="宋体"/>
          <w:kern w:val="0"/>
          <w:szCs w:val="21"/>
          <w:u w:val="none" w:color="000000"/>
          <w:lang w:eastAsia="zh-CN"/>
        </w:rPr>
        <w:t>（</w:t>
      </w:r>
      <w:r>
        <w:rPr>
          <w:rFonts w:hint="eastAsia" w:ascii="宋体" w:hAnsi="宋体" w:eastAsia="宋体" w:cs="宋体"/>
          <w:kern w:val="0"/>
          <w:szCs w:val="21"/>
          <w:u w:val="none" w:color="000000"/>
          <w:lang w:val="en-US" w:eastAsia="zh-CN"/>
        </w:rPr>
        <w:t>7</w:t>
      </w:r>
      <w:r>
        <w:rPr>
          <w:rFonts w:hint="eastAsia" w:ascii="宋体" w:hAnsi="宋体" w:eastAsia="宋体" w:cs="宋体"/>
          <w:kern w:val="0"/>
          <w:szCs w:val="21"/>
          <w:u w:val="none" w:color="000000"/>
          <w:lang w:eastAsia="zh-CN"/>
        </w:rPr>
        <w:t>）</w:t>
      </w:r>
      <w:r>
        <w:rPr>
          <w:rFonts w:hint="eastAsia" w:ascii="宋体" w:hAnsi="宋体" w:eastAsia="宋体" w:cs="宋体"/>
          <w:kern w:val="0"/>
          <w:szCs w:val="21"/>
          <w:u w:val="none" w:color="000000"/>
        </w:rPr>
        <w:t xml:space="preserve">参与项目建设管理的有关会议，对项目投资控制的有关事项发表独立审计意见； </w:t>
      </w:r>
    </w:p>
    <w:p w14:paraId="4AD16BEC">
      <w:pPr>
        <w:keepNext w:val="0"/>
        <w:keepLines w:val="0"/>
        <w:pageBreakBefore w:val="0"/>
        <w:widowControl/>
        <w:kinsoku/>
        <w:wordWrap/>
        <w:overflowPunct/>
        <w:topLinePunct w:val="0"/>
        <w:autoSpaceDE/>
        <w:autoSpaceDN/>
        <w:bidi w:val="0"/>
        <w:adjustRightInd/>
        <w:snapToGrid w:val="0"/>
        <w:spacing w:line="460" w:lineRule="exact"/>
        <w:ind w:firstLine="420" w:firstLineChars="200"/>
        <w:textAlignment w:val="baseline"/>
        <w:rPr>
          <w:rFonts w:hint="eastAsia" w:ascii="宋体" w:hAnsi="宋体" w:eastAsia="宋体" w:cs="宋体"/>
          <w:kern w:val="0"/>
          <w:szCs w:val="21"/>
          <w:u w:val="none" w:color="000000"/>
        </w:rPr>
      </w:pPr>
      <w:r>
        <w:rPr>
          <w:rFonts w:hint="eastAsia" w:ascii="宋体" w:hAnsi="宋体" w:eastAsia="宋体" w:cs="宋体"/>
          <w:kern w:val="0"/>
          <w:szCs w:val="21"/>
          <w:u w:val="none" w:color="000000"/>
          <w:lang w:eastAsia="zh-CN"/>
        </w:rPr>
        <w:t>（</w:t>
      </w:r>
      <w:r>
        <w:rPr>
          <w:rFonts w:hint="eastAsia" w:ascii="宋体" w:hAnsi="宋体" w:eastAsia="宋体" w:cs="宋体"/>
          <w:kern w:val="0"/>
          <w:szCs w:val="21"/>
          <w:u w:val="none" w:color="000000"/>
          <w:lang w:val="en-US" w:eastAsia="zh-CN"/>
        </w:rPr>
        <w:t>8</w:t>
      </w:r>
      <w:r>
        <w:rPr>
          <w:rFonts w:hint="eastAsia" w:ascii="宋体" w:hAnsi="宋体" w:eastAsia="宋体" w:cs="宋体"/>
          <w:kern w:val="0"/>
          <w:szCs w:val="21"/>
          <w:u w:val="none" w:color="000000"/>
          <w:lang w:eastAsia="zh-CN"/>
        </w:rPr>
        <w:t>）</w:t>
      </w:r>
      <w:r>
        <w:rPr>
          <w:rFonts w:hint="eastAsia" w:ascii="宋体" w:hAnsi="宋体" w:eastAsia="宋体" w:cs="宋体"/>
          <w:kern w:val="0"/>
          <w:szCs w:val="21"/>
          <w:u w:val="none" w:color="000000"/>
        </w:rPr>
        <w:t>其他与项目投资控制相关的工作。</w:t>
      </w:r>
    </w:p>
    <w:p w14:paraId="4C61EDA4">
      <w:pPr>
        <w:pageBreakBefore w:val="0"/>
        <w:kinsoku/>
        <w:wordWrap/>
        <w:overflowPunct/>
        <w:topLinePunct w:val="0"/>
        <w:autoSpaceDE/>
        <w:autoSpaceDN/>
        <w:bidi w:val="0"/>
        <w:adjustRightInd/>
        <w:spacing w:line="460" w:lineRule="exact"/>
        <w:ind w:firstLine="482" w:firstLineChars="200"/>
        <w:jc w:val="left"/>
        <w:rPr>
          <w:rFonts w:hint="eastAsia" w:ascii="宋体" w:hAnsi="宋体" w:eastAsia="宋体"/>
          <w:b/>
          <w:bCs w:val="0"/>
          <w:kern w:val="0"/>
          <w:sz w:val="24"/>
          <w:lang w:val="en-US" w:eastAsia="zh-CN"/>
        </w:rPr>
      </w:pPr>
      <w:r>
        <w:rPr>
          <w:rFonts w:hint="eastAsia" w:ascii="宋体" w:hAnsi="宋体" w:eastAsia="宋体"/>
          <w:b/>
          <w:bCs w:val="0"/>
          <w:kern w:val="0"/>
          <w:sz w:val="24"/>
          <w:lang w:val="en-US" w:eastAsia="zh-CN"/>
        </w:rPr>
        <w:t>三、项目跟踪（结算）审计质量要求</w:t>
      </w:r>
    </w:p>
    <w:p w14:paraId="0F495CE6">
      <w:pPr>
        <w:keepNext w:val="0"/>
        <w:keepLines w:val="0"/>
        <w:pageBreakBefore w:val="0"/>
        <w:widowControl/>
        <w:kinsoku/>
        <w:wordWrap/>
        <w:overflowPunct/>
        <w:topLinePunct w:val="0"/>
        <w:autoSpaceDE/>
        <w:autoSpaceDN/>
        <w:bidi w:val="0"/>
        <w:adjustRightInd/>
        <w:snapToGrid w:val="0"/>
        <w:spacing w:line="460" w:lineRule="exact"/>
        <w:ind w:firstLine="420" w:firstLineChars="200"/>
        <w:textAlignment w:val="baseline"/>
        <w:rPr>
          <w:rFonts w:hint="eastAsia" w:ascii="宋体" w:hAnsi="宋体" w:eastAsia="宋体" w:cs="宋体"/>
          <w:kern w:val="0"/>
          <w:szCs w:val="21"/>
          <w:u w:val="none" w:color="000000"/>
          <w:lang w:val="en-US" w:eastAsia="zh-CN"/>
        </w:rPr>
      </w:pPr>
      <w:r>
        <w:rPr>
          <w:rFonts w:hint="eastAsia" w:ascii="宋体" w:hAnsi="宋体" w:eastAsia="宋体" w:cs="宋体"/>
          <w:kern w:val="0"/>
          <w:szCs w:val="21"/>
          <w:u w:val="none" w:color="000000"/>
          <w:lang w:val="en-US" w:eastAsia="zh-CN"/>
        </w:rPr>
        <w:t>1.招标人对中标人出具的项目跟踪审计、结算审核服务费根据市财政工程造价审核中心审核或第三方复审或综合计划科复核结果进行浮动：</w:t>
      </w:r>
    </w:p>
    <w:p w14:paraId="083B0C17">
      <w:pPr>
        <w:keepNext w:val="0"/>
        <w:keepLines w:val="0"/>
        <w:pageBreakBefore w:val="0"/>
        <w:widowControl/>
        <w:kinsoku/>
        <w:wordWrap/>
        <w:overflowPunct/>
        <w:topLinePunct w:val="0"/>
        <w:autoSpaceDE/>
        <w:autoSpaceDN/>
        <w:bidi w:val="0"/>
        <w:adjustRightInd/>
        <w:snapToGrid w:val="0"/>
        <w:spacing w:line="460" w:lineRule="exact"/>
        <w:ind w:firstLine="420" w:firstLineChars="200"/>
        <w:textAlignment w:val="baseline"/>
        <w:rPr>
          <w:rFonts w:hint="eastAsia" w:ascii="宋体" w:hAnsi="宋体" w:eastAsia="宋体" w:cs="宋体"/>
          <w:kern w:val="0"/>
          <w:szCs w:val="21"/>
          <w:u w:val="none" w:color="000000"/>
          <w:lang w:val="en-US" w:eastAsia="zh-CN"/>
        </w:rPr>
      </w:pPr>
      <w:r>
        <w:rPr>
          <w:rFonts w:hint="eastAsia" w:ascii="宋体" w:hAnsi="宋体" w:eastAsia="宋体" w:cs="宋体"/>
          <w:kern w:val="0"/>
          <w:szCs w:val="21"/>
          <w:u w:val="none" w:color="000000"/>
          <w:lang w:val="en-US" w:eastAsia="zh-CN"/>
        </w:rPr>
        <w:t>（1）审核结果误差率在2%以内（含），可按照委托协议约定收取相关费用；</w:t>
      </w:r>
    </w:p>
    <w:p w14:paraId="67CFE306">
      <w:pPr>
        <w:keepNext w:val="0"/>
        <w:keepLines w:val="0"/>
        <w:pageBreakBefore w:val="0"/>
        <w:widowControl/>
        <w:kinsoku/>
        <w:wordWrap/>
        <w:overflowPunct/>
        <w:topLinePunct w:val="0"/>
        <w:autoSpaceDE/>
        <w:autoSpaceDN/>
        <w:bidi w:val="0"/>
        <w:adjustRightInd/>
        <w:snapToGrid w:val="0"/>
        <w:spacing w:line="460" w:lineRule="exact"/>
        <w:ind w:firstLine="420" w:firstLineChars="200"/>
        <w:textAlignment w:val="baseline"/>
        <w:rPr>
          <w:rFonts w:hint="eastAsia" w:ascii="宋体" w:hAnsi="宋体" w:eastAsia="宋体" w:cs="宋体"/>
          <w:kern w:val="0"/>
          <w:szCs w:val="21"/>
          <w:u w:val="none" w:color="000000"/>
          <w:lang w:val="en-US" w:eastAsia="zh-CN"/>
        </w:rPr>
      </w:pPr>
      <w:r>
        <w:rPr>
          <w:rFonts w:hint="eastAsia" w:ascii="宋体" w:hAnsi="宋体" w:eastAsia="宋体" w:cs="宋体"/>
          <w:kern w:val="0"/>
          <w:szCs w:val="21"/>
          <w:u w:val="none" w:color="000000"/>
          <w:lang w:val="en-US" w:eastAsia="zh-CN"/>
        </w:rPr>
        <w:t>（2）审核结果误差在2%-3%（含）之间，费用扣除10%；</w:t>
      </w:r>
    </w:p>
    <w:p w14:paraId="31B1A9E8">
      <w:pPr>
        <w:keepNext w:val="0"/>
        <w:keepLines w:val="0"/>
        <w:pageBreakBefore w:val="0"/>
        <w:widowControl/>
        <w:kinsoku/>
        <w:wordWrap/>
        <w:overflowPunct/>
        <w:topLinePunct w:val="0"/>
        <w:autoSpaceDE/>
        <w:autoSpaceDN/>
        <w:bidi w:val="0"/>
        <w:adjustRightInd/>
        <w:snapToGrid w:val="0"/>
        <w:spacing w:line="460" w:lineRule="exact"/>
        <w:ind w:firstLine="420" w:firstLineChars="200"/>
        <w:textAlignment w:val="baseline"/>
        <w:rPr>
          <w:rFonts w:hint="eastAsia" w:ascii="宋体" w:hAnsi="宋体" w:eastAsia="宋体" w:cs="宋体"/>
          <w:kern w:val="0"/>
          <w:szCs w:val="21"/>
          <w:u w:val="none" w:color="000000"/>
          <w:lang w:val="en-US" w:eastAsia="zh-CN"/>
        </w:rPr>
      </w:pPr>
      <w:r>
        <w:rPr>
          <w:rFonts w:hint="eastAsia" w:ascii="宋体" w:hAnsi="宋体" w:eastAsia="宋体" w:cs="宋体"/>
          <w:kern w:val="0"/>
          <w:szCs w:val="21"/>
          <w:u w:val="none" w:color="000000"/>
          <w:lang w:val="en-US" w:eastAsia="zh-CN"/>
        </w:rPr>
        <w:t>（3）审核结果误差在3%-4%（含）之间，费用扣除20%；</w:t>
      </w:r>
    </w:p>
    <w:p w14:paraId="25274E1B">
      <w:pPr>
        <w:keepNext w:val="0"/>
        <w:keepLines w:val="0"/>
        <w:pageBreakBefore w:val="0"/>
        <w:widowControl/>
        <w:kinsoku/>
        <w:wordWrap/>
        <w:overflowPunct/>
        <w:topLinePunct w:val="0"/>
        <w:autoSpaceDE/>
        <w:autoSpaceDN/>
        <w:bidi w:val="0"/>
        <w:adjustRightInd/>
        <w:snapToGrid w:val="0"/>
        <w:spacing w:line="460" w:lineRule="exact"/>
        <w:ind w:firstLine="420" w:firstLineChars="200"/>
        <w:textAlignment w:val="baseline"/>
        <w:rPr>
          <w:rFonts w:hint="eastAsia" w:ascii="宋体" w:hAnsi="宋体" w:eastAsia="宋体" w:cs="宋体"/>
          <w:kern w:val="0"/>
          <w:szCs w:val="21"/>
          <w:u w:val="none" w:color="000000"/>
          <w:lang w:val="en-US" w:eastAsia="zh-CN"/>
        </w:rPr>
      </w:pPr>
      <w:r>
        <w:rPr>
          <w:rFonts w:hint="eastAsia" w:ascii="宋体" w:hAnsi="宋体" w:eastAsia="宋体" w:cs="宋体"/>
          <w:kern w:val="0"/>
          <w:szCs w:val="21"/>
          <w:u w:val="none" w:color="000000"/>
          <w:lang w:val="en-US" w:eastAsia="zh-CN"/>
        </w:rPr>
        <w:t>（4）审核结果误差超过4%, 全额扣除该项目服务费。</w:t>
      </w:r>
    </w:p>
    <w:p w14:paraId="22FF6C24">
      <w:pPr>
        <w:keepNext w:val="0"/>
        <w:keepLines w:val="0"/>
        <w:pageBreakBefore w:val="0"/>
        <w:widowControl/>
        <w:kinsoku/>
        <w:wordWrap/>
        <w:overflowPunct/>
        <w:topLinePunct w:val="0"/>
        <w:autoSpaceDE/>
        <w:autoSpaceDN/>
        <w:bidi w:val="0"/>
        <w:adjustRightInd/>
        <w:snapToGrid w:val="0"/>
        <w:spacing w:line="460" w:lineRule="exact"/>
        <w:ind w:firstLine="420" w:firstLineChars="200"/>
        <w:textAlignment w:val="baseline"/>
        <w:rPr>
          <w:rFonts w:hint="eastAsia" w:ascii="宋体" w:hAnsi="宋体" w:eastAsia="宋体" w:cs="宋体"/>
          <w:kern w:val="0"/>
          <w:szCs w:val="21"/>
          <w:u w:val="none" w:color="000000"/>
          <w:lang w:val="en-US" w:eastAsia="zh-CN"/>
        </w:rPr>
      </w:pPr>
      <w:r>
        <w:rPr>
          <w:rFonts w:hint="eastAsia" w:ascii="宋体" w:hAnsi="宋体" w:eastAsia="宋体" w:cs="宋体"/>
          <w:kern w:val="0"/>
          <w:szCs w:val="21"/>
          <w:u w:val="none" w:color="000000"/>
          <w:lang w:val="en-US" w:eastAsia="zh-CN"/>
        </w:rPr>
        <w:t>2.若中标人出现无证人员执业、挂靠执业、执业人员不到岗等违反国家、省、市相关工程造价管理文件规定，被建设行政主管部门或工程造价管理机构记不良行为记录的或列入黑名单的等其他情况的，招标人将终止委托审计业务。</w:t>
      </w:r>
    </w:p>
    <w:p w14:paraId="55FF8B3D">
      <w:pPr>
        <w:keepNext w:val="0"/>
        <w:keepLines w:val="0"/>
        <w:pageBreakBefore w:val="0"/>
        <w:widowControl/>
        <w:kinsoku/>
        <w:wordWrap/>
        <w:overflowPunct/>
        <w:topLinePunct w:val="0"/>
        <w:autoSpaceDE/>
        <w:autoSpaceDN/>
        <w:bidi w:val="0"/>
        <w:adjustRightInd/>
        <w:snapToGrid w:val="0"/>
        <w:spacing w:line="460" w:lineRule="exact"/>
        <w:ind w:firstLine="420" w:firstLineChars="200"/>
        <w:jc w:val="left"/>
        <w:textAlignment w:val="baseline"/>
        <w:rPr>
          <w:rFonts w:hint="eastAsia" w:eastAsia="宋体"/>
          <w:lang w:val="en-US" w:eastAsia="zh-CN"/>
        </w:rPr>
      </w:pPr>
      <w:r>
        <w:rPr>
          <w:rFonts w:hint="eastAsia" w:ascii="宋体" w:hAnsi="宋体" w:eastAsia="宋体" w:cs="宋体"/>
          <w:kern w:val="0"/>
          <w:szCs w:val="21"/>
          <w:u w:val="none" w:color="000000"/>
          <w:lang w:val="en-US" w:eastAsia="zh-CN"/>
        </w:rPr>
        <w:t>3.跟踪审计服务</w:t>
      </w:r>
      <w:r>
        <w:rPr>
          <w:rFonts w:hint="eastAsia" w:ascii="宋体" w:hAnsi="宋体" w:eastAsia="宋体" w:cs="宋体"/>
          <w:kern w:val="0"/>
          <w:szCs w:val="21"/>
          <w:u w:val="none" w:color="000000"/>
        </w:rPr>
        <w:t>机构应本着客观、公正、公平的原则，正确履行审计职责，同时承担相应的法律责任。对</w:t>
      </w:r>
      <w:r>
        <w:rPr>
          <w:rFonts w:hint="eastAsia" w:ascii="宋体" w:hAnsi="宋体" w:eastAsia="宋体" w:cs="宋体"/>
          <w:kern w:val="0"/>
          <w:szCs w:val="21"/>
          <w:u w:val="none" w:color="000000"/>
          <w:lang w:val="en-US" w:eastAsia="zh-CN"/>
        </w:rPr>
        <w:t>跟踪审计服务</w:t>
      </w:r>
      <w:r>
        <w:rPr>
          <w:rFonts w:hint="eastAsia" w:ascii="宋体" w:hAnsi="宋体" w:eastAsia="宋体" w:cs="宋体"/>
          <w:kern w:val="0"/>
          <w:szCs w:val="21"/>
          <w:u w:val="none" w:color="000000"/>
        </w:rPr>
        <w:t>机构滥用职权、与施工单位串通、徇私舞弊、玩忽职守的，视情节，按有关规定对</w:t>
      </w:r>
      <w:r>
        <w:rPr>
          <w:rFonts w:hint="eastAsia" w:ascii="宋体" w:hAnsi="宋体" w:eastAsia="宋体" w:cs="宋体"/>
          <w:kern w:val="0"/>
          <w:szCs w:val="21"/>
          <w:u w:val="none" w:color="000000"/>
          <w:lang w:val="en-US" w:eastAsia="zh-CN"/>
        </w:rPr>
        <w:t>其</w:t>
      </w:r>
      <w:r>
        <w:rPr>
          <w:rFonts w:hint="eastAsia" w:ascii="宋体" w:hAnsi="宋体" w:eastAsia="宋体" w:cs="宋体"/>
          <w:kern w:val="0"/>
          <w:szCs w:val="21"/>
          <w:u w:val="none" w:color="000000"/>
        </w:rPr>
        <w:t>机构及其当事人进行处理处罚；情节严重，涉嫌违法违纪的，依法移送</w:t>
      </w:r>
      <w:r>
        <w:rPr>
          <w:rFonts w:hint="eastAsia" w:ascii="宋体" w:hAnsi="宋体" w:eastAsia="宋体" w:cs="宋体"/>
          <w:kern w:val="0"/>
          <w:szCs w:val="21"/>
          <w:highlight w:val="none"/>
          <w:u w:val="none" w:color="000000"/>
        </w:rPr>
        <w:t>纪检、司法机关查处。</w:t>
      </w:r>
    </w:p>
    <w:p w14:paraId="527154EA">
      <w:pPr>
        <w:rPr>
          <w:rFonts w:hint="eastAsia"/>
          <w:bCs/>
          <w:szCs w:val="32"/>
          <w:highlight w:val="none"/>
        </w:rPr>
      </w:pPr>
      <w:r>
        <w:rPr>
          <w:rFonts w:hint="eastAsia"/>
          <w:bCs/>
          <w:szCs w:val="32"/>
          <w:highlight w:val="none"/>
        </w:rPr>
        <w:br w:type="page"/>
      </w:r>
    </w:p>
    <w:p w14:paraId="3A3DFD1F">
      <w:pPr>
        <w:pStyle w:val="44"/>
        <w:spacing w:beforeLines="50" w:afterLines="50" w:line="440" w:lineRule="exact"/>
        <w:rPr>
          <w:bCs/>
          <w:szCs w:val="32"/>
          <w:highlight w:val="none"/>
        </w:rPr>
      </w:pPr>
      <w:r>
        <w:rPr>
          <w:rFonts w:hint="eastAsia"/>
          <w:bCs/>
          <w:szCs w:val="32"/>
          <w:highlight w:val="none"/>
        </w:rPr>
        <w:t>第</w:t>
      </w:r>
      <w:r>
        <w:rPr>
          <w:rFonts w:hint="eastAsia"/>
          <w:bCs/>
          <w:szCs w:val="32"/>
          <w:highlight w:val="none"/>
          <w:lang w:val="en-US" w:eastAsia="zh-CN"/>
        </w:rPr>
        <w:t>六</w:t>
      </w:r>
      <w:r>
        <w:rPr>
          <w:rFonts w:hint="eastAsia"/>
          <w:bCs/>
          <w:szCs w:val="32"/>
          <w:highlight w:val="none"/>
        </w:rPr>
        <w:t>章  投标文件格式</w:t>
      </w:r>
      <w:bookmarkEnd w:id="879"/>
      <w:bookmarkEnd w:id="880"/>
      <w:bookmarkEnd w:id="881"/>
      <w:bookmarkEnd w:id="882"/>
      <w:bookmarkEnd w:id="883"/>
      <w:bookmarkEnd w:id="884"/>
      <w:bookmarkEnd w:id="885"/>
      <w:bookmarkEnd w:id="886"/>
      <w:bookmarkEnd w:id="887"/>
      <w:bookmarkEnd w:id="888"/>
      <w:bookmarkEnd w:id="889"/>
      <w:bookmarkEnd w:id="890"/>
      <w:bookmarkEnd w:id="891"/>
    </w:p>
    <w:p w14:paraId="7B05D42C">
      <w:pPr>
        <w:rPr>
          <w:highlight w:val="none"/>
        </w:rPr>
      </w:pPr>
    </w:p>
    <w:p w14:paraId="082E4B32">
      <w:pPr>
        <w:rPr>
          <w:highlight w:val="none"/>
        </w:rPr>
      </w:pPr>
    </w:p>
    <w:p w14:paraId="5069B979">
      <w:pPr>
        <w:rPr>
          <w:highlight w:val="none"/>
        </w:rPr>
      </w:pPr>
    </w:p>
    <w:p w14:paraId="56143D65">
      <w:pPr>
        <w:jc w:val="center"/>
        <w:rPr>
          <w:rFonts w:eastAsia="黑体"/>
          <w:sz w:val="20"/>
          <w:szCs w:val="20"/>
          <w:highlight w:val="none"/>
        </w:rPr>
      </w:pPr>
      <w:r>
        <w:rPr>
          <w:rFonts w:eastAsia="黑体"/>
          <w:sz w:val="28"/>
          <w:szCs w:val="28"/>
          <w:highlight w:val="none"/>
        </w:rPr>
        <w:t>（项目名称）</w:t>
      </w:r>
    </w:p>
    <w:p w14:paraId="7576ABA9">
      <w:pPr>
        <w:jc w:val="center"/>
        <w:rPr>
          <w:rFonts w:eastAsia="黑体"/>
          <w:sz w:val="20"/>
          <w:szCs w:val="20"/>
          <w:highlight w:val="none"/>
        </w:rPr>
      </w:pPr>
    </w:p>
    <w:p w14:paraId="7FF06958">
      <w:pPr>
        <w:jc w:val="center"/>
        <w:rPr>
          <w:rFonts w:eastAsia="黑体"/>
          <w:sz w:val="20"/>
          <w:szCs w:val="20"/>
          <w:highlight w:val="none"/>
        </w:rPr>
      </w:pPr>
    </w:p>
    <w:p w14:paraId="3165CB1E">
      <w:pPr>
        <w:jc w:val="center"/>
        <w:rPr>
          <w:rFonts w:eastAsia="黑体"/>
          <w:sz w:val="20"/>
          <w:szCs w:val="20"/>
          <w:highlight w:val="none"/>
        </w:rPr>
      </w:pPr>
    </w:p>
    <w:p w14:paraId="75BA9D51">
      <w:pPr>
        <w:rPr>
          <w:rFonts w:eastAsia="黑体"/>
          <w:sz w:val="20"/>
          <w:szCs w:val="20"/>
          <w:highlight w:val="none"/>
        </w:rPr>
      </w:pPr>
    </w:p>
    <w:p w14:paraId="347DEE05">
      <w:pPr>
        <w:jc w:val="center"/>
        <w:rPr>
          <w:rFonts w:eastAsia="黑体"/>
          <w:sz w:val="44"/>
          <w:szCs w:val="44"/>
          <w:highlight w:val="none"/>
        </w:rPr>
      </w:pPr>
      <w:r>
        <w:rPr>
          <w:rFonts w:eastAsia="黑体"/>
          <w:sz w:val="44"/>
          <w:szCs w:val="44"/>
          <w:highlight w:val="none"/>
        </w:rPr>
        <w:t>投  标  文  件</w:t>
      </w:r>
      <w:r>
        <w:rPr>
          <w:rFonts w:hint="eastAsia" w:eastAsia="黑体"/>
          <w:sz w:val="44"/>
          <w:szCs w:val="44"/>
          <w:highlight w:val="none"/>
        </w:rPr>
        <w:t xml:space="preserve"> 一</w:t>
      </w:r>
    </w:p>
    <w:p w14:paraId="4404D72F">
      <w:pPr>
        <w:jc w:val="center"/>
        <w:rPr>
          <w:rFonts w:eastAsia="黑体"/>
          <w:sz w:val="44"/>
          <w:szCs w:val="44"/>
          <w:highlight w:val="none"/>
        </w:rPr>
      </w:pPr>
      <w:r>
        <w:rPr>
          <w:rFonts w:hint="eastAsia" w:eastAsia="黑体"/>
          <w:sz w:val="44"/>
          <w:szCs w:val="44"/>
          <w:highlight w:val="none"/>
        </w:rPr>
        <w:t>（资信证明文件）</w:t>
      </w:r>
    </w:p>
    <w:p w14:paraId="69FD5586">
      <w:pPr>
        <w:rPr>
          <w:rFonts w:eastAsia="黑体"/>
          <w:sz w:val="28"/>
          <w:szCs w:val="28"/>
          <w:highlight w:val="none"/>
        </w:rPr>
      </w:pPr>
    </w:p>
    <w:p w14:paraId="61671114">
      <w:pPr>
        <w:rPr>
          <w:rFonts w:eastAsia="黑体"/>
          <w:sz w:val="28"/>
          <w:szCs w:val="28"/>
          <w:highlight w:val="none"/>
        </w:rPr>
      </w:pPr>
    </w:p>
    <w:p w14:paraId="7707CE46">
      <w:pPr>
        <w:rPr>
          <w:rFonts w:eastAsia="黑体"/>
          <w:sz w:val="28"/>
          <w:szCs w:val="28"/>
          <w:highlight w:val="none"/>
        </w:rPr>
      </w:pPr>
    </w:p>
    <w:p w14:paraId="3E29662A">
      <w:pPr>
        <w:rPr>
          <w:rFonts w:eastAsia="黑体"/>
          <w:sz w:val="28"/>
          <w:szCs w:val="28"/>
          <w:highlight w:val="none"/>
        </w:rPr>
      </w:pPr>
    </w:p>
    <w:p w14:paraId="69D02104">
      <w:pPr>
        <w:pStyle w:val="14"/>
        <w:ind w:firstLine="420"/>
        <w:rPr>
          <w:rFonts w:ascii="Times New Roman"/>
          <w:szCs w:val="24"/>
          <w:highlight w:val="none"/>
        </w:rPr>
      </w:pPr>
    </w:p>
    <w:p w14:paraId="3062FE47">
      <w:pPr>
        <w:rPr>
          <w:rFonts w:ascii="Times New Roman"/>
          <w:szCs w:val="24"/>
          <w:highlight w:val="none"/>
        </w:rPr>
      </w:pPr>
    </w:p>
    <w:p w14:paraId="78F93F73">
      <w:pPr>
        <w:pStyle w:val="14"/>
        <w:rPr>
          <w:rFonts w:ascii="Times New Roman"/>
          <w:szCs w:val="24"/>
          <w:highlight w:val="none"/>
        </w:rPr>
      </w:pPr>
    </w:p>
    <w:p w14:paraId="1E9D0BD8">
      <w:pPr>
        <w:rPr>
          <w:rFonts w:ascii="Times New Roman"/>
          <w:szCs w:val="24"/>
          <w:highlight w:val="none"/>
        </w:rPr>
      </w:pPr>
    </w:p>
    <w:p w14:paraId="13AFD6AD">
      <w:pPr>
        <w:pStyle w:val="14"/>
      </w:pPr>
    </w:p>
    <w:p w14:paraId="0799C826">
      <w:pPr>
        <w:pStyle w:val="14"/>
        <w:ind w:firstLine="420"/>
        <w:rPr>
          <w:highlight w:val="none"/>
        </w:rPr>
      </w:pPr>
    </w:p>
    <w:p w14:paraId="63F5BB9B">
      <w:pPr>
        <w:rPr>
          <w:rFonts w:eastAsia="黑体"/>
          <w:sz w:val="28"/>
          <w:szCs w:val="28"/>
          <w:highlight w:val="none"/>
        </w:rPr>
      </w:pPr>
    </w:p>
    <w:p w14:paraId="6ECEBDFF">
      <w:pPr>
        <w:rPr>
          <w:rFonts w:eastAsia="黑体"/>
          <w:sz w:val="28"/>
          <w:szCs w:val="28"/>
          <w:highlight w:val="none"/>
        </w:rPr>
      </w:pPr>
    </w:p>
    <w:p w14:paraId="62522776">
      <w:pPr>
        <w:jc w:val="center"/>
        <w:rPr>
          <w:rFonts w:eastAsia="黑体"/>
          <w:sz w:val="28"/>
          <w:szCs w:val="28"/>
          <w:u w:val="single"/>
        </w:rPr>
      </w:pPr>
      <w:r>
        <w:rPr>
          <w:rFonts w:hint="eastAsia" w:eastAsia="黑体"/>
          <w:sz w:val="28"/>
          <w:szCs w:val="28"/>
        </w:rPr>
        <w:t xml:space="preserve"> 投标人</w:t>
      </w:r>
      <w:r>
        <w:rPr>
          <w:rFonts w:eastAsia="黑体"/>
          <w:sz w:val="28"/>
          <w:szCs w:val="28"/>
        </w:rPr>
        <w:t>：</w:t>
      </w:r>
      <w:r>
        <w:rPr>
          <w:rFonts w:eastAsia="黑体"/>
          <w:sz w:val="28"/>
          <w:szCs w:val="28"/>
          <w:u w:val="single"/>
        </w:rPr>
        <w:t xml:space="preserve">               </w:t>
      </w:r>
      <w:r>
        <w:rPr>
          <w:rFonts w:hint="eastAsia" w:eastAsia="黑体"/>
          <w:sz w:val="28"/>
          <w:szCs w:val="28"/>
          <w:u w:val="single"/>
        </w:rPr>
        <w:t xml:space="preserve">    </w:t>
      </w:r>
      <w:r>
        <w:rPr>
          <w:rFonts w:eastAsia="黑体"/>
          <w:sz w:val="28"/>
          <w:szCs w:val="28"/>
          <w:u w:val="single"/>
        </w:rPr>
        <w:t xml:space="preserve">      </w:t>
      </w:r>
      <w:r>
        <w:rPr>
          <w:rFonts w:hint="eastAsia" w:eastAsia="黑体"/>
          <w:sz w:val="28"/>
          <w:szCs w:val="28"/>
          <w:u w:val="single"/>
        </w:rPr>
        <w:t xml:space="preserve">  </w:t>
      </w:r>
      <w:r>
        <w:rPr>
          <w:rFonts w:eastAsia="黑体"/>
          <w:sz w:val="28"/>
          <w:szCs w:val="28"/>
          <w:u w:val="single"/>
        </w:rPr>
        <w:t xml:space="preserve">       </w:t>
      </w:r>
      <w:r>
        <w:rPr>
          <w:rFonts w:eastAsia="黑体"/>
          <w:sz w:val="28"/>
          <w:szCs w:val="28"/>
        </w:rPr>
        <w:t>（</w:t>
      </w:r>
      <w:r>
        <w:rPr>
          <w:rFonts w:hint="eastAsia" w:eastAsia="黑体"/>
          <w:sz w:val="28"/>
          <w:szCs w:val="28"/>
        </w:rPr>
        <w:t>盖</w:t>
      </w:r>
      <w:r>
        <w:rPr>
          <w:rFonts w:eastAsia="黑体"/>
          <w:sz w:val="28"/>
          <w:szCs w:val="28"/>
        </w:rPr>
        <w:t>章）</w:t>
      </w:r>
    </w:p>
    <w:p w14:paraId="097218CB">
      <w:pPr>
        <w:jc w:val="center"/>
        <w:rPr>
          <w:rFonts w:eastAsia="黑体"/>
          <w:sz w:val="28"/>
          <w:szCs w:val="28"/>
        </w:rPr>
      </w:pPr>
      <w:r>
        <w:rPr>
          <w:rFonts w:hint="eastAsia" w:eastAsia="黑体"/>
          <w:sz w:val="28"/>
          <w:szCs w:val="28"/>
        </w:rPr>
        <w:t xml:space="preserve">   </w:t>
      </w:r>
      <w:r>
        <w:rPr>
          <w:rFonts w:eastAsia="黑体"/>
          <w:sz w:val="28"/>
          <w:szCs w:val="28"/>
        </w:rPr>
        <w:t>法定代表人</w:t>
      </w:r>
      <w:r>
        <w:rPr>
          <w:rFonts w:hint="eastAsia" w:eastAsia="黑体"/>
          <w:sz w:val="28"/>
          <w:szCs w:val="28"/>
          <w:lang w:val="en-US" w:eastAsia="zh-CN"/>
        </w:rPr>
        <w:t>或授权委托人</w:t>
      </w:r>
      <w:r>
        <w:rPr>
          <w:rFonts w:eastAsia="黑体"/>
          <w:sz w:val="28"/>
          <w:szCs w:val="28"/>
        </w:rPr>
        <w:t>：</w:t>
      </w:r>
      <w:r>
        <w:rPr>
          <w:rFonts w:eastAsia="黑体"/>
          <w:sz w:val="28"/>
          <w:szCs w:val="28"/>
          <w:u w:val="single"/>
        </w:rPr>
        <w:t xml:space="preserve">         </w:t>
      </w:r>
      <w:r>
        <w:rPr>
          <w:rFonts w:hint="eastAsia" w:eastAsia="黑体"/>
          <w:sz w:val="28"/>
          <w:szCs w:val="28"/>
          <w:u w:val="single"/>
        </w:rPr>
        <w:t xml:space="preserve">         </w:t>
      </w:r>
      <w:r>
        <w:rPr>
          <w:rFonts w:eastAsia="黑体"/>
          <w:sz w:val="28"/>
          <w:szCs w:val="28"/>
          <w:u w:val="single"/>
        </w:rPr>
        <w:t xml:space="preserve">       </w:t>
      </w:r>
      <w:r>
        <w:rPr>
          <w:rFonts w:eastAsia="黑体"/>
          <w:sz w:val="28"/>
          <w:szCs w:val="28"/>
        </w:rPr>
        <w:t>（</w:t>
      </w:r>
      <w:r>
        <w:rPr>
          <w:rFonts w:hint="eastAsia" w:eastAsia="黑体"/>
          <w:sz w:val="28"/>
          <w:szCs w:val="28"/>
        </w:rPr>
        <w:t>签字或盖章</w:t>
      </w:r>
      <w:r>
        <w:rPr>
          <w:rFonts w:eastAsia="黑体"/>
          <w:sz w:val="28"/>
          <w:szCs w:val="28"/>
        </w:rPr>
        <w:t>）</w:t>
      </w:r>
    </w:p>
    <w:p w14:paraId="211A5DCF">
      <w:pPr>
        <w:jc w:val="center"/>
        <w:rPr>
          <w:rFonts w:eastAsia="黑体"/>
          <w:sz w:val="28"/>
          <w:szCs w:val="28"/>
          <w:highlight w:val="none"/>
        </w:rPr>
      </w:pPr>
      <w:r>
        <w:rPr>
          <w:rFonts w:hint="eastAsia" w:eastAsia="黑体"/>
          <w:sz w:val="28"/>
          <w:szCs w:val="28"/>
          <w:highlight w:val="none"/>
          <w:u w:val="single"/>
        </w:rPr>
        <w:t xml:space="preserve">      </w:t>
      </w:r>
      <w:r>
        <w:rPr>
          <w:rFonts w:eastAsia="黑体"/>
          <w:sz w:val="28"/>
          <w:szCs w:val="28"/>
          <w:highlight w:val="none"/>
        </w:rPr>
        <w:t>年</w:t>
      </w:r>
      <w:r>
        <w:rPr>
          <w:rFonts w:hint="eastAsia" w:eastAsia="黑体"/>
          <w:sz w:val="28"/>
          <w:szCs w:val="28"/>
          <w:highlight w:val="none"/>
          <w:u w:val="single"/>
        </w:rPr>
        <w:t xml:space="preserve">     </w:t>
      </w:r>
      <w:r>
        <w:rPr>
          <w:rFonts w:eastAsia="黑体"/>
          <w:sz w:val="28"/>
          <w:szCs w:val="28"/>
          <w:highlight w:val="none"/>
        </w:rPr>
        <w:t>月</w:t>
      </w:r>
      <w:r>
        <w:rPr>
          <w:rFonts w:hint="eastAsia" w:eastAsia="黑体"/>
          <w:sz w:val="28"/>
          <w:szCs w:val="28"/>
          <w:highlight w:val="none"/>
          <w:u w:val="single"/>
        </w:rPr>
        <w:t xml:space="preserve">     </w:t>
      </w:r>
      <w:r>
        <w:rPr>
          <w:rFonts w:eastAsia="黑体"/>
          <w:sz w:val="28"/>
          <w:szCs w:val="28"/>
          <w:highlight w:val="none"/>
        </w:rPr>
        <w:t>日</w:t>
      </w:r>
    </w:p>
    <w:p w14:paraId="7802AEA0">
      <w:pPr>
        <w:rPr>
          <w:highlight w:val="none"/>
        </w:rPr>
      </w:pPr>
      <w:bookmarkStart w:id="901" w:name="_Toc12683"/>
      <w:bookmarkStart w:id="902" w:name="_Toc35424971"/>
      <w:bookmarkStart w:id="903" w:name="_Toc35425137"/>
    </w:p>
    <w:p w14:paraId="0EBCA57C">
      <w:pPr>
        <w:spacing w:beforeLines="50" w:afterLines="50" w:line="440" w:lineRule="exact"/>
        <w:ind w:firstLine="643" w:firstLineChars="200"/>
        <w:jc w:val="left"/>
        <w:rPr>
          <w:rFonts w:ascii="宋体" w:hAnsi="宋体" w:cs="宋体"/>
          <w:b/>
          <w:sz w:val="28"/>
          <w:szCs w:val="28"/>
          <w:highlight w:val="none"/>
        </w:rPr>
      </w:pPr>
      <w:bookmarkStart w:id="904" w:name="_Toc78803399"/>
      <w:r>
        <w:rPr>
          <w:rStyle w:val="120"/>
          <w:rFonts w:hint="eastAsia" w:ascii="宋体" w:hAnsi="宋体" w:cs="宋体"/>
          <w:sz w:val="32"/>
          <w:highlight w:val="none"/>
        </w:rPr>
        <w:br w:type="page"/>
      </w:r>
      <w:r>
        <w:rPr>
          <w:rStyle w:val="120"/>
          <w:rFonts w:hint="eastAsia" w:ascii="宋体" w:hAnsi="宋体" w:cs="宋体"/>
          <w:sz w:val="32"/>
          <w:highlight w:val="none"/>
        </w:rPr>
        <w:t>投标文件一</w:t>
      </w:r>
      <w:bookmarkEnd w:id="901"/>
      <w:bookmarkEnd w:id="902"/>
      <w:bookmarkEnd w:id="903"/>
      <w:bookmarkEnd w:id="904"/>
      <w:r>
        <w:rPr>
          <w:rFonts w:hint="eastAsia" w:ascii="宋体" w:hAnsi="宋体" w:cs="宋体"/>
          <w:b/>
          <w:sz w:val="28"/>
          <w:szCs w:val="28"/>
          <w:highlight w:val="none"/>
        </w:rPr>
        <w:t>：资信证明文件目录</w:t>
      </w:r>
    </w:p>
    <w:p w14:paraId="70F505CC">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（1）法定代表人身份证明文件和本人有效身份证(或法定代表人授权委托书和委托代理人有效身份证)；</w:t>
      </w:r>
    </w:p>
    <w:p w14:paraId="1296EE8E">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（2）诚信投标承诺书；</w:t>
      </w:r>
    </w:p>
    <w:p w14:paraId="577438A0">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（3）企业法人营业执照；</w:t>
      </w:r>
    </w:p>
    <w:p w14:paraId="4AC142C7">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4</w:t>
      </w:r>
      <w:r>
        <w:rPr>
          <w:rFonts w:hint="eastAsia" w:ascii="宋体" w:hAnsi="宋体" w:eastAsia="宋体" w:cs="宋体"/>
          <w:szCs w:val="21"/>
          <w:highlight w:val="none"/>
        </w:rPr>
        <w:t>）项目负责人身份证</w:t>
      </w:r>
      <w:r>
        <w:rPr>
          <w:rFonts w:hint="eastAsia" w:ascii="宋体" w:hAnsi="宋体" w:eastAsia="宋体" w:cs="宋体"/>
          <w:szCs w:val="21"/>
          <w:highlight w:val="none"/>
          <w:lang w:val="en-US" w:eastAsia="zh-CN"/>
        </w:rPr>
        <w:t>和注册</w:t>
      </w:r>
      <w:r>
        <w:rPr>
          <w:rFonts w:hint="eastAsia" w:ascii="宋体" w:hAnsi="宋体" w:eastAsia="宋体" w:cs="宋体"/>
          <w:szCs w:val="21"/>
          <w:highlight w:val="none"/>
        </w:rPr>
        <w:t>证书；</w:t>
      </w:r>
    </w:p>
    <w:p w14:paraId="4D867D2A">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5</w:t>
      </w:r>
      <w:r>
        <w:rPr>
          <w:rFonts w:hint="eastAsia" w:ascii="宋体" w:hAnsi="宋体" w:eastAsia="宋体" w:cs="宋体"/>
          <w:szCs w:val="21"/>
          <w:highlight w:val="none"/>
        </w:rPr>
        <w:t>）</w:t>
      </w:r>
      <w:r>
        <w:rPr>
          <w:rFonts w:hint="eastAsia" w:ascii="宋体" w:hAnsi="宋体" w:cs="宋体"/>
          <w:szCs w:val="21"/>
          <w:highlight w:val="none"/>
        </w:rPr>
        <w:t>拟派项目负责人</w:t>
      </w:r>
      <w:r>
        <w:rPr>
          <w:rFonts w:hint="eastAsia" w:ascii="宋体" w:hAnsi="宋体" w:cs="宋体"/>
          <w:color w:val="000000"/>
          <w:szCs w:val="21"/>
          <w:highlight w:val="none"/>
        </w:rPr>
        <w:t>须持有社保部门出具的本单位为其缴纳的</w:t>
      </w:r>
      <w:r>
        <w:rPr>
          <w:rFonts w:hint="eastAsia" w:ascii="宋体" w:hAnsi="宋体" w:cs="宋体"/>
          <w:color w:val="000000"/>
          <w:szCs w:val="21"/>
          <w:highlight w:val="none"/>
          <w:u w:val="single"/>
          <w:lang w:val="en-US" w:eastAsia="zh-CN"/>
        </w:rPr>
        <w:t>2026年7月至2026年10月</w:t>
      </w:r>
      <w:r>
        <w:rPr>
          <w:rFonts w:hint="eastAsia" w:ascii="宋体" w:hAnsi="宋体" w:cs="宋体"/>
          <w:color w:val="000000"/>
          <w:szCs w:val="21"/>
          <w:highlight w:val="none"/>
          <w:lang w:val="en-US" w:eastAsia="zh-CN"/>
        </w:rPr>
        <w:t>范围内任意</w:t>
      </w:r>
      <w:r>
        <w:rPr>
          <w:rFonts w:hint="eastAsia" w:ascii="宋体" w:hAnsi="宋体" w:cs="宋体"/>
          <w:color w:val="000000"/>
          <w:szCs w:val="21"/>
          <w:highlight w:val="none"/>
        </w:rPr>
        <w:t>连续三个月的养老保险证明</w:t>
      </w:r>
      <w:r>
        <w:rPr>
          <w:rFonts w:hint="eastAsia" w:ascii="宋体" w:hAnsi="宋体" w:eastAsia="宋体" w:cs="宋体"/>
          <w:szCs w:val="21"/>
          <w:highlight w:val="none"/>
        </w:rPr>
        <w:t>；</w:t>
      </w:r>
    </w:p>
    <w:p w14:paraId="1B7447BA">
      <w:pPr>
        <w:spacing w:line="440" w:lineRule="exact"/>
        <w:ind w:firstLine="420" w:firstLineChars="200"/>
        <w:jc w:val="left"/>
        <w:rPr>
          <w:rFonts w:hint="eastAsia" w:ascii="宋体" w:hAnsi="宋体" w:eastAsia="宋体" w:cs="宋体"/>
          <w:szCs w:val="21"/>
          <w:highlight w:val="none"/>
          <w:lang w:val="en-US" w:eastAsia="zh-CN"/>
        </w:rPr>
      </w:pP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6</w:t>
      </w: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服务承诺书</w:t>
      </w:r>
      <w:r>
        <w:rPr>
          <w:rFonts w:hint="eastAsia" w:ascii="宋体" w:hAnsi="宋体" w:eastAsia="宋体" w:cs="宋体"/>
          <w:szCs w:val="21"/>
          <w:highlight w:val="none"/>
          <w:lang w:eastAsia="zh-CN"/>
        </w:rPr>
        <w:t>；</w:t>
      </w:r>
    </w:p>
    <w:p w14:paraId="2737E4A6">
      <w:pPr>
        <w:spacing w:line="440" w:lineRule="exact"/>
        <w:ind w:firstLine="420" w:firstLineChars="200"/>
        <w:jc w:val="left"/>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7</w:t>
      </w: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资信</w:t>
      </w:r>
      <w:r>
        <w:rPr>
          <w:rFonts w:hint="eastAsia" w:ascii="宋体" w:hAnsi="宋体" w:eastAsia="宋体" w:cs="宋体"/>
          <w:szCs w:val="21"/>
          <w:highlight w:val="none"/>
        </w:rPr>
        <w:t>评分细则中需要提供的所有证明材料</w:t>
      </w:r>
      <w:r>
        <w:rPr>
          <w:rFonts w:hint="eastAsia" w:ascii="宋体" w:hAnsi="宋体" w:eastAsia="宋体" w:cs="宋体"/>
          <w:szCs w:val="21"/>
          <w:highlight w:val="none"/>
          <w:lang w:eastAsia="zh-CN"/>
        </w:rPr>
        <w:t>。</w:t>
      </w:r>
    </w:p>
    <w:p w14:paraId="59163E6F">
      <w:pPr>
        <w:spacing w:line="360" w:lineRule="auto"/>
        <w:jc w:val="center"/>
        <w:rPr>
          <w:rFonts w:ascii="宋体"/>
          <w:b/>
          <w:sz w:val="28"/>
          <w:szCs w:val="28"/>
          <w:highlight w:val="none"/>
        </w:rPr>
      </w:pPr>
      <w:r>
        <w:rPr>
          <w:rFonts w:hint="eastAsia"/>
          <w:b/>
          <w:sz w:val="28"/>
          <w:szCs w:val="28"/>
          <w:highlight w:val="none"/>
        </w:rPr>
        <w:br w:type="page"/>
      </w:r>
      <w:r>
        <w:rPr>
          <w:rFonts w:hint="eastAsia"/>
          <w:b/>
          <w:sz w:val="28"/>
          <w:szCs w:val="28"/>
          <w:highlight w:val="none"/>
        </w:rPr>
        <w:t>（1）法定代表人身份证明或授权委托书</w:t>
      </w:r>
    </w:p>
    <w:p w14:paraId="1618991E">
      <w:pPr>
        <w:pStyle w:val="74"/>
        <w:keepNext w:val="0"/>
        <w:keepLines w:val="0"/>
        <w:pageBreakBefore w:val="0"/>
        <w:kinsoku/>
        <w:wordWrap/>
        <w:overflowPunct/>
        <w:topLinePunct w:val="0"/>
        <w:autoSpaceDE/>
        <w:autoSpaceDN/>
        <w:bidi w:val="0"/>
        <w:adjustRightInd/>
        <w:snapToGrid/>
        <w:spacing w:beforeLines="100" w:afterLines="100" w:line="440" w:lineRule="exact"/>
        <w:rPr>
          <w:rFonts w:ascii="宋体"/>
          <w:b/>
          <w:color w:val="auto"/>
          <w:sz w:val="24"/>
          <w:szCs w:val="24"/>
          <w:highlight w:val="none"/>
        </w:rPr>
      </w:pPr>
      <w:bookmarkStart w:id="905" w:name="_Toc26598"/>
      <w:bookmarkStart w:id="906" w:name="_Toc506107356"/>
      <w:bookmarkStart w:id="907" w:name="_Toc503196197"/>
      <w:r>
        <w:rPr>
          <w:rFonts w:hint="eastAsia" w:ascii="宋体"/>
          <w:color w:val="auto"/>
          <w:sz w:val="24"/>
          <w:szCs w:val="24"/>
          <w:highlight w:val="none"/>
        </w:rPr>
        <w:t>1、法定代表人身份证明</w:t>
      </w:r>
    </w:p>
    <w:p w14:paraId="5CD0926A">
      <w:pPr>
        <w:keepNext w:val="0"/>
        <w:keepLines w:val="0"/>
        <w:pageBreakBefore w:val="0"/>
        <w:kinsoku/>
        <w:wordWrap/>
        <w:overflowPunct/>
        <w:topLinePunct w:val="0"/>
        <w:autoSpaceDE/>
        <w:autoSpaceDN/>
        <w:bidi w:val="0"/>
        <w:adjustRightInd/>
        <w:snapToGrid/>
        <w:spacing w:line="440" w:lineRule="exact"/>
        <w:rPr>
          <w:rFonts w:ascii="宋体"/>
          <w:sz w:val="24"/>
          <w:highlight w:val="none"/>
        </w:rPr>
      </w:pPr>
      <w:r>
        <w:rPr>
          <w:rFonts w:hint="eastAsia" w:ascii="宋体"/>
          <w:sz w:val="24"/>
          <w:highlight w:val="none"/>
        </w:rPr>
        <w:t>投标人名称：</w:t>
      </w:r>
      <w:r>
        <w:rPr>
          <w:rFonts w:hint="eastAsia" w:ascii="宋体"/>
          <w:sz w:val="24"/>
          <w:highlight w:val="none"/>
          <w:u w:val="single"/>
        </w:rPr>
        <w:t xml:space="preserve">                            </w:t>
      </w:r>
    </w:p>
    <w:p w14:paraId="30E6B7AC">
      <w:pPr>
        <w:keepNext w:val="0"/>
        <w:keepLines w:val="0"/>
        <w:pageBreakBefore w:val="0"/>
        <w:kinsoku/>
        <w:wordWrap/>
        <w:overflowPunct/>
        <w:topLinePunct w:val="0"/>
        <w:autoSpaceDE/>
        <w:autoSpaceDN/>
        <w:bidi w:val="0"/>
        <w:adjustRightInd/>
        <w:snapToGrid/>
        <w:spacing w:line="440" w:lineRule="exact"/>
        <w:rPr>
          <w:rFonts w:ascii="宋体"/>
          <w:sz w:val="24"/>
          <w:highlight w:val="none"/>
        </w:rPr>
      </w:pPr>
      <w:r>
        <w:rPr>
          <w:rFonts w:hint="eastAsia" w:ascii="宋体"/>
          <w:sz w:val="24"/>
          <w:highlight w:val="none"/>
        </w:rPr>
        <w:t>单位性质：</w:t>
      </w:r>
      <w:r>
        <w:rPr>
          <w:rFonts w:hint="eastAsia" w:ascii="宋体"/>
          <w:sz w:val="24"/>
          <w:highlight w:val="none"/>
          <w:u w:val="single"/>
        </w:rPr>
        <w:t xml:space="preserve">                              </w:t>
      </w:r>
    </w:p>
    <w:p w14:paraId="2B53194B">
      <w:pPr>
        <w:keepNext w:val="0"/>
        <w:keepLines w:val="0"/>
        <w:pageBreakBefore w:val="0"/>
        <w:kinsoku/>
        <w:wordWrap/>
        <w:overflowPunct/>
        <w:topLinePunct w:val="0"/>
        <w:autoSpaceDE/>
        <w:autoSpaceDN/>
        <w:bidi w:val="0"/>
        <w:adjustRightInd/>
        <w:snapToGrid/>
        <w:spacing w:line="440" w:lineRule="exact"/>
        <w:rPr>
          <w:rFonts w:ascii="宋体"/>
          <w:sz w:val="24"/>
          <w:highlight w:val="none"/>
        </w:rPr>
      </w:pPr>
      <w:r>
        <w:rPr>
          <w:rFonts w:hint="eastAsia" w:ascii="宋体"/>
          <w:sz w:val="24"/>
          <w:highlight w:val="none"/>
        </w:rPr>
        <w:t>地    址：</w:t>
      </w:r>
      <w:r>
        <w:rPr>
          <w:rFonts w:hint="eastAsia" w:ascii="宋体"/>
          <w:sz w:val="24"/>
          <w:highlight w:val="none"/>
          <w:u w:val="single"/>
        </w:rPr>
        <w:t xml:space="preserve">                              </w:t>
      </w:r>
    </w:p>
    <w:p w14:paraId="2672DE77">
      <w:pPr>
        <w:keepNext w:val="0"/>
        <w:keepLines w:val="0"/>
        <w:pageBreakBefore w:val="0"/>
        <w:kinsoku/>
        <w:wordWrap/>
        <w:overflowPunct/>
        <w:topLinePunct w:val="0"/>
        <w:autoSpaceDE/>
        <w:autoSpaceDN/>
        <w:bidi w:val="0"/>
        <w:adjustRightInd/>
        <w:snapToGrid/>
        <w:spacing w:line="440" w:lineRule="exact"/>
        <w:rPr>
          <w:rFonts w:ascii="宋体"/>
          <w:sz w:val="24"/>
          <w:highlight w:val="none"/>
        </w:rPr>
      </w:pPr>
      <w:r>
        <w:rPr>
          <w:rFonts w:hint="eastAsia" w:ascii="宋体"/>
          <w:sz w:val="24"/>
          <w:highlight w:val="none"/>
        </w:rPr>
        <w:t>成立时间：</w:t>
      </w:r>
      <w:r>
        <w:rPr>
          <w:rFonts w:hint="eastAsia" w:ascii="宋体"/>
          <w:sz w:val="24"/>
          <w:highlight w:val="none"/>
          <w:u w:val="single"/>
        </w:rPr>
        <w:t xml:space="preserve">     </w:t>
      </w:r>
      <w:r>
        <w:rPr>
          <w:rFonts w:hint="eastAsia" w:ascii="宋体"/>
          <w:sz w:val="24"/>
          <w:highlight w:val="none"/>
        </w:rPr>
        <w:t>年</w:t>
      </w:r>
      <w:r>
        <w:rPr>
          <w:rFonts w:hint="eastAsia" w:ascii="宋体"/>
          <w:sz w:val="24"/>
          <w:highlight w:val="none"/>
          <w:u w:val="single"/>
        </w:rPr>
        <w:t xml:space="preserve">   </w:t>
      </w:r>
      <w:r>
        <w:rPr>
          <w:rFonts w:hint="eastAsia" w:ascii="宋体"/>
          <w:sz w:val="24"/>
          <w:highlight w:val="none"/>
        </w:rPr>
        <w:t>月</w:t>
      </w:r>
      <w:r>
        <w:rPr>
          <w:rFonts w:hint="eastAsia" w:ascii="宋体"/>
          <w:sz w:val="24"/>
          <w:highlight w:val="none"/>
          <w:u w:val="single"/>
        </w:rPr>
        <w:t xml:space="preserve">   </w:t>
      </w:r>
      <w:r>
        <w:rPr>
          <w:rFonts w:hint="eastAsia" w:ascii="宋体"/>
          <w:sz w:val="24"/>
          <w:highlight w:val="none"/>
        </w:rPr>
        <w:t>日</w:t>
      </w:r>
    </w:p>
    <w:p w14:paraId="56E18266">
      <w:pPr>
        <w:keepNext w:val="0"/>
        <w:keepLines w:val="0"/>
        <w:pageBreakBefore w:val="0"/>
        <w:kinsoku/>
        <w:wordWrap/>
        <w:overflowPunct/>
        <w:topLinePunct w:val="0"/>
        <w:autoSpaceDE/>
        <w:autoSpaceDN/>
        <w:bidi w:val="0"/>
        <w:adjustRightInd/>
        <w:snapToGrid/>
        <w:spacing w:line="440" w:lineRule="exact"/>
        <w:rPr>
          <w:rFonts w:ascii="宋体"/>
          <w:sz w:val="24"/>
          <w:highlight w:val="none"/>
        </w:rPr>
      </w:pPr>
      <w:r>
        <w:rPr>
          <w:rFonts w:hint="eastAsia" w:ascii="宋体"/>
          <w:sz w:val="24"/>
          <w:highlight w:val="none"/>
        </w:rPr>
        <w:t>经营期限：</w:t>
      </w:r>
      <w:r>
        <w:rPr>
          <w:rFonts w:hint="eastAsia" w:ascii="宋体"/>
          <w:sz w:val="24"/>
          <w:highlight w:val="none"/>
          <w:u w:val="single"/>
        </w:rPr>
        <w:t xml:space="preserve">                              </w:t>
      </w:r>
    </w:p>
    <w:p w14:paraId="7220154A">
      <w:pPr>
        <w:keepNext w:val="0"/>
        <w:keepLines w:val="0"/>
        <w:pageBreakBefore w:val="0"/>
        <w:kinsoku/>
        <w:wordWrap/>
        <w:overflowPunct/>
        <w:topLinePunct w:val="0"/>
        <w:autoSpaceDE/>
        <w:autoSpaceDN/>
        <w:bidi w:val="0"/>
        <w:adjustRightInd/>
        <w:snapToGrid/>
        <w:spacing w:line="440" w:lineRule="exact"/>
        <w:jc w:val="left"/>
        <w:rPr>
          <w:rFonts w:ascii="宋体"/>
          <w:sz w:val="24"/>
          <w:highlight w:val="none"/>
          <w:u w:val="single"/>
        </w:rPr>
      </w:pPr>
      <w:r>
        <w:rPr>
          <w:rFonts w:hint="eastAsia" w:ascii="宋体"/>
          <w:spacing w:val="240"/>
          <w:sz w:val="24"/>
          <w:highlight w:val="none"/>
        </w:rPr>
        <w:t>姓</w:t>
      </w:r>
      <w:r>
        <w:rPr>
          <w:rFonts w:hint="eastAsia" w:ascii="宋体"/>
          <w:sz w:val="24"/>
          <w:highlight w:val="none"/>
        </w:rPr>
        <w:t>名：</w:t>
      </w:r>
      <w:r>
        <w:rPr>
          <w:rFonts w:hint="eastAsia" w:ascii="宋体"/>
          <w:sz w:val="24"/>
          <w:highlight w:val="none"/>
          <w:u w:val="single"/>
        </w:rPr>
        <w:t xml:space="preserve">     </w:t>
      </w:r>
      <w:r>
        <w:rPr>
          <w:rFonts w:hint="eastAsia" w:ascii="宋体"/>
          <w:sz w:val="24"/>
          <w:highlight w:val="none"/>
        </w:rPr>
        <w:t>身份证号码：</w:t>
      </w:r>
      <w:r>
        <w:rPr>
          <w:rFonts w:hint="eastAsia" w:ascii="宋体"/>
          <w:sz w:val="24"/>
          <w:highlight w:val="none"/>
          <w:u w:val="single"/>
        </w:rPr>
        <w:t xml:space="preserve">     </w:t>
      </w:r>
      <w:r>
        <w:rPr>
          <w:rFonts w:hint="eastAsia" w:ascii="宋体"/>
          <w:sz w:val="24"/>
          <w:highlight w:val="none"/>
        </w:rPr>
        <w:t>性别</w:t>
      </w:r>
      <w:r>
        <w:rPr>
          <w:rFonts w:hint="eastAsia" w:ascii="宋体"/>
          <w:sz w:val="24"/>
          <w:highlight w:val="none"/>
          <w:u w:val="single"/>
        </w:rPr>
        <w:t xml:space="preserve">：    </w:t>
      </w:r>
      <w:r>
        <w:rPr>
          <w:rFonts w:hint="eastAsia" w:ascii="宋体"/>
          <w:sz w:val="24"/>
          <w:highlight w:val="none"/>
        </w:rPr>
        <w:t>年龄：</w:t>
      </w:r>
      <w:r>
        <w:rPr>
          <w:rFonts w:hint="eastAsia" w:ascii="宋体"/>
          <w:sz w:val="24"/>
          <w:highlight w:val="none"/>
          <w:u w:val="single"/>
        </w:rPr>
        <w:t xml:space="preserve">＿  </w:t>
      </w:r>
      <w:r>
        <w:rPr>
          <w:rFonts w:hint="eastAsia" w:ascii="宋体"/>
          <w:sz w:val="24"/>
          <w:highlight w:val="none"/>
        </w:rPr>
        <w:t>职务：</w:t>
      </w:r>
      <w:r>
        <w:rPr>
          <w:rFonts w:hint="eastAsia" w:ascii="宋体"/>
          <w:sz w:val="24"/>
          <w:highlight w:val="none"/>
          <w:u w:val="single"/>
        </w:rPr>
        <w:t xml:space="preserve">     </w:t>
      </w:r>
      <w:r>
        <w:rPr>
          <w:rFonts w:hint="eastAsia" w:ascii="宋体"/>
          <w:sz w:val="24"/>
          <w:highlight w:val="none"/>
        </w:rPr>
        <w:t>，系</w:t>
      </w:r>
      <w:r>
        <w:rPr>
          <w:rFonts w:hint="eastAsia" w:ascii="宋体"/>
          <w:sz w:val="24"/>
          <w:highlight w:val="none"/>
          <w:u w:val="single"/>
        </w:rPr>
        <w:t xml:space="preserve">     （投标人名称）</w:t>
      </w:r>
      <w:r>
        <w:rPr>
          <w:rFonts w:hint="eastAsia" w:ascii="宋体"/>
          <w:sz w:val="24"/>
          <w:highlight w:val="none"/>
        </w:rPr>
        <w:t>的法定代表人。</w:t>
      </w:r>
    </w:p>
    <w:p w14:paraId="13BA0D93">
      <w:pPr>
        <w:keepNext w:val="0"/>
        <w:keepLines w:val="0"/>
        <w:pageBreakBefore w:val="0"/>
        <w:kinsoku/>
        <w:wordWrap/>
        <w:overflowPunct/>
        <w:topLinePunct w:val="0"/>
        <w:autoSpaceDE/>
        <w:autoSpaceDN/>
        <w:bidi w:val="0"/>
        <w:adjustRightInd/>
        <w:snapToGrid/>
        <w:spacing w:line="440" w:lineRule="exact"/>
        <w:rPr>
          <w:rFonts w:ascii="宋体"/>
          <w:sz w:val="24"/>
          <w:highlight w:val="none"/>
        </w:rPr>
      </w:pPr>
      <w:r>
        <w:rPr>
          <w:rFonts w:hint="eastAsia" w:ascii="宋体"/>
          <w:sz w:val="24"/>
          <w:highlight w:val="none"/>
        </w:rPr>
        <w:t>特此证明。</w:t>
      </w:r>
    </w:p>
    <w:p w14:paraId="5AB38E67">
      <w:pPr>
        <w:keepNext w:val="0"/>
        <w:keepLines w:val="0"/>
        <w:pageBreakBefore w:val="0"/>
        <w:kinsoku/>
        <w:wordWrap/>
        <w:overflowPunct/>
        <w:topLinePunct w:val="0"/>
        <w:autoSpaceDE/>
        <w:autoSpaceDN/>
        <w:bidi w:val="0"/>
        <w:adjustRightInd/>
        <w:snapToGrid/>
        <w:spacing w:line="440" w:lineRule="exact"/>
        <w:ind w:firstLine="480" w:firstLineChars="200"/>
        <w:rPr>
          <w:highlight w:val="none"/>
        </w:rPr>
      </w:pPr>
      <w:r>
        <w:rPr>
          <w:rFonts w:hint="eastAsia" w:ascii="宋体"/>
          <w:sz w:val="24"/>
          <w:highlight w:val="none"/>
        </w:rPr>
        <w:t>附：</w:t>
      </w:r>
      <w:r>
        <w:rPr>
          <w:rFonts w:hint="eastAsia" w:ascii="宋体"/>
          <w:b/>
          <w:sz w:val="24"/>
          <w:highlight w:val="none"/>
        </w:rPr>
        <w:t>法定代表人有效身份证扫描件</w:t>
      </w:r>
    </w:p>
    <w:p w14:paraId="3089C1AB">
      <w:pPr>
        <w:keepNext w:val="0"/>
        <w:keepLines w:val="0"/>
        <w:pageBreakBefore w:val="0"/>
        <w:kinsoku/>
        <w:wordWrap/>
        <w:overflowPunct/>
        <w:topLinePunct w:val="0"/>
        <w:autoSpaceDE/>
        <w:autoSpaceDN/>
        <w:bidi w:val="0"/>
        <w:adjustRightInd/>
        <w:snapToGrid/>
        <w:spacing w:line="440" w:lineRule="exact"/>
        <w:ind w:firstLine="3720" w:firstLineChars="1550"/>
        <w:rPr>
          <w:rFonts w:ascii="宋体"/>
          <w:sz w:val="24"/>
          <w:highlight w:val="none"/>
        </w:rPr>
      </w:pPr>
      <w:r>
        <w:rPr>
          <w:rFonts w:hint="eastAsia" w:ascii="宋体"/>
          <w:sz w:val="24"/>
          <w:highlight w:val="none"/>
        </w:rPr>
        <w:t>投标人：</w:t>
      </w:r>
      <w:r>
        <w:rPr>
          <w:rFonts w:hint="eastAsia" w:ascii="宋体"/>
          <w:sz w:val="24"/>
          <w:highlight w:val="none"/>
          <w:u w:val="single"/>
        </w:rPr>
        <w:t xml:space="preserve">            （</w:t>
      </w:r>
      <w:r>
        <w:rPr>
          <w:rFonts w:hint="eastAsia" w:ascii="宋体"/>
          <w:sz w:val="24"/>
          <w:highlight w:val="none"/>
          <w:u w:val="single"/>
          <w:lang w:val="en-US" w:eastAsia="zh-CN"/>
        </w:rPr>
        <w:t>盖</w:t>
      </w:r>
      <w:r>
        <w:rPr>
          <w:rFonts w:hint="eastAsia" w:ascii="宋体"/>
          <w:sz w:val="24"/>
          <w:highlight w:val="none"/>
          <w:u w:val="single"/>
        </w:rPr>
        <w:t>章）</w:t>
      </w:r>
    </w:p>
    <w:p w14:paraId="34409C45">
      <w:pPr>
        <w:keepNext w:val="0"/>
        <w:keepLines w:val="0"/>
        <w:pageBreakBefore w:val="0"/>
        <w:kinsoku/>
        <w:wordWrap/>
        <w:overflowPunct/>
        <w:topLinePunct w:val="0"/>
        <w:autoSpaceDE/>
        <w:autoSpaceDN/>
        <w:bidi w:val="0"/>
        <w:adjustRightInd/>
        <w:snapToGrid/>
        <w:spacing w:line="440" w:lineRule="exact"/>
        <w:rPr>
          <w:rFonts w:ascii="宋体"/>
          <w:sz w:val="24"/>
          <w:highlight w:val="none"/>
        </w:rPr>
      </w:pPr>
      <w:r>
        <w:rPr>
          <w:rFonts w:hint="eastAsia" w:ascii="宋体"/>
          <w:sz w:val="24"/>
          <w:highlight w:val="none"/>
        </w:rPr>
        <w:t xml:space="preserve">                                        年    月     日</w:t>
      </w:r>
    </w:p>
    <w:p w14:paraId="2F0B7B0C">
      <w:pPr>
        <w:keepNext w:val="0"/>
        <w:keepLines w:val="0"/>
        <w:pageBreakBefore w:val="0"/>
        <w:kinsoku/>
        <w:wordWrap/>
        <w:overflowPunct/>
        <w:topLinePunct w:val="0"/>
        <w:autoSpaceDE/>
        <w:autoSpaceDN/>
        <w:bidi w:val="0"/>
        <w:adjustRightInd/>
        <w:snapToGrid/>
        <w:spacing w:line="440" w:lineRule="exact"/>
        <w:rPr>
          <w:highlight w:val="none"/>
        </w:rPr>
      </w:pPr>
    </w:p>
    <w:p w14:paraId="1550066F">
      <w:pPr>
        <w:pStyle w:val="74"/>
        <w:keepNext w:val="0"/>
        <w:keepLines w:val="0"/>
        <w:pageBreakBefore w:val="0"/>
        <w:kinsoku/>
        <w:wordWrap/>
        <w:overflowPunct/>
        <w:topLinePunct w:val="0"/>
        <w:autoSpaceDE/>
        <w:autoSpaceDN/>
        <w:bidi w:val="0"/>
        <w:adjustRightInd/>
        <w:snapToGrid/>
        <w:spacing w:beforeLines="100" w:afterLines="100" w:line="440" w:lineRule="exact"/>
        <w:rPr>
          <w:rFonts w:ascii="宋体"/>
          <w:color w:val="auto"/>
          <w:sz w:val="24"/>
          <w:szCs w:val="24"/>
          <w:highlight w:val="none"/>
        </w:rPr>
      </w:pPr>
      <w:r>
        <w:rPr>
          <w:rFonts w:hint="eastAsia" w:ascii="宋体"/>
          <w:color w:val="auto"/>
          <w:sz w:val="24"/>
          <w:szCs w:val="24"/>
          <w:highlight w:val="none"/>
        </w:rPr>
        <w:t>或1、授权委托书</w:t>
      </w:r>
    </w:p>
    <w:p w14:paraId="00E2E773">
      <w:pPr>
        <w:keepNext w:val="0"/>
        <w:keepLines w:val="0"/>
        <w:pageBreakBefore w:val="0"/>
        <w:kinsoku/>
        <w:wordWrap/>
        <w:overflowPunct/>
        <w:topLinePunct w:val="0"/>
        <w:autoSpaceDE/>
        <w:autoSpaceDN/>
        <w:bidi w:val="0"/>
        <w:adjustRightInd/>
        <w:snapToGrid/>
        <w:spacing w:line="440" w:lineRule="exact"/>
        <w:ind w:firstLine="480" w:firstLineChars="200"/>
        <w:jc w:val="left"/>
        <w:rPr>
          <w:rFonts w:ascii="宋体"/>
          <w:sz w:val="24"/>
          <w:highlight w:val="none"/>
        </w:rPr>
      </w:pPr>
      <w:r>
        <w:rPr>
          <w:rFonts w:hint="eastAsia" w:ascii="宋体"/>
          <w:sz w:val="24"/>
          <w:highlight w:val="none"/>
        </w:rPr>
        <w:t>本人</w:t>
      </w:r>
      <w:r>
        <w:rPr>
          <w:rFonts w:hint="eastAsia" w:ascii="宋体"/>
          <w:sz w:val="24"/>
          <w:highlight w:val="none"/>
          <w:u w:val="single"/>
        </w:rPr>
        <w:t xml:space="preserve"> （姓名）</w:t>
      </w:r>
      <w:r>
        <w:rPr>
          <w:rFonts w:hint="eastAsia" w:ascii="宋体"/>
          <w:sz w:val="24"/>
          <w:highlight w:val="none"/>
        </w:rPr>
        <w:t>系</w:t>
      </w:r>
      <w:r>
        <w:rPr>
          <w:rFonts w:hint="eastAsia" w:ascii="宋体"/>
          <w:sz w:val="24"/>
          <w:highlight w:val="none"/>
          <w:u w:val="single"/>
        </w:rPr>
        <w:t>（投标人）</w:t>
      </w:r>
      <w:r>
        <w:rPr>
          <w:rFonts w:hint="eastAsia" w:ascii="宋体"/>
          <w:sz w:val="24"/>
          <w:highlight w:val="none"/>
        </w:rPr>
        <w:t>的法定代表人，现委托</w:t>
      </w:r>
      <w:r>
        <w:rPr>
          <w:rFonts w:hint="eastAsia" w:ascii="宋体"/>
          <w:sz w:val="24"/>
          <w:highlight w:val="none"/>
          <w:u w:val="single"/>
        </w:rPr>
        <w:t>（姓名）</w:t>
      </w:r>
      <w:r>
        <w:rPr>
          <w:rFonts w:hint="eastAsia" w:ascii="宋体"/>
          <w:sz w:val="24"/>
          <w:highlight w:val="none"/>
        </w:rPr>
        <w:t>为我方代理人。代理人根据授权，以我方名义签署、澄清、说明、补正、递交、撤回、修改</w:t>
      </w:r>
      <w:r>
        <w:rPr>
          <w:rFonts w:hint="eastAsia" w:ascii="宋体"/>
          <w:sz w:val="24"/>
          <w:highlight w:val="none"/>
          <w:u w:val="single"/>
        </w:rPr>
        <w:t xml:space="preserve"> “   ”(项目名称）</w:t>
      </w:r>
      <w:r>
        <w:rPr>
          <w:rFonts w:hint="eastAsia" w:ascii="宋体"/>
          <w:sz w:val="24"/>
          <w:highlight w:val="none"/>
        </w:rPr>
        <w:t>投标文件，全权处理与该项目投标、评审答疑、签订合同以及与合同执行有关的一切事务，其法律后果由我方承担。</w:t>
      </w:r>
    </w:p>
    <w:p w14:paraId="104BA12E">
      <w:pPr>
        <w:keepNext w:val="0"/>
        <w:keepLines w:val="0"/>
        <w:pageBreakBefore w:val="0"/>
        <w:kinsoku/>
        <w:wordWrap/>
        <w:overflowPunct/>
        <w:topLinePunct w:val="0"/>
        <w:autoSpaceDE/>
        <w:autoSpaceDN/>
        <w:bidi w:val="0"/>
        <w:adjustRightInd/>
        <w:snapToGrid/>
        <w:spacing w:line="440" w:lineRule="exact"/>
        <w:ind w:firstLine="480" w:firstLineChars="200"/>
        <w:rPr>
          <w:rFonts w:ascii="宋体"/>
          <w:sz w:val="24"/>
          <w:highlight w:val="none"/>
        </w:rPr>
      </w:pPr>
      <w:r>
        <w:rPr>
          <w:rFonts w:hint="eastAsia" w:ascii="宋体"/>
          <w:sz w:val="24"/>
          <w:highlight w:val="none"/>
        </w:rPr>
        <w:t>委托期限：</w:t>
      </w:r>
      <w:r>
        <w:rPr>
          <w:rFonts w:hint="eastAsia" w:ascii="宋体"/>
          <w:sz w:val="24"/>
          <w:highlight w:val="none"/>
          <w:u w:val="single"/>
          <w:lang w:val="en-US" w:eastAsia="zh-CN"/>
        </w:rPr>
        <w:t xml:space="preserve">              </w:t>
      </w:r>
      <w:r>
        <w:rPr>
          <w:rFonts w:hint="eastAsia" w:ascii="宋体" w:cs="宋体"/>
          <w:sz w:val="24"/>
          <w:highlight w:val="none"/>
        </w:rPr>
        <w:t>。</w:t>
      </w:r>
    </w:p>
    <w:p w14:paraId="5334BA4B">
      <w:pPr>
        <w:keepNext w:val="0"/>
        <w:keepLines w:val="0"/>
        <w:pageBreakBefore w:val="0"/>
        <w:kinsoku/>
        <w:wordWrap/>
        <w:overflowPunct/>
        <w:topLinePunct w:val="0"/>
        <w:autoSpaceDE/>
        <w:autoSpaceDN/>
        <w:bidi w:val="0"/>
        <w:adjustRightInd/>
        <w:snapToGrid/>
        <w:spacing w:line="440" w:lineRule="exact"/>
        <w:ind w:firstLine="480" w:firstLineChars="200"/>
        <w:rPr>
          <w:rFonts w:ascii="宋体"/>
          <w:sz w:val="24"/>
          <w:highlight w:val="none"/>
        </w:rPr>
      </w:pPr>
      <w:r>
        <w:rPr>
          <w:rFonts w:hint="eastAsia" w:ascii="宋体"/>
          <w:sz w:val="24"/>
          <w:highlight w:val="none"/>
        </w:rPr>
        <w:t>代理人无转委托权。</w:t>
      </w:r>
    </w:p>
    <w:p w14:paraId="0A2C1F2B">
      <w:pPr>
        <w:keepNext w:val="0"/>
        <w:keepLines w:val="0"/>
        <w:pageBreakBefore w:val="0"/>
        <w:kinsoku/>
        <w:wordWrap/>
        <w:overflowPunct/>
        <w:topLinePunct w:val="0"/>
        <w:autoSpaceDE/>
        <w:autoSpaceDN/>
        <w:bidi w:val="0"/>
        <w:adjustRightInd/>
        <w:snapToGrid/>
        <w:spacing w:line="440" w:lineRule="exact"/>
        <w:ind w:firstLine="480" w:firstLineChars="200"/>
        <w:rPr>
          <w:rFonts w:ascii="宋体"/>
          <w:b/>
          <w:sz w:val="24"/>
          <w:highlight w:val="none"/>
        </w:rPr>
      </w:pPr>
      <w:r>
        <w:rPr>
          <w:rFonts w:hint="eastAsia" w:ascii="宋体"/>
          <w:sz w:val="24"/>
          <w:highlight w:val="none"/>
        </w:rPr>
        <w:t>附：</w:t>
      </w:r>
      <w:r>
        <w:rPr>
          <w:rFonts w:hint="eastAsia" w:ascii="宋体"/>
          <w:b/>
          <w:sz w:val="24"/>
          <w:highlight w:val="none"/>
        </w:rPr>
        <w:t>委托代理人有效身份证扫描件</w:t>
      </w:r>
    </w:p>
    <w:p w14:paraId="3E1AE668">
      <w:pPr>
        <w:keepNext w:val="0"/>
        <w:keepLines w:val="0"/>
        <w:pageBreakBefore w:val="0"/>
        <w:kinsoku/>
        <w:wordWrap/>
        <w:overflowPunct/>
        <w:topLinePunct w:val="0"/>
        <w:autoSpaceDE/>
        <w:autoSpaceDN/>
        <w:bidi w:val="0"/>
        <w:adjustRightInd/>
        <w:snapToGrid/>
        <w:spacing w:line="440" w:lineRule="exact"/>
        <w:ind w:firstLine="964" w:firstLineChars="400"/>
        <w:rPr>
          <w:rFonts w:ascii="宋体"/>
          <w:b/>
          <w:sz w:val="24"/>
          <w:highlight w:val="none"/>
        </w:rPr>
      </w:pPr>
      <w:r>
        <w:rPr>
          <w:rFonts w:hint="eastAsia" w:ascii="宋体"/>
          <w:b/>
          <w:sz w:val="24"/>
          <w:highlight w:val="none"/>
        </w:rPr>
        <w:t>法定代表人有效身份证扫描件</w:t>
      </w:r>
    </w:p>
    <w:p w14:paraId="3DC4B743">
      <w:pPr>
        <w:keepNext w:val="0"/>
        <w:keepLines w:val="0"/>
        <w:pageBreakBefore w:val="0"/>
        <w:kinsoku/>
        <w:wordWrap/>
        <w:overflowPunct/>
        <w:topLinePunct w:val="0"/>
        <w:autoSpaceDE/>
        <w:autoSpaceDN/>
        <w:bidi w:val="0"/>
        <w:adjustRightInd/>
        <w:snapToGrid/>
        <w:spacing w:line="440" w:lineRule="exact"/>
        <w:ind w:firstLine="833" w:firstLineChars="397"/>
        <w:rPr>
          <w:highlight w:val="none"/>
        </w:rPr>
      </w:pPr>
    </w:p>
    <w:p w14:paraId="4D108BBB">
      <w:pPr>
        <w:keepNext w:val="0"/>
        <w:keepLines w:val="0"/>
        <w:pageBreakBefore w:val="0"/>
        <w:kinsoku/>
        <w:wordWrap/>
        <w:overflowPunct/>
        <w:topLinePunct w:val="0"/>
        <w:autoSpaceDE/>
        <w:autoSpaceDN/>
        <w:bidi w:val="0"/>
        <w:adjustRightInd/>
        <w:snapToGrid/>
        <w:spacing w:line="440" w:lineRule="exact"/>
        <w:ind w:firstLine="3720" w:firstLineChars="1550"/>
        <w:rPr>
          <w:rFonts w:hint="eastAsia" w:ascii="宋体" w:hAnsi="Times New Roman" w:eastAsia="宋体" w:cs="Times New Roman"/>
          <w:sz w:val="24"/>
          <w:highlight w:val="none"/>
        </w:rPr>
      </w:pPr>
      <w:r>
        <w:rPr>
          <w:rFonts w:hint="eastAsia" w:ascii="宋体" w:hAnsi="Times New Roman" w:eastAsia="宋体" w:cs="Times New Roman"/>
          <w:sz w:val="24"/>
          <w:highlight w:val="none"/>
        </w:rPr>
        <w:t xml:space="preserve"> 投标人（盖章）：</w:t>
      </w:r>
    </w:p>
    <w:p w14:paraId="63FE0C48">
      <w:pPr>
        <w:keepNext w:val="0"/>
        <w:keepLines w:val="0"/>
        <w:pageBreakBefore w:val="0"/>
        <w:kinsoku/>
        <w:wordWrap/>
        <w:overflowPunct/>
        <w:topLinePunct w:val="0"/>
        <w:autoSpaceDE/>
        <w:autoSpaceDN/>
        <w:bidi w:val="0"/>
        <w:adjustRightInd/>
        <w:snapToGrid/>
        <w:spacing w:line="440" w:lineRule="exact"/>
        <w:ind w:firstLine="3720" w:firstLineChars="1550"/>
        <w:rPr>
          <w:rFonts w:hint="eastAsia" w:ascii="宋体" w:hAnsi="Times New Roman" w:eastAsia="宋体" w:cs="Times New Roman"/>
          <w:sz w:val="24"/>
          <w:highlight w:val="none"/>
        </w:rPr>
      </w:pPr>
      <w:r>
        <w:rPr>
          <w:rFonts w:hint="eastAsia" w:ascii="宋体" w:hAnsi="Times New Roman" w:eastAsia="宋体" w:cs="Times New Roman"/>
          <w:sz w:val="24"/>
          <w:highlight w:val="none"/>
        </w:rPr>
        <w:t>法定代表人（身份证号码）：    （签字或盖章）</w:t>
      </w:r>
    </w:p>
    <w:p w14:paraId="3BE5CF08">
      <w:pPr>
        <w:keepNext w:val="0"/>
        <w:keepLines w:val="0"/>
        <w:pageBreakBefore w:val="0"/>
        <w:kinsoku/>
        <w:wordWrap/>
        <w:overflowPunct/>
        <w:topLinePunct w:val="0"/>
        <w:autoSpaceDE/>
        <w:autoSpaceDN/>
        <w:bidi w:val="0"/>
        <w:adjustRightInd/>
        <w:snapToGrid/>
        <w:spacing w:line="440" w:lineRule="exact"/>
        <w:ind w:firstLine="3720" w:firstLineChars="1550"/>
        <w:rPr>
          <w:rFonts w:hint="eastAsia" w:ascii="宋体" w:hAnsi="Times New Roman" w:eastAsia="宋体" w:cs="Times New Roman"/>
          <w:sz w:val="24"/>
          <w:highlight w:val="none"/>
        </w:rPr>
      </w:pPr>
      <w:r>
        <w:rPr>
          <w:rFonts w:hint="eastAsia" w:ascii="宋体" w:hAnsi="Times New Roman" w:eastAsia="宋体" w:cs="Times New Roman"/>
          <w:sz w:val="24"/>
          <w:highlight w:val="none"/>
        </w:rPr>
        <w:t>委托代理人（身份证号码）：    （签字或盖章）</w:t>
      </w:r>
    </w:p>
    <w:p w14:paraId="0FCD3FA1">
      <w:pPr>
        <w:keepNext w:val="0"/>
        <w:keepLines w:val="0"/>
        <w:pageBreakBefore w:val="0"/>
        <w:kinsoku/>
        <w:wordWrap/>
        <w:overflowPunct/>
        <w:topLinePunct w:val="0"/>
        <w:autoSpaceDE/>
        <w:autoSpaceDN/>
        <w:bidi w:val="0"/>
        <w:adjustRightInd/>
        <w:snapToGrid/>
        <w:spacing w:line="440" w:lineRule="exact"/>
        <w:ind w:firstLine="5040" w:firstLineChars="2100"/>
        <w:rPr>
          <w:rFonts w:ascii="宋体"/>
          <w:sz w:val="24"/>
          <w:highlight w:val="none"/>
        </w:rPr>
      </w:pPr>
      <w:r>
        <w:rPr>
          <w:rFonts w:hint="eastAsia" w:ascii="宋体"/>
          <w:sz w:val="24"/>
          <w:highlight w:val="none"/>
        </w:rPr>
        <w:t xml:space="preserve">   </w:t>
      </w:r>
    </w:p>
    <w:p w14:paraId="0F4784B3">
      <w:pPr>
        <w:keepNext w:val="0"/>
        <w:keepLines w:val="0"/>
        <w:pageBreakBefore w:val="0"/>
        <w:kinsoku/>
        <w:wordWrap/>
        <w:overflowPunct/>
        <w:topLinePunct w:val="0"/>
        <w:autoSpaceDE/>
        <w:autoSpaceDN/>
        <w:bidi w:val="0"/>
        <w:adjustRightInd/>
        <w:snapToGrid/>
        <w:spacing w:line="440" w:lineRule="exact"/>
        <w:ind w:firstLine="5700" w:firstLineChars="2375"/>
        <w:rPr>
          <w:rFonts w:ascii="宋体"/>
          <w:sz w:val="24"/>
          <w:highlight w:val="none"/>
        </w:rPr>
      </w:pPr>
      <w:r>
        <w:rPr>
          <w:rFonts w:hint="eastAsia" w:ascii="宋体"/>
          <w:sz w:val="24"/>
          <w:highlight w:val="none"/>
        </w:rPr>
        <w:t>年    月    日</w:t>
      </w:r>
    </w:p>
    <w:p w14:paraId="5287610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b/>
          <w:sz w:val="28"/>
          <w:szCs w:val="28"/>
          <w:highlight w:val="none"/>
        </w:rPr>
      </w:pPr>
      <w:r>
        <w:rPr>
          <w:rFonts w:hint="eastAsia"/>
          <w:b/>
          <w:sz w:val="28"/>
          <w:szCs w:val="28"/>
          <w:highlight w:val="none"/>
        </w:rPr>
        <w:t>（2）诚信投标承诺书</w:t>
      </w:r>
      <w:bookmarkEnd w:id="905"/>
      <w:bookmarkEnd w:id="906"/>
      <w:bookmarkEnd w:id="907"/>
    </w:p>
    <w:p w14:paraId="4F449F94">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szCs w:val="21"/>
          <w:highlight w:val="none"/>
        </w:rPr>
      </w:pPr>
      <w:r>
        <w:rPr>
          <w:rFonts w:hint="eastAsia" w:ascii="宋体" w:hAnsi="宋体"/>
          <w:szCs w:val="21"/>
          <w:highlight w:val="none"/>
        </w:rPr>
        <w:t>本人以企业法定代表人的身份郑重承诺：</w:t>
      </w:r>
    </w:p>
    <w:p w14:paraId="65F75769">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szCs w:val="21"/>
          <w:highlight w:val="none"/>
        </w:rPr>
      </w:pPr>
      <w:r>
        <w:rPr>
          <w:rFonts w:hint="eastAsia" w:ascii="宋体" w:hAnsi="宋体"/>
          <w:szCs w:val="21"/>
          <w:highlight w:val="none"/>
        </w:rPr>
        <w:t>一、将遵循公开、公正和诚实信用的原则自愿参加</w:t>
      </w:r>
      <w:r>
        <w:rPr>
          <w:rFonts w:hint="eastAsia" w:ascii="宋体" w:hAnsi="宋体"/>
          <w:szCs w:val="21"/>
          <w:highlight w:val="none"/>
          <w:u w:val="single"/>
        </w:rPr>
        <w:t xml:space="preserve">       （项目名称）        </w:t>
      </w:r>
      <w:r>
        <w:rPr>
          <w:rFonts w:hint="eastAsia" w:ascii="宋体" w:hAnsi="宋体"/>
          <w:szCs w:val="21"/>
          <w:highlight w:val="none"/>
        </w:rPr>
        <w:t>项目的投标；</w:t>
      </w:r>
    </w:p>
    <w:p w14:paraId="01C34AA5">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szCs w:val="21"/>
          <w:highlight w:val="none"/>
        </w:rPr>
      </w:pPr>
      <w:r>
        <w:rPr>
          <w:rFonts w:hint="eastAsia" w:ascii="宋体" w:hAnsi="宋体"/>
          <w:szCs w:val="21"/>
          <w:highlight w:val="none"/>
        </w:rPr>
        <w:t>二、所提供的一切材料都是真实、有效、合法的；</w:t>
      </w:r>
    </w:p>
    <w:p w14:paraId="72E84187">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szCs w:val="21"/>
          <w:highlight w:val="none"/>
        </w:rPr>
      </w:pPr>
      <w:r>
        <w:rPr>
          <w:rFonts w:hint="eastAsia" w:ascii="宋体" w:hAnsi="宋体"/>
          <w:szCs w:val="21"/>
          <w:highlight w:val="none"/>
        </w:rPr>
        <w:t>三、不出借、转让资质证书，不让他人挂靠投标，不以他人名义投标或者以其他方式弄虚作假，骗取中标；</w:t>
      </w:r>
    </w:p>
    <w:p w14:paraId="12874A6B">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szCs w:val="21"/>
          <w:highlight w:val="none"/>
        </w:rPr>
      </w:pPr>
      <w:r>
        <w:rPr>
          <w:rFonts w:hint="eastAsia" w:ascii="宋体" w:hAnsi="宋体"/>
          <w:szCs w:val="21"/>
          <w:highlight w:val="none"/>
        </w:rPr>
        <w:t>四、不与其他投标人相互串通投标报价，不排挤其他投标人的公平竞争、损害招标人的合法权益；</w:t>
      </w:r>
    </w:p>
    <w:p w14:paraId="5E82D773">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szCs w:val="21"/>
          <w:highlight w:val="none"/>
        </w:rPr>
      </w:pPr>
      <w:r>
        <w:rPr>
          <w:rFonts w:hint="eastAsia" w:ascii="宋体" w:hAnsi="宋体"/>
          <w:szCs w:val="21"/>
          <w:highlight w:val="none"/>
        </w:rPr>
        <w:t>五、不与招标人、招标代理机构或其他投标人串通投标，损害国家利益、社会公共利益或者他人的合法权益；</w:t>
      </w:r>
    </w:p>
    <w:p w14:paraId="394C33C1">
      <w:pPr>
        <w:keepNext w:val="0"/>
        <w:keepLines w:val="0"/>
        <w:pageBreakBefore w:val="0"/>
        <w:widowControl w:val="0"/>
        <w:kinsoku/>
        <w:wordWrap/>
        <w:overflowPunct/>
        <w:topLinePunct w:val="0"/>
        <w:autoSpaceDE/>
        <w:autoSpaceDN/>
        <w:bidi w:val="0"/>
        <w:adjustRightInd/>
        <w:snapToGrid/>
        <w:spacing w:line="340" w:lineRule="exact"/>
        <w:ind w:right="468" w:rightChars="223" w:firstLine="420" w:firstLineChars="200"/>
        <w:textAlignment w:val="auto"/>
        <w:rPr>
          <w:rFonts w:hint="eastAsia" w:ascii="宋体" w:hAnsi="宋体" w:eastAsia="宋体" w:cs="Times New Roman"/>
          <w:szCs w:val="21"/>
          <w:highlight w:val="none"/>
        </w:rPr>
      </w:pPr>
      <w:r>
        <w:rPr>
          <w:rFonts w:hint="eastAsia" w:ascii="宋体" w:hAnsi="宋体" w:eastAsia="宋体" w:cs="Times New Roman"/>
          <w:szCs w:val="21"/>
          <w:highlight w:val="none"/>
        </w:rPr>
        <w:t>六、</w:t>
      </w:r>
      <w:r>
        <w:rPr>
          <w:rFonts w:hint="eastAsia" w:ascii="宋体" w:hAnsi="宋体" w:eastAsia="宋体" w:cs="Times New Roman"/>
          <w:szCs w:val="21"/>
          <w:highlight w:val="none"/>
          <w:lang w:eastAsia="zh-CN"/>
        </w:rPr>
        <w:t>我公司</w:t>
      </w:r>
      <w:r>
        <w:rPr>
          <w:rFonts w:hint="eastAsia" w:ascii="宋体" w:hAnsi="宋体" w:eastAsia="宋体" w:cs="Times New Roman"/>
          <w:szCs w:val="21"/>
          <w:highlight w:val="none"/>
        </w:rPr>
        <w:t>没有下列情形：</w:t>
      </w:r>
      <w:bookmarkStart w:id="908" w:name="OLE_LINK134"/>
      <w:bookmarkStart w:id="909" w:name="OLE_LINK133"/>
      <w:r>
        <w:rPr>
          <w:rFonts w:hint="eastAsia" w:ascii="宋体" w:hAnsi="宋体" w:eastAsia="宋体" w:cs="Times New Roman"/>
          <w:szCs w:val="21"/>
          <w:highlight w:val="none"/>
        </w:rPr>
        <w:t>①被列入“信用中国”网站“失信被执行人”的</w:t>
      </w:r>
      <w:r>
        <w:rPr>
          <w:rFonts w:hint="eastAsia" w:ascii="宋体" w:hAnsi="宋体" w:eastAsia="宋体" w:cs="Times New Roman"/>
          <w:szCs w:val="21"/>
          <w:highlight w:val="none"/>
          <w:lang w:eastAsia="zh-CN"/>
        </w:rPr>
        <w:t>；</w:t>
      </w:r>
      <w:r>
        <w:rPr>
          <w:rFonts w:hint="eastAsia" w:ascii="宋体" w:hAnsi="宋体" w:eastAsia="宋体" w:cs="Times New Roman"/>
          <w:szCs w:val="21"/>
          <w:highlight w:val="none"/>
        </w:rPr>
        <w:t>②被列入“信用中国”网站“重大税收违法失信主体”的；③被列入“信用中国”网站“拖欠农民工工资失信联合惩戒对象名单”的；④被列入“信用中国”网站“</w:t>
      </w:r>
      <w:r>
        <w:rPr>
          <w:rFonts w:hint="eastAsia" w:ascii="宋体" w:hAnsi="宋体" w:eastAsia="宋体" w:cs="Times New Roman"/>
          <w:szCs w:val="21"/>
          <w:highlight w:val="none"/>
          <w:lang w:eastAsia="zh-CN"/>
        </w:rPr>
        <w:t>安全生产严重失信主体名单</w:t>
      </w:r>
      <w:r>
        <w:rPr>
          <w:rFonts w:hint="eastAsia" w:ascii="宋体" w:hAnsi="宋体" w:eastAsia="宋体" w:cs="Times New Roman"/>
          <w:szCs w:val="21"/>
          <w:highlight w:val="none"/>
        </w:rPr>
        <w:t>”的；⑤被列入国家企业信用信息公示系统网站“严重违法失信名单”的</w:t>
      </w:r>
      <w:r>
        <w:rPr>
          <w:rFonts w:hint="eastAsia" w:ascii="宋体" w:hAnsi="宋体" w:eastAsia="宋体" w:cs="Times New Roman"/>
          <w:szCs w:val="21"/>
          <w:highlight w:val="none"/>
          <w:lang w:eastAsia="zh-CN"/>
        </w:rPr>
        <w:t>；</w:t>
      </w:r>
      <w:r>
        <w:rPr>
          <w:rFonts w:hint="eastAsia" w:ascii="宋体" w:hAnsi="宋体" w:eastAsia="宋体" w:cs="Times New Roman"/>
          <w:szCs w:val="21"/>
          <w:highlight w:val="none"/>
        </w:rPr>
        <w:t>（</w:t>
      </w:r>
      <w:bookmarkEnd w:id="908"/>
      <w:bookmarkEnd w:id="909"/>
      <w:r>
        <w:rPr>
          <w:rFonts w:hint="eastAsia" w:ascii="宋体" w:hAnsi="宋体" w:eastAsia="宋体" w:cs="Times New Roman"/>
          <w:szCs w:val="21"/>
          <w:highlight w:val="none"/>
        </w:rPr>
        <w:t>若招标文件对投标人（包括联合体各成员）所属分公司、办事处等分支机构有上述1-</w:t>
      </w:r>
      <w:r>
        <w:rPr>
          <w:rFonts w:hint="eastAsia" w:ascii="宋体" w:hAnsi="宋体" w:eastAsia="宋体" w:cs="Times New Roman"/>
          <w:szCs w:val="21"/>
          <w:highlight w:val="none"/>
          <w:lang w:val="en-US" w:eastAsia="zh-CN"/>
        </w:rPr>
        <w:t>5</w:t>
      </w:r>
      <w:r>
        <w:rPr>
          <w:rFonts w:hint="eastAsia" w:ascii="宋体" w:hAnsi="宋体" w:eastAsia="宋体" w:cs="Times New Roman"/>
          <w:szCs w:val="21"/>
          <w:highlight w:val="none"/>
        </w:rPr>
        <w:t>项信誉要求，在此一并承诺我公司（包括联合体各成员）所属分公司、办事处等分支机构没有上述1-</w:t>
      </w:r>
      <w:r>
        <w:rPr>
          <w:rFonts w:hint="eastAsia" w:ascii="宋体" w:hAnsi="宋体" w:eastAsia="宋体" w:cs="Times New Roman"/>
          <w:szCs w:val="21"/>
          <w:highlight w:val="none"/>
          <w:lang w:val="en-US" w:eastAsia="zh-CN"/>
        </w:rPr>
        <w:t>5</w:t>
      </w:r>
      <w:r>
        <w:rPr>
          <w:rFonts w:hint="eastAsia" w:ascii="宋体" w:hAnsi="宋体" w:eastAsia="宋体" w:cs="Times New Roman"/>
          <w:szCs w:val="21"/>
          <w:highlight w:val="none"/>
        </w:rPr>
        <w:t>项情形）</w:t>
      </w:r>
    </w:p>
    <w:p w14:paraId="007134E2">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szCs w:val="21"/>
          <w:highlight w:val="none"/>
        </w:rPr>
      </w:pPr>
      <w:r>
        <w:rPr>
          <w:rFonts w:hint="eastAsia" w:ascii="宋体" w:hAnsi="宋体"/>
          <w:szCs w:val="21"/>
          <w:highlight w:val="none"/>
          <w:lang w:val="en-US" w:eastAsia="zh-CN"/>
        </w:rPr>
        <w:t>七</w:t>
      </w:r>
      <w:r>
        <w:rPr>
          <w:rFonts w:hint="eastAsia" w:ascii="宋体" w:hAnsi="宋体"/>
          <w:szCs w:val="21"/>
          <w:highlight w:val="none"/>
        </w:rPr>
        <w:t>、保证中标后不转包及使用挂靠队伍，若有分包征得建设单位同意；</w:t>
      </w:r>
    </w:p>
    <w:p w14:paraId="63C6B496">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szCs w:val="21"/>
          <w:highlight w:val="none"/>
        </w:rPr>
      </w:pPr>
      <w:r>
        <w:rPr>
          <w:rFonts w:hint="eastAsia" w:ascii="宋体" w:hAnsi="宋体"/>
          <w:szCs w:val="21"/>
          <w:highlight w:val="none"/>
        </w:rPr>
        <w:t>八、保证中标之后，按照投标文件承诺派驻管理人员及投入机械设备，如有违反，同意接受建设单位违约处罚；</w:t>
      </w:r>
    </w:p>
    <w:p w14:paraId="775E1894">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szCs w:val="21"/>
          <w:highlight w:val="none"/>
        </w:rPr>
      </w:pPr>
      <w:r>
        <w:rPr>
          <w:rFonts w:hint="eastAsia" w:ascii="宋体" w:hAnsi="宋体"/>
          <w:szCs w:val="21"/>
          <w:highlight w:val="none"/>
          <w:lang w:val="en-US" w:eastAsia="zh-CN"/>
        </w:rPr>
        <w:t>九</w:t>
      </w:r>
      <w:r>
        <w:rPr>
          <w:rFonts w:hint="eastAsia" w:ascii="宋体" w:hAnsi="宋体"/>
          <w:szCs w:val="21"/>
          <w:highlight w:val="none"/>
        </w:rPr>
        <w:t>、保证企业及所属相关人员在本次投标中无行贿等犯罪行为；</w:t>
      </w:r>
    </w:p>
    <w:p w14:paraId="3DF19E94">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szCs w:val="21"/>
          <w:highlight w:val="none"/>
        </w:rPr>
      </w:pPr>
      <w:r>
        <w:rPr>
          <w:rFonts w:hint="eastAsia" w:ascii="宋体" w:hAnsi="宋体"/>
          <w:szCs w:val="21"/>
          <w:highlight w:val="none"/>
        </w:rPr>
        <w:t>十、如在投标过程和公示期间发生投诉行为，依法进行投诉。投诉内容符合要求，投诉材料加盖企业公章或由法定代表人授权委托人签字，并附有关身份证明复印件。不恶意投诉，对本公司提供的投诉线索的真实性负责，否则愿接受有关部门的处罚；</w:t>
      </w:r>
    </w:p>
    <w:p w14:paraId="23E21757">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szCs w:val="21"/>
          <w:highlight w:val="none"/>
        </w:rPr>
      </w:pPr>
      <w:r>
        <w:rPr>
          <w:rFonts w:hint="eastAsia" w:ascii="宋体" w:hAnsi="宋体"/>
          <w:szCs w:val="21"/>
          <w:highlight w:val="none"/>
        </w:rPr>
        <w:t>十</w:t>
      </w:r>
      <w:r>
        <w:rPr>
          <w:rFonts w:hint="eastAsia" w:ascii="宋体" w:hAnsi="宋体"/>
          <w:szCs w:val="21"/>
          <w:highlight w:val="none"/>
          <w:lang w:val="en-US" w:eastAsia="zh-CN"/>
        </w:rPr>
        <w:t>一</w:t>
      </w:r>
      <w:r>
        <w:rPr>
          <w:rFonts w:hint="eastAsia" w:ascii="宋体" w:hAnsi="宋体"/>
          <w:szCs w:val="21"/>
          <w:highlight w:val="none"/>
        </w:rPr>
        <w:t>、如我公司中标，按照国务院《关于全面治理拖欠农民工工资问题的意见》（国办发[2016]1号）及国家住建部和人社部关于《建筑工人实名制管理办法》（建市[2019]18号）的规定，总承包单位对所承建的工程项目的建筑工人实名制管理负总责，对建筑工人实行实名制管理；实行人工费用与其他工程款分账管理制度；建筑工程承包单位必须开设农民工工资专户；建设单位在支付工程款时，应将人工费部分按规定汇入建筑工程承包单位的农民工工资专户，由建筑工程承包单位按劳动合同约定，通过农民工工资专户按月足额将工资发放给建筑工人；</w:t>
      </w:r>
    </w:p>
    <w:p w14:paraId="437149D4">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ascii="宋体" w:hAnsi="宋体"/>
          <w:szCs w:val="21"/>
          <w:highlight w:val="none"/>
        </w:rPr>
      </w:pPr>
      <w:r>
        <w:rPr>
          <w:rFonts w:hint="eastAsia" w:ascii="宋体" w:hAnsi="宋体"/>
          <w:szCs w:val="21"/>
          <w:highlight w:val="none"/>
        </w:rPr>
        <w:t>以上内容我已仔细阅读，本公司若有违反承诺内容的行为，自愿接受取消投标或者中标资格、记入不良行为记录、投标保证金不予退还等有关处理，愿意承担法律责任，给招标人造成损失的，依法承担赔偿责任。</w:t>
      </w:r>
    </w:p>
    <w:p w14:paraId="635156B9">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ascii="宋体" w:hAnsi="宋体"/>
          <w:szCs w:val="21"/>
          <w:highlight w:val="none"/>
        </w:rPr>
      </w:pPr>
      <w:r>
        <w:rPr>
          <w:rFonts w:hint="eastAsia" w:ascii="宋体" w:hAnsi="宋体"/>
          <w:szCs w:val="21"/>
          <w:highlight w:val="none"/>
        </w:rPr>
        <w:t>开户银行：                          基本账户：</w:t>
      </w:r>
    </w:p>
    <w:p w14:paraId="5608ECAE">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ascii="宋体" w:hAnsi="宋体"/>
          <w:szCs w:val="21"/>
          <w:highlight w:val="none"/>
        </w:rPr>
      </w:pPr>
      <w:r>
        <w:rPr>
          <w:rFonts w:hint="eastAsia" w:ascii="宋体" w:hAnsi="宋体"/>
          <w:szCs w:val="21"/>
          <w:highlight w:val="none"/>
        </w:rPr>
        <w:t>投标人（盖章）：              法定代表人（签字或</w:t>
      </w:r>
      <w:r>
        <w:rPr>
          <w:rFonts w:hint="eastAsia" w:ascii="宋体" w:hAnsi="宋体"/>
          <w:szCs w:val="21"/>
          <w:highlight w:val="none"/>
          <w:lang w:val="en-US" w:eastAsia="zh-CN"/>
        </w:rPr>
        <w:t>盖</w:t>
      </w:r>
      <w:r>
        <w:rPr>
          <w:rFonts w:hint="eastAsia" w:ascii="宋体" w:hAnsi="宋体"/>
          <w:szCs w:val="21"/>
          <w:highlight w:val="none"/>
        </w:rPr>
        <w:t>章）：</w:t>
      </w:r>
    </w:p>
    <w:p w14:paraId="3617905E">
      <w:pPr>
        <w:keepNext w:val="0"/>
        <w:keepLines w:val="0"/>
        <w:pageBreakBefore w:val="0"/>
        <w:widowControl w:val="0"/>
        <w:kinsoku/>
        <w:wordWrap/>
        <w:overflowPunct/>
        <w:topLinePunct w:val="0"/>
        <w:autoSpaceDE/>
        <w:autoSpaceDN/>
        <w:bidi w:val="0"/>
        <w:adjustRightInd/>
        <w:snapToGrid/>
        <w:spacing w:line="360" w:lineRule="exact"/>
        <w:ind w:firstLine="5250" w:firstLineChars="2500"/>
        <w:textAlignment w:val="auto"/>
        <w:rPr>
          <w:highlight w:val="none"/>
        </w:rPr>
      </w:pPr>
      <w:r>
        <w:rPr>
          <w:rFonts w:hint="eastAsia" w:ascii="宋体" w:hAnsi="宋体"/>
          <w:szCs w:val="21"/>
          <w:highlight w:val="none"/>
        </w:rPr>
        <w:t>日期：    年   月   日</w:t>
      </w:r>
    </w:p>
    <w:p w14:paraId="364DDAFB">
      <w:pPr>
        <w:rPr>
          <w:rFonts w:eastAsia="黑体"/>
          <w:sz w:val="28"/>
          <w:szCs w:val="28"/>
          <w:highlight w:val="none"/>
          <w:u w:val="single"/>
        </w:rPr>
      </w:pPr>
      <w:r>
        <w:rPr>
          <w:rFonts w:hint="eastAsia" w:ascii="宋体" w:hAnsi="宋体"/>
          <w:b/>
          <w:sz w:val="32"/>
          <w:szCs w:val="32"/>
          <w:highlight w:val="none"/>
        </w:rPr>
        <w:br w:type="page"/>
      </w:r>
    </w:p>
    <w:p w14:paraId="7AE1BB72">
      <w:pPr>
        <w:pageBreakBefore w:val="0"/>
        <w:widowControl w:val="0"/>
        <w:kinsoku/>
        <w:wordWrap/>
        <w:overflowPunct/>
        <w:topLinePunct w:val="0"/>
        <w:autoSpaceDE/>
        <w:autoSpaceDN/>
        <w:bidi w:val="0"/>
        <w:spacing w:line="300" w:lineRule="exact"/>
        <w:jc w:val="left"/>
        <w:textAlignment w:val="auto"/>
        <w:rPr>
          <w:rFonts w:hint="eastAsia" w:ascii="宋体" w:hAnsi="宋体" w:eastAsia="宋体" w:cs="宋体"/>
          <w:b/>
          <w:bCs w:val="0"/>
          <w:color w:val="000000"/>
          <w:kern w:val="0"/>
          <w:sz w:val="28"/>
          <w:szCs w:val="28"/>
          <w:highlight w:val="none"/>
          <w:u w:color="000000"/>
          <w:lang w:val="en-US" w:eastAsia="zh-CN" w:bidi="ar"/>
        </w:rPr>
      </w:pPr>
    </w:p>
    <w:p w14:paraId="4A5B75A0">
      <w:pPr>
        <w:pStyle w:val="14"/>
        <w:rPr>
          <w:rFonts w:hint="eastAsia"/>
          <w:lang w:val="en-US" w:eastAsia="zh-CN"/>
        </w:rPr>
      </w:pPr>
    </w:p>
    <w:p w14:paraId="13478187">
      <w:pPr>
        <w:keepNext/>
        <w:keepLines/>
        <w:pageBreakBefore w:val="0"/>
        <w:widowControl w:val="0"/>
        <w:kinsoku/>
        <w:wordWrap/>
        <w:overflowPunct/>
        <w:topLinePunct w:val="0"/>
        <w:autoSpaceDE/>
        <w:autoSpaceDN/>
        <w:bidi w:val="0"/>
        <w:adjustRightInd/>
        <w:snapToGrid/>
        <w:spacing w:line="300" w:lineRule="exact"/>
        <w:jc w:val="center"/>
        <w:textAlignment w:val="auto"/>
        <w:outlineLvl w:val="2"/>
        <w:rPr>
          <w:rFonts w:hint="eastAsia"/>
          <w:b/>
          <w:bCs/>
          <w:sz w:val="28"/>
          <w:szCs w:val="28"/>
          <w:highlight w:val="none"/>
          <w:lang w:eastAsia="zh-CN"/>
        </w:rPr>
      </w:pPr>
    </w:p>
    <w:p w14:paraId="130DF75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eastAsia="宋体"/>
          <w:b/>
          <w:sz w:val="28"/>
          <w:szCs w:val="28"/>
          <w:highlight w:val="none"/>
        </w:rPr>
      </w:pPr>
      <w:r>
        <w:rPr>
          <w:rFonts w:hint="eastAsia" w:eastAsia="宋体"/>
          <w:b/>
          <w:sz w:val="28"/>
          <w:szCs w:val="28"/>
          <w:highlight w:val="none"/>
          <w:lang w:eastAsia="zh-CN"/>
        </w:rPr>
        <w:t>（</w:t>
      </w:r>
      <w:r>
        <w:rPr>
          <w:rFonts w:hint="eastAsia" w:eastAsia="宋体"/>
          <w:b/>
          <w:sz w:val="28"/>
          <w:szCs w:val="28"/>
          <w:highlight w:val="none"/>
          <w:lang w:val="en-US" w:eastAsia="zh-CN"/>
        </w:rPr>
        <w:t>3）</w:t>
      </w:r>
      <w:r>
        <w:rPr>
          <w:rFonts w:hint="eastAsia" w:eastAsia="宋体"/>
          <w:b/>
          <w:sz w:val="28"/>
          <w:szCs w:val="28"/>
          <w:highlight w:val="none"/>
        </w:rPr>
        <w:t>服务承诺书</w:t>
      </w:r>
    </w:p>
    <w:p w14:paraId="1420266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b/>
          <w:color w:val="000000"/>
          <w:sz w:val="24"/>
          <w:highlight w:val="none"/>
        </w:rPr>
      </w:pPr>
      <w:r>
        <w:rPr>
          <w:rFonts w:hint="eastAsia" w:ascii="宋体" w:hAnsi="宋体"/>
          <w:color w:val="000000"/>
          <w:sz w:val="24"/>
          <w:highlight w:val="none"/>
        </w:rPr>
        <w:t>致：</w:t>
      </w:r>
      <w:r>
        <w:rPr>
          <w:rFonts w:hint="eastAsia" w:ascii="宋体" w:hAnsi="宋体"/>
          <w:color w:val="000000"/>
          <w:sz w:val="24"/>
          <w:highlight w:val="none"/>
          <w:u w:val="single"/>
        </w:rPr>
        <w:t xml:space="preserve">          （招标人）     ：</w:t>
      </w:r>
    </w:p>
    <w:p w14:paraId="382B1FE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olor w:val="000000"/>
          <w:sz w:val="24"/>
          <w:highlight w:val="none"/>
          <w:lang w:val="en-US" w:eastAsia="zh-CN"/>
        </w:rPr>
      </w:pPr>
      <w:r>
        <w:rPr>
          <w:rFonts w:hint="eastAsia" w:ascii="宋体" w:hAnsi="宋体"/>
          <w:color w:val="000000"/>
          <w:sz w:val="24"/>
          <w:highlight w:val="none"/>
        </w:rPr>
        <w:t>本承诺声明：（投标人名称</w:t>
      </w:r>
      <w:r>
        <w:rPr>
          <w:rFonts w:hint="eastAsia" w:ascii="宋体" w:hAnsi="宋体"/>
          <w:color w:val="000000"/>
          <w:sz w:val="24"/>
          <w:highlight w:val="none"/>
          <w:lang w:eastAsia="zh-CN"/>
        </w:rPr>
        <w:t>）</w:t>
      </w:r>
      <w:r>
        <w:rPr>
          <w:rFonts w:hint="eastAsia" w:ascii="宋体" w:hAnsi="宋体"/>
          <w:color w:val="000000"/>
          <w:sz w:val="24"/>
          <w:highlight w:val="none"/>
        </w:rPr>
        <w:t>对本招标文件所有要求完全响应</w:t>
      </w:r>
      <w:r>
        <w:rPr>
          <w:rFonts w:hint="eastAsia" w:ascii="宋体" w:hAnsi="宋体"/>
          <w:color w:val="000000"/>
          <w:sz w:val="24"/>
          <w:highlight w:val="none"/>
          <w:lang w:eastAsia="zh-CN"/>
        </w:rPr>
        <w:t>，</w:t>
      </w:r>
      <w:r>
        <w:rPr>
          <w:rFonts w:hint="eastAsia" w:ascii="宋体" w:hAnsi="宋体"/>
          <w:color w:val="000000"/>
          <w:sz w:val="24"/>
          <w:highlight w:val="none"/>
        </w:rPr>
        <w:t>若有幸中标将严格按照以上承诺进行服务。</w:t>
      </w:r>
      <w:r>
        <w:rPr>
          <w:rFonts w:hint="eastAsia" w:ascii="宋体" w:hAnsi="宋体"/>
          <w:color w:val="000000"/>
          <w:sz w:val="24"/>
          <w:highlight w:val="none"/>
          <w:lang w:val="en-US" w:eastAsia="zh-CN"/>
        </w:rPr>
        <w:t>若发现有偏离且不能按招标人要求调整的，招标人有权终止合同重新招标，我方承担因此产生的所有经济及工期责任。</w:t>
      </w:r>
    </w:p>
    <w:p w14:paraId="56563CE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sz w:val="24"/>
          <w:highlight w:val="none"/>
          <w:lang w:eastAsia="zh-CN"/>
        </w:rPr>
      </w:pPr>
      <w:r>
        <w:rPr>
          <w:rFonts w:hint="eastAsia" w:ascii="宋体" w:hAnsi="宋体"/>
          <w:color w:val="000000"/>
          <w:sz w:val="24"/>
          <w:highlight w:val="none"/>
        </w:rPr>
        <w:t>特此声明</w:t>
      </w:r>
      <w:r>
        <w:rPr>
          <w:rFonts w:hint="eastAsia" w:ascii="宋体" w:hAnsi="宋体"/>
          <w:color w:val="000000"/>
          <w:sz w:val="24"/>
          <w:highlight w:val="none"/>
          <w:lang w:eastAsia="zh-CN"/>
        </w:rPr>
        <w:t>。</w:t>
      </w:r>
    </w:p>
    <w:p w14:paraId="380D480B">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olor w:val="000000"/>
          <w:sz w:val="24"/>
          <w:highlight w:val="none"/>
        </w:rPr>
      </w:pPr>
      <w:r>
        <w:rPr>
          <w:rFonts w:hint="eastAsia" w:ascii="宋体" w:hAnsi="宋体"/>
          <w:color w:val="000000"/>
          <w:sz w:val="24"/>
          <w:highlight w:val="none"/>
        </w:rPr>
        <w:t> </w:t>
      </w:r>
    </w:p>
    <w:p w14:paraId="5363F25C">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olor w:val="000000"/>
          <w:sz w:val="24"/>
          <w:highlight w:val="none"/>
        </w:rPr>
      </w:pPr>
      <w:r>
        <w:rPr>
          <w:rFonts w:hint="eastAsia" w:ascii="宋体" w:hAnsi="宋体"/>
          <w:color w:val="000000"/>
          <w:sz w:val="24"/>
          <w:highlight w:val="none"/>
        </w:rPr>
        <w:t xml:space="preserve">                                    法定代表人：</w:t>
      </w:r>
      <w:r>
        <w:rPr>
          <w:rFonts w:hint="eastAsia" w:ascii="宋体" w:hAnsi="宋体"/>
          <w:color w:val="000000"/>
          <w:sz w:val="24"/>
          <w:highlight w:val="none"/>
          <w:u w:val="single"/>
        </w:rPr>
        <w:t xml:space="preserve">          （签字或签章）       </w:t>
      </w:r>
    </w:p>
    <w:p w14:paraId="6ECAD71F">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olor w:val="000000"/>
          <w:sz w:val="24"/>
          <w:highlight w:val="none"/>
          <w:u w:val="single"/>
        </w:rPr>
      </w:pPr>
      <w:r>
        <w:rPr>
          <w:rFonts w:hint="eastAsia" w:ascii="宋体" w:hAnsi="宋体"/>
          <w:color w:val="000000"/>
          <w:sz w:val="24"/>
          <w:highlight w:val="none"/>
        </w:rPr>
        <w:t xml:space="preserve">                                     </w:t>
      </w:r>
    </w:p>
    <w:p w14:paraId="00DD443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olor w:val="000000"/>
          <w:sz w:val="24"/>
          <w:highlight w:val="none"/>
          <w:u w:val="single"/>
        </w:rPr>
      </w:pPr>
      <w:r>
        <w:rPr>
          <w:rFonts w:hint="eastAsia" w:ascii="宋体" w:hAnsi="宋体"/>
          <w:color w:val="000000"/>
          <w:sz w:val="24"/>
          <w:highlight w:val="none"/>
        </w:rPr>
        <w:t xml:space="preserve">                                    投标单位名称：</w:t>
      </w:r>
      <w:r>
        <w:rPr>
          <w:rFonts w:hint="eastAsia" w:ascii="宋体" w:hAnsi="宋体"/>
          <w:color w:val="000000"/>
          <w:sz w:val="24"/>
          <w:highlight w:val="none"/>
          <w:u w:val="single"/>
        </w:rPr>
        <w:t xml:space="preserve">        （盖章）    </w:t>
      </w:r>
    </w:p>
    <w:p w14:paraId="293BF5F6">
      <w:pPr>
        <w:keepNext w:val="0"/>
        <w:keepLines w:val="0"/>
        <w:pageBreakBefore w:val="0"/>
        <w:widowControl w:val="0"/>
        <w:kinsoku/>
        <w:wordWrap/>
        <w:overflowPunct/>
        <w:topLinePunct w:val="0"/>
        <w:autoSpaceDE/>
        <w:autoSpaceDN/>
        <w:bidi w:val="0"/>
        <w:adjustRightInd/>
        <w:snapToGrid/>
        <w:spacing w:line="360" w:lineRule="auto"/>
        <w:ind w:firstLine="4320" w:firstLineChars="1800"/>
        <w:jc w:val="left"/>
        <w:textAlignment w:val="auto"/>
        <w:rPr>
          <w:rFonts w:ascii="宋体" w:hAnsi="宋体"/>
          <w:color w:val="000000"/>
          <w:sz w:val="24"/>
          <w:highlight w:val="none"/>
        </w:rPr>
      </w:pPr>
    </w:p>
    <w:p w14:paraId="26AD723B">
      <w:pPr>
        <w:keepNext w:val="0"/>
        <w:keepLines w:val="0"/>
        <w:pageBreakBefore w:val="0"/>
        <w:widowControl w:val="0"/>
        <w:kinsoku/>
        <w:wordWrap/>
        <w:overflowPunct/>
        <w:topLinePunct w:val="0"/>
        <w:autoSpaceDE/>
        <w:autoSpaceDN/>
        <w:bidi w:val="0"/>
        <w:adjustRightInd/>
        <w:snapToGrid/>
        <w:spacing w:line="360" w:lineRule="auto"/>
        <w:ind w:firstLine="4320" w:firstLineChars="1800"/>
        <w:jc w:val="left"/>
        <w:textAlignment w:val="auto"/>
        <w:rPr>
          <w:rFonts w:ascii="宋体" w:hAnsi="宋体"/>
          <w:color w:val="000000"/>
          <w:sz w:val="24"/>
          <w:highlight w:val="none"/>
          <w:u w:val="single"/>
        </w:rPr>
      </w:pPr>
      <w:r>
        <w:rPr>
          <w:rFonts w:hint="eastAsia" w:ascii="宋体" w:hAnsi="宋体"/>
          <w:color w:val="000000"/>
          <w:sz w:val="24"/>
          <w:highlight w:val="none"/>
        </w:rPr>
        <w:t>日    期：</w:t>
      </w:r>
      <w:r>
        <w:rPr>
          <w:rFonts w:hint="eastAsia" w:ascii="宋体" w:hAnsi="宋体"/>
          <w:color w:val="000000"/>
          <w:sz w:val="24"/>
          <w:highlight w:val="none"/>
          <w:u w:val="single"/>
        </w:rPr>
        <w:t xml:space="preserve">                      </w:t>
      </w:r>
    </w:p>
    <w:p w14:paraId="32408BEA">
      <w:pPr>
        <w:spacing w:line="400" w:lineRule="exact"/>
        <w:ind w:firstLine="482" w:firstLineChars="200"/>
        <w:rPr>
          <w:rFonts w:ascii="宋体" w:hAnsi="宋体"/>
          <w:b/>
          <w:color w:val="000000"/>
          <w:sz w:val="24"/>
          <w:highlight w:val="none"/>
        </w:rPr>
      </w:pPr>
    </w:p>
    <w:p w14:paraId="35530E7D">
      <w:pPr>
        <w:rPr>
          <w:rFonts w:eastAsia="黑体"/>
          <w:sz w:val="28"/>
          <w:szCs w:val="28"/>
          <w:highlight w:val="none"/>
        </w:rPr>
      </w:pPr>
      <w:r>
        <w:rPr>
          <w:rFonts w:eastAsia="黑体"/>
          <w:sz w:val="28"/>
          <w:szCs w:val="28"/>
          <w:highlight w:val="none"/>
        </w:rPr>
        <w:br w:type="page"/>
      </w:r>
    </w:p>
    <w:p w14:paraId="20447F5C">
      <w:pPr>
        <w:jc w:val="center"/>
        <w:rPr>
          <w:rFonts w:eastAsia="黑体"/>
          <w:sz w:val="20"/>
          <w:szCs w:val="20"/>
          <w:highlight w:val="none"/>
        </w:rPr>
      </w:pPr>
      <w:r>
        <w:rPr>
          <w:rFonts w:eastAsia="黑体"/>
          <w:sz w:val="28"/>
          <w:szCs w:val="28"/>
          <w:highlight w:val="none"/>
        </w:rPr>
        <w:t>（项目名称）</w:t>
      </w:r>
    </w:p>
    <w:p w14:paraId="66B855F2">
      <w:pPr>
        <w:jc w:val="center"/>
        <w:rPr>
          <w:rFonts w:eastAsia="黑体"/>
          <w:sz w:val="20"/>
          <w:szCs w:val="20"/>
          <w:highlight w:val="none"/>
        </w:rPr>
      </w:pPr>
    </w:p>
    <w:p w14:paraId="792DB5BC">
      <w:pPr>
        <w:rPr>
          <w:rFonts w:eastAsia="黑体"/>
          <w:sz w:val="20"/>
          <w:szCs w:val="20"/>
          <w:highlight w:val="none"/>
        </w:rPr>
      </w:pPr>
    </w:p>
    <w:p w14:paraId="60025CC7">
      <w:pPr>
        <w:jc w:val="center"/>
        <w:rPr>
          <w:rFonts w:eastAsia="黑体"/>
          <w:sz w:val="44"/>
          <w:szCs w:val="44"/>
          <w:highlight w:val="none"/>
        </w:rPr>
      </w:pPr>
      <w:r>
        <w:rPr>
          <w:rFonts w:eastAsia="黑体"/>
          <w:sz w:val="44"/>
          <w:szCs w:val="44"/>
          <w:highlight w:val="none"/>
        </w:rPr>
        <w:t>投  标  文  件</w:t>
      </w:r>
      <w:r>
        <w:rPr>
          <w:rFonts w:hint="eastAsia" w:eastAsia="黑体"/>
          <w:sz w:val="44"/>
          <w:szCs w:val="44"/>
          <w:highlight w:val="none"/>
        </w:rPr>
        <w:t xml:space="preserve">  二</w:t>
      </w:r>
    </w:p>
    <w:p w14:paraId="11881936">
      <w:pPr>
        <w:jc w:val="center"/>
        <w:rPr>
          <w:rFonts w:eastAsia="黑体"/>
          <w:sz w:val="44"/>
          <w:szCs w:val="44"/>
          <w:highlight w:val="none"/>
        </w:rPr>
      </w:pPr>
      <w:r>
        <w:rPr>
          <w:rFonts w:hint="eastAsia" w:eastAsia="黑体"/>
          <w:sz w:val="44"/>
          <w:szCs w:val="44"/>
          <w:highlight w:val="none"/>
        </w:rPr>
        <w:t>（技术标文件）</w:t>
      </w:r>
    </w:p>
    <w:p w14:paraId="78C47936">
      <w:pPr>
        <w:rPr>
          <w:rFonts w:eastAsia="黑体"/>
          <w:sz w:val="28"/>
          <w:szCs w:val="28"/>
          <w:highlight w:val="none"/>
        </w:rPr>
      </w:pPr>
    </w:p>
    <w:p w14:paraId="13EF90FD">
      <w:pPr>
        <w:rPr>
          <w:rFonts w:eastAsia="黑体"/>
          <w:sz w:val="28"/>
          <w:szCs w:val="28"/>
          <w:highlight w:val="none"/>
        </w:rPr>
      </w:pPr>
    </w:p>
    <w:p w14:paraId="4307D5B0">
      <w:pPr>
        <w:rPr>
          <w:rFonts w:eastAsia="黑体"/>
          <w:sz w:val="28"/>
          <w:szCs w:val="28"/>
          <w:highlight w:val="none"/>
        </w:rPr>
      </w:pPr>
    </w:p>
    <w:p w14:paraId="6B2C05F0">
      <w:pPr>
        <w:pStyle w:val="14"/>
        <w:ind w:firstLine="560"/>
        <w:rPr>
          <w:rFonts w:eastAsia="黑体"/>
          <w:sz w:val="28"/>
          <w:szCs w:val="28"/>
          <w:highlight w:val="none"/>
        </w:rPr>
      </w:pPr>
    </w:p>
    <w:p w14:paraId="1D0BEC5C">
      <w:pPr>
        <w:rPr>
          <w:rFonts w:eastAsia="黑体"/>
          <w:sz w:val="28"/>
          <w:szCs w:val="28"/>
          <w:highlight w:val="none"/>
        </w:rPr>
      </w:pPr>
    </w:p>
    <w:p w14:paraId="28D93157">
      <w:pPr>
        <w:pStyle w:val="14"/>
        <w:ind w:firstLine="560"/>
        <w:rPr>
          <w:rFonts w:eastAsia="黑体"/>
          <w:sz w:val="28"/>
          <w:szCs w:val="28"/>
          <w:highlight w:val="none"/>
        </w:rPr>
      </w:pPr>
    </w:p>
    <w:p w14:paraId="1FFAD3CF">
      <w:pPr>
        <w:rPr>
          <w:highlight w:val="none"/>
        </w:rPr>
      </w:pPr>
    </w:p>
    <w:p w14:paraId="0D2C3844">
      <w:pPr>
        <w:rPr>
          <w:rFonts w:eastAsia="黑体"/>
          <w:sz w:val="28"/>
          <w:szCs w:val="28"/>
          <w:highlight w:val="none"/>
        </w:rPr>
      </w:pPr>
    </w:p>
    <w:p w14:paraId="3D9426D8">
      <w:pPr>
        <w:rPr>
          <w:rFonts w:eastAsia="黑体"/>
          <w:sz w:val="28"/>
          <w:szCs w:val="28"/>
          <w:highlight w:val="none"/>
        </w:rPr>
      </w:pPr>
    </w:p>
    <w:p w14:paraId="21A6EBE5">
      <w:pPr>
        <w:rPr>
          <w:rFonts w:eastAsia="黑体"/>
          <w:sz w:val="28"/>
          <w:szCs w:val="28"/>
          <w:highlight w:val="none"/>
        </w:rPr>
      </w:pPr>
    </w:p>
    <w:p w14:paraId="02F825C3">
      <w:pPr>
        <w:rPr>
          <w:rFonts w:eastAsia="黑体"/>
          <w:sz w:val="28"/>
          <w:szCs w:val="28"/>
          <w:highlight w:val="none"/>
        </w:rPr>
      </w:pPr>
    </w:p>
    <w:p w14:paraId="65C29CBB">
      <w:pPr>
        <w:rPr>
          <w:rFonts w:eastAsia="黑体"/>
          <w:sz w:val="28"/>
          <w:szCs w:val="28"/>
          <w:highlight w:val="none"/>
        </w:rPr>
      </w:pPr>
    </w:p>
    <w:p w14:paraId="10883D19">
      <w:pPr>
        <w:jc w:val="center"/>
        <w:rPr>
          <w:rFonts w:eastAsia="黑体"/>
          <w:sz w:val="28"/>
          <w:szCs w:val="28"/>
          <w:u w:val="single"/>
        </w:rPr>
      </w:pPr>
      <w:bookmarkStart w:id="910" w:name="_Toc35424972"/>
      <w:bookmarkStart w:id="911" w:name="_Toc3395"/>
      <w:bookmarkStart w:id="912" w:name="_Toc35425138"/>
      <w:r>
        <w:rPr>
          <w:rFonts w:hint="eastAsia" w:eastAsia="黑体"/>
          <w:sz w:val="28"/>
          <w:szCs w:val="28"/>
        </w:rPr>
        <w:t xml:space="preserve"> 投标人</w:t>
      </w:r>
      <w:r>
        <w:rPr>
          <w:rFonts w:eastAsia="黑体"/>
          <w:sz w:val="28"/>
          <w:szCs w:val="28"/>
        </w:rPr>
        <w:t>：</w:t>
      </w:r>
      <w:r>
        <w:rPr>
          <w:rFonts w:eastAsia="黑体"/>
          <w:sz w:val="28"/>
          <w:szCs w:val="28"/>
          <w:u w:val="single"/>
        </w:rPr>
        <w:t xml:space="preserve">               </w:t>
      </w:r>
      <w:r>
        <w:rPr>
          <w:rFonts w:hint="eastAsia" w:eastAsia="黑体"/>
          <w:sz w:val="28"/>
          <w:szCs w:val="28"/>
          <w:u w:val="single"/>
        </w:rPr>
        <w:t xml:space="preserve">    </w:t>
      </w:r>
      <w:r>
        <w:rPr>
          <w:rFonts w:eastAsia="黑体"/>
          <w:sz w:val="28"/>
          <w:szCs w:val="28"/>
          <w:u w:val="single"/>
        </w:rPr>
        <w:t xml:space="preserve">      </w:t>
      </w:r>
      <w:r>
        <w:rPr>
          <w:rFonts w:hint="eastAsia" w:eastAsia="黑体"/>
          <w:sz w:val="28"/>
          <w:szCs w:val="28"/>
          <w:u w:val="single"/>
        </w:rPr>
        <w:t xml:space="preserve">  </w:t>
      </w:r>
      <w:r>
        <w:rPr>
          <w:rFonts w:eastAsia="黑体"/>
          <w:sz w:val="28"/>
          <w:szCs w:val="28"/>
          <w:u w:val="single"/>
        </w:rPr>
        <w:t xml:space="preserve">       </w:t>
      </w:r>
      <w:r>
        <w:rPr>
          <w:rFonts w:eastAsia="黑体"/>
          <w:sz w:val="28"/>
          <w:szCs w:val="28"/>
        </w:rPr>
        <w:t>（</w:t>
      </w:r>
      <w:r>
        <w:rPr>
          <w:rFonts w:hint="eastAsia" w:eastAsia="黑体"/>
          <w:sz w:val="28"/>
          <w:szCs w:val="28"/>
        </w:rPr>
        <w:t>盖</w:t>
      </w:r>
      <w:r>
        <w:rPr>
          <w:rFonts w:eastAsia="黑体"/>
          <w:sz w:val="28"/>
          <w:szCs w:val="28"/>
        </w:rPr>
        <w:t>章）</w:t>
      </w:r>
    </w:p>
    <w:p w14:paraId="3B6C62B9">
      <w:pPr>
        <w:jc w:val="center"/>
        <w:rPr>
          <w:rFonts w:eastAsia="黑体"/>
          <w:sz w:val="28"/>
          <w:szCs w:val="28"/>
        </w:rPr>
      </w:pPr>
      <w:r>
        <w:rPr>
          <w:rFonts w:hint="eastAsia" w:eastAsia="黑体"/>
          <w:sz w:val="28"/>
          <w:szCs w:val="28"/>
        </w:rPr>
        <w:t xml:space="preserve">   </w:t>
      </w:r>
      <w:r>
        <w:rPr>
          <w:rFonts w:eastAsia="黑体"/>
          <w:sz w:val="28"/>
          <w:szCs w:val="28"/>
        </w:rPr>
        <w:t>法定代表人</w:t>
      </w:r>
      <w:r>
        <w:rPr>
          <w:rFonts w:hint="eastAsia" w:eastAsia="黑体"/>
          <w:sz w:val="28"/>
          <w:szCs w:val="28"/>
          <w:lang w:val="en-US" w:eastAsia="zh-CN"/>
        </w:rPr>
        <w:t>或授权委托人</w:t>
      </w:r>
      <w:r>
        <w:rPr>
          <w:rFonts w:eastAsia="黑体"/>
          <w:sz w:val="28"/>
          <w:szCs w:val="28"/>
        </w:rPr>
        <w:t>：</w:t>
      </w:r>
      <w:r>
        <w:rPr>
          <w:rFonts w:eastAsia="黑体"/>
          <w:sz w:val="28"/>
          <w:szCs w:val="28"/>
          <w:u w:val="single"/>
        </w:rPr>
        <w:t xml:space="preserve">         </w:t>
      </w:r>
      <w:r>
        <w:rPr>
          <w:rFonts w:hint="eastAsia" w:eastAsia="黑体"/>
          <w:sz w:val="28"/>
          <w:szCs w:val="28"/>
          <w:u w:val="single"/>
        </w:rPr>
        <w:t xml:space="preserve">         </w:t>
      </w:r>
      <w:r>
        <w:rPr>
          <w:rFonts w:eastAsia="黑体"/>
          <w:sz w:val="28"/>
          <w:szCs w:val="28"/>
          <w:u w:val="single"/>
        </w:rPr>
        <w:t xml:space="preserve">       </w:t>
      </w:r>
      <w:r>
        <w:rPr>
          <w:rFonts w:eastAsia="黑体"/>
          <w:sz w:val="28"/>
          <w:szCs w:val="28"/>
        </w:rPr>
        <w:t>（</w:t>
      </w:r>
      <w:r>
        <w:rPr>
          <w:rFonts w:hint="eastAsia" w:eastAsia="黑体"/>
          <w:sz w:val="28"/>
          <w:szCs w:val="28"/>
        </w:rPr>
        <w:t>签字或盖章</w:t>
      </w:r>
      <w:r>
        <w:rPr>
          <w:rFonts w:eastAsia="黑体"/>
          <w:sz w:val="28"/>
          <w:szCs w:val="28"/>
        </w:rPr>
        <w:t>）</w:t>
      </w:r>
    </w:p>
    <w:p w14:paraId="1FCEEEFE">
      <w:pPr>
        <w:jc w:val="center"/>
        <w:rPr>
          <w:rFonts w:eastAsia="黑体"/>
          <w:sz w:val="28"/>
          <w:szCs w:val="28"/>
          <w:highlight w:val="none"/>
        </w:rPr>
      </w:pPr>
      <w:r>
        <w:rPr>
          <w:rFonts w:hint="eastAsia" w:eastAsia="黑体"/>
          <w:sz w:val="28"/>
          <w:szCs w:val="28"/>
          <w:highlight w:val="none"/>
          <w:u w:val="single"/>
        </w:rPr>
        <w:t xml:space="preserve">      </w:t>
      </w:r>
      <w:r>
        <w:rPr>
          <w:rFonts w:eastAsia="黑体"/>
          <w:sz w:val="28"/>
          <w:szCs w:val="28"/>
          <w:highlight w:val="none"/>
        </w:rPr>
        <w:t>年</w:t>
      </w:r>
      <w:r>
        <w:rPr>
          <w:rFonts w:hint="eastAsia" w:eastAsia="黑体"/>
          <w:sz w:val="28"/>
          <w:szCs w:val="28"/>
          <w:highlight w:val="none"/>
          <w:u w:val="single"/>
        </w:rPr>
        <w:t xml:space="preserve">     </w:t>
      </w:r>
      <w:r>
        <w:rPr>
          <w:rFonts w:eastAsia="黑体"/>
          <w:sz w:val="28"/>
          <w:szCs w:val="28"/>
          <w:highlight w:val="none"/>
        </w:rPr>
        <w:t>月</w:t>
      </w:r>
      <w:r>
        <w:rPr>
          <w:rFonts w:hint="eastAsia" w:eastAsia="黑体"/>
          <w:sz w:val="28"/>
          <w:szCs w:val="28"/>
          <w:highlight w:val="none"/>
          <w:u w:val="single"/>
        </w:rPr>
        <w:t xml:space="preserve">     </w:t>
      </w:r>
      <w:r>
        <w:rPr>
          <w:rFonts w:eastAsia="黑体"/>
          <w:sz w:val="28"/>
          <w:szCs w:val="28"/>
          <w:highlight w:val="none"/>
        </w:rPr>
        <w:t>日</w:t>
      </w:r>
    </w:p>
    <w:p w14:paraId="01D43AA9">
      <w:pPr>
        <w:spacing w:line="540" w:lineRule="exact"/>
        <w:rPr>
          <w:rStyle w:val="120"/>
          <w:rFonts w:ascii="宋体" w:hAnsi="宋体" w:cs="宋体"/>
          <w:sz w:val="32"/>
          <w:highlight w:val="none"/>
        </w:rPr>
      </w:pPr>
    </w:p>
    <w:p w14:paraId="43AB31C5">
      <w:pPr>
        <w:spacing w:beforeLines="50" w:afterLines="50" w:line="440" w:lineRule="exact"/>
        <w:ind w:firstLine="643" w:firstLineChars="200"/>
        <w:jc w:val="left"/>
        <w:rPr>
          <w:rStyle w:val="120"/>
          <w:rFonts w:ascii="宋体" w:hAnsi="宋体" w:cs="宋体"/>
          <w:sz w:val="32"/>
          <w:highlight w:val="none"/>
        </w:rPr>
      </w:pPr>
      <w:bookmarkStart w:id="913" w:name="_Toc78803400"/>
      <w:r>
        <w:rPr>
          <w:rStyle w:val="120"/>
          <w:rFonts w:hint="eastAsia" w:ascii="宋体" w:hAnsi="宋体" w:cs="宋体"/>
          <w:sz w:val="32"/>
          <w:highlight w:val="none"/>
        </w:rPr>
        <w:br w:type="page"/>
      </w:r>
      <w:r>
        <w:rPr>
          <w:rStyle w:val="120"/>
          <w:rFonts w:hint="eastAsia" w:ascii="宋体" w:hAnsi="宋体" w:cs="宋体"/>
          <w:sz w:val="32"/>
          <w:highlight w:val="none"/>
        </w:rPr>
        <w:t>投标文件二</w:t>
      </w:r>
      <w:bookmarkEnd w:id="910"/>
      <w:bookmarkEnd w:id="911"/>
      <w:bookmarkEnd w:id="912"/>
      <w:r>
        <w:rPr>
          <w:rStyle w:val="120"/>
          <w:rFonts w:hint="eastAsia" w:ascii="宋体" w:hAnsi="宋体" w:cs="宋体"/>
          <w:sz w:val="32"/>
          <w:highlight w:val="none"/>
        </w:rPr>
        <w:t>：技术标目录</w:t>
      </w:r>
      <w:bookmarkEnd w:id="913"/>
    </w:p>
    <w:p w14:paraId="1F879446">
      <w:pPr>
        <w:spacing w:line="300" w:lineRule="exact"/>
        <w:ind w:firstLine="420" w:firstLineChars="200"/>
        <w:jc w:val="left"/>
        <w:rPr>
          <w:rFonts w:hint="eastAsia" w:eastAsiaTheme="minorEastAsia"/>
          <w:b/>
          <w:color w:val="auto"/>
          <w:sz w:val="24"/>
          <w:highlight w:val="none"/>
          <w:lang w:eastAsia="zh-CN"/>
        </w:rPr>
      </w:pPr>
      <w:r>
        <w:rPr>
          <w:rFonts w:hint="eastAsia" w:ascii="宋体" w:hAnsi="宋体" w:cs="宋体"/>
          <w:bCs/>
          <w:color w:val="auto"/>
          <w:szCs w:val="21"/>
          <w:highlight w:val="none"/>
        </w:rPr>
        <w:t>（1）服务方案</w:t>
      </w:r>
      <w:r>
        <w:rPr>
          <w:rFonts w:hint="eastAsia" w:ascii="宋体" w:hAnsi="宋体" w:cs="宋体"/>
          <w:bCs/>
          <w:color w:val="auto"/>
          <w:szCs w:val="21"/>
          <w:highlight w:val="none"/>
          <w:lang w:eastAsia="zh-CN"/>
        </w:rPr>
        <w:t>。</w:t>
      </w:r>
    </w:p>
    <w:p w14:paraId="2BA6FF04">
      <w:pPr>
        <w:spacing w:line="360" w:lineRule="auto"/>
        <w:ind w:firstLine="420" w:firstLineChars="200"/>
        <w:rPr>
          <w:rFonts w:ascii="宋体" w:hAnsi="宋体"/>
          <w:szCs w:val="21"/>
          <w:highlight w:val="none"/>
        </w:rPr>
      </w:pPr>
    </w:p>
    <w:p w14:paraId="69D4CBBC">
      <w:pPr>
        <w:rPr>
          <w:highlight w:val="none"/>
        </w:rPr>
      </w:pPr>
    </w:p>
    <w:p w14:paraId="21D31989">
      <w:pPr>
        <w:rPr>
          <w:highlight w:val="none"/>
        </w:rPr>
      </w:pPr>
    </w:p>
    <w:p w14:paraId="213E9083">
      <w:pPr>
        <w:pStyle w:val="16"/>
        <w:rPr>
          <w:highlight w:val="none"/>
        </w:rPr>
      </w:pPr>
      <w:r>
        <w:rPr>
          <w:highlight w:val="none"/>
        </w:rPr>
        <w:br w:type="page"/>
      </w:r>
    </w:p>
    <w:p w14:paraId="7E41CCC7">
      <w:pPr>
        <w:rPr>
          <w:highlight w:val="none"/>
        </w:rPr>
      </w:pPr>
    </w:p>
    <w:p w14:paraId="52F921F7">
      <w:pPr>
        <w:jc w:val="center"/>
        <w:rPr>
          <w:rFonts w:eastAsia="黑体"/>
          <w:sz w:val="20"/>
          <w:szCs w:val="20"/>
          <w:highlight w:val="none"/>
        </w:rPr>
      </w:pPr>
      <w:r>
        <w:rPr>
          <w:rFonts w:eastAsia="黑体"/>
          <w:sz w:val="28"/>
          <w:szCs w:val="28"/>
          <w:highlight w:val="none"/>
        </w:rPr>
        <w:t>（项目名称）</w:t>
      </w:r>
    </w:p>
    <w:p w14:paraId="1CB3AF7F">
      <w:pPr>
        <w:jc w:val="center"/>
        <w:rPr>
          <w:rFonts w:eastAsia="黑体"/>
          <w:sz w:val="20"/>
          <w:szCs w:val="20"/>
          <w:highlight w:val="none"/>
        </w:rPr>
      </w:pPr>
    </w:p>
    <w:p w14:paraId="7F67D925">
      <w:pPr>
        <w:rPr>
          <w:rFonts w:eastAsia="黑体"/>
          <w:sz w:val="20"/>
          <w:szCs w:val="20"/>
          <w:highlight w:val="none"/>
        </w:rPr>
      </w:pPr>
    </w:p>
    <w:p w14:paraId="5AE9D7EA">
      <w:pPr>
        <w:jc w:val="center"/>
        <w:rPr>
          <w:rFonts w:eastAsia="黑体"/>
          <w:sz w:val="44"/>
          <w:szCs w:val="44"/>
          <w:highlight w:val="none"/>
        </w:rPr>
      </w:pPr>
      <w:r>
        <w:rPr>
          <w:rFonts w:eastAsia="黑体"/>
          <w:sz w:val="44"/>
          <w:szCs w:val="44"/>
          <w:highlight w:val="none"/>
        </w:rPr>
        <w:t>投  标  文  件</w:t>
      </w:r>
      <w:r>
        <w:rPr>
          <w:rFonts w:hint="eastAsia" w:eastAsia="黑体"/>
          <w:sz w:val="44"/>
          <w:szCs w:val="44"/>
          <w:highlight w:val="none"/>
        </w:rPr>
        <w:t xml:space="preserve">  三</w:t>
      </w:r>
    </w:p>
    <w:p w14:paraId="4D9A83AD">
      <w:pPr>
        <w:jc w:val="center"/>
        <w:rPr>
          <w:rFonts w:eastAsia="黑体"/>
          <w:sz w:val="44"/>
          <w:szCs w:val="44"/>
          <w:highlight w:val="none"/>
        </w:rPr>
      </w:pPr>
      <w:r>
        <w:rPr>
          <w:rFonts w:hint="eastAsia" w:eastAsia="黑体"/>
          <w:sz w:val="44"/>
          <w:szCs w:val="44"/>
          <w:highlight w:val="none"/>
        </w:rPr>
        <w:t>（商务标文件）</w:t>
      </w:r>
    </w:p>
    <w:p w14:paraId="00AD4571">
      <w:pPr>
        <w:rPr>
          <w:rFonts w:eastAsia="黑体"/>
          <w:sz w:val="28"/>
          <w:szCs w:val="28"/>
          <w:highlight w:val="none"/>
        </w:rPr>
      </w:pPr>
    </w:p>
    <w:p w14:paraId="03FF9373">
      <w:pPr>
        <w:rPr>
          <w:rFonts w:eastAsia="黑体"/>
          <w:sz w:val="28"/>
          <w:szCs w:val="28"/>
          <w:highlight w:val="none"/>
        </w:rPr>
      </w:pPr>
    </w:p>
    <w:p w14:paraId="6F4198FD">
      <w:pPr>
        <w:rPr>
          <w:rFonts w:eastAsia="黑体"/>
          <w:sz w:val="28"/>
          <w:szCs w:val="28"/>
          <w:highlight w:val="none"/>
        </w:rPr>
      </w:pPr>
    </w:p>
    <w:p w14:paraId="18D553B1">
      <w:pPr>
        <w:rPr>
          <w:rFonts w:eastAsia="黑体"/>
          <w:sz w:val="28"/>
          <w:szCs w:val="28"/>
          <w:highlight w:val="none"/>
        </w:rPr>
      </w:pPr>
    </w:p>
    <w:p w14:paraId="0E5FE50F">
      <w:pPr>
        <w:rPr>
          <w:rFonts w:eastAsia="黑体"/>
          <w:sz w:val="28"/>
          <w:szCs w:val="28"/>
          <w:highlight w:val="none"/>
        </w:rPr>
      </w:pPr>
    </w:p>
    <w:p w14:paraId="74AFA9E2">
      <w:pPr>
        <w:rPr>
          <w:rFonts w:eastAsia="黑体"/>
          <w:sz w:val="28"/>
          <w:szCs w:val="28"/>
          <w:highlight w:val="none"/>
        </w:rPr>
      </w:pPr>
    </w:p>
    <w:p w14:paraId="078AB10D">
      <w:pPr>
        <w:rPr>
          <w:rFonts w:eastAsia="黑体"/>
          <w:sz w:val="28"/>
          <w:szCs w:val="28"/>
          <w:highlight w:val="none"/>
        </w:rPr>
      </w:pPr>
    </w:p>
    <w:p w14:paraId="5C03182B">
      <w:pPr>
        <w:rPr>
          <w:rFonts w:eastAsia="黑体"/>
          <w:sz w:val="28"/>
          <w:szCs w:val="28"/>
          <w:highlight w:val="none"/>
        </w:rPr>
      </w:pPr>
    </w:p>
    <w:p w14:paraId="50FB798D">
      <w:pPr>
        <w:rPr>
          <w:rFonts w:eastAsia="黑体"/>
          <w:sz w:val="28"/>
          <w:szCs w:val="28"/>
          <w:highlight w:val="none"/>
        </w:rPr>
      </w:pPr>
    </w:p>
    <w:p w14:paraId="0682BFC9">
      <w:pPr>
        <w:rPr>
          <w:rFonts w:eastAsia="黑体"/>
          <w:sz w:val="28"/>
          <w:szCs w:val="28"/>
          <w:highlight w:val="none"/>
        </w:rPr>
      </w:pPr>
    </w:p>
    <w:p w14:paraId="68117E32">
      <w:pPr>
        <w:rPr>
          <w:rFonts w:eastAsia="黑体"/>
          <w:sz w:val="28"/>
          <w:szCs w:val="28"/>
          <w:highlight w:val="none"/>
        </w:rPr>
      </w:pPr>
    </w:p>
    <w:p w14:paraId="038F9E36">
      <w:pPr>
        <w:jc w:val="center"/>
        <w:rPr>
          <w:rFonts w:eastAsia="黑体"/>
          <w:sz w:val="28"/>
          <w:szCs w:val="28"/>
          <w:u w:val="single"/>
        </w:rPr>
      </w:pPr>
      <w:r>
        <w:rPr>
          <w:rFonts w:hint="eastAsia" w:eastAsia="黑体"/>
          <w:sz w:val="28"/>
          <w:szCs w:val="28"/>
        </w:rPr>
        <w:t xml:space="preserve"> 投标人</w:t>
      </w:r>
      <w:r>
        <w:rPr>
          <w:rFonts w:eastAsia="黑体"/>
          <w:sz w:val="28"/>
          <w:szCs w:val="28"/>
        </w:rPr>
        <w:t>：</w:t>
      </w:r>
      <w:r>
        <w:rPr>
          <w:rFonts w:eastAsia="黑体"/>
          <w:sz w:val="28"/>
          <w:szCs w:val="28"/>
          <w:u w:val="single"/>
        </w:rPr>
        <w:t xml:space="preserve">               </w:t>
      </w:r>
      <w:r>
        <w:rPr>
          <w:rFonts w:hint="eastAsia" w:eastAsia="黑体"/>
          <w:sz w:val="28"/>
          <w:szCs w:val="28"/>
          <w:u w:val="single"/>
        </w:rPr>
        <w:t xml:space="preserve">    </w:t>
      </w:r>
      <w:r>
        <w:rPr>
          <w:rFonts w:eastAsia="黑体"/>
          <w:sz w:val="28"/>
          <w:szCs w:val="28"/>
          <w:u w:val="single"/>
        </w:rPr>
        <w:t xml:space="preserve">      </w:t>
      </w:r>
      <w:r>
        <w:rPr>
          <w:rFonts w:hint="eastAsia" w:eastAsia="黑体"/>
          <w:sz w:val="28"/>
          <w:szCs w:val="28"/>
          <w:u w:val="single"/>
        </w:rPr>
        <w:t xml:space="preserve">  </w:t>
      </w:r>
      <w:r>
        <w:rPr>
          <w:rFonts w:eastAsia="黑体"/>
          <w:sz w:val="28"/>
          <w:szCs w:val="28"/>
          <w:u w:val="single"/>
        </w:rPr>
        <w:t xml:space="preserve">       </w:t>
      </w:r>
      <w:r>
        <w:rPr>
          <w:rFonts w:eastAsia="黑体"/>
          <w:sz w:val="28"/>
          <w:szCs w:val="28"/>
        </w:rPr>
        <w:t>（</w:t>
      </w:r>
      <w:r>
        <w:rPr>
          <w:rFonts w:hint="eastAsia" w:eastAsia="黑体"/>
          <w:sz w:val="28"/>
          <w:szCs w:val="28"/>
        </w:rPr>
        <w:t>盖</w:t>
      </w:r>
      <w:r>
        <w:rPr>
          <w:rFonts w:eastAsia="黑体"/>
          <w:sz w:val="28"/>
          <w:szCs w:val="28"/>
        </w:rPr>
        <w:t>章）</w:t>
      </w:r>
    </w:p>
    <w:p w14:paraId="4CAB06D8">
      <w:pPr>
        <w:jc w:val="center"/>
        <w:rPr>
          <w:rFonts w:eastAsia="黑体"/>
          <w:sz w:val="28"/>
          <w:szCs w:val="28"/>
        </w:rPr>
      </w:pPr>
      <w:r>
        <w:rPr>
          <w:rFonts w:hint="eastAsia" w:eastAsia="黑体"/>
          <w:sz w:val="28"/>
          <w:szCs w:val="28"/>
        </w:rPr>
        <w:t xml:space="preserve">   </w:t>
      </w:r>
      <w:r>
        <w:rPr>
          <w:rFonts w:eastAsia="黑体"/>
          <w:sz w:val="28"/>
          <w:szCs w:val="28"/>
        </w:rPr>
        <w:t>法定代表人</w:t>
      </w:r>
      <w:r>
        <w:rPr>
          <w:rFonts w:hint="eastAsia" w:eastAsia="黑体"/>
          <w:sz w:val="28"/>
          <w:szCs w:val="28"/>
          <w:lang w:val="en-US" w:eastAsia="zh-CN"/>
        </w:rPr>
        <w:t>或授权委托人</w:t>
      </w:r>
      <w:r>
        <w:rPr>
          <w:rFonts w:eastAsia="黑体"/>
          <w:sz w:val="28"/>
          <w:szCs w:val="28"/>
        </w:rPr>
        <w:t>：</w:t>
      </w:r>
      <w:r>
        <w:rPr>
          <w:rFonts w:eastAsia="黑体"/>
          <w:sz w:val="28"/>
          <w:szCs w:val="28"/>
          <w:u w:val="single"/>
        </w:rPr>
        <w:t xml:space="preserve">         </w:t>
      </w:r>
      <w:r>
        <w:rPr>
          <w:rFonts w:hint="eastAsia" w:eastAsia="黑体"/>
          <w:sz w:val="28"/>
          <w:szCs w:val="28"/>
          <w:u w:val="single"/>
        </w:rPr>
        <w:t xml:space="preserve">         </w:t>
      </w:r>
      <w:r>
        <w:rPr>
          <w:rFonts w:eastAsia="黑体"/>
          <w:sz w:val="28"/>
          <w:szCs w:val="28"/>
          <w:u w:val="single"/>
        </w:rPr>
        <w:t xml:space="preserve">       </w:t>
      </w:r>
      <w:r>
        <w:rPr>
          <w:rFonts w:eastAsia="黑体"/>
          <w:sz w:val="28"/>
          <w:szCs w:val="28"/>
        </w:rPr>
        <w:t>（</w:t>
      </w:r>
      <w:r>
        <w:rPr>
          <w:rFonts w:hint="eastAsia" w:eastAsia="黑体"/>
          <w:sz w:val="28"/>
          <w:szCs w:val="28"/>
        </w:rPr>
        <w:t>签字或盖章</w:t>
      </w:r>
      <w:r>
        <w:rPr>
          <w:rFonts w:eastAsia="黑体"/>
          <w:sz w:val="28"/>
          <w:szCs w:val="28"/>
        </w:rPr>
        <w:t>）</w:t>
      </w:r>
    </w:p>
    <w:p w14:paraId="350C1BB2">
      <w:pPr>
        <w:jc w:val="center"/>
        <w:rPr>
          <w:rFonts w:eastAsia="黑体"/>
          <w:sz w:val="28"/>
          <w:szCs w:val="28"/>
          <w:highlight w:val="none"/>
        </w:rPr>
      </w:pPr>
      <w:r>
        <w:rPr>
          <w:rFonts w:hint="eastAsia" w:eastAsia="黑体"/>
          <w:sz w:val="28"/>
          <w:szCs w:val="28"/>
          <w:highlight w:val="none"/>
          <w:u w:val="single"/>
        </w:rPr>
        <w:t xml:space="preserve">      </w:t>
      </w:r>
      <w:r>
        <w:rPr>
          <w:rFonts w:eastAsia="黑体"/>
          <w:sz w:val="28"/>
          <w:szCs w:val="28"/>
          <w:highlight w:val="none"/>
        </w:rPr>
        <w:t>年</w:t>
      </w:r>
      <w:r>
        <w:rPr>
          <w:rFonts w:hint="eastAsia" w:eastAsia="黑体"/>
          <w:sz w:val="28"/>
          <w:szCs w:val="28"/>
          <w:highlight w:val="none"/>
          <w:u w:val="single"/>
        </w:rPr>
        <w:t xml:space="preserve">     </w:t>
      </w:r>
      <w:r>
        <w:rPr>
          <w:rFonts w:eastAsia="黑体"/>
          <w:sz w:val="28"/>
          <w:szCs w:val="28"/>
          <w:highlight w:val="none"/>
        </w:rPr>
        <w:t>月</w:t>
      </w:r>
      <w:r>
        <w:rPr>
          <w:rFonts w:hint="eastAsia" w:eastAsia="黑体"/>
          <w:sz w:val="28"/>
          <w:szCs w:val="28"/>
          <w:highlight w:val="none"/>
          <w:u w:val="single"/>
        </w:rPr>
        <w:t xml:space="preserve">     </w:t>
      </w:r>
      <w:r>
        <w:rPr>
          <w:rFonts w:eastAsia="黑体"/>
          <w:sz w:val="28"/>
          <w:szCs w:val="28"/>
          <w:highlight w:val="none"/>
        </w:rPr>
        <w:t>日</w:t>
      </w:r>
    </w:p>
    <w:p w14:paraId="2EE77B13">
      <w:pPr>
        <w:rPr>
          <w:highlight w:val="none"/>
        </w:rPr>
      </w:pPr>
    </w:p>
    <w:p w14:paraId="2F4494A4">
      <w:pPr>
        <w:pStyle w:val="14"/>
        <w:ind w:firstLine="420"/>
        <w:rPr>
          <w:highlight w:val="none"/>
        </w:rPr>
      </w:pPr>
    </w:p>
    <w:p w14:paraId="3AB72A24">
      <w:pPr>
        <w:rPr>
          <w:highlight w:val="none"/>
        </w:rPr>
      </w:pPr>
    </w:p>
    <w:p w14:paraId="60A767E1">
      <w:pPr>
        <w:spacing w:beforeLines="50" w:afterLines="50" w:line="440" w:lineRule="exact"/>
        <w:ind w:firstLine="643" w:firstLineChars="200"/>
        <w:jc w:val="left"/>
        <w:rPr>
          <w:rStyle w:val="120"/>
          <w:rFonts w:ascii="宋体" w:hAnsi="宋体" w:cs="宋体"/>
          <w:sz w:val="32"/>
          <w:highlight w:val="none"/>
        </w:rPr>
      </w:pPr>
      <w:bookmarkStart w:id="914" w:name="_Toc19174"/>
      <w:bookmarkStart w:id="915" w:name="_Toc35425139"/>
      <w:bookmarkStart w:id="916" w:name="_Toc35424973"/>
      <w:bookmarkStart w:id="917" w:name="_Toc78803401"/>
      <w:r>
        <w:rPr>
          <w:rStyle w:val="120"/>
          <w:rFonts w:hint="eastAsia" w:ascii="宋体" w:hAnsi="宋体" w:cs="宋体"/>
          <w:sz w:val="32"/>
          <w:highlight w:val="none"/>
        </w:rPr>
        <w:br w:type="page"/>
      </w:r>
      <w:r>
        <w:rPr>
          <w:rStyle w:val="120"/>
          <w:rFonts w:hint="eastAsia" w:ascii="宋体" w:hAnsi="宋体" w:cs="宋体"/>
          <w:sz w:val="32"/>
          <w:highlight w:val="none"/>
        </w:rPr>
        <w:t>投标文件三</w:t>
      </w:r>
      <w:bookmarkEnd w:id="914"/>
      <w:bookmarkEnd w:id="915"/>
      <w:bookmarkEnd w:id="916"/>
      <w:r>
        <w:rPr>
          <w:rStyle w:val="120"/>
          <w:rFonts w:hint="eastAsia" w:ascii="宋体" w:hAnsi="宋体" w:cs="宋体"/>
          <w:sz w:val="32"/>
          <w:highlight w:val="none"/>
        </w:rPr>
        <w:t>：商务标目录</w:t>
      </w:r>
      <w:bookmarkEnd w:id="917"/>
    </w:p>
    <w:p w14:paraId="74D94105">
      <w:pPr>
        <w:spacing w:line="440" w:lineRule="exact"/>
        <w:ind w:firstLine="420" w:firstLineChars="200"/>
        <w:jc w:val="left"/>
        <w:rPr>
          <w:rFonts w:ascii="宋体" w:hAnsi="宋体" w:cs="宋体"/>
          <w:highlight w:val="none"/>
        </w:rPr>
      </w:pPr>
      <w:r>
        <w:rPr>
          <w:rFonts w:hint="eastAsia" w:ascii="宋体" w:hAnsi="宋体" w:cs="宋体"/>
          <w:highlight w:val="none"/>
        </w:rPr>
        <w:t>（1）投标函（格式见附件）</w:t>
      </w:r>
      <w:r>
        <w:rPr>
          <w:rFonts w:hint="eastAsia" w:ascii="宋体" w:hAnsi="宋体" w:cs="宋体"/>
          <w:highlight w:val="none"/>
          <w:lang w:eastAsia="zh-CN"/>
        </w:rPr>
        <w:t>。</w:t>
      </w:r>
      <w:r>
        <w:rPr>
          <w:rFonts w:hint="eastAsia" w:ascii="宋体" w:hAnsi="宋体" w:cs="宋体"/>
          <w:highlight w:val="none"/>
        </w:rPr>
        <w:t xml:space="preserve">  </w:t>
      </w:r>
    </w:p>
    <w:p w14:paraId="15662A50">
      <w:pPr>
        <w:spacing w:line="540" w:lineRule="exact"/>
        <w:rPr>
          <w:highlight w:val="none"/>
        </w:rPr>
      </w:pPr>
    </w:p>
    <w:p w14:paraId="03122088">
      <w:pPr>
        <w:spacing w:line="540" w:lineRule="exact"/>
        <w:rPr>
          <w:rFonts w:eastAsia="黑体"/>
          <w:sz w:val="20"/>
          <w:szCs w:val="20"/>
          <w:highlight w:val="none"/>
        </w:rPr>
      </w:pPr>
    </w:p>
    <w:p w14:paraId="3338FC9F">
      <w:pPr>
        <w:spacing w:line="540" w:lineRule="exact"/>
        <w:rPr>
          <w:rFonts w:eastAsia="黑体"/>
          <w:sz w:val="20"/>
          <w:szCs w:val="20"/>
          <w:highlight w:val="none"/>
        </w:rPr>
      </w:pPr>
    </w:p>
    <w:p w14:paraId="3D5F9903">
      <w:pPr>
        <w:spacing w:line="540" w:lineRule="exact"/>
        <w:rPr>
          <w:rFonts w:eastAsia="黑体"/>
          <w:sz w:val="20"/>
          <w:szCs w:val="20"/>
          <w:highlight w:val="none"/>
        </w:rPr>
      </w:pPr>
    </w:p>
    <w:p w14:paraId="6FEF5B0D">
      <w:pPr>
        <w:spacing w:line="360" w:lineRule="auto"/>
        <w:ind w:firstLine="420" w:firstLineChars="200"/>
        <w:jc w:val="right"/>
        <w:rPr>
          <w:szCs w:val="21"/>
          <w:highlight w:val="none"/>
          <w:u w:val="single"/>
        </w:rPr>
      </w:pPr>
    </w:p>
    <w:p w14:paraId="70F20168">
      <w:pPr>
        <w:spacing w:line="360" w:lineRule="auto"/>
        <w:ind w:firstLine="420" w:firstLineChars="200"/>
        <w:jc w:val="right"/>
        <w:rPr>
          <w:szCs w:val="21"/>
          <w:highlight w:val="none"/>
          <w:u w:val="single"/>
        </w:rPr>
      </w:pPr>
    </w:p>
    <w:p w14:paraId="5BDCA848">
      <w:pPr>
        <w:spacing w:line="360" w:lineRule="auto"/>
        <w:ind w:firstLine="420" w:firstLineChars="200"/>
        <w:jc w:val="right"/>
        <w:rPr>
          <w:szCs w:val="21"/>
          <w:highlight w:val="none"/>
          <w:u w:val="single"/>
        </w:rPr>
      </w:pPr>
    </w:p>
    <w:p w14:paraId="5B4A47D5">
      <w:pPr>
        <w:spacing w:line="360" w:lineRule="auto"/>
        <w:ind w:firstLine="420" w:firstLineChars="200"/>
        <w:jc w:val="right"/>
        <w:rPr>
          <w:szCs w:val="21"/>
          <w:highlight w:val="none"/>
          <w:u w:val="single"/>
        </w:rPr>
      </w:pPr>
    </w:p>
    <w:p w14:paraId="6AF87BBA">
      <w:pPr>
        <w:spacing w:line="360" w:lineRule="auto"/>
        <w:ind w:firstLine="420" w:firstLineChars="200"/>
        <w:jc w:val="right"/>
        <w:rPr>
          <w:szCs w:val="21"/>
          <w:highlight w:val="none"/>
          <w:u w:val="single"/>
        </w:rPr>
      </w:pPr>
    </w:p>
    <w:p w14:paraId="49A7FE35">
      <w:pPr>
        <w:spacing w:line="360" w:lineRule="auto"/>
        <w:ind w:firstLine="420" w:firstLineChars="200"/>
        <w:jc w:val="right"/>
        <w:rPr>
          <w:szCs w:val="21"/>
          <w:highlight w:val="none"/>
          <w:u w:val="single"/>
        </w:rPr>
      </w:pPr>
    </w:p>
    <w:p w14:paraId="7EAE036F">
      <w:pPr>
        <w:spacing w:line="360" w:lineRule="auto"/>
        <w:ind w:firstLine="420" w:firstLineChars="200"/>
        <w:jc w:val="right"/>
        <w:rPr>
          <w:szCs w:val="21"/>
          <w:highlight w:val="none"/>
          <w:u w:val="single"/>
        </w:rPr>
      </w:pPr>
    </w:p>
    <w:p w14:paraId="39D3A8B9">
      <w:pPr>
        <w:spacing w:line="360" w:lineRule="auto"/>
        <w:ind w:firstLine="420" w:firstLineChars="200"/>
        <w:jc w:val="right"/>
        <w:rPr>
          <w:szCs w:val="21"/>
          <w:highlight w:val="none"/>
          <w:u w:val="single"/>
        </w:rPr>
      </w:pPr>
    </w:p>
    <w:p w14:paraId="042B576F">
      <w:pPr>
        <w:jc w:val="center"/>
        <w:rPr>
          <w:b/>
          <w:sz w:val="32"/>
          <w:szCs w:val="32"/>
          <w:highlight w:val="none"/>
        </w:rPr>
      </w:pPr>
    </w:p>
    <w:p w14:paraId="29EE3D81">
      <w:pPr>
        <w:jc w:val="center"/>
        <w:rPr>
          <w:b/>
          <w:sz w:val="32"/>
          <w:szCs w:val="32"/>
          <w:highlight w:val="none"/>
        </w:rPr>
      </w:pPr>
    </w:p>
    <w:p w14:paraId="569DA32B">
      <w:pPr>
        <w:jc w:val="center"/>
        <w:rPr>
          <w:b/>
          <w:sz w:val="32"/>
          <w:szCs w:val="32"/>
          <w:highlight w:val="none"/>
        </w:rPr>
      </w:pPr>
    </w:p>
    <w:p w14:paraId="30415CF4">
      <w:pPr>
        <w:jc w:val="center"/>
        <w:rPr>
          <w:b/>
          <w:sz w:val="32"/>
          <w:szCs w:val="32"/>
          <w:highlight w:val="none"/>
        </w:rPr>
      </w:pPr>
    </w:p>
    <w:p w14:paraId="1AAF50B0">
      <w:pPr>
        <w:jc w:val="center"/>
        <w:rPr>
          <w:b/>
          <w:sz w:val="32"/>
          <w:szCs w:val="32"/>
          <w:highlight w:val="none"/>
        </w:rPr>
      </w:pPr>
    </w:p>
    <w:p w14:paraId="5BCCA520">
      <w:pPr>
        <w:jc w:val="center"/>
        <w:rPr>
          <w:b/>
          <w:sz w:val="32"/>
          <w:szCs w:val="32"/>
          <w:highlight w:val="none"/>
        </w:rPr>
      </w:pPr>
    </w:p>
    <w:p w14:paraId="194A658F">
      <w:pPr>
        <w:jc w:val="center"/>
        <w:rPr>
          <w:b/>
          <w:sz w:val="32"/>
          <w:szCs w:val="32"/>
          <w:highlight w:val="none"/>
        </w:rPr>
      </w:pPr>
    </w:p>
    <w:p w14:paraId="3F1030A3">
      <w:pPr>
        <w:spacing w:line="360" w:lineRule="auto"/>
        <w:rPr>
          <w:b/>
          <w:bCs/>
          <w:sz w:val="32"/>
          <w:szCs w:val="32"/>
          <w:highlight w:val="none"/>
        </w:rPr>
      </w:pPr>
    </w:p>
    <w:p w14:paraId="5D358DCD">
      <w:pPr>
        <w:jc w:val="center"/>
        <w:rPr>
          <w:rFonts w:ascii="宋体" w:hAnsi="宋体"/>
          <w:b/>
          <w:sz w:val="32"/>
          <w:szCs w:val="32"/>
          <w:highlight w:val="none"/>
        </w:rPr>
      </w:pPr>
      <w:r>
        <w:rPr>
          <w:rFonts w:hint="eastAsia" w:ascii="宋体" w:hAnsi="宋体"/>
          <w:b/>
          <w:sz w:val="32"/>
          <w:szCs w:val="32"/>
          <w:highlight w:val="none"/>
        </w:rPr>
        <w:br w:type="page"/>
      </w:r>
      <w:r>
        <w:rPr>
          <w:rFonts w:hint="eastAsia" w:ascii="宋体" w:hAnsi="宋体"/>
          <w:b/>
          <w:sz w:val="32"/>
          <w:szCs w:val="32"/>
          <w:highlight w:val="none"/>
        </w:rPr>
        <w:t>（1）投 标 函</w:t>
      </w:r>
    </w:p>
    <w:p w14:paraId="246EE23D">
      <w:pPr>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hint="eastAsia" w:ascii="宋体" w:hAnsi="宋体" w:eastAsia="宋体" w:cs="宋体"/>
          <w:color w:val="auto"/>
        </w:rPr>
      </w:pPr>
      <w:bookmarkStart w:id="918" w:name="_Toc35424974"/>
      <w:bookmarkStart w:id="919" w:name="_Toc506107366"/>
      <w:bookmarkStart w:id="920" w:name="_Toc35425140"/>
      <w:bookmarkStart w:id="921" w:name="_Toc15058950"/>
      <w:r>
        <w:rPr>
          <w:rFonts w:hint="eastAsia" w:ascii="宋体" w:hAnsi="宋体" w:eastAsia="宋体" w:cs="宋体"/>
          <w:b/>
          <w:bCs/>
          <w:color w:val="auto"/>
        </w:rPr>
        <w:t>致 ：</w:t>
      </w:r>
      <w:r>
        <w:rPr>
          <w:rFonts w:hint="eastAsia" w:ascii="宋体" w:hAnsi="宋体" w:eastAsia="宋体" w:cs="宋体"/>
          <w:b/>
          <w:bCs/>
          <w:color w:val="auto"/>
          <w:u w:val="single"/>
          <w:lang w:val="en-US" w:eastAsia="zh-CN"/>
        </w:rPr>
        <w:t xml:space="preserve">       （招标人） </w:t>
      </w:r>
      <w:r>
        <w:rPr>
          <w:rFonts w:hint="eastAsia" w:ascii="宋体" w:hAnsi="宋体" w:eastAsia="宋体" w:cs="宋体"/>
          <w:color w:val="auto"/>
        </w:rPr>
        <w:t xml:space="preserve">：  </w:t>
      </w:r>
    </w:p>
    <w:p w14:paraId="34202DD2">
      <w:pPr>
        <w:keepNext w:val="0"/>
        <w:keepLines w:val="0"/>
        <w:pageBreakBefore w:val="0"/>
        <w:widowControl w:val="0"/>
        <w:kinsoku/>
        <w:wordWrap/>
        <w:overflowPunct/>
        <w:topLinePunct w:val="0"/>
        <w:autoSpaceDE/>
        <w:autoSpaceDN/>
        <w:bidi w:val="0"/>
        <w:adjustRightInd/>
        <w:snapToGrid/>
        <w:spacing w:line="460" w:lineRule="exact"/>
        <w:ind w:firstLine="525" w:firstLineChars="250"/>
        <w:jc w:val="left"/>
        <w:textAlignment w:val="auto"/>
        <w:rPr>
          <w:rFonts w:hint="eastAsia" w:ascii="宋体" w:hAnsi="宋体" w:eastAsia="宋体" w:cs="宋体"/>
          <w:color w:val="auto"/>
          <w:lang w:eastAsia="zh-CN"/>
        </w:rPr>
      </w:pPr>
      <w:r>
        <w:rPr>
          <w:rFonts w:hint="eastAsia" w:ascii="宋体" w:hAnsi="宋体" w:eastAsia="宋体" w:cs="宋体"/>
          <w:color w:val="auto"/>
        </w:rPr>
        <w:t>我们决定参加贵单位组织的“</w:t>
      </w:r>
      <w:r>
        <w:rPr>
          <w:rFonts w:hint="eastAsia" w:ascii="宋体" w:hAnsi="宋体" w:eastAsia="宋体" w:cs="宋体"/>
          <w:color w:val="auto"/>
          <w:u w:val="single"/>
          <w:lang w:val="en-US" w:eastAsia="zh-CN"/>
        </w:rPr>
        <w:t xml:space="preserve">                   （项目名称）</w:t>
      </w:r>
      <w:r>
        <w:rPr>
          <w:rFonts w:hint="eastAsia" w:ascii="宋体" w:hAnsi="宋体" w:eastAsia="宋体" w:cs="宋体"/>
          <w:color w:val="auto"/>
        </w:rPr>
        <w:t xml:space="preserve">”的项目。我方授权 </w:t>
      </w:r>
      <w:r>
        <w:rPr>
          <w:rFonts w:hint="eastAsia" w:ascii="宋体" w:hAnsi="宋体" w:eastAsia="宋体" w:cs="宋体"/>
          <w:color w:val="auto"/>
          <w:u w:val="single"/>
        </w:rPr>
        <w:t xml:space="preserve">              </w:t>
      </w:r>
      <w:r>
        <w:rPr>
          <w:rFonts w:hint="eastAsia" w:ascii="宋体" w:hAnsi="宋体" w:eastAsia="宋体" w:cs="宋体"/>
          <w:color w:val="auto"/>
        </w:rPr>
        <w:t xml:space="preserve"> (</w:t>
      </w:r>
      <w:r>
        <w:rPr>
          <w:rFonts w:hint="eastAsia" w:ascii="宋体" w:hAnsi="宋体" w:eastAsia="宋体" w:cs="宋体"/>
          <w:color w:val="auto"/>
          <w:u w:val="none"/>
        </w:rPr>
        <w:t>姓名和职务</w:t>
      </w:r>
      <w:r>
        <w:rPr>
          <w:rFonts w:hint="eastAsia" w:ascii="宋体" w:hAnsi="宋体" w:eastAsia="宋体" w:cs="宋体"/>
          <w:color w:val="auto"/>
        </w:rPr>
        <w:t xml:space="preserve">)代表我方 </w:t>
      </w:r>
      <w:r>
        <w:rPr>
          <w:rFonts w:hint="eastAsia" w:ascii="宋体" w:hAnsi="宋体" w:eastAsia="宋体" w:cs="宋体"/>
          <w:color w:val="auto"/>
          <w:u w:val="single"/>
        </w:rPr>
        <w:t xml:space="preserve">             </w:t>
      </w:r>
      <w:r>
        <w:rPr>
          <w:rFonts w:hint="eastAsia" w:ascii="宋体" w:hAnsi="宋体" w:eastAsia="宋体" w:cs="宋体"/>
          <w:color w:val="auto"/>
        </w:rPr>
        <w:t xml:space="preserve">（投标单位的名称）全权处理本项目投标的有关事宜 </w:t>
      </w:r>
      <w:r>
        <w:rPr>
          <w:rFonts w:hint="eastAsia" w:ascii="宋体" w:hAnsi="宋体" w:eastAsia="宋体" w:cs="宋体"/>
          <w:color w:val="auto"/>
          <w:lang w:eastAsia="zh-CN"/>
        </w:rPr>
        <w:t>。</w:t>
      </w:r>
    </w:p>
    <w:p w14:paraId="5755BA4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lang w:val="en-US"/>
        </w:rPr>
      </w:pPr>
      <w:r>
        <w:rPr>
          <w:rFonts w:hint="eastAsia" w:ascii="宋体" w:hAnsi="宋体" w:cs="宋体"/>
          <w:color w:val="auto"/>
          <w:sz w:val="21"/>
          <w:szCs w:val="21"/>
          <w:lang w:val="en-US" w:eastAsia="zh-CN"/>
        </w:rPr>
        <w:t>1、</w:t>
      </w:r>
      <w:r>
        <w:rPr>
          <w:rFonts w:hint="eastAsia" w:ascii="宋体" w:hAnsi="宋体" w:eastAsia="宋体" w:cs="宋体"/>
          <w:color w:val="auto"/>
          <w:sz w:val="21"/>
          <w:szCs w:val="21"/>
        </w:rPr>
        <w:t>我们已仔细地研究了</w:t>
      </w:r>
      <w:r>
        <w:rPr>
          <w:rFonts w:hint="eastAsia" w:ascii="宋体" w:hAnsi="宋体" w:eastAsia="宋体" w:cs="宋体"/>
          <w:color w:val="auto"/>
          <w:sz w:val="21"/>
          <w:szCs w:val="21"/>
          <w:u w:val="single"/>
          <w:lang w:val="en-US" w:eastAsia="zh-CN"/>
        </w:rPr>
        <w:t xml:space="preserve">                （项目名称）</w:t>
      </w:r>
      <w:r>
        <w:rPr>
          <w:rFonts w:hint="eastAsia" w:ascii="宋体" w:hAnsi="宋体" w:eastAsia="宋体" w:cs="宋体"/>
          <w:color w:val="auto"/>
          <w:sz w:val="21"/>
          <w:szCs w:val="21"/>
        </w:rPr>
        <w:t>招标文件的全部内容，包括但不限于承包人须知合同条件、工作要求，以及全部补遗和澄清文件。我们已了解和审核了全部招标文件，并完全理解了招标文件</w:t>
      </w:r>
      <w:r>
        <w:rPr>
          <w:rFonts w:hint="eastAsia" w:ascii="宋体" w:hAnsi="宋体" w:eastAsia="宋体" w:cs="宋体"/>
          <w:color w:val="auto"/>
          <w:spacing w:val="-1"/>
          <w:sz w:val="21"/>
          <w:szCs w:val="21"/>
        </w:rPr>
        <w:t>规定的合同范围，工作要求，并考虑到了潜在所有风险。据此我方</w:t>
      </w:r>
      <w:r>
        <w:rPr>
          <w:rFonts w:hint="eastAsia" w:ascii="宋体" w:hAnsi="宋体" w:eastAsia="宋体" w:cs="宋体"/>
          <w:sz w:val="21"/>
          <w:szCs w:val="21"/>
          <w:highlight w:val="none"/>
        </w:rPr>
        <w:t>我方报价为</w:t>
      </w:r>
      <w:r>
        <w:rPr>
          <w:rFonts w:hint="eastAsia" w:ascii="宋体" w:hAnsi="宋体" w:eastAsia="宋体" w:cs="宋体"/>
          <w:b/>
          <w:bCs/>
          <w:sz w:val="21"/>
          <w:szCs w:val="21"/>
          <w:highlight w:val="none"/>
        </w:rPr>
        <w:t>基本费率</w:t>
      </w:r>
      <w:r>
        <w:rPr>
          <w:rFonts w:hint="eastAsia" w:ascii="宋体" w:hAnsi="宋体" w:eastAsia="宋体" w:cs="宋体"/>
          <w:b/>
          <w:bCs/>
          <w:sz w:val="21"/>
          <w:szCs w:val="21"/>
          <w:highlight w:val="none"/>
          <w:u w:val="single"/>
        </w:rPr>
        <w:t xml:space="preserve">      </w:t>
      </w:r>
      <w:r>
        <w:rPr>
          <w:rFonts w:hint="eastAsia" w:ascii="宋体" w:hAnsi="宋体" w:eastAsia="宋体" w:cs="宋体"/>
          <w:b/>
          <w:bCs/>
          <w:sz w:val="21"/>
          <w:szCs w:val="21"/>
          <w:highlight w:val="none"/>
        </w:rPr>
        <w:t>‰，审核成果费率1.50%。</w:t>
      </w:r>
      <w:r>
        <w:rPr>
          <w:rFonts w:hint="eastAsia" w:ascii="宋体" w:hAnsi="宋体" w:eastAsia="宋体" w:cs="宋体"/>
          <w:color w:val="auto"/>
          <w:sz w:val="21"/>
          <w:szCs w:val="21"/>
          <w:highlight w:val="none"/>
        </w:rPr>
        <w:t>服务期：</w:t>
      </w:r>
      <w:r>
        <w:rPr>
          <w:rFonts w:hint="eastAsia" w:ascii="宋体" w:hAnsi="宋体" w:eastAsia="宋体" w:cs="宋体"/>
          <w:color w:val="auto"/>
          <w:sz w:val="21"/>
          <w:szCs w:val="21"/>
          <w:highlight w:val="none"/>
          <w:lang w:val="en-US" w:eastAsia="zh-CN"/>
        </w:rPr>
        <w:t>自签订合同之日起至项目整体交付使用并出具经审核的审核成果文件止，总体服务期一年。</w:t>
      </w:r>
    </w:p>
    <w:p w14:paraId="7E63560F">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color w:val="auto"/>
        </w:rPr>
      </w:pPr>
      <w:r>
        <w:rPr>
          <w:rFonts w:hint="eastAsia" w:ascii="宋体" w:hAnsi="宋体" w:eastAsia="宋体" w:cs="宋体"/>
          <w:color w:val="auto"/>
        </w:rPr>
        <w:t>2、一旦我方中标，我方将派出</w:t>
      </w:r>
      <w:r>
        <w:rPr>
          <w:rFonts w:hint="eastAsia" w:ascii="宋体" w:hAnsi="宋体" w:eastAsia="宋体" w:cs="宋体"/>
          <w:color w:val="auto"/>
          <w:u w:val="single"/>
        </w:rPr>
        <w:t xml:space="preserve">      </w:t>
      </w:r>
      <w:r>
        <w:rPr>
          <w:rFonts w:hint="eastAsia" w:ascii="宋体" w:hAnsi="宋体" w:eastAsia="宋体" w:cs="宋体"/>
          <w:color w:val="auto"/>
        </w:rPr>
        <w:t>为本</w:t>
      </w:r>
      <w:r>
        <w:rPr>
          <w:rFonts w:hint="eastAsia" w:ascii="宋体" w:hAnsi="宋体" w:cs="宋体"/>
          <w:color w:val="auto"/>
          <w:lang w:val="en-US" w:eastAsia="zh-CN"/>
        </w:rPr>
        <w:t>项目项目负责人</w:t>
      </w:r>
      <w:r>
        <w:rPr>
          <w:rFonts w:hint="eastAsia" w:ascii="宋体" w:hAnsi="宋体" w:eastAsia="宋体" w:cs="宋体"/>
          <w:color w:val="auto"/>
        </w:rPr>
        <w:t>，按招标文件的要求承担本工程的施工</w:t>
      </w:r>
      <w:r>
        <w:rPr>
          <w:rFonts w:hint="eastAsia" w:ascii="宋体" w:hAnsi="宋体" w:cs="宋体"/>
          <w:color w:val="auto"/>
          <w:lang w:val="en-US" w:eastAsia="zh-CN"/>
        </w:rPr>
        <w:t>审计</w:t>
      </w:r>
      <w:r>
        <w:rPr>
          <w:rFonts w:hint="eastAsia" w:ascii="宋体" w:hAnsi="宋体" w:eastAsia="宋体" w:cs="宋体"/>
          <w:color w:val="auto"/>
        </w:rPr>
        <w:t>工作。</w:t>
      </w:r>
    </w:p>
    <w:p w14:paraId="3D4AE92F">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color w:val="auto"/>
        </w:rPr>
      </w:pPr>
      <w:r>
        <w:rPr>
          <w:rFonts w:hint="eastAsia" w:ascii="宋体" w:hAnsi="宋体" w:eastAsia="宋体" w:cs="宋体"/>
          <w:color w:val="auto"/>
        </w:rPr>
        <w:t>3、如果贵方接受我单位中标，我单位保证在承包人须知规定的期限内，按本投标配备的人员及时开展工作，否则，贵方有权单方面终止合同，并令我单位立即退场，工程项目另行处理，由此造成的一切损失由我单位负责赔偿。</w:t>
      </w:r>
    </w:p>
    <w:p w14:paraId="46215210">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color w:val="auto"/>
        </w:rPr>
      </w:pPr>
      <w:r>
        <w:rPr>
          <w:rFonts w:hint="eastAsia" w:ascii="宋体" w:hAnsi="宋体" w:eastAsia="宋体" w:cs="宋体"/>
          <w:color w:val="auto"/>
        </w:rPr>
        <w:t>4、我们声明，本投标文件的全部内容我公司已了解和熟悉，并承诺中标后严格按此投标文件执行。</w:t>
      </w:r>
    </w:p>
    <w:p w14:paraId="65BC97B4">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color w:val="auto"/>
        </w:rPr>
      </w:pPr>
      <w:r>
        <w:rPr>
          <w:rFonts w:hint="eastAsia" w:ascii="宋体" w:hAnsi="宋体" w:eastAsia="宋体" w:cs="宋体"/>
          <w:color w:val="auto"/>
        </w:rPr>
        <w:t>5、单位提供如下通讯地址：</w:t>
      </w:r>
      <w:r>
        <w:rPr>
          <w:rFonts w:hint="eastAsia" w:ascii="宋体" w:hAnsi="宋体" w:eastAsia="宋体" w:cs="宋体"/>
          <w:color w:val="auto"/>
          <w:u w:val="single"/>
        </w:rPr>
        <w:t xml:space="preserve">          </w:t>
      </w:r>
      <w:r>
        <w:rPr>
          <w:rFonts w:hint="eastAsia" w:ascii="宋体" w:hAnsi="宋体" w:eastAsia="宋体" w:cs="宋体"/>
          <w:color w:val="auto"/>
        </w:rPr>
        <w:t>电子邮箱（地址），确认本项目相关法律文书均通过提供的以上地址送达，相关文书只要发送至以上电子邮箱（地址）即视为送达，投标人愿意承担一切法律后果。</w:t>
      </w:r>
    </w:p>
    <w:p w14:paraId="32AA8FA5">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color w:val="auto"/>
        </w:rPr>
      </w:pPr>
      <w:r>
        <w:rPr>
          <w:rFonts w:hint="eastAsia" w:ascii="宋体" w:hAnsi="宋体" w:eastAsia="宋体" w:cs="宋体"/>
          <w:color w:val="auto"/>
          <w:lang w:val="en-US" w:eastAsia="zh-CN"/>
        </w:rPr>
        <w:t>6</w:t>
      </w:r>
      <w:r>
        <w:rPr>
          <w:rFonts w:hint="eastAsia" w:ascii="宋体" w:hAnsi="宋体" w:eastAsia="宋体" w:cs="宋体"/>
          <w:color w:val="auto"/>
        </w:rPr>
        <w:t>、投标有效期为 90 日历天（从投标截止之日算起）。</w:t>
      </w:r>
    </w:p>
    <w:p w14:paraId="016CE0F7">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color w:val="auto"/>
          <w:szCs w:val="21"/>
        </w:rPr>
      </w:pPr>
      <w:r>
        <w:rPr>
          <w:rFonts w:hint="eastAsia" w:ascii="宋体" w:hAnsi="宋体" w:cs="宋体"/>
          <w:color w:val="auto"/>
          <w:szCs w:val="21"/>
          <w:lang w:val="en-US" w:eastAsia="zh-CN"/>
        </w:rPr>
        <w:t>7、</w:t>
      </w:r>
      <w:r>
        <w:rPr>
          <w:rFonts w:hint="eastAsia" w:ascii="宋体" w:hAnsi="宋体" w:eastAsia="宋体" w:cs="宋体"/>
          <w:color w:val="auto"/>
          <w:szCs w:val="21"/>
        </w:rPr>
        <w:t>对本招标文件的所有条款进行承诺。</w:t>
      </w:r>
    </w:p>
    <w:p w14:paraId="58D9FF6D">
      <w:pPr>
        <w:keepNext w:val="0"/>
        <w:keepLines w:val="0"/>
        <w:pageBreakBefore w:val="0"/>
        <w:widowControl w:val="0"/>
        <w:kinsoku/>
        <w:wordWrap/>
        <w:overflowPunct/>
        <w:topLinePunct w:val="0"/>
        <w:autoSpaceDE/>
        <w:autoSpaceDN/>
        <w:bidi w:val="0"/>
        <w:adjustRightInd/>
        <w:snapToGrid/>
        <w:spacing w:line="460" w:lineRule="exact"/>
        <w:ind w:firstLine="2310" w:firstLineChars="1100"/>
        <w:jc w:val="left"/>
        <w:textAlignment w:val="auto"/>
        <w:rPr>
          <w:rFonts w:hint="eastAsia" w:ascii="宋体" w:hAnsi="宋体" w:eastAsia="宋体" w:cs="宋体"/>
          <w:color w:val="auto"/>
          <w:szCs w:val="21"/>
        </w:rPr>
      </w:pPr>
    </w:p>
    <w:p w14:paraId="7B092613">
      <w:pPr>
        <w:keepNext w:val="0"/>
        <w:keepLines w:val="0"/>
        <w:pageBreakBefore w:val="0"/>
        <w:widowControl w:val="0"/>
        <w:kinsoku/>
        <w:wordWrap/>
        <w:overflowPunct/>
        <w:topLinePunct w:val="0"/>
        <w:autoSpaceDE/>
        <w:autoSpaceDN/>
        <w:bidi w:val="0"/>
        <w:adjustRightInd/>
        <w:snapToGrid/>
        <w:spacing w:line="460" w:lineRule="exact"/>
        <w:ind w:firstLine="2310" w:firstLineChars="1100"/>
        <w:jc w:val="left"/>
        <w:textAlignment w:val="auto"/>
        <w:rPr>
          <w:rFonts w:hint="eastAsia" w:ascii="宋体" w:hAnsi="宋体" w:eastAsia="宋体" w:cs="宋体"/>
          <w:color w:val="auto"/>
          <w:szCs w:val="21"/>
          <w:u w:val="single"/>
        </w:rPr>
      </w:pPr>
      <w:r>
        <w:rPr>
          <w:rFonts w:hint="eastAsia" w:ascii="宋体" w:hAnsi="宋体" w:eastAsia="宋体" w:cs="宋体"/>
          <w:color w:val="auto"/>
          <w:szCs w:val="21"/>
        </w:rPr>
        <w:t>投标人：</w:t>
      </w:r>
      <w:r>
        <w:rPr>
          <w:rFonts w:hint="eastAsia" w:ascii="宋体" w:hAnsi="宋体" w:eastAsia="宋体" w:cs="宋体"/>
          <w:color w:val="auto"/>
          <w:szCs w:val="21"/>
          <w:u w:val="single"/>
        </w:rPr>
        <w:t xml:space="preserve">                             （</w:t>
      </w:r>
      <w:r>
        <w:rPr>
          <w:rFonts w:hint="eastAsia" w:ascii="宋体" w:hAnsi="宋体" w:cs="宋体"/>
          <w:color w:val="auto"/>
          <w:szCs w:val="21"/>
          <w:u w:val="single"/>
          <w:lang w:val="en-US" w:eastAsia="zh-CN"/>
        </w:rPr>
        <w:t>盖</w:t>
      </w:r>
      <w:r>
        <w:rPr>
          <w:rFonts w:hint="eastAsia" w:ascii="宋体" w:hAnsi="宋体" w:eastAsia="宋体" w:cs="宋体"/>
          <w:color w:val="auto"/>
          <w:szCs w:val="21"/>
          <w:u w:val="single"/>
        </w:rPr>
        <w:t xml:space="preserve">章）   </w:t>
      </w:r>
    </w:p>
    <w:p w14:paraId="6586A80F">
      <w:pPr>
        <w:keepNext w:val="0"/>
        <w:keepLines w:val="0"/>
        <w:pageBreakBefore w:val="0"/>
        <w:widowControl w:val="0"/>
        <w:kinsoku/>
        <w:wordWrap/>
        <w:overflowPunct/>
        <w:topLinePunct w:val="0"/>
        <w:autoSpaceDE/>
        <w:autoSpaceDN/>
        <w:bidi w:val="0"/>
        <w:adjustRightInd/>
        <w:snapToGrid/>
        <w:spacing w:line="460" w:lineRule="exact"/>
        <w:ind w:firstLine="2310" w:firstLineChars="1100"/>
        <w:jc w:val="left"/>
        <w:textAlignment w:val="auto"/>
        <w:rPr>
          <w:rFonts w:hint="eastAsia" w:ascii="宋体" w:hAnsi="宋体" w:eastAsia="宋体" w:cs="宋体"/>
          <w:color w:val="auto"/>
          <w:szCs w:val="21"/>
        </w:rPr>
      </w:pPr>
      <w:r>
        <w:rPr>
          <w:rFonts w:hint="eastAsia" w:ascii="宋体" w:hAnsi="宋体" w:eastAsia="宋体" w:cs="宋体"/>
          <w:color w:val="auto"/>
          <w:szCs w:val="21"/>
        </w:rPr>
        <w:t>法定代表人：</w:t>
      </w:r>
      <w:r>
        <w:rPr>
          <w:rFonts w:hint="eastAsia" w:ascii="宋体" w:hAnsi="宋体" w:eastAsia="宋体" w:cs="宋体"/>
          <w:color w:val="auto"/>
          <w:szCs w:val="21"/>
          <w:u w:val="single"/>
        </w:rPr>
        <w:t xml:space="preserve">                         （签</w:t>
      </w:r>
      <w:r>
        <w:rPr>
          <w:rFonts w:hint="eastAsia" w:ascii="宋体" w:hAnsi="宋体" w:cs="宋体"/>
          <w:color w:val="auto"/>
          <w:szCs w:val="21"/>
          <w:u w:val="single"/>
          <w:lang w:val="en-US" w:eastAsia="zh-CN"/>
        </w:rPr>
        <w:t>字或盖</w:t>
      </w:r>
      <w:r>
        <w:rPr>
          <w:rFonts w:hint="eastAsia" w:ascii="宋体" w:hAnsi="宋体" w:eastAsia="宋体" w:cs="宋体"/>
          <w:color w:val="auto"/>
          <w:szCs w:val="21"/>
          <w:u w:val="single"/>
        </w:rPr>
        <w:t>章）</w:t>
      </w:r>
    </w:p>
    <w:p w14:paraId="75BF44E2">
      <w:pPr>
        <w:keepNext w:val="0"/>
        <w:keepLines w:val="0"/>
        <w:pageBreakBefore w:val="0"/>
        <w:widowControl w:val="0"/>
        <w:kinsoku/>
        <w:wordWrap/>
        <w:overflowPunct/>
        <w:topLinePunct w:val="0"/>
        <w:autoSpaceDE/>
        <w:autoSpaceDN/>
        <w:bidi w:val="0"/>
        <w:adjustRightInd/>
        <w:snapToGrid/>
        <w:spacing w:line="460" w:lineRule="exact"/>
        <w:ind w:firstLine="2310" w:firstLineChars="1100"/>
        <w:jc w:val="left"/>
        <w:textAlignment w:val="auto"/>
        <w:rPr>
          <w:rFonts w:hint="eastAsia" w:ascii="宋体" w:hAnsi="宋体" w:eastAsia="宋体" w:cs="宋体"/>
          <w:color w:val="auto"/>
          <w:szCs w:val="21"/>
        </w:rPr>
      </w:pPr>
      <w:r>
        <w:rPr>
          <w:rFonts w:hint="eastAsia" w:ascii="宋体" w:hAnsi="宋体" w:eastAsia="宋体" w:cs="宋体"/>
          <w:color w:val="auto"/>
          <w:szCs w:val="21"/>
        </w:rPr>
        <w:t>单位地址：</w:t>
      </w:r>
      <w:r>
        <w:rPr>
          <w:rFonts w:hint="eastAsia" w:ascii="宋体" w:hAnsi="宋体" w:eastAsia="宋体" w:cs="宋体"/>
          <w:color w:val="auto"/>
          <w:szCs w:val="21"/>
          <w:u w:val="single"/>
        </w:rPr>
        <w:t xml:space="preserve">                                       </w:t>
      </w:r>
    </w:p>
    <w:p w14:paraId="152985B8">
      <w:pPr>
        <w:keepNext w:val="0"/>
        <w:keepLines w:val="0"/>
        <w:pageBreakBefore w:val="0"/>
        <w:widowControl w:val="0"/>
        <w:kinsoku/>
        <w:wordWrap/>
        <w:overflowPunct/>
        <w:topLinePunct w:val="0"/>
        <w:autoSpaceDE/>
        <w:autoSpaceDN/>
        <w:bidi w:val="0"/>
        <w:adjustRightInd/>
        <w:snapToGrid/>
        <w:spacing w:line="460" w:lineRule="exact"/>
        <w:ind w:firstLine="2310" w:firstLineChars="1100"/>
        <w:jc w:val="left"/>
        <w:textAlignment w:val="auto"/>
        <w:rPr>
          <w:rFonts w:hint="eastAsia" w:ascii="宋体" w:hAnsi="宋体" w:eastAsia="宋体" w:cs="宋体"/>
          <w:color w:val="auto"/>
          <w:szCs w:val="21"/>
          <w:u w:val="single"/>
        </w:rPr>
      </w:pPr>
      <w:r>
        <w:rPr>
          <w:rFonts w:hint="eastAsia" w:ascii="宋体" w:hAnsi="宋体" w:eastAsia="宋体" w:cs="宋体"/>
          <w:color w:val="auto"/>
          <w:szCs w:val="21"/>
        </w:rPr>
        <w:t>邮政编码：</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电话：</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传真：</w:t>
      </w:r>
      <w:r>
        <w:rPr>
          <w:rFonts w:hint="eastAsia" w:ascii="宋体" w:hAnsi="宋体" w:eastAsia="宋体" w:cs="宋体"/>
          <w:color w:val="auto"/>
          <w:szCs w:val="21"/>
          <w:u w:val="single"/>
        </w:rPr>
        <w:t xml:space="preserve">       </w:t>
      </w:r>
    </w:p>
    <w:p w14:paraId="26367422">
      <w:pPr>
        <w:keepNext w:val="0"/>
        <w:keepLines w:val="0"/>
        <w:pageBreakBefore w:val="0"/>
        <w:widowControl w:val="0"/>
        <w:kinsoku/>
        <w:wordWrap/>
        <w:overflowPunct/>
        <w:topLinePunct w:val="0"/>
        <w:autoSpaceDE/>
        <w:autoSpaceDN/>
        <w:bidi w:val="0"/>
        <w:adjustRightInd/>
        <w:snapToGrid/>
        <w:spacing w:line="460" w:lineRule="exact"/>
        <w:ind w:firstLine="2310" w:firstLineChars="1100"/>
        <w:jc w:val="left"/>
        <w:textAlignment w:val="auto"/>
        <w:rPr>
          <w:rFonts w:hint="eastAsia" w:ascii="宋体" w:hAnsi="宋体" w:eastAsia="宋体" w:cs="宋体"/>
          <w:color w:val="auto"/>
          <w:szCs w:val="21"/>
        </w:rPr>
      </w:pPr>
      <w:r>
        <w:rPr>
          <w:rFonts w:hint="eastAsia" w:ascii="宋体" w:hAnsi="宋体" w:eastAsia="宋体" w:cs="宋体"/>
          <w:color w:val="auto"/>
          <w:szCs w:val="21"/>
        </w:rPr>
        <w:t>日期：</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年 </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月 </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日</w:t>
      </w:r>
    </w:p>
    <w:p w14:paraId="172B3F58">
      <w:pPr>
        <w:pStyle w:val="44"/>
        <w:spacing w:beforeLines="50" w:afterLines="50" w:line="440" w:lineRule="exact"/>
        <w:rPr>
          <w:bCs/>
          <w:szCs w:val="32"/>
          <w:highlight w:val="none"/>
        </w:rPr>
      </w:pPr>
      <w:r>
        <w:rPr>
          <w:rFonts w:hint="eastAsia"/>
          <w:sz w:val="32"/>
          <w:szCs w:val="32"/>
          <w:highlight w:val="none"/>
        </w:rPr>
        <w:br w:type="page"/>
      </w:r>
      <w:bookmarkEnd w:id="7"/>
      <w:bookmarkEnd w:id="8"/>
      <w:bookmarkEnd w:id="9"/>
      <w:bookmarkEnd w:id="10"/>
      <w:bookmarkEnd w:id="11"/>
      <w:bookmarkEnd w:id="918"/>
      <w:bookmarkEnd w:id="919"/>
      <w:bookmarkEnd w:id="920"/>
      <w:bookmarkEnd w:id="921"/>
      <w:bookmarkStart w:id="922" w:name="_Toc78803402"/>
      <w:r>
        <w:rPr>
          <w:rFonts w:hint="eastAsia"/>
          <w:bCs/>
          <w:szCs w:val="32"/>
          <w:highlight w:val="none"/>
        </w:rPr>
        <w:t>第</w:t>
      </w:r>
      <w:r>
        <w:rPr>
          <w:rFonts w:hint="eastAsia"/>
          <w:bCs/>
          <w:szCs w:val="32"/>
          <w:highlight w:val="none"/>
          <w:lang w:val="en-US" w:eastAsia="zh-CN"/>
        </w:rPr>
        <w:t>七</w:t>
      </w:r>
      <w:r>
        <w:rPr>
          <w:rFonts w:hint="eastAsia"/>
          <w:bCs/>
          <w:szCs w:val="32"/>
          <w:highlight w:val="none"/>
        </w:rPr>
        <w:t>章  招标单位、招标代理机构对本招标文件的确认</w:t>
      </w:r>
      <w:bookmarkEnd w:id="922"/>
    </w:p>
    <w:p w14:paraId="7D391125">
      <w:pPr>
        <w:pStyle w:val="20"/>
        <w:rPr>
          <w:highlight w:val="none"/>
        </w:rPr>
      </w:pPr>
    </w:p>
    <w:tbl>
      <w:tblPr>
        <w:tblStyle w:val="47"/>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80"/>
      </w:tblGrid>
      <w:tr w14:paraId="28B5C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9" w:hRule="atLeast"/>
          <w:jc w:val="center"/>
        </w:trPr>
        <w:tc>
          <w:tcPr>
            <w:tcW w:w="9580" w:type="dxa"/>
            <w:noWrap/>
          </w:tcPr>
          <w:p w14:paraId="45DC8EDB">
            <w:pPr>
              <w:wordWrap w:val="0"/>
              <w:adjustRightInd w:val="0"/>
              <w:snapToGrid w:val="0"/>
              <w:spacing w:line="560" w:lineRule="exact"/>
              <w:rPr>
                <w:sz w:val="30"/>
                <w:highlight w:val="none"/>
              </w:rPr>
            </w:pPr>
          </w:p>
          <w:p w14:paraId="3CB446EA">
            <w:pPr>
              <w:wordWrap w:val="0"/>
              <w:spacing w:line="560" w:lineRule="exact"/>
              <w:ind w:firstLine="560" w:firstLineChars="200"/>
              <w:rPr>
                <w:sz w:val="28"/>
                <w:szCs w:val="28"/>
                <w:highlight w:val="none"/>
              </w:rPr>
            </w:pPr>
            <w:r>
              <w:rPr>
                <w:rFonts w:hint="eastAsia"/>
                <w:sz w:val="28"/>
                <w:szCs w:val="28"/>
                <w:highlight w:val="none"/>
              </w:rPr>
              <w:t>我单位对</w:t>
            </w:r>
            <w:r>
              <w:rPr>
                <w:rFonts w:hint="eastAsia"/>
                <w:sz w:val="28"/>
                <w:szCs w:val="28"/>
                <w:highlight w:val="none"/>
                <w:u w:val="single"/>
              </w:rPr>
              <w:t xml:space="preserve"> </w:t>
            </w:r>
            <w:r>
              <w:rPr>
                <w:rFonts w:hint="eastAsia"/>
                <w:sz w:val="28"/>
                <w:szCs w:val="28"/>
                <w:highlight w:val="none"/>
                <w:u w:val="single"/>
                <w:lang w:eastAsia="zh-CN"/>
              </w:rPr>
              <w:t>2026年度新能源工程审计项目（</w:t>
            </w:r>
            <w:r>
              <w:rPr>
                <w:rFonts w:hint="eastAsia"/>
                <w:sz w:val="28"/>
                <w:szCs w:val="28"/>
                <w:highlight w:val="none"/>
                <w:u w:val="single"/>
                <w:lang w:val="en-US" w:eastAsia="zh-CN"/>
              </w:rPr>
              <w:t>二次）</w:t>
            </w:r>
            <w:r>
              <w:rPr>
                <w:rFonts w:hint="eastAsia"/>
                <w:sz w:val="28"/>
                <w:szCs w:val="28"/>
                <w:highlight w:val="none"/>
              </w:rPr>
              <w:t>的招标文件进行确认。</w:t>
            </w:r>
          </w:p>
          <w:p w14:paraId="71A0CDF3">
            <w:pPr>
              <w:widowControl/>
              <w:spacing w:line="360" w:lineRule="auto"/>
              <w:ind w:firstLine="560" w:firstLineChars="200"/>
              <w:jc w:val="left"/>
              <w:rPr>
                <w:rFonts w:hint="eastAsia" w:ascii="宋体" w:hAnsi="宋体"/>
                <w:color w:val="auto"/>
                <w:sz w:val="28"/>
                <w:szCs w:val="28"/>
                <w:highlight w:val="none"/>
              </w:rPr>
            </w:pPr>
            <w:r>
              <w:rPr>
                <w:rFonts w:hint="eastAsia" w:ascii="宋体" w:hAnsi="宋体"/>
                <w:color w:val="auto"/>
                <w:sz w:val="28"/>
                <w:szCs w:val="28"/>
                <w:highlight w:val="none"/>
                <w:lang w:val="en-US" w:eastAsia="zh-CN"/>
              </w:rPr>
              <w:t>招标人</w:t>
            </w:r>
            <w:r>
              <w:rPr>
                <w:rFonts w:hint="eastAsia" w:ascii="宋体" w:hAnsi="宋体"/>
                <w:color w:val="auto"/>
                <w:sz w:val="28"/>
                <w:szCs w:val="28"/>
                <w:highlight w:val="none"/>
              </w:rPr>
              <w:t>：</w:t>
            </w:r>
            <w:r>
              <w:rPr>
                <w:rFonts w:hint="eastAsia" w:ascii="宋体" w:hAnsi="宋体"/>
                <w:color w:val="auto"/>
                <w:sz w:val="28"/>
                <w:szCs w:val="28"/>
                <w:highlight w:val="none"/>
                <w:lang w:eastAsia="zh-CN"/>
              </w:rPr>
              <w:t>滁州市翼然新能源开发有限公司</w:t>
            </w:r>
            <w:r>
              <w:rPr>
                <w:rFonts w:hint="eastAsia" w:ascii="宋体" w:hAnsi="宋体"/>
                <w:color w:val="auto"/>
                <w:sz w:val="28"/>
                <w:szCs w:val="28"/>
                <w:highlight w:val="none"/>
              </w:rPr>
              <w:t xml:space="preserve">  </w:t>
            </w:r>
          </w:p>
          <w:p w14:paraId="7E988D38">
            <w:pPr>
              <w:adjustRightInd w:val="0"/>
              <w:snapToGrid w:val="0"/>
              <w:spacing w:line="560" w:lineRule="exact"/>
              <w:ind w:firstLine="560" w:firstLineChars="200"/>
              <w:rPr>
                <w:rFonts w:hint="eastAsia" w:ascii="宋体" w:hAnsi="宋体" w:eastAsia="宋体" w:cs="Times New Roman"/>
                <w:color w:val="auto"/>
                <w:sz w:val="28"/>
                <w:szCs w:val="28"/>
                <w:highlight w:val="none"/>
              </w:rPr>
            </w:pPr>
            <w:r>
              <w:rPr>
                <w:rFonts w:hint="eastAsia" w:ascii="宋体" w:hAnsi="宋体" w:eastAsia="宋体" w:cs="Times New Roman"/>
                <w:color w:val="auto"/>
                <w:sz w:val="28"/>
                <w:szCs w:val="28"/>
                <w:highlight w:val="none"/>
              </w:rPr>
              <w:t>联 系 人：</w:t>
            </w:r>
            <w:r>
              <w:rPr>
                <w:rFonts w:hint="eastAsia" w:ascii="宋体" w:hAnsi="宋体" w:cs="Times New Roman"/>
                <w:color w:val="auto"/>
                <w:sz w:val="28"/>
                <w:szCs w:val="28"/>
                <w:highlight w:val="none"/>
                <w:lang w:val="en-US" w:eastAsia="zh-CN"/>
              </w:rPr>
              <w:t>胡雪</w:t>
            </w:r>
            <w:r>
              <w:rPr>
                <w:rFonts w:hint="eastAsia" w:ascii="宋体" w:hAnsi="宋体" w:eastAsia="宋体" w:cs="Times New Roman"/>
                <w:color w:val="auto"/>
                <w:sz w:val="28"/>
                <w:szCs w:val="28"/>
                <w:highlight w:val="none"/>
              </w:rPr>
              <w:t xml:space="preserve"> </w:t>
            </w:r>
            <w:r>
              <w:rPr>
                <w:rFonts w:hint="eastAsia" w:ascii="宋体" w:hAnsi="宋体" w:eastAsia="宋体" w:cs="Times New Roman"/>
                <w:color w:val="auto"/>
                <w:sz w:val="28"/>
                <w:szCs w:val="28"/>
                <w:highlight w:val="none"/>
                <w:lang w:val="en-US" w:eastAsia="zh-CN"/>
              </w:rPr>
              <w:t xml:space="preserve"> </w:t>
            </w:r>
          </w:p>
          <w:p w14:paraId="674C5CF9">
            <w:pPr>
              <w:adjustRightInd w:val="0"/>
              <w:snapToGrid w:val="0"/>
              <w:spacing w:line="560" w:lineRule="exact"/>
              <w:ind w:firstLine="560" w:firstLineChars="200"/>
              <w:rPr>
                <w:rFonts w:hint="eastAsia" w:ascii="宋体" w:hAnsi="宋体" w:eastAsia="宋体" w:cs="Times New Roman"/>
                <w:color w:val="auto"/>
                <w:sz w:val="28"/>
                <w:szCs w:val="28"/>
                <w:highlight w:val="none"/>
                <w:lang w:val="en-US" w:eastAsia="zh-CN"/>
              </w:rPr>
            </w:pPr>
            <w:r>
              <w:rPr>
                <w:rFonts w:hint="eastAsia" w:ascii="宋体" w:hAnsi="宋体" w:eastAsia="宋体" w:cs="Times New Roman"/>
                <w:color w:val="auto"/>
                <w:sz w:val="28"/>
                <w:szCs w:val="28"/>
                <w:highlight w:val="none"/>
              </w:rPr>
              <w:t>联系电话：</w:t>
            </w:r>
            <w:r>
              <w:rPr>
                <w:rFonts w:hint="eastAsia" w:ascii="宋体" w:hAnsi="宋体" w:cs="Times New Roman"/>
                <w:color w:val="auto"/>
                <w:sz w:val="28"/>
                <w:szCs w:val="28"/>
                <w:highlight w:val="none"/>
                <w:lang w:val="en-US" w:eastAsia="zh-CN"/>
              </w:rPr>
              <w:t>0550-2350288</w:t>
            </w:r>
          </w:p>
          <w:p w14:paraId="01C406FE">
            <w:pPr>
              <w:wordWrap w:val="0"/>
              <w:spacing w:line="560" w:lineRule="exact"/>
              <w:ind w:firstLine="560" w:firstLineChars="200"/>
              <w:rPr>
                <w:rFonts w:ascii="宋体" w:hAnsi="宋体"/>
                <w:sz w:val="28"/>
                <w:szCs w:val="28"/>
                <w:highlight w:val="none"/>
              </w:rPr>
            </w:pPr>
            <w:r>
              <w:rPr>
                <w:rFonts w:hint="eastAsia" w:ascii="宋体" w:hAnsi="宋体"/>
                <w:color w:val="auto"/>
                <w:sz w:val="28"/>
                <w:szCs w:val="28"/>
                <w:highlight w:val="none"/>
              </w:rPr>
              <w:t xml:space="preserve">    </w:t>
            </w:r>
            <w:r>
              <w:rPr>
                <w:rFonts w:hint="eastAsia" w:ascii="宋体" w:hAnsi="宋体"/>
                <w:color w:val="auto"/>
                <w:sz w:val="28"/>
                <w:szCs w:val="28"/>
                <w:highlight w:val="none"/>
                <w:lang w:val="en-US" w:eastAsia="zh-CN"/>
              </w:rPr>
              <w:t xml:space="preserve">    </w:t>
            </w:r>
          </w:p>
          <w:p w14:paraId="2BCF4FCB">
            <w:pPr>
              <w:wordWrap w:val="0"/>
              <w:spacing w:line="560" w:lineRule="exact"/>
              <w:ind w:firstLine="560" w:firstLineChars="200"/>
              <w:rPr>
                <w:rFonts w:ascii="宋体" w:hAnsi="宋体"/>
                <w:sz w:val="28"/>
                <w:szCs w:val="28"/>
                <w:highlight w:val="none"/>
              </w:rPr>
            </w:pPr>
          </w:p>
          <w:p w14:paraId="3879E6FD">
            <w:pPr>
              <w:wordWrap w:val="0"/>
              <w:spacing w:line="560" w:lineRule="exact"/>
              <w:ind w:firstLine="560" w:firstLineChars="200"/>
              <w:rPr>
                <w:rFonts w:ascii="宋体" w:hAnsi="宋体"/>
                <w:sz w:val="28"/>
                <w:szCs w:val="28"/>
                <w:highlight w:val="none"/>
              </w:rPr>
            </w:pPr>
          </w:p>
          <w:p w14:paraId="6BD2A618">
            <w:pPr>
              <w:wordWrap w:val="0"/>
              <w:spacing w:line="560" w:lineRule="exact"/>
              <w:ind w:firstLine="5740" w:firstLineChars="2050"/>
              <w:rPr>
                <w:rFonts w:ascii="宋体" w:hAnsi="宋体"/>
                <w:sz w:val="28"/>
                <w:szCs w:val="28"/>
                <w:highlight w:val="none"/>
              </w:rPr>
            </w:pPr>
            <w:r>
              <w:rPr>
                <w:rFonts w:hint="eastAsia" w:ascii="宋体" w:hAnsi="宋体"/>
                <w:sz w:val="28"/>
                <w:szCs w:val="28"/>
                <w:highlight w:val="none"/>
              </w:rPr>
              <w:t>（单位盖章）</w:t>
            </w:r>
          </w:p>
          <w:p w14:paraId="0DB51C41">
            <w:pPr>
              <w:spacing w:line="560" w:lineRule="exact"/>
              <w:ind w:firstLine="5880" w:firstLineChars="2100"/>
              <w:rPr>
                <w:rFonts w:ascii="宋体" w:hAnsi="宋体"/>
                <w:sz w:val="28"/>
                <w:szCs w:val="28"/>
                <w:highlight w:val="none"/>
              </w:rPr>
            </w:pPr>
            <w:r>
              <w:rPr>
                <w:rFonts w:hint="eastAsia" w:ascii="宋体" w:hAnsi="宋体"/>
                <w:sz w:val="28"/>
                <w:szCs w:val="28"/>
                <w:highlight w:val="none"/>
              </w:rPr>
              <w:t>202</w:t>
            </w:r>
            <w:r>
              <w:rPr>
                <w:rFonts w:hint="eastAsia" w:ascii="宋体" w:hAnsi="宋体"/>
                <w:sz w:val="28"/>
                <w:szCs w:val="28"/>
                <w:highlight w:val="none"/>
                <w:lang w:val="en-US" w:eastAsia="zh-CN"/>
              </w:rPr>
              <w:t>6</w:t>
            </w:r>
            <w:r>
              <w:rPr>
                <w:rFonts w:hint="eastAsia" w:ascii="宋体" w:hAnsi="宋体"/>
                <w:sz w:val="28"/>
                <w:szCs w:val="28"/>
                <w:highlight w:val="none"/>
              </w:rPr>
              <w:t>年</w:t>
            </w:r>
            <w:r>
              <w:rPr>
                <w:rFonts w:hint="eastAsia" w:ascii="宋体" w:hAnsi="宋体"/>
                <w:sz w:val="28"/>
                <w:szCs w:val="28"/>
                <w:highlight w:val="none"/>
                <w:lang w:val="en-US" w:eastAsia="zh-CN"/>
              </w:rPr>
              <w:t>10</w:t>
            </w:r>
            <w:r>
              <w:rPr>
                <w:rFonts w:hint="eastAsia" w:ascii="宋体" w:hAnsi="宋体"/>
                <w:sz w:val="28"/>
                <w:szCs w:val="28"/>
                <w:highlight w:val="none"/>
              </w:rPr>
              <w:t>月</w:t>
            </w:r>
          </w:p>
          <w:p w14:paraId="72A7FF77">
            <w:pPr>
              <w:pStyle w:val="14"/>
              <w:ind w:firstLine="420"/>
              <w:rPr>
                <w:highlight w:val="none"/>
              </w:rPr>
            </w:pPr>
          </w:p>
        </w:tc>
      </w:tr>
      <w:tr w14:paraId="05F32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6" w:hRule="atLeast"/>
          <w:jc w:val="center"/>
        </w:trPr>
        <w:tc>
          <w:tcPr>
            <w:tcW w:w="9580" w:type="dxa"/>
            <w:noWrap/>
          </w:tcPr>
          <w:p w14:paraId="2080D8D4">
            <w:pPr>
              <w:spacing w:line="560" w:lineRule="exact"/>
              <w:ind w:firstLine="560" w:firstLineChars="200"/>
              <w:rPr>
                <w:rFonts w:ascii="宋体" w:hAnsi="宋体" w:cs="宋体"/>
                <w:sz w:val="28"/>
                <w:szCs w:val="28"/>
                <w:highlight w:val="none"/>
              </w:rPr>
            </w:pPr>
          </w:p>
          <w:p w14:paraId="297A006E">
            <w:pPr>
              <w:spacing w:line="560" w:lineRule="exact"/>
              <w:ind w:firstLine="560" w:firstLineChars="200"/>
              <w:rPr>
                <w:rFonts w:ascii="宋体" w:hAnsi="宋体" w:cs="宋体"/>
                <w:sz w:val="28"/>
                <w:szCs w:val="28"/>
                <w:highlight w:val="none"/>
                <w:u w:val="single"/>
              </w:rPr>
            </w:pPr>
            <w:r>
              <w:rPr>
                <w:rFonts w:hint="eastAsia" w:ascii="宋体" w:hAnsi="宋体" w:cs="宋体"/>
                <w:sz w:val="28"/>
                <w:szCs w:val="28"/>
                <w:highlight w:val="none"/>
              </w:rPr>
              <w:t>招标代理机构：</w:t>
            </w:r>
            <w:r>
              <w:rPr>
                <w:rFonts w:hint="eastAsia"/>
                <w:sz w:val="28"/>
                <w:szCs w:val="28"/>
                <w:highlight w:val="none"/>
              </w:rPr>
              <w:t>滁州市城投工程咨询管理有限公司</w:t>
            </w:r>
          </w:p>
          <w:p w14:paraId="04195C3D">
            <w:pPr>
              <w:spacing w:line="560" w:lineRule="exact"/>
              <w:ind w:firstLine="560" w:firstLineChars="200"/>
              <w:rPr>
                <w:rFonts w:hint="default" w:ascii="宋体" w:hAnsi="宋体" w:eastAsia="宋体" w:cs="宋体"/>
                <w:sz w:val="28"/>
                <w:szCs w:val="28"/>
                <w:highlight w:val="none"/>
                <w:u w:val="single"/>
                <w:lang w:val="en-US" w:eastAsia="zh-CN"/>
              </w:rPr>
            </w:pPr>
            <w:r>
              <w:rPr>
                <w:rFonts w:hint="eastAsia" w:ascii="宋体" w:hAnsi="宋体" w:cs="宋体"/>
                <w:sz w:val="28"/>
                <w:szCs w:val="28"/>
                <w:highlight w:val="none"/>
              </w:rPr>
              <w:t>联 系 人：</w:t>
            </w:r>
            <w:r>
              <w:rPr>
                <w:rFonts w:hint="eastAsia" w:ascii="宋体" w:hAnsi="宋体" w:cs="宋体"/>
                <w:sz w:val="28"/>
                <w:szCs w:val="28"/>
                <w:highlight w:val="none"/>
                <w:lang w:val="en-US" w:eastAsia="zh-CN"/>
              </w:rPr>
              <w:t>周蓓蕾</w:t>
            </w:r>
          </w:p>
          <w:p w14:paraId="47E8E678">
            <w:pPr>
              <w:spacing w:line="560" w:lineRule="exact"/>
              <w:ind w:firstLine="560" w:firstLineChars="200"/>
              <w:rPr>
                <w:rFonts w:hint="eastAsia" w:ascii="宋体" w:hAnsi="宋体" w:eastAsia="宋体" w:cs="宋体"/>
                <w:sz w:val="28"/>
                <w:szCs w:val="28"/>
                <w:highlight w:val="none"/>
                <w:lang w:val="en-US" w:eastAsia="zh-CN"/>
              </w:rPr>
            </w:pPr>
            <w:r>
              <w:rPr>
                <w:rFonts w:hint="eastAsia" w:ascii="宋体" w:hAnsi="宋体" w:cs="宋体"/>
                <w:sz w:val="28"/>
                <w:szCs w:val="28"/>
                <w:highlight w:val="none"/>
              </w:rPr>
              <w:t>联系电话：0550-351951</w:t>
            </w:r>
            <w:r>
              <w:rPr>
                <w:rFonts w:hint="eastAsia" w:ascii="宋体" w:hAnsi="宋体" w:cs="宋体"/>
                <w:sz w:val="28"/>
                <w:szCs w:val="28"/>
                <w:highlight w:val="none"/>
                <w:lang w:val="en-US" w:eastAsia="zh-CN"/>
              </w:rPr>
              <w:t>9</w:t>
            </w:r>
            <w:r>
              <w:rPr>
                <w:rFonts w:hint="eastAsia" w:ascii="宋体" w:hAnsi="宋体" w:cs="宋体"/>
                <w:sz w:val="28"/>
                <w:szCs w:val="28"/>
                <w:highlight w:val="none"/>
              </w:rPr>
              <w:t>、</w:t>
            </w:r>
            <w:r>
              <w:rPr>
                <w:rFonts w:hint="eastAsia" w:ascii="宋体" w:hAnsi="宋体" w:cs="宋体"/>
                <w:sz w:val="28"/>
                <w:szCs w:val="28"/>
                <w:highlight w:val="none"/>
                <w:lang w:eastAsia="zh-CN"/>
              </w:rPr>
              <w:t>18005505728</w:t>
            </w:r>
          </w:p>
          <w:p w14:paraId="60018F68">
            <w:pPr>
              <w:spacing w:line="560" w:lineRule="exact"/>
              <w:ind w:firstLine="5040" w:firstLineChars="1800"/>
              <w:rPr>
                <w:rFonts w:ascii="宋体" w:hAnsi="宋体" w:cs="宋体"/>
                <w:sz w:val="28"/>
                <w:szCs w:val="28"/>
                <w:highlight w:val="none"/>
              </w:rPr>
            </w:pPr>
          </w:p>
          <w:p w14:paraId="0781C8CF">
            <w:pPr>
              <w:spacing w:line="560" w:lineRule="exact"/>
              <w:ind w:firstLine="5460" w:firstLineChars="1950"/>
              <w:rPr>
                <w:rFonts w:ascii="宋体" w:hAnsi="宋体" w:cs="宋体"/>
                <w:sz w:val="28"/>
                <w:szCs w:val="28"/>
                <w:highlight w:val="none"/>
              </w:rPr>
            </w:pPr>
          </w:p>
          <w:p w14:paraId="0A1FE158">
            <w:pPr>
              <w:spacing w:line="560" w:lineRule="exact"/>
              <w:ind w:firstLine="5880" w:firstLineChars="2100"/>
              <w:rPr>
                <w:rFonts w:ascii="宋体" w:hAnsi="宋体" w:cs="宋体"/>
                <w:sz w:val="28"/>
                <w:szCs w:val="28"/>
                <w:highlight w:val="none"/>
              </w:rPr>
            </w:pPr>
            <w:r>
              <w:rPr>
                <w:rFonts w:hint="eastAsia" w:ascii="宋体" w:hAnsi="宋体" w:cs="宋体"/>
                <w:sz w:val="28"/>
                <w:szCs w:val="28"/>
                <w:highlight w:val="none"/>
              </w:rPr>
              <w:t>（单位盖章）</w:t>
            </w:r>
          </w:p>
          <w:p w14:paraId="144B0D1C">
            <w:pPr>
              <w:spacing w:line="560" w:lineRule="exact"/>
              <w:ind w:firstLine="6020" w:firstLineChars="2150"/>
              <w:rPr>
                <w:rFonts w:ascii="宋体" w:hAnsi="宋体"/>
                <w:sz w:val="28"/>
                <w:szCs w:val="28"/>
                <w:highlight w:val="none"/>
              </w:rPr>
            </w:pPr>
            <w:r>
              <w:rPr>
                <w:rFonts w:hint="eastAsia" w:ascii="宋体" w:hAnsi="宋体"/>
                <w:sz w:val="28"/>
                <w:szCs w:val="28"/>
                <w:highlight w:val="none"/>
              </w:rPr>
              <w:t>202</w:t>
            </w:r>
            <w:r>
              <w:rPr>
                <w:rFonts w:hint="eastAsia" w:ascii="宋体" w:hAnsi="宋体"/>
                <w:sz w:val="28"/>
                <w:szCs w:val="28"/>
                <w:highlight w:val="none"/>
                <w:lang w:val="en-US" w:eastAsia="zh-CN"/>
              </w:rPr>
              <w:t>6</w:t>
            </w:r>
            <w:r>
              <w:rPr>
                <w:rFonts w:hint="eastAsia" w:ascii="宋体" w:hAnsi="宋体"/>
                <w:sz w:val="28"/>
                <w:szCs w:val="28"/>
                <w:highlight w:val="none"/>
              </w:rPr>
              <w:t>年</w:t>
            </w:r>
            <w:r>
              <w:rPr>
                <w:rFonts w:hint="eastAsia" w:ascii="宋体" w:hAnsi="宋体"/>
                <w:sz w:val="28"/>
                <w:szCs w:val="28"/>
                <w:highlight w:val="none"/>
                <w:lang w:val="en-US" w:eastAsia="zh-CN"/>
              </w:rPr>
              <w:t>10</w:t>
            </w:r>
            <w:r>
              <w:rPr>
                <w:rFonts w:hint="eastAsia" w:ascii="宋体" w:hAnsi="宋体"/>
                <w:sz w:val="28"/>
                <w:szCs w:val="28"/>
                <w:highlight w:val="none"/>
              </w:rPr>
              <w:t>月</w:t>
            </w:r>
          </w:p>
          <w:p w14:paraId="4EDF8AEB">
            <w:pPr>
              <w:pStyle w:val="14"/>
              <w:ind w:firstLine="420"/>
              <w:rPr>
                <w:highlight w:val="none"/>
              </w:rPr>
            </w:pPr>
          </w:p>
        </w:tc>
      </w:tr>
    </w:tbl>
    <w:p w14:paraId="2D7DD9E9"/>
    <w:sectPr>
      <w:headerReference r:id="rId6" w:type="default"/>
      <w:footerReference r:id="rId7" w:type="default"/>
      <w:pgSz w:w="11906" w:h="16838"/>
      <w:pgMar w:top="1134" w:right="1417" w:bottom="1134" w:left="1417" w:header="851" w:footer="992" w:gutter="0"/>
      <w:pgNumType w:fmt="decimal"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华文细黑">
    <w:altName w:val="微软雅黑"/>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042DBF">
    <w:pPr>
      <w:pStyle w:val="29"/>
      <w:framePr w:wrap="around" w:vAnchor="text" w:hAnchor="margin" w:xAlign="center" w:y="1"/>
      <w:rPr>
        <w:rStyle w:val="51"/>
      </w:rPr>
    </w:pPr>
  </w:p>
  <w:p w14:paraId="53435915">
    <w:pPr>
      <w:pStyle w:val="2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808C72">
    <w:pPr>
      <w:pStyle w:val="29"/>
      <w:framePr w:wrap="around" w:vAnchor="text" w:hAnchor="margin" w:xAlign="center" w:y="1"/>
      <w:rPr>
        <w:rStyle w:val="51"/>
      </w:rPr>
    </w:pPr>
  </w:p>
  <w:p w14:paraId="78B0040E">
    <w:pPr>
      <w:pStyle w:val="2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3767B4">
    <w:pPr>
      <w:pStyle w:val="29"/>
      <w:rPr>
        <w:rStyle w:val="51"/>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802D7ED">
                          <w:pPr>
                            <w:pStyle w:val="29"/>
                          </w:pPr>
                          <w:r>
                            <w:fldChar w:fldCharType="begin"/>
                          </w:r>
                          <w:r>
                            <w:instrText xml:space="preserve"> PAGE  \* MERGEFORMAT </w:instrText>
                          </w:r>
                          <w:r>
                            <w:fldChar w:fldCharType="separate"/>
                          </w:r>
                          <w:r>
                            <w:t>2</w:t>
                          </w:r>
                          <w:r>
                            <w:fldChar w:fldCharType="end"/>
                          </w:r>
                        </w:p>
                      </w:txbxContent>
                    </wps:txbx>
                    <wps:bodyPr wrap="none" lIns="0" tIns="0" rIns="0" bIns="0" upright="0">
                      <a:spAutoFit/>
                    </wps:bodyPr>
                  </wps:wsp>
                </a:graphicData>
              </a:graphic>
            </wp:anchor>
          </w:drawing>
        </mc:Choice>
        <mc:Fallback>
          <w:pict>
            <v:shape id="文本框 1029"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Rqv1RMoBAACcAwAADgAAAAAAAAABACAAAAAeAQAAZHJzL2Uyb0Rv&#10;Yy54bWxQSwUGAAAAAAYABgBZAQAAWgUAAAAA&#10;">
              <v:fill on="f" focussize="0,0"/>
              <v:stroke on="f"/>
              <v:imagedata o:title=""/>
              <o:lock v:ext="edit" aspectratio="f"/>
              <v:textbox inset="0mm,0mm,0mm,0mm" style="mso-fit-shape-to-text:t;">
                <w:txbxContent>
                  <w:p w14:paraId="2802D7ED">
                    <w:pPr>
                      <w:pStyle w:val="29"/>
                    </w:pPr>
                    <w:r>
                      <w:fldChar w:fldCharType="begin"/>
                    </w:r>
                    <w:r>
                      <w:instrText xml:space="preserve"> PAGE  \* MERGEFORMAT </w:instrText>
                    </w:r>
                    <w:r>
                      <w:fldChar w:fldCharType="separate"/>
                    </w:r>
                    <w:r>
                      <w:t>2</w:t>
                    </w:r>
                    <w:r>
                      <w:fldChar w:fldCharType="end"/>
                    </w:r>
                  </w:p>
                </w:txbxContent>
              </v:textbox>
            </v:shape>
          </w:pict>
        </mc:Fallback>
      </mc:AlternateContent>
    </w:r>
  </w:p>
  <w:p w14:paraId="01B2BA8E">
    <w:pPr>
      <w:pStyle w:val="2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CEBD4B">
    <w:pPr>
      <w:pStyle w:val="30"/>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38BC04">
    <w:pPr>
      <w:pStyle w:val="30"/>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9320616"/>
    <w:multiLevelType w:val="singleLevel"/>
    <w:tmpl w:val="B9320616"/>
    <w:lvl w:ilvl="0" w:tentative="0">
      <w:start w:val="4"/>
      <w:numFmt w:val="chineseCounting"/>
      <w:suff w:val="space"/>
      <w:lvlText w:val="第%1章"/>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ljMDcwYWJmYjExZWQzNTVmZDAzZTYwM2JlMzJmZDYifQ=="/>
  </w:docVars>
  <w:rsids>
    <w:rsidRoot w:val="00172A27"/>
    <w:rsid w:val="0000197A"/>
    <w:rsid w:val="00002E1B"/>
    <w:rsid w:val="000046EA"/>
    <w:rsid w:val="00004E34"/>
    <w:rsid w:val="00005CD8"/>
    <w:rsid w:val="00006123"/>
    <w:rsid w:val="000070B7"/>
    <w:rsid w:val="0000758B"/>
    <w:rsid w:val="00010F4B"/>
    <w:rsid w:val="0001111D"/>
    <w:rsid w:val="00011A14"/>
    <w:rsid w:val="00012844"/>
    <w:rsid w:val="00012D1D"/>
    <w:rsid w:val="00017114"/>
    <w:rsid w:val="00017EFA"/>
    <w:rsid w:val="00020FE0"/>
    <w:rsid w:val="00021BDB"/>
    <w:rsid w:val="000225E0"/>
    <w:rsid w:val="00022A89"/>
    <w:rsid w:val="00023D05"/>
    <w:rsid w:val="00026E12"/>
    <w:rsid w:val="000273CC"/>
    <w:rsid w:val="000330C1"/>
    <w:rsid w:val="000335C0"/>
    <w:rsid w:val="00034C73"/>
    <w:rsid w:val="0003719A"/>
    <w:rsid w:val="00037B93"/>
    <w:rsid w:val="00040224"/>
    <w:rsid w:val="0004332D"/>
    <w:rsid w:val="00044907"/>
    <w:rsid w:val="0004695D"/>
    <w:rsid w:val="00046C34"/>
    <w:rsid w:val="00057DBF"/>
    <w:rsid w:val="000617FE"/>
    <w:rsid w:val="0006411D"/>
    <w:rsid w:val="000642AF"/>
    <w:rsid w:val="00066792"/>
    <w:rsid w:val="00072090"/>
    <w:rsid w:val="00076B75"/>
    <w:rsid w:val="00076F1D"/>
    <w:rsid w:val="00077234"/>
    <w:rsid w:val="000837EF"/>
    <w:rsid w:val="00083ADA"/>
    <w:rsid w:val="0008659F"/>
    <w:rsid w:val="00086C18"/>
    <w:rsid w:val="00090A07"/>
    <w:rsid w:val="00090F90"/>
    <w:rsid w:val="00093100"/>
    <w:rsid w:val="000939B1"/>
    <w:rsid w:val="00094E9D"/>
    <w:rsid w:val="000A078C"/>
    <w:rsid w:val="000A11AD"/>
    <w:rsid w:val="000A2C9F"/>
    <w:rsid w:val="000A475B"/>
    <w:rsid w:val="000A65EE"/>
    <w:rsid w:val="000B0DC9"/>
    <w:rsid w:val="000B3A75"/>
    <w:rsid w:val="000B4B76"/>
    <w:rsid w:val="000B547D"/>
    <w:rsid w:val="000B7A7E"/>
    <w:rsid w:val="000B7EE6"/>
    <w:rsid w:val="000C10AA"/>
    <w:rsid w:val="000C26FD"/>
    <w:rsid w:val="000D08DE"/>
    <w:rsid w:val="000D203E"/>
    <w:rsid w:val="000D2C3D"/>
    <w:rsid w:val="000D2ECE"/>
    <w:rsid w:val="000D4E9E"/>
    <w:rsid w:val="000D7F9C"/>
    <w:rsid w:val="000E0020"/>
    <w:rsid w:val="000E1F7F"/>
    <w:rsid w:val="000E227E"/>
    <w:rsid w:val="000E24EC"/>
    <w:rsid w:val="000E3D3D"/>
    <w:rsid w:val="000F7312"/>
    <w:rsid w:val="000F740E"/>
    <w:rsid w:val="00104E44"/>
    <w:rsid w:val="001063CB"/>
    <w:rsid w:val="0011140E"/>
    <w:rsid w:val="00114707"/>
    <w:rsid w:val="00115943"/>
    <w:rsid w:val="00116988"/>
    <w:rsid w:val="00120E5D"/>
    <w:rsid w:val="00125553"/>
    <w:rsid w:val="0012738D"/>
    <w:rsid w:val="00130FBA"/>
    <w:rsid w:val="00131494"/>
    <w:rsid w:val="00132E3D"/>
    <w:rsid w:val="0014049F"/>
    <w:rsid w:val="00140BFD"/>
    <w:rsid w:val="00142868"/>
    <w:rsid w:val="00146B5E"/>
    <w:rsid w:val="0015292B"/>
    <w:rsid w:val="0015363F"/>
    <w:rsid w:val="00154C59"/>
    <w:rsid w:val="00155F6F"/>
    <w:rsid w:val="001564C3"/>
    <w:rsid w:val="001620D9"/>
    <w:rsid w:val="0016514F"/>
    <w:rsid w:val="00165414"/>
    <w:rsid w:val="00165F97"/>
    <w:rsid w:val="00167090"/>
    <w:rsid w:val="00167507"/>
    <w:rsid w:val="00172A27"/>
    <w:rsid w:val="00173108"/>
    <w:rsid w:val="00173D37"/>
    <w:rsid w:val="00174E43"/>
    <w:rsid w:val="0018238C"/>
    <w:rsid w:val="00182D4C"/>
    <w:rsid w:val="001834BA"/>
    <w:rsid w:val="001843D3"/>
    <w:rsid w:val="00184866"/>
    <w:rsid w:val="00185DBC"/>
    <w:rsid w:val="001867E2"/>
    <w:rsid w:val="001919D1"/>
    <w:rsid w:val="00191DD8"/>
    <w:rsid w:val="00193AE6"/>
    <w:rsid w:val="00194AEF"/>
    <w:rsid w:val="001963BD"/>
    <w:rsid w:val="001A120B"/>
    <w:rsid w:val="001A184C"/>
    <w:rsid w:val="001A274E"/>
    <w:rsid w:val="001A2C88"/>
    <w:rsid w:val="001A37E0"/>
    <w:rsid w:val="001A3EC9"/>
    <w:rsid w:val="001A50F2"/>
    <w:rsid w:val="001A6EF7"/>
    <w:rsid w:val="001B1DF0"/>
    <w:rsid w:val="001B21A5"/>
    <w:rsid w:val="001B45D5"/>
    <w:rsid w:val="001B4675"/>
    <w:rsid w:val="001B4BDE"/>
    <w:rsid w:val="001B59E9"/>
    <w:rsid w:val="001B62B0"/>
    <w:rsid w:val="001B6A78"/>
    <w:rsid w:val="001C1FC2"/>
    <w:rsid w:val="001C4E01"/>
    <w:rsid w:val="001C7AB4"/>
    <w:rsid w:val="001D0C94"/>
    <w:rsid w:val="001D3498"/>
    <w:rsid w:val="001E1380"/>
    <w:rsid w:val="001E5247"/>
    <w:rsid w:val="001F23AB"/>
    <w:rsid w:val="001F32ED"/>
    <w:rsid w:val="001F4F95"/>
    <w:rsid w:val="001F7E70"/>
    <w:rsid w:val="00200459"/>
    <w:rsid w:val="00202DB7"/>
    <w:rsid w:val="00207065"/>
    <w:rsid w:val="00207999"/>
    <w:rsid w:val="00212D04"/>
    <w:rsid w:val="00213FCA"/>
    <w:rsid w:val="00214988"/>
    <w:rsid w:val="00214B43"/>
    <w:rsid w:val="00214F76"/>
    <w:rsid w:val="002202CE"/>
    <w:rsid w:val="0022219A"/>
    <w:rsid w:val="00222521"/>
    <w:rsid w:val="00227461"/>
    <w:rsid w:val="0022783F"/>
    <w:rsid w:val="00230392"/>
    <w:rsid w:val="00230583"/>
    <w:rsid w:val="00230A2B"/>
    <w:rsid w:val="00231547"/>
    <w:rsid w:val="002334EC"/>
    <w:rsid w:val="00235B32"/>
    <w:rsid w:val="00236AD7"/>
    <w:rsid w:val="00237688"/>
    <w:rsid w:val="00240423"/>
    <w:rsid w:val="00243B18"/>
    <w:rsid w:val="00246AD7"/>
    <w:rsid w:val="00246B91"/>
    <w:rsid w:val="00247A64"/>
    <w:rsid w:val="00250013"/>
    <w:rsid w:val="00250BCF"/>
    <w:rsid w:val="00253591"/>
    <w:rsid w:val="00255670"/>
    <w:rsid w:val="00256780"/>
    <w:rsid w:val="00262ABE"/>
    <w:rsid w:val="002657EE"/>
    <w:rsid w:val="00276F57"/>
    <w:rsid w:val="00277D06"/>
    <w:rsid w:val="002816D4"/>
    <w:rsid w:val="00286980"/>
    <w:rsid w:val="002928CE"/>
    <w:rsid w:val="00292C87"/>
    <w:rsid w:val="0029757E"/>
    <w:rsid w:val="002A1A66"/>
    <w:rsid w:val="002A39EF"/>
    <w:rsid w:val="002A599F"/>
    <w:rsid w:val="002A6E04"/>
    <w:rsid w:val="002B4BA8"/>
    <w:rsid w:val="002B7071"/>
    <w:rsid w:val="002B7117"/>
    <w:rsid w:val="002B714A"/>
    <w:rsid w:val="002B718A"/>
    <w:rsid w:val="002B7621"/>
    <w:rsid w:val="002C2E22"/>
    <w:rsid w:val="002C4A57"/>
    <w:rsid w:val="002C528E"/>
    <w:rsid w:val="002C5643"/>
    <w:rsid w:val="002E13EC"/>
    <w:rsid w:val="002E41CC"/>
    <w:rsid w:val="002F05E9"/>
    <w:rsid w:val="002F2C99"/>
    <w:rsid w:val="002F3D6A"/>
    <w:rsid w:val="002F794D"/>
    <w:rsid w:val="003029B3"/>
    <w:rsid w:val="00303019"/>
    <w:rsid w:val="00306787"/>
    <w:rsid w:val="00306966"/>
    <w:rsid w:val="0031113D"/>
    <w:rsid w:val="00311AAC"/>
    <w:rsid w:val="00313CA4"/>
    <w:rsid w:val="00314E82"/>
    <w:rsid w:val="003150CE"/>
    <w:rsid w:val="00315FF9"/>
    <w:rsid w:val="00316270"/>
    <w:rsid w:val="00321598"/>
    <w:rsid w:val="00321FDB"/>
    <w:rsid w:val="00323870"/>
    <w:rsid w:val="00323FFD"/>
    <w:rsid w:val="00324847"/>
    <w:rsid w:val="00324A5E"/>
    <w:rsid w:val="00325624"/>
    <w:rsid w:val="0032611D"/>
    <w:rsid w:val="003264EB"/>
    <w:rsid w:val="00326940"/>
    <w:rsid w:val="00330CCD"/>
    <w:rsid w:val="00332891"/>
    <w:rsid w:val="00332BBD"/>
    <w:rsid w:val="00333810"/>
    <w:rsid w:val="003343C0"/>
    <w:rsid w:val="00340804"/>
    <w:rsid w:val="00342D97"/>
    <w:rsid w:val="00343375"/>
    <w:rsid w:val="003448C2"/>
    <w:rsid w:val="00344CD6"/>
    <w:rsid w:val="0034662F"/>
    <w:rsid w:val="003510D2"/>
    <w:rsid w:val="00351A8E"/>
    <w:rsid w:val="0035447B"/>
    <w:rsid w:val="00356B27"/>
    <w:rsid w:val="00356B90"/>
    <w:rsid w:val="00357C8A"/>
    <w:rsid w:val="00360C29"/>
    <w:rsid w:val="0036101B"/>
    <w:rsid w:val="003613C6"/>
    <w:rsid w:val="00361CBA"/>
    <w:rsid w:val="00362EE3"/>
    <w:rsid w:val="0036593D"/>
    <w:rsid w:val="00366951"/>
    <w:rsid w:val="00370107"/>
    <w:rsid w:val="003720A1"/>
    <w:rsid w:val="003745F9"/>
    <w:rsid w:val="00376808"/>
    <w:rsid w:val="0037767C"/>
    <w:rsid w:val="003817E6"/>
    <w:rsid w:val="00381E22"/>
    <w:rsid w:val="0038244A"/>
    <w:rsid w:val="00382545"/>
    <w:rsid w:val="00383221"/>
    <w:rsid w:val="00384090"/>
    <w:rsid w:val="003844ED"/>
    <w:rsid w:val="00386132"/>
    <w:rsid w:val="003871B4"/>
    <w:rsid w:val="00393016"/>
    <w:rsid w:val="00394BA5"/>
    <w:rsid w:val="00394D82"/>
    <w:rsid w:val="003A70F7"/>
    <w:rsid w:val="003B39C6"/>
    <w:rsid w:val="003B4CDE"/>
    <w:rsid w:val="003B5919"/>
    <w:rsid w:val="003B7075"/>
    <w:rsid w:val="003B7983"/>
    <w:rsid w:val="003C24F4"/>
    <w:rsid w:val="003C4452"/>
    <w:rsid w:val="003C4CBD"/>
    <w:rsid w:val="003C7646"/>
    <w:rsid w:val="003D0BFC"/>
    <w:rsid w:val="003D206A"/>
    <w:rsid w:val="003D27B4"/>
    <w:rsid w:val="003D34ED"/>
    <w:rsid w:val="003D60ED"/>
    <w:rsid w:val="003D7852"/>
    <w:rsid w:val="003E0F27"/>
    <w:rsid w:val="003E15AB"/>
    <w:rsid w:val="003E3274"/>
    <w:rsid w:val="003E441B"/>
    <w:rsid w:val="003E528B"/>
    <w:rsid w:val="003E62C9"/>
    <w:rsid w:val="003E64A4"/>
    <w:rsid w:val="003F1184"/>
    <w:rsid w:val="003F19CD"/>
    <w:rsid w:val="003F34D1"/>
    <w:rsid w:val="003F5214"/>
    <w:rsid w:val="003F56BE"/>
    <w:rsid w:val="003F72A7"/>
    <w:rsid w:val="00403578"/>
    <w:rsid w:val="0040419B"/>
    <w:rsid w:val="00404AFD"/>
    <w:rsid w:val="0041061A"/>
    <w:rsid w:val="00411B9C"/>
    <w:rsid w:val="004139CC"/>
    <w:rsid w:val="00416BD0"/>
    <w:rsid w:val="004179E4"/>
    <w:rsid w:val="00422908"/>
    <w:rsid w:val="0042416B"/>
    <w:rsid w:val="004249BA"/>
    <w:rsid w:val="0042531B"/>
    <w:rsid w:val="004306D8"/>
    <w:rsid w:val="00430F18"/>
    <w:rsid w:val="00432BC1"/>
    <w:rsid w:val="00433924"/>
    <w:rsid w:val="00434AAC"/>
    <w:rsid w:val="0043512B"/>
    <w:rsid w:val="00435537"/>
    <w:rsid w:val="004355FE"/>
    <w:rsid w:val="00441E58"/>
    <w:rsid w:val="00445715"/>
    <w:rsid w:val="00445E0F"/>
    <w:rsid w:val="00446179"/>
    <w:rsid w:val="004506F7"/>
    <w:rsid w:val="0045199B"/>
    <w:rsid w:val="00451F70"/>
    <w:rsid w:val="00454C0F"/>
    <w:rsid w:val="00454F95"/>
    <w:rsid w:val="004571AF"/>
    <w:rsid w:val="00462043"/>
    <w:rsid w:val="0046380E"/>
    <w:rsid w:val="00466093"/>
    <w:rsid w:val="004712B0"/>
    <w:rsid w:val="00471B5C"/>
    <w:rsid w:val="00473006"/>
    <w:rsid w:val="00473509"/>
    <w:rsid w:val="00473BA0"/>
    <w:rsid w:val="00474B17"/>
    <w:rsid w:val="0047678B"/>
    <w:rsid w:val="00477FF4"/>
    <w:rsid w:val="00482303"/>
    <w:rsid w:val="00487C57"/>
    <w:rsid w:val="00494CD7"/>
    <w:rsid w:val="004A3117"/>
    <w:rsid w:val="004A394F"/>
    <w:rsid w:val="004A7299"/>
    <w:rsid w:val="004B15C6"/>
    <w:rsid w:val="004C0130"/>
    <w:rsid w:val="004C1E7E"/>
    <w:rsid w:val="004C2BF2"/>
    <w:rsid w:val="004C4C36"/>
    <w:rsid w:val="004C791A"/>
    <w:rsid w:val="004D0871"/>
    <w:rsid w:val="004D31D7"/>
    <w:rsid w:val="004D6B92"/>
    <w:rsid w:val="004E085C"/>
    <w:rsid w:val="004E0F8D"/>
    <w:rsid w:val="004F0E30"/>
    <w:rsid w:val="004F1D3D"/>
    <w:rsid w:val="004F3C9D"/>
    <w:rsid w:val="004F5CF2"/>
    <w:rsid w:val="004F77A5"/>
    <w:rsid w:val="00504F99"/>
    <w:rsid w:val="00505F69"/>
    <w:rsid w:val="005078D7"/>
    <w:rsid w:val="00510F89"/>
    <w:rsid w:val="00512B81"/>
    <w:rsid w:val="00513D1E"/>
    <w:rsid w:val="0052022B"/>
    <w:rsid w:val="005212B3"/>
    <w:rsid w:val="00525D5C"/>
    <w:rsid w:val="00526B90"/>
    <w:rsid w:val="00527D18"/>
    <w:rsid w:val="005324F1"/>
    <w:rsid w:val="005345CF"/>
    <w:rsid w:val="00534798"/>
    <w:rsid w:val="00534AB4"/>
    <w:rsid w:val="005362C3"/>
    <w:rsid w:val="00536BAD"/>
    <w:rsid w:val="00537141"/>
    <w:rsid w:val="005408F8"/>
    <w:rsid w:val="00543A1A"/>
    <w:rsid w:val="00543D1A"/>
    <w:rsid w:val="00545A63"/>
    <w:rsid w:val="00550A8B"/>
    <w:rsid w:val="00551ABE"/>
    <w:rsid w:val="00551F3F"/>
    <w:rsid w:val="00553C28"/>
    <w:rsid w:val="00555711"/>
    <w:rsid w:val="0055655B"/>
    <w:rsid w:val="005575EF"/>
    <w:rsid w:val="00557CAA"/>
    <w:rsid w:val="005610A7"/>
    <w:rsid w:val="00562097"/>
    <w:rsid w:val="00562642"/>
    <w:rsid w:val="00562653"/>
    <w:rsid w:val="00563B31"/>
    <w:rsid w:val="00564616"/>
    <w:rsid w:val="00565E25"/>
    <w:rsid w:val="00566512"/>
    <w:rsid w:val="005677A2"/>
    <w:rsid w:val="00571668"/>
    <w:rsid w:val="00573193"/>
    <w:rsid w:val="005736B2"/>
    <w:rsid w:val="0057643A"/>
    <w:rsid w:val="00580342"/>
    <w:rsid w:val="00582213"/>
    <w:rsid w:val="005901E1"/>
    <w:rsid w:val="005915F5"/>
    <w:rsid w:val="00591F58"/>
    <w:rsid w:val="00592834"/>
    <w:rsid w:val="00594FBF"/>
    <w:rsid w:val="0059693D"/>
    <w:rsid w:val="00597823"/>
    <w:rsid w:val="005A3405"/>
    <w:rsid w:val="005A5E6E"/>
    <w:rsid w:val="005A65D3"/>
    <w:rsid w:val="005A71BD"/>
    <w:rsid w:val="005A7C75"/>
    <w:rsid w:val="005B3CFB"/>
    <w:rsid w:val="005B4AA4"/>
    <w:rsid w:val="005B5C42"/>
    <w:rsid w:val="005B682A"/>
    <w:rsid w:val="005B705D"/>
    <w:rsid w:val="005C0054"/>
    <w:rsid w:val="005D0BCF"/>
    <w:rsid w:val="005D1D33"/>
    <w:rsid w:val="005D1E1A"/>
    <w:rsid w:val="005D2808"/>
    <w:rsid w:val="005D49DC"/>
    <w:rsid w:val="005D6EDB"/>
    <w:rsid w:val="005E4BD5"/>
    <w:rsid w:val="005E6D8D"/>
    <w:rsid w:val="005E7874"/>
    <w:rsid w:val="005F2C58"/>
    <w:rsid w:val="005F3CD8"/>
    <w:rsid w:val="005F6D4E"/>
    <w:rsid w:val="00601231"/>
    <w:rsid w:val="006015AA"/>
    <w:rsid w:val="006053A4"/>
    <w:rsid w:val="00610D91"/>
    <w:rsid w:val="0061143B"/>
    <w:rsid w:val="006173D9"/>
    <w:rsid w:val="006174D0"/>
    <w:rsid w:val="00617B19"/>
    <w:rsid w:val="00620E0C"/>
    <w:rsid w:val="0062507F"/>
    <w:rsid w:val="00626412"/>
    <w:rsid w:val="00627097"/>
    <w:rsid w:val="00627F07"/>
    <w:rsid w:val="00630701"/>
    <w:rsid w:val="00630A52"/>
    <w:rsid w:val="006314EC"/>
    <w:rsid w:val="006317D9"/>
    <w:rsid w:val="006319A4"/>
    <w:rsid w:val="006320EC"/>
    <w:rsid w:val="00632505"/>
    <w:rsid w:val="0063261C"/>
    <w:rsid w:val="00634E49"/>
    <w:rsid w:val="006404B8"/>
    <w:rsid w:val="00640732"/>
    <w:rsid w:val="00640CD1"/>
    <w:rsid w:val="006411FA"/>
    <w:rsid w:val="006468C4"/>
    <w:rsid w:val="00656322"/>
    <w:rsid w:val="0065656C"/>
    <w:rsid w:val="00662C9C"/>
    <w:rsid w:val="00664CCB"/>
    <w:rsid w:val="0066501C"/>
    <w:rsid w:val="00667847"/>
    <w:rsid w:val="00667E21"/>
    <w:rsid w:val="00672253"/>
    <w:rsid w:val="00672477"/>
    <w:rsid w:val="006803F2"/>
    <w:rsid w:val="00680EED"/>
    <w:rsid w:val="00683A32"/>
    <w:rsid w:val="00686C3A"/>
    <w:rsid w:val="0069751D"/>
    <w:rsid w:val="00697E3A"/>
    <w:rsid w:val="006A5A61"/>
    <w:rsid w:val="006A6C9D"/>
    <w:rsid w:val="006B06AF"/>
    <w:rsid w:val="006B3780"/>
    <w:rsid w:val="006B3913"/>
    <w:rsid w:val="006B5F0A"/>
    <w:rsid w:val="006B7B67"/>
    <w:rsid w:val="006C004B"/>
    <w:rsid w:val="006C09E3"/>
    <w:rsid w:val="006C12A2"/>
    <w:rsid w:val="006C1EAD"/>
    <w:rsid w:val="006C3056"/>
    <w:rsid w:val="006C3E9D"/>
    <w:rsid w:val="006C4608"/>
    <w:rsid w:val="006E29E7"/>
    <w:rsid w:val="006E3C5D"/>
    <w:rsid w:val="006E4C81"/>
    <w:rsid w:val="006F3D17"/>
    <w:rsid w:val="007010A6"/>
    <w:rsid w:val="007010E6"/>
    <w:rsid w:val="007013D6"/>
    <w:rsid w:val="00704877"/>
    <w:rsid w:val="007056DC"/>
    <w:rsid w:val="00707B0D"/>
    <w:rsid w:val="00707F33"/>
    <w:rsid w:val="00707FB8"/>
    <w:rsid w:val="00710E91"/>
    <w:rsid w:val="00712094"/>
    <w:rsid w:val="00712899"/>
    <w:rsid w:val="00716F04"/>
    <w:rsid w:val="007220FC"/>
    <w:rsid w:val="007224C8"/>
    <w:rsid w:val="00731F87"/>
    <w:rsid w:val="00734057"/>
    <w:rsid w:val="007347A9"/>
    <w:rsid w:val="00734A59"/>
    <w:rsid w:val="00737389"/>
    <w:rsid w:val="00740EA7"/>
    <w:rsid w:val="00741E7A"/>
    <w:rsid w:val="00743A79"/>
    <w:rsid w:val="00746374"/>
    <w:rsid w:val="0074694C"/>
    <w:rsid w:val="00750DC6"/>
    <w:rsid w:val="00751F36"/>
    <w:rsid w:val="00752ABA"/>
    <w:rsid w:val="007544B3"/>
    <w:rsid w:val="00754953"/>
    <w:rsid w:val="00755F4B"/>
    <w:rsid w:val="007569BF"/>
    <w:rsid w:val="00764F21"/>
    <w:rsid w:val="007650EA"/>
    <w:rsid w:val="00771225"/>
    <w:rsid w:val="007716E8"/>
    <w:rsid w:val="00771EE2"/>
    <w:rsid w:val="00772F61"/>
    <w:rsid w:val="007735D0"/>
    <w:rsid w:val="00776CE6"/>
    <w:rsid w:val="0077709D"/>
    <w:rsid w:val="0077725B"/>
    <w:rsid w:val="0078232E"/>
    <w:rsid w:val="007825BB"/>
    <w:rsid w:val="0078387C"/>
    <w:rsid w:val="007846BD"/>
    <w:rsid w:val="007852C4"/>
    <w:rsid w:val="00785C7C"/>
    <w:rsid w:val="00791072"/>
    <w:rsid w:val="00791620"/>
    <w:rsid w:val="00792C93"/>
    <w:rsid w:val="0079603B"/>
    <w:rsid w:val="00796119"/>
    <w:rsid w:val="00797F29"/>
    <w:rsid w:val="00797F99"/>
    <w:rsid w:val="007A3AD3"/>
    <w:rsid w:val="007A5486"/>
    <w:rsid w:val="007A59DE"/>
    <w:rsid w:val="007B10BC"/>
    <w:rsid w:val="007B2FBF"/>
    <w:rsid w:val="007B6549"/>
    <w:rsid w:val="007B7D18"/>
    <w:rsid w:val="007C065A"/>
    <w:rsid w:val="007C313C"/>
    <w:rsid w:val="007C5C10"/>
    <w:rsid w:val="007C5C4D"/>
    <w:rsid w:val="007D2547"/>
    <w:rsid w:val="007D3552"/>
    <w:rsid w:val="007D5303"/>
    <w:rsid w:val="007D6C61"/>
    <w:rsid w:val="007D7027"/>
    <w:rsid w:val="007E1D6E"/>
    <w:rsid w:val="007E60BB"/>
    <w:rsid w:val="007E66F0"/>
    <w:rsid w:val="007E6E71"/>
    <w:rsid w:val="007F0879"/>
    <w:rsid w:val="007F2072"/>
    <w:rsid w:val="007F7CC1"/>
    <w:rsid w:val="00801530"/>
    <w:rsid w:val="00803277"/>
    <w:rsid w:val="00803BC6"/>
    <w:rsid w:val="008044D7"/>
    <w:rsid w:val="00811BC8"/>
    <w:rsid w:val="00812181"/>
    <w:rsid w:val="0081385B"/>
    <w:rsid w:val="00816600"/>
    <w:rsid w:val="00821645"/>
    <w:rsid w:val="00822D2E"/>
    <w:rsid w:val="00827EA0"/>
    <w:rsid w:val="0083345E"/>
    <w:rsid w:val="00834EAE"/>
    <w:rsid w:val="00841403"/>
    <w:rsid w:val="0084190B"/>
    <w:rsid w:val="0084411B"/>
    <w:rsid w:val="00844951"/>
    <w:rsid w:val="00844D6E"/>
    <w:rsid w:val="00845A5D"/>
    <w:rsid w:val="008462FB"/>
    <w:rsid w:val="008465CD"/>
    <w:rsid w:val="0084663D"/>
    <w:rsid w:val="008515C0"/>
    <w:rsid w:val="00854873"/>
    <w:rsid w:val="00855E83"/>
    <w:rsid w:val="00856515"/>
    <w:rsid w:val="0086292A"/>
    <w:rsid w:val="00864FC6"/>
    <w:rsid w:val="00865B48"/>
    <w:rsid w:val="00872E7D"/>
    <w:rsid w:val="00874549"/>
    <w:rsid w:val="008756B7"/>
    <w:rsid w:val="008757B7"/>
    <w:rsid w:val="00880472"/>
    <w:rsid w:val="008813F9"/>
    <w:rsid w:val="0088144C"/>
    <w:rsid w:val="00881587"/>
    <w:rsid w:val="0088218C"/>
    <w:rsid w:val="00884060"/>
    <w:rsid w:val="00890796"/>
    <w:rsid w:val="0089321E"/>
    <w:rsid w:val="008933DF"/>
    <w:rsid w:val="00894C08"/>
    <w:rsid w:val="00895001"/>
    <w:rsid w:val="0089560E"/>
    <w:rsid w:val="008A0CBD"/>
    <w:rsid w:val="008A0D2A"/>
    <w:rsid w:val="008A1DEE"/>
    <w:rsid w:val="008A3970"/>
    <w:rsid w:val="008A5701"/>
    <w:rsid w:val="008B3DFF"/>
    <w:rsid w:val="008B3F28"/>
    <w:rsid w:val="008C49D3"/>
    <w:rsid w:val="008C5947"/>
    <w:rsid w:val="008C6DA1"/>
    <w:rsid w:val="008C72A6"/>
    <w:rsid w:val="008D3D94"/>
    <w:rsid w:val="008D618A"/>
    <w:rsid w:val="008E1DC0"/>
    <w:rsid w:val="008E30BF"/>
    <w:rsid w:val="008E35A0"/>
    <w:rsid w:val="008E3A25"/>
    <w:rsid w:val="008E5038"/>
    <w:rsid w:val="008F031C"/>
    <w:rsid w:val="008F1463"/>
    <w:rsid w:val="008F1F11"/>
    <w:rsid w:val="008F31C7"/>
    <w:rsid w:val="008F7358"/>
    <w:rsid w:val="008F7394"/>
    <w:rsid w:val="008F79D7"/>
    <w:rsid w:val="009006DF"/>
    <w:rsid w:val="00910153"/>
    <w:rsid w:val="00910A19"/>
    <w:rsid w:val="00910BDC"/>
    <w:rsid w:val="00910F4E"/>
    <w:rsid w:val="00911695"/>
    <w:rsid w:val="00911E55"/>
    <w:rsid w:val="00913F05"/>
    <w:rsid w:val="0091562C"/>
    <w:rsid w:val="009177B6"/>
    <w:rsid w:val="00917A27"/>
    <w:rsid w:val="00923CD3"/>
    <w:rsid w:val="00924202"/>
    <w:rsid w:val="00924E50"/>
    <w:rsid w:val="00925CC6"/>
    <w:rsid w:val="00926ABF"/>
    <w:rsid w:val="00927A26"/>
    <w:rsid w:val="00927D00"/>
    <w:rsid w:val="00930969"/>
    <w:rsid w:val="0093269F"/>
    <w:rsid w:val="00936433"/>
    <w:rsid w:val="009412CD"/>
    <w:rsid w:val="0095349A"/>
    <w:rsid w:val="00955204"/>
    <w:rsid w:val="00960CAB"/>
    <w:rsid w:val="00960CCB"/>
    <w:rsid w:val="00961359"/>
    <w:rsid w:val="00962A0B"/>
    <w:rsid w:val="00962C4D"/>
    <w:rsid w:val="00964D34"/>
    <w:rsid w:val="00966F72"/>
    <w:rsid w:val="0096757C"/>
    <w:rsid w:val="00967A23"/>
    <w:rsid w:val="00972946"/>
    <w:rsid w:val="00972E84"/>
    <w:rsid w:val="00974691"/>
    <w:rsid w:val="00976022"/>
    <w:rsid w:val="00976169"/>
    <w:rsid w:val="00976580"/>
    <w:rsid w:val="00977C3F"/>
    <w:rsid w:val="00977CC3"/>
    <w:rsid w:val="00980102"/>
    <w:rsid w:val="0098316D"/>
    <w:rsid w:val="00984D59"/>
    <w:rsid w:val="0098502F"/>
    <w:rsid w:val="00986D16"/>
    <w:rsid w:val="009910B5"/>
    <w:rsid w:val="009920AD"/>
    <w:rsid w:val="0099244A"/>
    <w:rsid w:val="009938B8"/>
    <w:rsid w:val="00994EB2"/>
    <w:rsid w:val="00995053"/>
    <w:rsid w:val="009A0735"/>
    <w:rsid w:val="009A25E2"/>
    <w:rsid w:val="009A37CD"/>
    <w:rsid w:val="009A4C36"/>
    <w:rsid w:val="009B1FF8"/>
    <w:rsid w:val="009B42EF"/>
    <w:rsid w:val="009B4E7E"/>
    <w:rsid w:val="009B5EED"/>
    <w:rsid w:val="009C20D3"/>
    <w:rsid w:val="009C37BF"/>
    <w:rsid w:val="009C6EE6"/>
    <w:rsid w:val="009C7333"/>
    <w:rsid w:val="009C7979"/>
    <w:rsid w:val="009D0966"/>
    <w:rsid w:val="009D0B0C"/>
    <w:rsid w:val="009D22E5"/>
    <w:rsid w:val="009D4B7E"/>
    <w:rsid w:val="009D5E13"/>
    <w:rsid w:val="009D71F1"/>
    <w:rsid w:val="009E015C"/>
    <w:rsid w:val="009E0909"/>
    <w:rsid w:val="009E37B1"/>
    <w:rsid w:val="009E3E05"/>
    <w:rsid w:val="009E5780"/>
    <w:rsid w:val="009E5D72"/>
    <w:rsid w:val="009E6EC4"/>
    <w:rsid w:val="009F01E1"/>
    <w:rsid w:val="009F2F5E"/>
    <w:rsid w:val="009F3B2F"/>
    <w:rsid w:val="009F42ED"/>
    <w:rsid w:val="009F60D9"/>
    <w:rsid w:val="00A01456"/>
    <w:rsid w:val="00A01B5E"/>
    <w:rsid w:val="00A02A20"/>
    <w:rsid w:val="00A03301"/>
    <w:rsid w:val="00A05E3C"/>
    <w:rsid w:val="00A0769D"/>
    <w:rsid w:val="00A07925"/>
    <w:rsid w:val="00A101E8"/>
    <w:rsid w:val="00A10455"/>
    <w:rsid w:val="00A1132C"/>
    <w:rsid w:val="00A1168E"/>
    <w:rsid w:val="00A11DCF"/>
    <w:rsid w:val="00A11EE6"/>
    <w:rsid w:val="00A1213C"/>
    <w:rsid w:val="00A14C01"/>
    <w:rsid w:val="00A1556E"/>
    <w:rsid w:val="00A169DC"/>
    <w:rsid w:val="00A20C10"/>
    <w:rsid w:val="00A22308"/>
    <w:rsid w:val="00A22EC9"/>
    <w:rsid w:val="00A25ED3"/>
    <w:rsid w:val="00A264B5"/>
    <w:rsid w:val="00A26E1A"/>
    <w:rsid w:val="00A27D67"/>
    <w:rsid w:val="00A317E0"/>
    <w:rsid w:val="00A37208"/>
    <w:rsid w:val="00A373FE"/>
    <w:rsid w:val="00A37744"/>
    <w:rsid w:val="00A4126B"/>
    <w:rsid w:val="00A431C8"/>
    <w:rsid w:val="00A47E8E"/>
    <w:rsid w:val="00A50183"/>
    <w:rsid w:val="00A50E52"/>
    <w:rsid w:val="00A512D9"/>
    <w:rsid w:val="00A52488"/>
    <w:rsid w:val="00A52EF8"/>
    <w:rsid w:val="00A52F87"/>
    <w:rsid w:val="00A550F0"/>
    <w:rsid w:val="00A55F4D"/>
    <w:rsid w:val="00A56DFC"/>
    <w:rsid w:val="00A607D6"/>
    <w:rsid w:val="00A65ACF"/>
    <w:rsid w:val="00A71725"/>
    <w:rsid w:val="00A730D4"/>
    <w:rsid w:val="00A75160"/>
    <w:rsid w:val="00A80107"/>
    <w:rsid w:val="00A80270"/>
    <w:rsid w:val="00A81E1C"/>
    <w:rsid w:val="00A82C07"/>
    <w:rsid w:val="00A8654F"/>
    <w:rsid w:val="00A921C2"/>
    <w:rsid w:val="00A93040"/>
    <w:rsid w:val="00A9331E"/>
    <w:rsid w:val="00A96C90"/>
    <w:rsid w:val="00AA1C5D"/>
    <w:rsid w:val="00AA207A"/>
    <w:rsid w:val="00AA672A"/>
    <w:rsid w:val="00AA7717"/>
    <w:rsid w:val="00AA7A7D"/>
    <w:rsid w:val="00AA7BA4"/>
    <w:rsid w:val="00AB24DF"/>
    <w:rsid w:val="00AB2639"/>
    <w:rsid w:val="00AB41F5"/>
    <w:rsid w:val="00AB534D"/>
    <w:rsid w:val="00AB6C48"/>
    <w:rsid w:val="00AB7F2E"/>
    <w:rsid w:val="00AC00B4"/>
    <w:rsid w:val="00AC26EA"/>
    <w:rsid w:val="00AC2702"/>
    <w:rsid w:val="00AC5E52"/>
    <w:rsid w:val="00AC75F2"/>
    <w:rsid w:val="00AD0D0C"/>
    <w:rsid w:val="00AD28A1"/>
    <w:rsid w:val="00AD39D3"/>
    <w:rsid w:val="00AD6CA7"/>
    <w:rsid w:val="00AF04EA"/>
    <w:rsid w:val="00AF1B9D"/>
    <w:rsid w:val="00AF2D9F"/>
    <w:rsid w:val="00AF4146"/>
    <w:rsid w:val="00B01E1E"/>
    <w:rsid w:val="00B04E52"/>
    <w:rsid w:val="00B064E0"/>
    <w:rsid w:val="00B0681C"/>
    <w:rsid w:val="00B06DF0"/>
    <w:rsid w:val="00B125E7"/>
    <w:rsid w:val="00B17733"/>
    <w:rsid w:val="00B17A2D"/>
    <w:rsid w:val="00B238A2"/>
    <w:rsid w:val="00B24199"/>
    <w:rsid w:val="00B2684F"/>
    <w:rsid w:val="00B30708"/>
    <w:rsid w:val="00B30B1C"/>
    <w:rsid w:val="00B32557"/>
    <w:rsid w:val="00B40A36"/>
    <w:rsid w:val="00B421B9"/>
    <w:rsid w:val="00B43070"/>
    <w:rsid w:val="00B43FAA"/>
    <w:rsid w:val="00B46946"/>
    <w:rsid w:val="00B52319"/>
    <w:rsid w:val="00B5524B"/>
    <w:rsid w:val="00B60374"/>
    <w:rsid w:val="00B624DE"/>
    <w:rsid w:val="00B631C4"/>
    <w:rsid w:val="00B648B6"/>
    <w:rsid w:val="00B65453"/>
    <w:rsid w:val="00B669BA"/>
    <w:rsid w:val="00B67E11"/>
    <w:rsid w:val="00B75280"/>
    <w:rsid w:val="00B81D39"/>
    <w:rsid w:val="00B82D37"/>
    <w:rsid w:val="00B879EB"/>
    <w:rsid w:val="00B87A14"/>
    <w:rsid w:val="00B87A48"/>
    <w:rsid w:val="00B91A45"/>
    <w:rsid w:val="00BA398E"/>
    <w:rsid w:val="00BA58F0"/>
    <w:rsid w:val="00BA6D3B"/>
    <w:rsid w:val="00BA7453"/>
    <w:rsid w:val="00BB0336"/>
    <w:rsid w:val="00BB0FA2"/>
    <w:rsid w:val="00BB2223"/>
    <w:rsid w:val="00BB2B7B"/>
    <w:rsid w:val="00BB2E6B"/>
    <w:rsid w:val="00BC0C20"/>
    <w:rsid w:val="00BC508C"/>
    <w:rsid w:val="00BC79D7"/>
    <w:rsid w:val="00BD1389"/>
    <w:rsid w:val="00BD41E9"/>
    <w:rsid w:val="00BD51C6"/>
    <w:rsid w:val="00BD7908"/>
    <w:rsid w:val="00BE057A"/>
    <w:rsid w:val="00BE2D96"/>
    <w:rsid w:val="00BE520A"/>
    <w:rsid w:val="00BE5A23"/>
    <w:rsid w:val="00BE6705"/>
    <w:rsid w:val="00BE7FAD"/>
    <w:rsid w:val="00BF03C1"/>
    <w:rsid w:val="00BF0DAF"/>
    <w:rsid w:val="00BF0E76"/>
    <w:rsid w:val="00BF1E08"/>
    <w:rsid w:val="00BF2EB6"/>
    <w:rsid w:val="00BF7A0C"/>
    <w:rsid w:val="00C063C0"/>
    <w:rsid w:val="00C06DB4"/>
    <w:rsid w:val="00C0756A"/>
    <w:rsid w:val="00C12BE9"/>
    <w:rsid w:val="00C13786"/>
    <w:rsid w:val="00C14FCB"/>
    <w:rsid w:val="00C15A0C"/>
    <w:rsid w:val="00C15FE3"/>
    <w:rsid w:val="00C2443D"/>
    <w:rsid w:val="00C24999"/>
    <w:rsid w:val="00C25A3F"/>
    <w:rsid w:val="00C2616B"/>
    <w:rsid w:val="00C26E45"/>
    <w:rsid w:val="00C318C2"/>
    <w:rsid w:val="00C35769"/>
    <w:rsid w:val="00C405C9"/>
    <w:rsid w:val="00C40FE1"/>
    <w:rsid w:val="00C434BA"/>
    <w:rsid w:val="00C44BCE"/>
    <w:rsid w:val="00C46EAD"/>
    <w:rsid w:val="00C51140"/>
    <w:rsid w:val="00C536A9"/>
    <w:rsid w:val="00C56A2B"/>
    <w:rsid w:val="00C57A7D"/>
    <w:rsid w:val="00C57DD2"/>
    <w:rsid w:val="00C6039F"/>
    <w:rsid w:val="00C61FE7"/>
    <w:rsid w:val="00C64B7C"/>
    <w:rsid w:val="00C673DF"/>
    <w:rsid w:val="00C75A94"/>
    <w:rsid w:val="00C77A24"/>
    <w:rsid w:val="00C77AA8"/>
    <w:rsid w:val="00C804FA"/>
    <w:rsid w:val="00C82D91"/>
    <w:rsid w:val="00C82E68"/>
    <w:rsid w:val="00C862B3"/>
    <w:rsid w:val="00C87690"/>
    <w:rsid w:val="00C87B3D"/>
    <w:rsid w:val="00C92F00"/>
    <w:rsid w:val="00C936E3"/>
    <w:rsid w:val="00C93DA5"/>
    <w:rsid w:val="00C9452A"/>
    <w:rsid w:val="00C94FA3"/>
    <w:rsid w:val="00C9774D"/>
    <w:rsid w:val="00CA00CA"/>
    <w:rsid w:val="00CA0334"/>
    <w:rsid w:val="00CA2884"/>
    <w:rsid w:val="00CA2953"/>
    <w:rsid w:val="00CA3206"/>
    <w:rsid w:val="00CA348C"/>
    <w:rsid w:val="00CA4CD5"/>
    <w:rsid w:val="00CA68AA"/>
    <w:rsid w:val="00CB12D2"/>
    <w:rsid w:val="00CB3280"/>
    <w:rsid w:val="00CB3F09"/>
    <w:rsid w:val="00CB4283"/>
    <w:rsid w:val="00CB4873"/>
    <w:rsid w:val="00CB57BD"/>
    <w:rsid w:val="00CB618B"/>
    <w:rsid w:val="00CC1A9F"/>
    <w:rsid w:val="00CC1C9A"/>
    <w:rsid w:val="00CC252A"/>
    <w:rsid w:val="00CC4493"/>
    <w:rsid w:val="00CC44BA"/>
    <w:rsid w:val="00CC47DB"/>
    <w:rsid w:val="00CC5D81"/>
    <w:rsid w:val="00CC7B84"/>
    <w:rsid w:val="00CD275C"/>
    <w:rsid w:val="00CD4231"/>
    <w:rsid w:val="00CD4AF0"/>
    <w:rsid w:val="00CD7B4A"/>
    <w:rsid w:val="00CE3A30"/>
    <w:rsid w:val="00CE4050"/>
    <w:rsid w:val="00CE4F1D"/>
    <w:rsid w:val="00CE602D"/>
    <w:rsid w:val="00CE65F8"/>
    <w:rsid w:val="00CE792C"/>
    <w:rsid w:val="00CE7DD4"/>
    <w:rsid w:val="00CF59F8"/>
    <w:rsid w:val="00CF615A"/>
    <w:rsid w:val="00CF745F"/>
    <w:rsid w:val="00D0047C"/>
    <w:rsid w:val="00D01366"/>
    <w:rsid w:val="00D0265F"/>
    <w:rsid w:val="00D03403"/>
    <w:rsid w:val="00D046B8"/>
    <w:rsid w:val="00D12693"/>
    <w:rsid w:val="00D1359A"/>
    <w:rsid w:val="00D22FAB"/>
    <w:rsid w:val="00D258FD"/>
    <w:rsid w:val="00D26687"/>
    <w:rsid w:val="00D2689C"/>
    <w:rsid w:val="00D26B80"/>
    <w:rsid w:val="00D30EE3"/>
    <w:rsid w:val="00D329C5"/>
    <w:rsid w:val="00D3321C"/>
    <w:rsid w:val="00D337F6"/>
    <w:rsid w:val="00D35580"/>
    <w:rsid w:val="00D356EA"/>
    <w:rsid w:val="00D401A6"/>
    <w:rsid w:val="00D409EF"/>
    <w:rsid w:val="00D40B26"/>
    <w:rsid w:val="00D453E0"/>
    <w:rsid w:val="00D5328E"/>
    <w:rsid w:val="00D54F1A"/>
    <w:rsid w:val="00D565F5"/>
    <w:rsid w:val="00D567DA"/>
    <w:rsid w:val="00D577DB"/>
    <w:rsid w:val="00D57E1A"/>
    <w:rsid w:val="00D608B9"/>
    <w:rsid w:val="00D61861"/>
    <w:rsid w:val="00D622CD"/>
    <w:rsid w:val="00D62567"/>
    <w:rsid w:val="00D66575"/>
    <w:rsid w:val="00D70550"/>
    <w:rsid w:val="00D80FD3"/>
    <w:rsid w:val="00D82784"/>
    <w:rsid w:val="00D8528C"/>
    <w:rsid w:val="00D87357"/>
    <w:rsid w:val="00D93C90"/>
    <w:rsid w:val="00D97E72"/>
    <w:rsid w:val="00DA0B4C"/>
    <w:rsid w:val="00DA116F"/>
    <w:rsid w:val="00DA25E7"/>
    <w:rsid w:val="00DA56E9"/>
    <w:rsid w:val="00DA71CC"/>
    <w:rsid w:val="00DB0579"/>
    <w:rsid w:val="00DB697C"/>
    <w:rsid w:val="00DB727B"/>
    <w:rsid w:val="00DB7622"/>
    <w:rsid w:val="00DB7E9D"/>
    <w:rsid w:val="00DC26C6"/>
    <w:rsid w:val="00DC277E"/>
    <w:rsid w:val="00DC3027"/>
    <w:rsid w:val="00DC383B"/>
    <w:rsid w:val="00DC3D1F"/>
    <w:rsid w:val="00DD13E3"/>
    <w:rsid w:val="00DD2ED9"/>
    <w:rsid w:val="00DD33A6"/>
    <w:rsid w:val="00DD4A45"/>
    <w:rsid w:val="00DD63D1"/>
    <w:rsid w:val="00DE0362"/>
    <w:rsid w:val="00DE222A"/>
    <w:rsid w:val="00DE34C7"/>
    <w:rsid w:val="00DE3DF8"/>
    <w:rsid w:val="00DE5E9E"/>
    <w:rsid w:val="00DE7D44"/>
    <w:rsid w:val="00DF0E81"/>
    <w:rsid w:val="00DF1196"/>
    <w:rsid w:val="00DF73D5"/>
    <w:rsid w:val="00E006A4"/>
    <w:rsid w:val="00E01733"/>
    <w:rsid w:val="00E041AA"/>
    <w:rsid w:val="00E0726C"/>
    <w:rsid w:val="00E12C8B"/>
    <w:rsid w:val="00E13696"/>
    <w:rsid w:val="00E15607"/>
    <w:rsid w:val="00E15BD9"/>
    <w:rsid w:val="00E20153"/>
    <w:rsid w:val="00E213C3"/>
    <w:rsid w:val="00E24AF7"/>
    <w:rsid w:val="00E2637A"/>
    <w:rsid w:val="00E31555"/>
    <w:rsid w:val="00E31DCB"/>
    <w:rsid w:val="00E3267B"/>
    <w:rsid w:val="00E350B1"/>
    <w:rsid w:val="00E355CF"/>
    <w:rsid w:val="00E355D3"/>
    <w:rsid w:val="00E37A69"/>
    <w:rsid w:val="00E40E68"/>
    <w:rsid w:val="00E420DA"/>
    <w:rsid w:val="00E432BC"/>
    <w:rsid w:val="00E452FF"/>
    <w:rsid w:val="00E46A23"/>
    <w:rsid w:val="00E471B1"/>
    <w:rsid w:val="00E47253"/>
    <w:rsid w:val="00E52FB0"/>
    <w:rsid w:val="00E5543F"/>
    <w:rsid w:val="00E61183"/>
    <w:rsid w:val="00E61800"/>
    <w:rsid w:val="00E62303"/>
    <w:rsid w:val="00E658A8"/>
    <w:rsid w:val="00E668DA"/>
    <w:rsid w:val="00E676D9"/>
    <w:rsid w:val="00E71800"/>
    <w:rsid w:val="00E73BE6"/>
    <w:rsid w:val="00E73BEC"/>
    <w:rsid w:val="00E73D9E"/>
    <w:rsid w:val="00E73E25"/>
    <w:rsid w:val="00E74949"/>
    <w:rsid w:val="00E74A8E"/>
    <w:rsid w:val="00E76AD5"/>
    <w:rsid w:val="00E82224"/>
    <w:rsid w:val="00E87A83"/>
    <w:rsid w:val="00E96C97"/>
    <w:rsid w:val="00EA09A8"/>
    <w:rsid w:val="00EA3E32"/>
    <w:rsid w:val="00EA6D61"/>
    <w:rsid w:val="00EA704E"/>
    <w:rsid w:val="00EA7F7C"/>
    <w:rsid w:val="00EB2913"/>
    <w:rsid w:val="00EB42BD"/>
    <w:rsid w:val="00EB642C"/>
    <w:rsid w:val="00EC2475"/>
    <w:rsid w:val="00EC4E86"/>
    <w:rsid w:val="00EC5566"/>
    <w:rsid w:val="00EC69E9"/>
    <w:rsid w:val="00ED12A0"/>
    <w:rsid w:val="00ED2D4B"/>
    <w:rsid w:val="00ED4F9C"/>
    <w:rsid w:val="00ED55F8"/>
    <w:rsid w:val="00ED5689"/>
    <w:rsid w:val="00ED697B"/>
    <w:rsid w:val="00ED70F4"/>
    <w:rsid w:val="00EE0B69"/>
    <w:rsid w:val="00EE0F9A"/>
    <w:rsid w:val="00EE1A69"/>
    <w:rsid w:val="00EE5547"/>
    <w:rsid w:val="00EE7CE2"/>
    <w:rsid w:val="00EF6DB6"/>
    <w:rsid w:val="00EF6EF4"/>
    <w:rsid w:val="00F00091"/>
    <w:rsid w:val="00F005E7"/>
    <w:rsid w:val="00F01476"/>
    <w:rsid w:val="00F0190B"/>
    <w:rsid w:val="00F0202B"/>
    <w:rsid w:val="00F02302"/>
    <w:rsid w:val="00F03454"/>
    <w:rsid w:val="00F0494D"/>
    <w:rsid w:val="00F04A09"/>
    <w:rsid w:val="00F05D9E"/>
    <w:rsid w:val="00F06492"/>
    <w:rsid w:val="00F07ED0"/>
    <w:rsid w:val="00F10121"/>
    <w:rsid w:val="00F1264F"/>
    <w:rsid w:val="00F12882"/>
    <w:rsid w:val="00F1424F"/>
    <w:rsid w:val="00F1577A"/>
    <w:rsid w:val="00F21581"/>
    <w:rsid w:val="00F22362"/>
    <w:rsid w:val="00F24C6B"/>
    <w:rsid w:val="00F26850"/>
    <w:rsid w:val="00F274AF"/>
    <w:rsid w:val="00F308B0"/>
    <w:rsid w:val="00F3163A"/>
    <w:rsid w:val="00F3402B"/>
    <w:rsid w:val="00F365E1"/>
    <w:rsid w:val="00F3673E"/>
    <w:rsid w:val="00F400D9"/>
    <w:rsid w:val="00F40471"/>
    <w:rsid w:val="00F43778"/>
    <w:rsid w:val="00F43A25"/>
    <w:rsid w:val="00F44207"/>
    <w:rsid w:val="00F442EF"/>
    <w:rsid w:val="00F44932"/>
    <w:rsid w:val="00F471C7"/>
    <w:rsid w:val="00F509D2"/>
    <w:rsid w:val="00F53E92"/>
    <w:rsid w:val="00F554B2"/>
    <w:rsid w:val="00F579EE"/>
    <w:rsid w:val="00F57BC9"/>
    <w:rsid w:val="00F60225"/>
    <w:rsid w:val="00F61A0A"/>
    <w:rsid w:val="00F61AD6"/>
    <w:rsid w:val="00F641D8"/>
    <w:rsid w:val="00F64532"/>
    <w:rsid w:val="00F66627"/>
    <w:rsid w:val="00F711EC"/>
    <w:rsid w:val="00F71E61"/>
    <w:rsid w:val="00F75713"/>
    <w:rsid w:val="00F75AB0"/>
    <w:rsid w:val="00F75C73"/>
    <w:rsid w:val="00F81536"/>
    <w:rsid w:val="00F85169"/>
    <w:rsid w:val="00F85239"/>
    <w:rsid w:val="00F8527D"/>
    <w:rsid w:val="00F8540D"/>
    <w:rsid w:val="00F90548"/>
    <w:rsid w:val="00F922EF"/>
    <w:rsid w:val="00F937BD"/>
    <w:rsid w:val="00F962DC"/>
    <w:rsid w:val="00FA07CF"/>
    <w:rsid w:val="00FA2F0E"/>
    <w:rsid w:val="00FA4ABC"/>
    <w:rsid w:val="00FA51C6"/>
    <w:rsid w:val="00FA5D2F"/>
    <w:rsid w:val="00FB11E7"/>
    <w:rsid w:val="00FB7C96"/>
    <w:rsid w:val="00FC1F97"/>
    <w:rsid w:val="00FC460B"/>
    <w:rsid w:val="00FC56B8"/>
    <w:rsid w:val="00FC5F20"/>
    <w:rsid w:val="00FC69AF"/>
    <w:rsid w:val="00FC7B5E"/>
    <w:rsid w:val="00FD079E"/>
    <w:rsid w:val="00FD0B41"/>
    <w:rsid w:val="00FD20A0"/>
    <w:rsid w:val="00FD4991"/>
    <w:rsid w:val="00FE0113"/>
    <w:rsid w:val="00FE0A00"/>
    <w:rsid w:val="00FE0D2A"/>
    <w:rsid w:val="00FE417B"/>
    <w:rsid w:val="00FE6AF1"/>
    <w:rsid w:val="00FE7A2E"/>
    <w:rsid w:val="00FF1392"/>
    <w:rsid w:val="00FF2D63"/>
    <w:rsid w:val="00FF403E"/>
    <w:rsid w:val="00FF6ACF"/>
    <w:rsid w:val="00FF7157"/>
    <w:rsid w:val="01086012"/>
    <w:rsid w:val="012F23D2"/>
    <w:rsid w:val="01353E46"/>
    <w:rsid w:val="013D20EF"/>
    <w:rsid w:val="013D4C8F"/>
    <w:rsid w:val="0141555F"/>
    <w:rsid w:val="01425A17"/>
    <w:rsid w:val="01542AFA"/>
    <w:rsid w:val="015E6630"/>
    <w:rsid w:val="015F3E37"/>
    <w:rsid w:val="016C75C7"/>
    <w:rsid w:val="018D524F"/>
    <w:rsid w:val="019036D8"/>
    <w:rsid w:val="01A01767"/>
    <w:rsid w:val="01A66FAC"/>
    <w:rsid w:val="01BD4FDC"/>
    <w:rsid w:val="01C42B8B"/>
    <w:rsid w:val="01CE3A0A"/>
    <w:rsid w:val="01E941AE"/>
    <w:rsid w:val="01ED256A"/>
    <w:rsid w:val="01FE504C"/>
    <w:rsid w:val="02201D8C"/>
    <w:rsid w:val="0221105C"/>
    <w:rsid w:val="02240E71"/>
    <w:rsid w:val="022F6268"/>
    <w:rsid w:val="0230144B"/>
    <w:rsid w:val="023E2A8F"/>
    <w:rsid w:val="023F01AC"/>
    <w:rsid w:val="02497F02"/>
    <w:rsid w:val="025C7268"/>
    <w:rsid w:val="025D37A6"/>
    <w:rsid w:val="02630A21"/>
    <w:rsid w:val="027520D7"/>
    <w:rsid w:val="02910656"/>
    <w:rsid w:val="029452C8"/>
    <w:rsid w:val="0299330C"/>
    <w:rsid w:val="029E3E12"/>
    <w:rsid w:val="02AE2F1E"/>
    <w:rsid w:val="02B07476"/>
    <w:rsid w:val="02B12263"/>
    <w:rsid w:val="02B34262"/>
    <w:rsid w:val="02BA6D6B"/>
    <w:rsid w:val="02BC6761"/>
    <w:rsid w:val="02C30781"/>
    <w:rsid w:val="02C32A89"/>
    <w:rsid w:val="02EB23C8"/>
    <w:rsid w:val="02ED4254"/>
    <w:rsid w:val="02F54A67"/>
    <w:rsid w:val="02FB586B"/>
    <w:rsid w:val="032764F6"/>
    <w:rsid w:val="03355FAD"/>
    <w:rsid w:val="03357A15"/>
    <w:rsid w:val="033F6615"/>
    <w:rsid w:val="034A4B76"/>
    <w:rsid w:val="03604B36"/>
    <w:rsid w:val="03646BB0"/>
    <w:rsid w:val="036A455B"/>
    <w:rsid w:val="03700AD7"/>
    <w:rsid w:val="03881BEB"/>
    <w:rsid w:val="03B07722"/>
    <w:rsid w:val="03B94246"/>
    <w:rsid w:val="03C9092D"/>
    <w:rsid w:val="03C947DD"/>
    <w:rsid w:val="03CD0376"/>
    <w:rsid w:val="03E73921"/>
    <w:rsid w:val="03E868D9"/>
    <w:rsid w:val="03EB0F95"/>
    <w:rsid w:val="03F1290E"/>
    <w:rsid w:val="04002E0B"/>
    <w:rsid w:val="040F03FA"/>
    <w:rsid w:val="0412438A"/>
    <w:rsid w:val="04136717"/>
    <w:rsid w:val="041D2A27"/>
    <w:rsid w:val="04332546"/>
    <w:rsid w:val="04533461"/>
    <w:rsid w:val="048D54DF"/>
    <w:rsid w:val="04B51F1A"/>
    <w:rsid w:val="04BD0338"/>
    <w:rsid w:val="04C56D31"/>
    <w:rsid w:val="04CF0F22"/>
    <w:rsid w:val="04D7542D"/>
    <w:rsid w:val="04DD163F"/>
    <w:rsid w:val="04E452F2"/>
    <w:rsid w:val="04E82F5F"/>
    <w:rsid w:val="05084E1A"/>
    <w:rsid w:val="0536624A"/>
    <w:rsid w:val="05476ED2"/>
    <w:rsid w:val="05507187"/>
    <w:rsid w:val="05547F50"/>
    <w:rsid w:val="05586D81"/>
    <w:rsid w:val="056775E0"/>
    <w:rsid w:val="05812096"/>
    <w:rsid w:val="05A174D0"/>
    <w:rsid w:val="05A31C11"/>
    <w:rsid w:val="05A54A82"/>
    <w:rsid w:val="05B6570E"/>
    <w:rsid w:val="05B719DB"/>
    <w:rsid w:val="05D411B5"/>
    <w:rsid w:val="05DC03BC"/>
    <w:rsid w:val="05E03755"/>
    <w:rsid w:val="05E05D39"/>
    <w:rsid w:val="05EE025B"/>
    <w:rsid w:val="05FB2E46"/>
    <w:rsid w:val="06274DE9"/>
    <w:rsid w:val="0643158D"/>
    <w:rsid w:val="06606ACF"/>
    <w:rsid w:val="06632C8A"/>
    <w:rsid w:val="066C44D0"/>
    <w:rsid w:val="06780BE4"/>
    <w:rsid w:val="067D77AC"/>
    <w:rsid w:val="0688298E"/>
    <w:rsid w:val="06A978A6"/>
    <w:rsid w:val="06BA577F"/>
    <w:rsid w:val="06C373A0"/>
    <w:rsid w:val="06CA61EA"/>
    <w:rsid w:val="06CE3AAD"/>
    <w:rsid w:val="06D3256B"/>
    <w:rsid w:val="06E93094"/>
    <w:rsid w:val="07142FC9"/>
    <w:rsid w:val="0716354A"/>
    <w:rsid w:val="071A113A"/>
    <w:rsid w:val="071A5532"/>
    <w:rsid w:val="073F7F68"/>
    <w:rsid w:val="07433326"/>
    <w:rsid w:val="074D1200"/>
    <w:rsid w:val="07701435"/>
    <w:rsid w:val="078057A6"/>
    <w:rsid w:val="0791006E"/>
    <w:rsid w:val="07A93817"/>
    <w:rsid w:val="07AA51F7"/>
    <w:rsid w:val="07C16E32"/>
    <w:rsid w:val="07C956F1"/>
    <w:rsid w:val="07DE071F"/>
    <w:rsid w:val="07E724F1"/>
    <w:rsid w:val="07F54B10"/>
    <w:rsid w:val="080D2DB2"/>
    <w:rsid w:val="08236132"/>
    <w:rsid w:val="0824157E"/>
    <w:rsid w:val="082A5712"/>
    <w:rsid w:val="08365D8B"/>
    <w:rsid w:val="083932FD"/>
    <w:rsid w:val="083C1D74"/>
    <w:rsid w:val="08664D5B"/>
    <w:rsid w:val="087338E5"/>
    <w:rsid w:val="087E552F"/>
    <w:rsid w:val="08935065"/>
    <w:rsid w:val="08994E2C"/>
    <w:rsid w:val="089E0248"/>
    <w:rsid w:val="08AA7F40"/>
    <w:rsid w:val="08AC09F8"/>
    <w:rsid w:val="08AF1C74"/>
    <w:rsid w:val="08B76FB8"/>
    <w:rsid w:val="08EC3C9C"/>
    <w:rsid w:val="08EF4818"/>
    <w:rsid w:val="08F26284"/>
    <w:rsid w:val="08F57B11"/>
    <w:rsid w:val="08F617F2"/>
    <w:rsid w:val="08F64252"/>
    <w:rsid w:val="08F94C8C"/>
    <w:rsid w:val="08FD0C7A"/>
    <w:rsid w:val="09027DBF"/>
    <w:rsid w:val="090F109A"/>
    <w:rsid w:val="09151314"/>
    <w:rsid w:val="09263609"/>
    <w:rsid w:val="092E2FE0"/>
    <w:rsid w:val="093E5BC8"/>
    <w:rsid w:val="0953633D"/>
    <w:rsid w:val="095867F9"/>
    <w:rsid w:val="09697733"/>
    <w:rsid w:val="096C24BB"/>
    <w:rsid w:val="09953804"/>
    <w:rsid w:val="099A0675"/>
    <w:rsid w:val="099C034D"/>
    <w:rsid w:val="09A71810"/>
    <w:rsid w:val="09AF52BC"/>
    <w:rsid w:val="09C556F2"/>
    <w:rsid w:val="09C9680A"/>
    <w:rsid w:val="09E33DCA"/>
    <w:rsid w:val="09EA33AB"/>
    <w:rsid w:val="09EA6668"/>
    <w:rsid w:val="0A0501E5"/>
    <w:rsid w:val="0A075D0B"/>
    <w:rsid w:val="0A0A57FB"/>
    <w:rsid w:val="0A193C90"/>
    <w:rsid w:val="0A1A77A1"/>
    <w:rsid w:val="0A3E3D26"/>
    <w:rsid w:val="0A4834F8"/>
    <w:rsid w:val="0A6173D2"/>
    <w:rsid w:val="0A682231"/>
    <w:rsid w:val="0A6825A9"/>
    <w:rsid w:val="0A781198"/>
    <w:rsid w:val="0AAC10E4"/>
    <w:rsid w:val="0AB07E4A"/>
    <w:rsid w:val="0AC93B72"/>
    <w:rsid w:val="0ACA6D38"/>
    <w:rsid w:val="0AD53C26"/>
    <w:rsid w:val="0ADD3B4A"/>
    <w:rsid w:val="0AEE775A"/>
    <w:rsid w:val="0AFF5154"/>
    <w:rsid w:val="0B0260FA"/>
    <w:rsid w:val="0B127FA5"/>
    <w:rsid w:val="0B187C06"/>
    <w:rsid w:val="0B462863"/>
    <w:rsid w:val="0B4B3360"/>
    <w:rsid w:val="0B6153F6"/>
    <w:rsid w:val="0B6C4BE2"/>
    <w:rsid w:val="0B895D1E"/>
    <w:rsid w:val="0B903157"/>
    <w:rsid w:val="0B9335CE"/>
    <w:rsid w:val="0BA653BF"/>
    <w:rsid w:val="0BAC6F99"/>
    <w:rsid w:val="0BCD1EAC"/>
    <w:rsid w:val="0BCF142C"/>
    <w:rsid w:val="0BDC319A"/>
    <w:rsid w:val="0BFB783E"/>
    <w:rsid w:val="0BFD5373"/>
    <w:rsid w:val="0BFD6481"/>
    <w:rsid w:val="0C0F0CD9"/>
    <w:rsid w:val="0C3D7985"/>
    <w:rsid w:val="0C631998"/>
    <w:rsid w:val="0C6821F6"/>
    <w:rsid w:val="0C990787"/>
    <w:rsid w:val="0C992D4F"/>
    <w:rsid w:val="0CAE3A50"/>
    <w:rsid w:val="0CBF15FF"/>
    <w:rsid w:val="0CC20F4F"/>
    <w:rsid w:val="0CD91857"/>
    <w:rsid w:val="0CDA4E4E"/>
    <w:rsid w:val="0CF258A4"/>
    <w:rsid w:val="0D212A41"/>
    <w:rsid w:val="0D214045"/>
    <w:rsid w:val="0D215F2C"/>
    <w:rsid w:val="0D314FE6"/>
    <w:rsid w:val="0D330BC5"/>
    <w:rsid w:val="0D540C02"/>
    <w:rsid w:val="0D571C0F"/>
    <w:rsid w:val="0D637F0E"/>
    <w:rsid w:val="0D645222"/>
    <w:rsid w:val="0D6A5410"/>
    <w:rsid w:val="0D794CB6"/>
    <w:rsid w:val="0D8324ED"/>
    <w:rsid w:val="0D8F059D"/>
    <w:rsid w:val="0D8F5855"/>
    <w:rsid w:val="0D936D15"/>
    <w:rsid w:val="0D9827E5"/>
    <w:rsid w:val="0DAF3D29"/>
    <w:rsid w:val="0DC466B9"/>
    <w:rsid w:val="0DC54945"/>
    <w:rsid w:val="0DF25BA4"/>
    <w:rsid w:val="0DFD573A"/>
    <w:rsid w:val="0DFE1012"/>
    <w:rsid w:val="0E0B029F"/>
    <w:rsid w:val="0E230373"/>
    <w:rsid w:val="0E2A41ED"/>
    <w:rsid w:val="0E30302E"/>
    <w:rsid w:val="0E351EED"/>
    <w:rsid w:val="0E397874"/>
    <w:rsid w:val="0E461B92"/>
    <w:rsid w:val="0E6059EA"/>
    <w:rsid w:val="0E632208"/>
    <w:rsid w:val="0E793CCE"/>
    <w:rsid w:val="0E844468"/>
    <w:rsid w:val="0E9E135B"/>
    <w:rsid w:val="0EA44F43"/>
    <w:rsid w:val="0EA62844"/>
    <w:rsid w:val="0EC2669E"/>
    <w:rsid w:val="0ED75315"/>
    <w:rsid w:val="0ED756CF"/>
    <w:rsid w:val="0EE34A0A"/>
    <w:rsid w:val="0EEF23A4"/>
    <w:rsid w:val="0F2500FF"/>
    <w:rsid w:val="0F2A7DB7"/>
    <w:rsid w:val="0F2D61D9"/>
    <w:rsid w:val="0F43254D"/>
    <w:rsid w:val="0F45451E"/>
    <w:rsid w:val="0F5372FC"/>
    <w:rsid w:val="0F543C48"/>
    <w:rsid w:val="0F54568B"/>
    <w:rsid w:val="0F6801CF"/>
    <w:rsid w:val="0F7F71A8"/>
    <w:rsid w:val="0F851480"/>
    <w:rsid w:val="0F9B0554"/>
    <w:rsid w:val="0FAF5422"/>
    <w:rsid w:val="0FAF5990"/>
    <w:rsid w:val="0FB271E8"/>
    <w:rsid w:val="0FB3423F"/>
    <w:rsid w:val="0FB73D2F"/>
    <w:rsid w:val="0FBF1392"/>
    <w:rsid w:val="0FD84D52"/>
    <w:rsid w:val="0FD93801"/>
    <w:rsid w:val="0FDC41E3"/>
    <w:rsid w:val="0FE95EB3"/>
    <w:rsid w:val="100C40A0"/>
    <w:rsid w:val="10131FB5"/>
    <w:rsid w:val="10176676"/>
    <w:rsid w:val="1031732E"/>
    <w:rsid w:val="10327E3A"/>
    <w:rsid w:val="10374301"/>
    <w:rsid w:val="10394E9C"/>
    <w:rsid w:val="103A764D"/>
    <w:rsid w:val="103B6EC4"/>
    <w:rsid w:val="10457DEF"/>
    <w:rsid w:val="10482BD9"/>
    <w:rsid w:val="104A6951"/>
    <w:rsid w:val="105628E7"/>
    <w:rsid w:val="105A27E6"/>
    <w:rsid w:val="108120DC"/>
    <w:rsid w:val="108950E7"/>
    <w:rsid w:val="109135C4"/>
    <w:rsid w:val="10A4426E"/>
    <w:rsid w:val="10B656D8"/>
    <w:rsid w:val="10BB6F68"/>
    <w:rsid w:val="10C37A22"/>
    <w:rsid w:val="10C556C7"/>
    <w:rsid w:val="10C55FD8"/>
    <w:rsid w:val="10F772EF"/>
    <w:rsid w:val="11017A58"/>
    <w:rsid w:val="11023D17"/>
    <w:rsid w:val="110F34C8"/>
    <w:rsid w:val="11491151"/>
    <w:rsid w:val="1159543F"/>
    <w:rsid w:val="116230D1"/>
    <w:rsid w:val="116A7E05"/>
    <w:rsid w:val="11722460"/>
    <w:rsid w:val="117A4F14"/>
    <w:rsid w:val="119D6F55"/>
    <w:rsid w:val="11CB1987"/>
    <w:rsid w:val="11D529F0"/>
    <w:rsid w:val="11DC5FC8"/>
    <w:rsid w:val="11E71072"/>
    <w:rsid w:val="11F55D84"/>
    <w:rsid w:val="11F95233"/>
    <w:rsid w:val="11FE73E1"/>
    <w:rsid w:val="1206271C"/>
    <w:rsid w:val="120839F3"/>
    <w:rsid w:val="120E39AF"/>
    <w:rsid w:val="12114BE2"/>
    <w:rsid w:val="121911ED"/>
    <w:rsid w:val="12261816"/>
    <w:rsid w:val="122816CA"/>
    <w:rsid w:val="1231523F"/>
    <w:rsid w:val="12392AE3"/>
    <w:rsid w:val="12421044"/>
    <w:rsid w:val="127A5380"/>
    <w:rsid w:val="12957C2C"/>
    <w:rsid w:val="1298079E"/>
    <w:rsid w:val="12AD5EBA"/>
    <w:rsid w:val="12B10442"/>
    <w:rsid w:val="12C319F0"/>
    <w:rsid w:val="12CB7F7B"/>
    <w:rsid w:val="12D57B5A"/>
    <w:rsid w:val="12D60970"/>
    <w:rsid w:val="12DA74FD"/>
    <w:rsid w:val="130354DD"/>
    <w:rsid w:val="13160E95"/>
    <w:rsid w:val="131D4A08"/>
    <w:rsid w:val="132A077A"/>
    <w:rsid w:val="132B4874"/>
    <w:rsid w:val="13365D96"/>
    <w:rsid w:val="133833D9"/>
    <w:rsid w:val="13401CF4"/>
    <w:rsid w:val="13474541"/>
    <w:rsid w:val="13597FDE"/>
    <w:rsid w:val="13610A7C"/>
    <w:rsid w:val="1370511E"/>
    <w:rsid w:val="138A2CF3"/>
    <w:rsid w:val="139600FA"/>
    <w:rsid w:val="139B1B3C"/>
    <w:rsid w:val="13AC7923"/>
    <w:rsid w:val="13BB36C2"/>
    <w:rsid w:val="13C163E4"/>
    <w:rsid w:val="13CF69C3"/>
    <w:rsid w:val="13E63AA6"/>
    <w:rsid w:val="13EB21F9"/>
    <w:rsid w:val="13F175F7"/>
    <w:rsid w:val="13F85DC5"/>
    <w:rsid w:val="13FC3073"/>
    <w:rsid w:val="14002DA6"/>
    <w:rsid w:val="141601C0"/>
    <w:rsid w:val="14183270"/>
    <w:rsid w:val="141D447E"/>
    <w:rsid w:val="141D6B0B"/>
    <w:rsid w:val="142D6F89"/>
    <w:rsid w:val="144554E0"/>
    <w:rsid w:val="144C2ACB"/>
    <w:rsid w:val="145908CD"/>
    <w:rsid w:val="146975C2"/>
    <w:rsid w:val="147F6E3A"/>
    <w:rsid w:val="148617D9"/>
    <w:rsid w:val="149258A7"/>
    <w:rsid w:val="149321EC"/>
    <w:rsid w:val="14A979BF"/>
    <w:rsid w:val="14AA6C47"/>
    <w:rsid w:val="14AD74AF"/>
    <w:rsid w:val="14B81325"/>
    <w:rsid w:val="14BB5770"/>
    <w:rsid w:val="14CA4494"/>
    <w:rsid w:val="14DD13B5"/>
    <w:rsid w:val="14DF1102"/>
    <w:rsid w:val="14E74E80"/>
    <w:rsid w:val="14FB05D3"/>
    <w:rsid w:val="14FB1DB1"/>
    <w:rsid w:val="1507775C"/>
    <w:rsid w:val="15082EFA"/>
    <w:rsid w:val="15107A3E"/>
    <w:rsid w:val="15214D63"/>
    <w:rsid w:val="1531629A"/>
    <w:rsid w:val="153E6FE7"/>
    <w:rsid w:val="15535F3F"/>
    <w:rsid w:val="155C3CBE"/>
    <w:rsid w:val="15697093"/>
    <w:rsid w:val="15760076"/>
    <w:rsid w:val="157E5DA4"/>
    <w:rsid w:val="159F6FD6"/>
    <w:rsid w:val="15A5462A"/>
    <w:rsid w:val="15B01BBF"/>
    <w:rsid w:val="15EC3B3E"/>
    <w:rsid w:val="15F1786F"/>
    <w:rsid w:val="15F46C2A"/>
    <w:rsid w:val="16121567"/>
    <w:rsid w:val="16175528"/>
    <w:rsid w:val="162D4D4B"/>
    <w:rsid w:val="16343F81"/>
    <w:rsid w:val="163948ED"/>
    <w:rsid w:val="164275F4"/>
    <w:rsid w:val="164717FA"/>
    <w:rsid w:val="1654148B"/>
    <w:rsid w:val="165710DF"/>
    <w:rsid w:val="16573B76"/>
    <w:rsid w:val="165B71D5"/>
    <w:rsid w:val="16700A7A"/>
    <w:rsid w:val="16734728"/>
    <w:rsid w:val="167D1103"/>
    <w:rsid w:val="1683572D"/>
    <w:rsid w:val="169E0BEA"/>
    <w:rsid w:val="16AF7EFC"/>
    <w:rsid w:val="16DD2BAC"/>
    <w:rsid w:val="16F70EB5"/>
    <w:rsid w:val="17197085"/>
    <w:rsid w:val="172460AC"/>
    <w:rsid w:val="172B1987"/>
    <w:rsid w:val="173054B2"/>
    <w:rsid w:val="17424EAD"/>
    <w:rsid w:val="174C1699"/>
    <w:rsid w:val="17544559"/>
    <w:rsid w:val="175E7E76"/>
    <w:rsid w:val="1763479D"/>
    <w:rsid w:val="178667F0"/>
    <w:rsid w:val="178A4C4F"/>
    <w:rsid w:val="17942AA9"/>
    <w:rsid w:val="17987255"/>
    <w:rsid w:val="179928AA"/>
    <w:rsid w:val="17A739C7"/>
    <w:rsid w:val="17C212EB"/>
    <w:rsid w:val="17C42121"/>
    <w:rsid w:val="17D82A95"/>
    <w:rsid w:val="17FB6C91"/>
    <w:rsid w:val="18053F1E"/>
    <w:rsid w:val="18085749"/>
    <w:rsid w:val="180B6D06"/>
    <w:rsid w:val="181A3262"/>
    <w:rsid w:val="181C3FF8"/>
    <w:rsid w:val="18365CFA"/>
    <w:rsid w:val="184114A1"/>
    <w:rsid w:val="18425C49"/>
    <w:rsid w:val="186969E3"/>
    <w:rsid w:val="188C7694"/>
    <w:rsid w:val="18BE3F0D"/>
    <w:rsid w:val="18C140E3"/>
    <w:rsid w:val="18CD6371"/>
    <w:rsid w:val="18DA0A8E"/>
    <w:rsid w:val="18DC03A2"/>
    <w:rsid w:val="18E11EA5"/>
    <w:rsid w:val="18FA4C8D"/>
    <w:rsid w:val="19054750"/>
    <w:rsid w:val="19083037"/>
    <w:rsid w:val="19092828"/>
    <w:rsid w:val="19103908"/>
    <w:rsid w:val="1933462F"/>
    <w:rsid w:val="19390D64"/>
    <w:rsid w:val="19554C37"/>
    <w:rsid w:val="19566DB3"/>
    <w:rsid w:val="196279A1"/>
    <w:rsid w:val="19696202"/>
    <w:rsid w:val="198040A4"/>
    <w:rsid w:val="198C37FE"/>
    <w:rsid w:val="19A941C1"/>
    <w:rsid w:val="19AE5ACF"/>
    <w:rsid w:val="19AF5A77"/>
    <w:rsid w:val="19B3071D"/>
    <w:rsid w:val="19B675DA"/>
    <w:rsid w:val="19C57049"/>
    <w:rsid w:val="19C637E5"/>
    <w:rsid w:val="19C721FB"/>
    <w:rsid w:val="19CE5CD8"/>
    <w:rsid w:val="19F02EFF"/>
    <w:rsid w:val="1A052165"/>
    <w:rsid w:val="1A063EF5"/>
    <w:rsid w:val="1A0F3AD5"/>
    <w:rsid w:val="1A0F6516"/>
    <w:rsid w:val="1A0F7374"/>
    <w:rsid w:val="1A142D27"/>
    <w:rsid w:val="1A1816AF"/>
    <w:rsid w:val="1A302494"/>
    <w:rsid w:val="1A330E88"/>
    <w:rsid w:val="1A60672B"/>
    <w:rsid w:val="1A630F50"/>
    <w:rsid w:val="1A6732FB"/>
    <w:rsid w:val="1A7929A3"/>
    <w:rsid w:val="1A7B4669"/>
    <w:rsid w:val="1A870B38"/>
    <w:rsid w:val="1A8C5DB8"/>
    <w:rsid w:val="1A8C6CF6"/>
    <w:rsid w:val="1A9417D9"/>
    <w:rsid w:val="1AA572B8"/>
    <w:rsid w:val="1AA70EB7"/>
    <w:rsid w:val="1AAA4949"/>
    <w:rsid w:val="1AB31D2F"/>
    <w:rsid w:val="1AC00AAF"/>
    <w:rsid w:val="1ACE55DA"/>
    <w:rsid w:val="1ACE6054"/>
    <w:rsid w:val="1ACE6D27"/>
    <w:rsid w:val="1AE0038B"/>
    <w:rsid w:val="1B403FA5"/>
    <w:rsid w:val="1B450A9E"/>
    <w:rsid w:val="1B481CDF"/>
    <w:rsid w:val="1B4B17D0"/>
    <w:rsid w:val="1B524326"/>
    <w:rsid w:val="1B55168B"/>
    <w:rsid w:val="1B63458F"/>
    <w:rsid w:val="1B645069"/>
    <w:rsid w:val="1B7D1BE7"/>
    <w:rsid w:val="1B7D1D15"/>
    <w:rsid w:val="1B8637EA"/>
    <w:rsid w:val="1B966EEF"/>
    <w:rsid w:val="1BDD1B28"/>
    <w:rsid w:val="1BE57F51"/>
    <w:rsid w:val="1C022610"/>
    <w:rsid w:val="1C037CCC"/>
    <w:rsid w:val="1C085913"/>
    <w:rsid w:val="1C0876C1"/>
    <w:rsid w:val="1C2F4A48"/>
    <w:rsid w:val="1C37598E"/>
    <w:rsid w:val="1C400DCC"/>
    <w:rsid w:val="1C4A3D51"/>
    <w:rsid w:val="1C550B58"/>
    <w:rsid w:val="1C6062B5"/>
    <w:rsid w:val="1C656B00"/>
    <w:rsid w:val="1C657709"/>
    <w:rsid w:val="1C6D522B"/>
    <w:rsid w:val="1C762201"/>
    <w:rsid w:val="1C87757C"/>
    <w:rsid w:val="1C911F05"/>
    <w:rsid w:val="1C9232F2"/>
    <w:rsid w:val="1C943E77"/>
    <w:rsid w:val="1C993860"/>
    <w:rsid w:val="1CB517E1"/>
    <w:rsid w:val="1CBF5FD1"/>
    <w:rsid w:val="1CC07FCD"/>
    <w:rsid w:val="1CCD060E"/>
    <w:rsid w:val="1CD4109A"/>
    <w:rsid w:val="1CDE3631"/>
    <w:rsid w:val="1CE814D1"/>
    <w:rsid w:val="1CFE11B3"/>
    <w:rsid w:val="1D00167E"/>
    <w:rsid w:val="1D01132A"/>
    <w:rsid w:val="1D022EEB"/>
    <w:rsid w:val="1D2C5B34"/>
    <w:rsid w:val="1D3444B7"/>
    <w:rsid w:val="1D3A1AFC"/>
    <w:rsid w:val="1D3F2887"/>
    <w:rsid w:val="1D413DD6"/>
    <w:rsid w:val="1D442082"/>
    <w:rsid w:val="1D494085"/>
    <w:rsid w:val="1D6104E9"/>
    <w:rsid w:val="1D6D5E73"/>
    <w:rsid w:val="1D6E2EA0"/>
    <w:rsid w:val="1D7C0366"/>
    <w:rsid w:val="1D90430C"/>
    <w:rsid w:val="1DA228F6"/>
    <w:rsid w:val="1DA26C67"/>
    <w:rsid w:val="1DB571C9"/>
    <w:rsid w:val="1DBF6F58"/>
    <w:rsid w:val="1DFC5003"/>
    <w:rsid w:val="1E2527AC"/>
    <w:rsid w:val="1E2A3F9F"/>
    <w:rsid w:val="1E65546D"/>
    <w:rsid w:val="1E7B6900"/>
    <w:rsid w:val="1E933E22"/>
    <w:rsid w:val="1EB60A31"/>
    <w:rsid w:val="1EC6457D"/>
    <w:rsid w:val="1EC7170B"/>
    <w:rsid w:val="1EC7534C"/>
    <w:rsid w:val="1ECD7160"/>
    <w:rsid w:val="1ED34F83"/>
    <w:rsid w:val="1ED641E3"/>
    <w:rsid w:val="1EED4935"/>
    <w:rsid w:val="1EF15FC6"/>
    <w:rsid w:val="1F196F16"/>
    <w:rsid w:val="1F1F544D"/>
    <w:rsid w:val="1F294330"/>
    <w:rsid w:val="1F2A3EE6"/>
    <w:rsid w:val="1F5164BE"/>
    <w:rsid w:val="1F530AFF"/>
    <w:rsid w:val="1F550636"/>
    <w:rsid w:val="1F6725BD"/>
    <w:rsid w:val="1F6F0182"/>
    <w:rsid w:val="1F751014"/>
    <w:rsid w:val="1F7A16FF"/>
    <w:rsid w:val="1F841E94"/>
    <w:rsid w:val="1F86410F"/>
    <w:rsid w:val="1F987D78"/>
    <w:rsid w:val="1FAD0B55"/>
    <w:rsid w:val="1FB57B5F"/>
    <w:rsid w:val="1FBA786C"/>
    <w:rsid w:val="1FC55FF4"/>
    <w:rsid w:val="1FDF7221"/>
    <w:rsid w:val="1FE07DD2"/>
    <w:rsid w:val="1FF72B1D"/>
    <w:rsid w:val="2000702C"/>
    <w:rsid w:val="201952D2"/>
    <w:rsid w:val="2020109E"/>
    <w:rsid w:val="20220096"/>
    <w:rsid w:val="202816B6"/>
    <w:rsid w:val="20352DB6"/>
    <w:rsid w:val="204E725A"/>
    <w:rsid w:val="205050F3"/>
    <w:rsid w:val="20665891"/>
    <w:rsid w:val="208241B4"/>
    <w:rsid w:val="208F5999"/>
    <w:rsid w:val="20B05494"/>
    <w:rsid w:val="20BD4F1E"/>
    <w:rsid w:val="20D109C9"/>
    <w:rsid w:val="20EE5770"/>
    <w:rsid w:val="2107261C"/>
    <w:rsid w:val="21147FEE"/>
    <w:rsid w:val="2132760F"/>
    <w:rsid w:val="213F7E47"/>
    <w:rsid w:val="21592FEC"/>
    <w:rsid w:val="215B2DFE"/>
    <w:rsid w:val="215C5CD9"/>
    <w:rsid w:val="215F2E6D"/>
    <w:rsid w:val="218B2E3C"/>
    <w:rsid w:val="219E13DD"/>
    <w:rsid w:val="21B5456C"/>
    <w:rsid w:val="21C0289A"/>
    <w:rsid w:val="21C314C7"/>
    <w:rsid w:val="21CB366A"/>
    <w:rsid w:val="21E53DD4"/>
    <w:rsid w:val="21FE67C3"/>
    <w:rsid w:val="21FF567A"/>
    <w:rsid w:val="220019CB"/>
    <w:rsid w:val="22080E1D"/>
    <w:rsid w:val="222E4A4B"/>
    <w:rsid w:val="224564ED"/>
    <w:rsid w:val="225B1C1A"/>
    <w:rsid w:val="22655D1C"/>
    <w:rsid w:val="227A5579"/>
    <w:rsid w:val="227B3EC3"/>
    <w:rsid w:val="22AC6E9D"/>
    <w:rsid w:val="22AF6B28"/>
    <w:rsid w:val="22BF1959"/>
    <w:rsid w:val="22FE3A70"/>
    <w:rsid w:val="23007343"/>
    <w:rsid w:val="230A1D1E"/>
    <w:rsid w:val="230F3D0A"/>
    <w:rsid w:val="232E3EB1"/>
    <w:rsid w:val="23341448"/>
    <w:rsid w:val="23385650"/>
    <w:rsid w:val="23425BAE"/>
    <w:rsid w:val="23517B9F"/>
    <w:rsid w:val="23531B69"/>
    <w:rsid w:val="235C6C70"/>
    <w:rsid w:val="237F04EF"/>
    <w:rsid w:val="23841437"/>
    <w:rsid w:val="238A3CA3"/>
    <w:rsid w:val="23AF4708"/>
    <w:rsid w:val="23C16A9A"/>
    <w:rsid w:val="23C465C3"/>
    <w:rsid w:val="23E66003"/>
    <w:rsid w:val="23F80076"/>
    <w:rsid w:val="23FE2FB7"/>
    <w:rsid w:val="23FE3AF7"/>
    <w:rsid w:val="241B7142"/>
    <w:rsid w:val="24452007"/>
    <w:rsid w:val="244802C7"/>
    <w:rsid w:val="244C0B39"/>
    <w:rsid w:val="245A32E7"/>
    <w:rsid w:val="24635935"/>
    <w:rsid w:val="24660E6A"/>
    <w:rsid w:val="24665559"/>
    <w:rsid w:val="24691825"/>
    <w:rsid w:val="248E0BEE"/>
    <w:rsid w:val="249222CA"/>
    <w:rsid w:val="24B056E4"/>
    <w:rsid w:val="24CC572F"/>
    <w:rsid w:val="24CF65FC"/>
    <w:rsid w:val="24D258A5"/>
    <w:rsid w:val="24DA6A74"/>
    <w:rsid w:val="24DB4BCD"/>
    <w:rsid w:val="24F602A0"/>
    <w:rsid w:val="250025A0"/>
    <w:rsid w:val="25296C9F"/>
    <w:rsid w:val="25401D76"/>
    <w:rsid w:val="2544236B"/>
    <w:rsid w:val="25453733"/>
    <w:rsid w:val="256C3562"/>
    <w:rsid w:val="257F6C45"/>
    <w:rsid w:val="258C736F"/>
    <w:rsid w:val="25977271"/>
    <w:rsid w:val="259B2D68"/>
    <w:rsid w:val="259E7D45"/>
    <w:rsid w:val="25A6077B"/>
    <w:rsid w:val="25A941CC"/>
    <w:rsid w:val="25A97E1E"/>
    <w:rsid w:val="25B40CD0"/>
    <w:rsid w:val="25BF4424"/>
    <w:rsid w:val="25C17AFA"/>
    <w:rsid w:val="25C251DB"/>
    <w:rsid w:val="25E00E0C"/>
    <w:rsid w:val="25EF379B"/>
    <w:rsid w:val="260C11C1"/>
    <w:rsid w:val="261049C1"/>
    <w:rsid w:val="261E645E"/>
    <w:rsid w:val="26383109"/>
    <w:rsid w:val="2641214D"/>
    <w:rsid w:val="26597FFC"/>
    <w:rsid w:val="26697AAB"/>
    <w:rsid w:val="266D2F42"/>
    <w:rsid w:val="2673065B"/>
    <w:rsid w:val="26746071"/>
    <w:rsid w:val="267839D3"/>
    <w:rsid w:val="26802C75"/>
    <w:rsid w:val="268423E1"/>
    <w:rsid w:val="26890627"/>
    <w:rsid w:val="26937CAB"/>
    <w:rsid w:val="26A43060"/>
    <w:rsid w:val="26BB1EFF"/>
    <w:rsid w:val="26BB2001"/>
    <w:rsid w:val="26C467F8"/>
    <w:rsid w:val="26E35358"/>
    <w:rsid w:val="270E00FE"/>
    <w:rsid w:val="270E298C"/>
    <w:rsid w:val="270E29F5"/>
    <w:rsid w:val="271512D2"/>
    <w:rsid w:val="272A0E33"/>
    <w:rsid w:val="272A2D2F"/>
    <w:rsid w:val="274020AE"/>
    <w:rsid w:val="27446B6F"/>
    <w:rsid w:val="274F752C"/>
    <w:rsid w:val="27520933"/>
    <w:rsid w:val="27584657"/>
    <w:rsid w:val="275E5A93"/>
    <w:rsid w:val="27736226"/>
    <w:rsid w:val="27755DA7"/>
    <w:rsid w:val="277C7F9A"/>
    <w:rsid w:val="279D2924"/>
    <w:rsid w:val="27A52E1A"/>
    <w:rsid w:val="27AC7A9A"/>
    <w:rsid w:val="27C53958"/>
    <w:rsid w:val="27D36D37"/>
    <w:rsid w:val="27DA4B73"/>
    <w:rsid w:val="27E61F25"/>
    <w:rsid w:val="27EC31BB"/>
    <w:rsid w:val="27ED2CBD"/>
    <w:rsid w:val="27F63DA6"/>
    <w:rsid w:val="27FA5CB6"/>
    <w:rsid w:val="280D34EA"/>
    <w:rsid w:val="281466B1"/>
    <w:rsid w:val="281713B7"/>
    <w:rsid w:val="281824A7"/>
    <w:rsid w:val="28312BBF"/>
    <w:rsid w:val="283B7736"/>
    <w:rsid w:val="285F673E"/>
    <w:rsid w:val="28644CCA"/>
    <w:rsid w:val="28687E65"/>
    <w:rsid w:val="28732D83"/>
    <w:rsid w:val="288F6949"/>
    <w:rsid w:val="28911AF2"/>
    <w:rsid w:val="289151CA"/>
    <w:rsid w:val="28A10C81"/>
    <w:rsid w:val="28A2680F"/>
    <w:rsid w:val="28DF17A9"/>
    <w:rsid w:val="28EB31BC"/>
    <w:rsid w:val="28EB583C"/>
    <w:rsid w:val="28EC2844"/>
    <w:rsid w:val="28F402DA"/>
    <w:rsid w:val="28FC78BE"/>
    <w:rsid w:val="29000A40"/>
    <w:rsid w:val="290F29AF"/>
    <w:rsid w:val="292D0766"/>
    <w:rsid w:val="293634F4"/>
    <w:rsid w:val="29600B3C"/>
    <w:rsid w:val="29606D8E"/>
    <w:rsid w:val="29671ECA"/>
    <w:rsid w:val="29770361"/>
    <w:rsid w:val="2985201E"/>
    <w:rsid w:val="29C55899"/>
    <w:rsid w:val="29D3130E"/>
    <w:rsid w:val="29F2147C"/>
    <w:rsid w:val="2A0C4A40"/>
    <w:rsid w:val="2A0D3DED"/>
    <w:rsid w:val="2A104310"/>
    <w:rsid w:val="2A134AF4"/>
    <w:rsid w:val="2A255C2B"/>
    <w:rsid w:val="2A2B7BC9"/>
    <w:rsid w:val="2A3A5DF9"/>
    <w:rsid w:val="2A4926C2"/>
    <w:rsid w:val="2A4B107A"/>
    <w:rsid w:val="2A4D2BFD"/>
    <w:rsid w:val="2A530EDF"/>
    <w:rsid w:val="2A574428"/>
    <w:rsid w:val="2A5F6992"/>
    <w:rsid w:val="2A7949E3"/>
    <w:rsid w:val="2A80647C"/>
    <w:rsid w:val="2A8E62B6"/>
    <w:rsid w:val="2A9572CC"/>
    <w:rsid w:val="2AA9206F"/>
    <w:rsid w:val="2AD81233"/>
    <w:rsid w:val="2AE63EFE"/>
    <w:rsid w:val="2B053749"/>
    <w:rsid w:val="2B195446"/>
    <w:rsid w:val="2B2E227F"/>
    <w:rsid w:val="2B2F07C6"/>
    <w:rsid w:val="2B3404E2"/>
    <w:rsid w:val="2B363CF4"/>
    <w:rsid w:val="2B3A7305"/>
    <w:rsid w:val="2B425FD0"/>
    <w:rsid w:val="2B4268A6"/>
    <w:rsid w:val="2B536BAA"/>
    <w:rsid w:val="2B875AFE"/>
    <w:rsid w:val="2B8C79C6"/>
    <w:rsid w:val="2B9B40AD"/>
    <w:rsid w:val="2B9B4F58"/>
    <w:rsid w:val="2BA3696C"/>
    <w:rsid w:val="2BAA0794"/>
    <w:rsid w:val="2BB67A51"/>
    <w:rsid w:val="2BB769EE"/>
    <w:rsid w:val="2BB8130D"/>
    <w:rsid w:val="2BC058C2"/>
    <w:rsid w:val="2BC1223D"/>
    <w:rsid w:val="2BC40014"/>
    <w:rsid w:val="2BC51B34"/>
    <w:rsid w:val="2BDE3F9A"/>
    <w:rsid w:val="2BE07D12"/>
    <w:rsid w:val="2BF95140"/>
    <w:rsid w:val="2C063C1D"/>
    <w:rsid w:val="2C0B194E"/>
    <w:rsid w:val="2C1A4F62"/>
    <w:rsid w:val="2C3447BE"/>
    <w:rsid w:val="2C3C07B5"/>
    <w:rsid w:val="2C3D3C75"/>
    <w:rsid w:val="2C4B420E"/>
    <w:rsid w:val="2C56006A"/>
    <w:rsid w:val="2C5F50DB"/>
    <w:rsid w:val="2C660165"/>
    <w:rsid w:val="2C6619D7"/>
    <w:rsid w:val="2C6A0BA3"/>
    <w:rsid w:val="2C6E17C2"/>
    <w:rsid w:val="2C8A76F4"/>
    <w:rsid w:val="2C931BC6"/>
    <w:rsid w:val="2CA45E14"/>
    <w:rsid w:val="2CB43679"/>
    <w:rsid w:val="2CB62CA6"/>
    <w:rsid w:val="2CD40261"/>
    <w:rsid w:val="2CEE34EF"/>
    <w:rsid w:val="2CF605F7"/>
    <w:rsid w:val="2D016FE9"/>
    <w:rsid w:val="2D023B71"/>
    <w:rsid w:val="2D14362B"/>
    <w:rsid w:val="2D2E304F"/>
    <w:rsid w:val="2D3C07FE"/>
    <w:rsid w:val="2D5756FC"/>
    <w:rsid w:val="2D5D5591"/>
    <w:rsid w:val="2D74743A"/>
    <w:rsid w:val="2D7C11D4"/>
    <w:rsid w:val="2D7F4766"/>
    <w:rsid w:val="2D8D3A62"/>
    <w:rsid w:val="2DAF3E40"/>
    <w:rsid w:val="2DBE7F60"/>
    <w:rsid w:val="2DF6381D"/>
    <w:rsid w:val="2DF6788C"/>
    <w:rsid w:val="2E0D1588"/>
    <w:rsid w:val="2E3944B7"/>
    <w:rsid w:val="2E4749F8"/>
    <w:rsid w:val="2E4C1B78"/>
    <w:rsid w:val="2E73313B"/>
    <w:rsid w:val="2E866E5E"/>
    <w:rsid w:val="2E9077CD"/>
    <w:rsid w:val="2EA916B2"/>
    <w:rsid w:val="2EB46A04"/>
    <w:rsid w:val="2EB84F76"/>
    <w:rsid w:val="2EC62DA5"/>
    <w:rsid w:val="2ECB7077"/>
    <w:rsid w:val="2EED318E"/>
    <w:rsid w:val="2EFE3F3B"/>
    <w:rsid w:val="2F0F1794"/>
    <w:rsid w:val="2F176141"/>
    <w:rsid w:val="2F1A0856"/>
    <w:rsid w:val="2F2B5B05"/>
    <w:rsid w:val="2F475C7E"/>
    <w:rsid w:val="2F486024"/>
    <w:rsid w:val="2F523B34"/>
    <w:rsid w:val="2F5E78CC"/>
    <w:rsid w:val="2F681310"/>
    <w:rsid w:val="2F6C283B"/>
    <w:rsid w:val="2F743B89"/>
    <w:rsid w:val="2F7E2877"/>
    <w:rsid w:val="2F8567D8"/>
    <w:rsid w:val="2F8B5040"/>
    <w:rsid w:val="2F9107C4"/>
    <w:rsid w:val="2F961B57"/>
    <w:rsid w:val="2FDC6A42"/>
    <w:rsid w:val="2FE65B09"/>
    <w:rsid w:val="2FFF53A8"/>
    <w:rsid w:val="30047098"/>
    <w:rsid w:val="30077F63"/>
    <w:rsid w:val="30115CE5"/>
    <w:rsid w:val="30135C1F"/>
    <w:rsid w:val="30191760"/>
    <w:rsid w:val="3028092A"/>
    <w:rsid w:val="302F54E7"/>
    <w:rsid w:val="304863A9"/>
    <w:rsid w:val="30726790"/>
    <w:rsid w:val="30801AC4"/>
    <w:rsid w:val="30823D65"/>
    <w:rsid w:val="30831C53"/>
    <w:rsid w:val="308E438B"/>
    <w:rsid w:val="30A43A04"/>
    <w:rsid w:val="30C87FB8"/>
    <w:rsid w:val="30CB1DAF"/>
    <w:rsid w:val="30E90E2B"/>
    <w:rsid w:val="30ED02EA"/>
    <w:rsid w:val="30FF267A"/>
    <w:rsid w:val="31044278"/>
    <w:rsid w:val="310A2A14"/>
    <w:rsid w:val="310F59F0"/>
    <w:rsid w:val="31395BA8"/>
    <w:rsid w:val="3141666D"/>
    <w:rsid w:val="31480833"/>
    <w:rsid w:val="314B14BF"/>
    <w:rsid w:val="3158219E"/>
    <w:rsid w:val="316D537E"/>
    <w:rsid w:val="31716348"/>
    <w:rsid w:val="317355F2"/>
    <w:rsid w:val="3185517F"/>
    <w:rsid w:val="3185793C"/>
    <w:rsid w:val="319475D5"/>
    <w:rsid w:val="31975317"/>
    <w:rsid w:val="31A87524"/>
    <w:rsid w:val="31B06C89"/>
    <w:rsid w:val="31B91778"/>
    <w:rsid w:val="31C2569E"/>
    <w:rsid w:val="31C96BD0"/>
    <w:rsid w:val="31D04385"/>
    <w:rsid w:val="31D9377A"/>
    <w:rsid w:val="31E15891"/>
    <w:rsid w:val="31F043F4"/>
    <w:rsid w:val="32170EE1"/>
    <w:rsid w:val="325066A8"/>
    <w:rsid w:val="32563FE3"/>
    <w:rsid w:val="325D3410"/>
    <w:rsid w:val="3260226B"/>
    <w:rsid w:val="327652E9"/>
    <w:rsid w:val="327A5FF1"/>
    <w:rsid w:val="32A55CC0"/>
    <w:rsid w:val="32A937D2"/>
    <w:rsid w:val="32C95971"/>
    <w:rsid w:val="32CF5928"/>
    <w:rsid w:val="32E41009"/>
    <w:rsid w:val="32E9078F"/>
    <w:rsid w:val="32ED34FF"/>
    <w:rsid w:val="330856D0"/>
    <w:rsid w:val="33316646"/>
    <w:rsid w:val="333A06E2"/>
    <w:rsid w:val="33462B8C"/>
    <w:rsid w:val="33491C13"/>
    <w:rsid w:val="335E45B2"/>
    <w:rsid w:val="33680D19"/>
    <w:rsid w:val="33691E57"/>
    <w:rsid w:val="336E025D"/>
    <w:rsid w:val="33735D99"/>
    <w:rsid w:val="33736E76"/>
    <w:rsid w:val="337570A4"/>
    <w:rsid w:val="33833CFC"/>
    <w:rsid w:val="33A269EC"/>
    <w:rsid w:val="33A856B1"/>
    <w:rsid w:val="33A930DF"/>
    <w:rsid w:val="33AB2922"/>
    <w:rsid w:val="33B73314"/>
    <w:rsid w:val="33C50B9E"/>
    <w:rsid w:val="33D30EC6"/>
    <w:rsid w:val="33D867E1"/>
    <w:rsid w:val="33D976B3"/>
    <w:rsid w:val="33DB2EFB"/>
    <w:rsid w:val="33DC6CF8"/>
    <w:rsid w:val="33EE36D1"/>
    <w:rsid w:val="33F54490"/>
    <w:rsid w:val="33F85833"/>
    <w:rsid w:val="33F94458"/>
    <w:rsid w:val="340B1EAD"/>
    <w:rsid w:val="34111989"/>
    <w:rsid w:val="341266A4"/>
    <w:rsid w:val="3429350C"/>
    <w:rsid w:val="343C76C2"/>
    <w:rsid w:val="343D0166"/>
    <w:rsid w:val="343D6C24"/>
    <w:rsid w:val="345873A9"/>
    <w:rsid w:val="347C5D20"/>
    <w:rsid w:val="348C4EDB"/>
    <w:rsid w:val="34997F68"/>
    <w:rsid w:val="34AF7CC9"/>
    <w:rsid w:val="34B14942"/>
    <w:rsid w:val="34E526B4"/>
    <w:rsid w:val="34F03DC0"/>
    <w:rsid w:val="34FE7262"/>
    <w:rsid w:val="352407FC"/>
    <w:rsid w:val="352612DF"/>
    <w:rsid w:val="35284201"/>
    <w:rsid w:val="35322B1F"/>
    <w:rsid w:val="3535498A"/>
    <w:rsid w:val="35471E10"/>
    <w:rsid w:val="354F3660"/>
    <w:rsid w:val="355004C3"/>
    <w:rsid w:val="3556146D"/>
    <w:rsid w:val="355724F0"/>
    <w:rsid w:val="356B5D07"/>
    <w:rsid w:val="35810326"/>
    <w:rsid w:val="358C5E8C"/>
    <w:rsid w:val="358D7C9B"/>
    <w:rsid w:val="358E2186"/>
    <w:rsid w:val="35AA4C6A"/>
    <w:rsid w:val="35B90B5D"/>
    <w:rsid w:val="35C81F43"/>
    <w:rsid w:val="35CC1726"/>
    <w:rsid w:val="35DE239E"/>
    <w:rsid w:val="35E06512"/>
    <w:rsid w:val="35E33F92"/>
    <w:rsid w:val="36010FB1"/>
    <w:rsid w:val="360212D1"/>
    <w:rsid w:val="360C7B72"/>
    <w:rsid w:val="360E2480"/>
    <w:rsid w:val="361327DB"/>
    <w:rsid w:val="361F1CFE"/>
    <w:rsid w:val="36371201"/>
    <w:rsid w:val="363720E3"/>
    <w:rsid w:val="3639711B"/>
    <w:rsid w:val="363E765D"/>
    <w:rsid w:val="36592830"/>
    <w:rsid w:val="36632356"/>
    <w:rsid w:val="367409D2"/>
    <w:rsid w:val="367B56C5"/>
    <w:rsid w:val="367C5173"/>
    <w:rsid w:val="36915D46"/>
    <w:rsid w:val="36B81FB7"/>
    <w:rsid w:val="36CA31B0"/>
    <w:rsid w:val="36D20797"/>
    <w:rsid w:val="36E65B3A"/>
    <w:rsid w:val="36FF3742"/>
    <w:rsid w:val="370346A6"/>
    <w:rsid w:val="37113475"/>
    <w:rsid w:val="37252E94"/>
    <w:rsid w:val="37296474"/>
    <w:rsid w:val="373227C5"/>
    <w:rsid w:val="37405833"/>
    <w:rsid w:val="374101FF"/>
    <w:rsid w:val="375869AC"/>
    <w:rsid w:val="375B253A"/>
    <w:rsid w:val="37666B6B"/>
    <w:rsid w:val="37675674"/>
    <w:rsid w:val="376B1978"/>
    <w:rsid w:val="37940CA8"/>
    <w:rsid w:val="37D848CF"/>
    <w:rsid w:val="37DA41AF"/>
    <w:rsid w:val="37DB157C"/>
    <w:rsid w:val="37DB3C7D"/>
    <w:rsid w:val="37EE7D30"/>
    <w:rsid w:val="37F62976"/>
    <w:rsid w:val="37F77F19"/>
    <w:rsid w:val="38042FDA"/>
    <w:rsid w:val="381B2F32"/>
    <w:rsid w:val="381C3F20"/>
    <w:rsid w:val="3822692C"/>
    <w:rsid w:val="38343F2A"/>
    <w:rsid w:val="38490F9C"/>
    <w:rsid w:val="384C1631"/>
    <w:rsid w:val="38542754"/>
    <w:rsid w:val="386C03A0"/>
    <w:rsid w:val="386D6DD1"/>
    <w:rsid w:val="38850AD8"/>
    <w:rsid w:val="38B10FD7"/>
    <w:rsid w:val="38B2326B"/>
    <w:rsid w:val="38BD498D"/>
    <w:rsid w:val="38D81B11"/>
    <w:rsid w:val="38EB04BF"/>
    <w:rsid w:val="38ED2653"/>
    <w:rsid w:val="38FC71A8"/>
    <w:rsid w:val="38FD1F03"/>
    <w:rsid w:val="39020983"/>
    <w:rsid w:val="39037F6C"/>
    <w:rsid w:val="39214610"/>
    <w:rsid w:val="39317DFF"/>
    <w:rsid w:val="39464964"/>
    <w:rsid w:val="395224D9"/>
    <w:rsid w:val="39535FC7"/>
    <w:rsid w:val="395601FC"/>
    <w:rsid w:val="397B4E62"/>
    <w:rsid w:val="39972B1A"/>
    <w:rsid w:val="399A1410"/>
    <w:rsid w:val="39C47D94"/>
    <w:rsid w:val="39CD1539"/>
    <w:rsid w:val="39CD5D32"/>
    <w:rsid w:val="39DA1DFA"/>
    <w:rsid w:val="39DC71EB"/>
    <w:rsid w:val="39DD5D2E"/>
    <w:rsid w:val="39E01A69"/>
    <w:rsid w:val="3A045F91"/>
    <w:rsid w:val="3A076679"/>
    <w:rsid w:val="3A0A0953"/>
    <w:rsid w:val="3A211C22"/>
    <w:rsid w:val="3A2C4127"/>
    <w:rsid w:val="3A4F0AA8"/>
    <w:rsid w:val="3A543DA5"/>
    <w:rsid w:val="3A5576B6"/>
    <w:rsid w:val="3A682780"/>
    <w:rsid w:val="3A697EB7"/>
    <w:rsid w:val="3A7F0311"/>
    <w:rsid w:val="3A8538B6"/>
    <w:rsid w:val="3A884EF1"/>
    <w:rsid w:val="3A8C5141"/>
    <w:rsid w:val="3AA52853"/>
    <w:rsid w:val="3AA648FE"/>
    <w:rsid w:val="3AAA7D3D"/>
    <w:rsid w:val="3AD117FB"/>
    <w:rsid w:val="3AD4138A"/>
    <w:rsid w:val="3AD72904"/>
    <w:rsid w:val="3AD75A09"/>
    <w:rsid w:val="3ADC5AFD"/>
    <w:rsid w:val="3AE17BBC"/>
    <w:rsid w:val="3B007A89"/>
    <w:rsid w:val="3B0F5ABD"/>
    <w:rsid w:val="3B2F4F75"/>
    <w:rsid w:val="3B31477D"/>
    <w:rsid w:val="3B315914"/>
    <w:rsid w:val="3B422101"/>
    <w:rsid w:val="3B4715CB"/>
    <w:rsid w:val="3B5008D7"/>
    <w:rsid w:val="3B7F15E2"/>
    <w:rsid w:val="3B8536A6"/>
    <w:rsid w:val="3B9F0C51"/>
    <w:rsid w:val="3BA00572"/>
    <w:rsid w:val="3BB1021B"/>
    <w:rsid w:val="3BE15B0C"/>
    <w:rsid w:val="3BE64EF0"/>
    <w:rsid w:val="3BF72A83"/>
    <w:rsid w:val="3C135790"/>
    <w:rsid w:val="3C1752F7"/>
    <w:rsid w:val="3C193171"/>
    <w:rsid w:val="3C1E3214"/>
    <w:rsid w:val="3C2528C6"/>
    <w:rsid w:val="3C371BD0"/>
    <w:rsid w:val="3C4F1FEA"/>
    <w:rsid w:val="3C5B6745"/>
    <w:rsid w:val="3C683B38"/>
    <w:rsid w:val="3C686571"/>
    <w:rsid w:val="3C6F5E3B"/>
    <w:rsid w:val="3C83525B"/>
    <w:rsid w:val="3C87375A"/>
    <w:rsid w:val="3C88531F"/>
    <w:rsid w:val="3C8D7A42"/>
    <w:rsid w:val="3C8E189D"/>
    <w:rsid w:val="3CA22EFE"/>
    <w:rsid w:val="3CB8043D"/>
    <w:rsid w:val="3CB94BCA"/>
    <w:rsid w:val="3CC35212"/>
    <w:rsid w:val="3CC50225"/>
    <w:rsid w:val="3CD967E3"/>
    <w:rsid w:val="3CDE231E"/>
    <w:rsid w:val="3D245A63"/>
    <w:rsid w:val="3D36346C"/>
    <w:rsid w:val="3D4269DA"/>
    <w:rsid w:val="3D430EA3"/>
    <w:rsid w:val="3D47560D"/>
    <w:rsid w:val="3D523BCD"/>
    <w:rsid w:val="3D645169"/>
    <w:rsid w:val="3D6933DE"/>
    <w:rsid w:val="3D7C3859"/>
    <w:rsid w:val="3D80607F"/>
    <w:rsid w:val="3D8F2120"/>
    <w:rsid w:val="3D8F30A0"/>
    <w:rsid w:val="3D990E61"/>
    <w:rsid w:val="3DA327E5"/>
    <w:rsid w:val="3DB01C7C"/>
    <w:rsid w:val="3DB334D8"/>
    <w:rsid w:val="3DBA1ADA"/>
    <w:rsid w:val="3DC123D9"/>
    <w:rsid w:val="3DC355A6"/>
    <w:rsid w:val="3DC42D6E"/>
    <w:rsid w:val="3DD009EA"/>
    <w:rsid w:val="3DD122A2"/>
    <w:rsid w:val="3DD64752"/>
    <w:rsid w:val="3DD80DF7"/>
    <w:rsid w:val="3DE17E96"/>
    <w:rsid w:val="3DE26317"/>
    <w:rsid w:val="3DEB1B40"/>
    <w:rsid w:val="3DFC4E7F"/>
    <w:rsid w:val="3E2D1C0D"/>
    <w:rsid w:val="3E352B5B"/>
    <w:rsid w:val="3E3A2755"/>
    <w:rsid w:val="3E463101"/>
    <w:rsid w:val="3E5717D0"/>
    <w:rsid w:val="3E5E04B0"/>
    <w:rsid w:val="3E5F4189"/>
    <w:rsid w:val="3E6C1A3F"/>
    <w:rsid w:val="3E734A16"/>
    <w:rsid w:val="3E752133"/>
    <w:rsid w:val="3E7A5DA4"/>
    <w:rsid w:val="3E953235"/>
    <w:rsid w:val="3EAA3B18"/>
    <w:rsid w:val="3EAA555F"/>
    <w:rsid w:val="3EBD0BAE"/>
    <w:rsid w:val="3EC3774B"/>
    <w:rsid w:val="3ECC3927"/>
    <w:rsid w:val="3ECD2095"/>
    <w:rsid w:val="3EEF22EE"/>
    <w:rsid w:val="3EF02AD3"/>
    <w:rsid w:val="3F024C1A"/>
    <w:rsid w:val="3F0D0FA0"/>
    <w:rsid w:val="3F21052E"/>
    <w:rsid w:val="3F330C34"/>
    <w:rsid w:val="3F3917F4"/>
    <w:rsid w:val="3F397A0D"/>
    <w:rsid w:val="3F4A39C9"/>
    <w:rsid w:val="3F625E8E"/>
    <w:rsid w:val="3F6A673B"/>
    <w:rsid w:val="3F8C2A74"/>
    <w:rsid w:val="3FA70307"/>
    <w:rsid w:val="3FA7458E"/>
    <w:rsid w:val="3FB22390"/>
    <w:rsid w:val="3FCF1529"/>
    <w:rsid w:val="3FDD2A57"/>
    <w:rsid w:val="3FE37E33"/>
    <w:rsid w:val="3FF027C2"/>
    <w:rsid w:val="3FF55C7D"/>
    <w:rsid w:val="3FF676AC"/>
    <w:rsid w:val="400E03CE"/>
    <w:rsid w:val="401171AD"/>
    <w:rsid w:val="40225AF1"/>
    <w:rsid w:val="403D5148"/>
    <w:rsid w:val="403D6B94"/>
    <w:rsid w:val="40507C98"/>
    <w:rsid w:val="40580367"/>
    <w:rsid w:val="4061657E"/>
    <w:rsid w:val="40767673"/>
    <w:rsid w:val="407707ED"/>
    <w:rsid w:val="40892318"/>
    <w:rsid w:val="408E0789"/>
    <w:rsid w:val="40A76FA9"/>
    <w:rsid w:val="40AC084A"/>
    <w:rsid w:val="40D05FDB"/>
    <w:rsid w:val="40DB515E"/>
    <w:rsid w:val="40E30197"/>
    <w:rsid w:val="40E63D94"/>
    <w:rsid w:val="40EA1367"/>
    <w:rsid w:val="40EB151F"/>
    <w:rsid w:val="40ED4F53"/>
    <w:rsid w:val="40F25A91"/>
    <w:rsid w:val="411C387B"/>
    <w:rsid w:val="41292B74"/>
    <w:rsid w:val="41406E31"/>
    <w:rsid w:val="414E3836"/>
    <w:rsid w:val="41592854"/>
    <w:rsid w:val="416E516B"/>
    <w:rsid w:val="418812BB"/>
    <w:rsid w:val="418D4040"/>
    <w:rsid w:val="419E7FFC"/>
    <w:rsid w:val="419F3079"/>
    <w:rsid w:val="41AE3A67"/>
    <w:rsid w:val="41C95125"/>
    <w:rsid w:val="41EA02ED"/>
    <w:rsid w:val="42075BA1"/>
    <w:rsid w:val="4215282E"/>
    <w:rsid w:val="42225E0B"/>
    <w:rsid w:val="42383FB6"/>
    <w:rsid w:val="423D7815"/>
    <w:rsid w:val="424F30C2"/>
    <w:rsid w:val="425E14DB"/>
    <w:rsid w:val="42621029"/>
    <w:rsid w:val="426B4382"/>
    <w:rsid w:val="42725710"/>
    <w:rsid w:val="427358D4"/>
    <w:rsid w:val="42736D87"/>
    <w:rsid w:val="427E086F"/>
    <w:rsid w:val="42826F4F"/>
    <w:rsid w:val="428B0580"/>
    <w:rsid w:val="429A4E70"/>
    <w:rsid w:val="429E14C4"/>
    <w:rsid w:val="42A26186"/>
    <w:rsid w:val="42A94EAA"/>
    <w:rsid w:val="42BA0E65"/>
    <w:rsid w:val="42C13D5C"/>
    <w:rsid w:val="42DD74CF"/>
    <w:rsid w:val="42DF3579"/>
    <w:rsid w:val="42E264C2"/>
    <w:rsid w:val="42E85CD3"/>
    <w:rsid w:val="42F54D63"/>
    <w:rsid w:val="43011E27"/>
    <w:rsid w:val="430D368B"/>
    <w:rsid w:val="430F20A0"/>
    <w:rsid w:val="43135F0F"/>
    <w:rsid w:val="431B6CC7"/>
    <w:rsid w:val="43225F65"/>
    <w:rsid w:val="435720D9"/>
    <w:rsid w:val="43615785"/>
    <w:rsid w:val="43732880"/>
    <w:rsid w:val="43865952"/>
    <w:rsid w:val="438F0BB0"/>
    <w:rsid w:val="43993170"/>
    <w:rsid w:val="43BF04EA"/>
    <w:rsid w:val="43C05A1E"/>
    <w:rsid w:val="43CF4932"/>
    <w:rsid w:val="43D22CDA"/>
    <w:rsid w:val="43D354DC"/>
    <w:rsid w:val="4405353A"/>
    <w:rsid w:val="44063CF3"/>
    <w:rsid w:val="44072973"/>
    <w:rsid w:val="44095C00"/>
    <w:rsid w:val="44117E2D"/>
    <w:rsid w:val="441822E7"/>
    <w:rsid w:val="442F13DF"/>
    <w:rsid w:val="44426345"/>
    <w:rsid w:val="444B2816"/>
    <w:rsid w:val="445279AA"/>
    <w:rsid w:val="4453331F"/>
    <w:rsid w:val="445F3A86"/>
    <w:rsid w:val="4478636B"/>
    <w:rsid w:val="447A0DB3"/>
    <w:rsid w:val="4481712B"/>
    <w:rsid w:val="44901E7E"/>
    <w:rsid w:val="449F54A7"/>
    <w:rsid w:val="44A1052F"/>
    <w:rsid w:val="44C93406"/>
    <w:rsid w:val="44D74994"/>
    <w:rsid w:val="44DD0E3B"/>
    <w:rsid w:val="44E67CEF"/>
    <w:rsid w:val="44F62875"/>
    <w:rsid w:val="451730A2"/>
    <w:rsid w:val="451955A3"/>
    <w:rsid w:val="45205199"/>
    <w:rsid w:val="45260B70"/>
    <w:rsid w:val="45357C2D"/>
    <w:rsid w:val="453A003B"/>
    <w:rsid w:val="45467C1A"/>
    <w:rsid w:val="45523E0A"/>
    <w:rsid w:val="45603F46"/>
    <w:rsid w:val="45784EE5"/>
    <w:rsid w:val="457C33A8"/>
    <w:rsid w:val="458804FE"/>
    <w:rsid w:val="458D57CB"/>
    <w:rsid w:val="4595726A"/>
    <w:rsid w:val="45C67177"/>
    <w:rsid w:val="45D048BE"/>
    <w:rsid w:val="45DE626C"/>
    <w:rsid w:val="45EB660D"/>
    <w:rsid w:val="45F13477"/>
    <w:rsid w:val="45FA688F"/>
    <w:rsid w:val="45FD7B3D"/>
    <w:rsid w:val="460A10C2"/>
    <w:rsid w:val="46220C85"/>
    <w:rsid w:val="46230254"/>
    <w:rsid w:val="46244F73"/>
    <w:rsid w:val="46287B26"/>
    <w:rsid w:val="462A00B0"/>
    <w:rsid w:val="462D24EF"/>
    <w:rsid w:val="46427F4E"/>
    <w:rsid w:val="46534E0B"/>
    <w:rsid w:val="4670640B"/>
    <w:rsid w:val="46753897"/>
    <w:rsid w:val="467A71EB"/>
    <w:rsid w:val="46867477"/>
    <w:rsid w:val="468A02AD"/>
    <w:rsid w:val="468B3DD1"/>
    <w:rsid w:val="469043B7"/>
    <w:rsid w:val="46BF4C9C"/>
    <w:rsid w:val="46C936C8"/>
    <w:rsid w:val="46CB1893"/>
    <w:rsid w:val="46D87DE5"/>
    <w:rsid w:val="46E556A4"/>
    <w:rsid w:val="46E97F6B"/>
    <w:rsid w:val="46EA25E1"/>
    <w:rsid w:val="46EB1077"/>
    <w:rsid w:val="470C2558"/>
    <w:rsid w:val="472127B7"/>
    <w:rsid w:val="472165B7"/>
    <w:rsid w:val="47277064"/>
    <w:rsid w:val="47323C17"/>
    <w:rsid w:val="4743767B"/>
    <w:rsid w:val="474E29C1"/>
    <w:rsid w:val="475569C5"/>
    <w:rsid w:val="475A49C5"/>
    <w:rsid w:val="475E44B5"/>
    <w:rsid w:val="476121D8"/>
    <w:rsid w:val="476A063C"/>
    <w:rsid w:val="477C748E"/>
    <w:rsid w:val="478A7058"/>
    <w:rsid w:val="47941208"/>
    <w:rsid w:val="47A101B2"/>
    <w:rsid w:val="47AC688A"/>
    <w:rsid w:val="47BF2852"/>
    <w:rsid w:val="47BF386C"/>
    <w:rsid w:val="47C3256A"/>
    <w:rsid w:val="47C95C6C"/>
    <w:rsid w:val="47EC7022"/>
    <w:rsid w:val="47FC7940"/>
    <w:rsid w:val="48030B33"/>
    <w:rsid w:val="48046015"/>
    <w:rsid w:val="4819316F"/>
    <w:rsid w:val="482F5E51"/>
    <w:rsid w:val="483F125D"/>
    <w:rsid w:val="48580B32"/>
    <w:rsid w:val="485B43A9"/>
    <w:rsid w:val="48635024"/>
    <w:rsid w:val="487B675C"/>
    <w:rsid w:val="48A95C04"/>
    <w:rsid w:val="48B22238"/>
    <w:rsid w:val="48B33076"/>
    <w:rsid w:val="48C4330A"/>
    <w:rsid w:val="48D55EB3"/>
    <w:rsid w:val="48DA0701"/>
    <w:rsid w:val="48DF324A"/>
    <w:rsid w:val="48E052EC"/>
    <w:rsid w:val="48E65AEE"/>
    <w:rsid w:val="48F80CE7"/>
    <w:rsid w:val="49096FCD"/>
    <w:rsid w:val="491D7C08"/>
    <w:rsid w:val="494625B6"/>
    <w:rsid w:val="49507E2D"/>
    <w:rsid w:val="49512BB1"/>
    <w:rsid w:val="495E0009"/>
    <w:rsid w:val="49641F5D"/>
    <w:rsid w:val="49666B6B"/>
    <w:rsid w:val="496F2CCC"/>
    <w:rsid w:val="498F64FC"/>
    <w:rsid w:val="49AD1724"/>
    <w:rsid w:val="49BE7E39"/>
    <w:rsid w:val="49C40005"/>
    <w:rsid w:val="49C4611C"/>
    <w:rsid w:val="49C65419"/>
    <w:rsid w:val="49D04BAB"/>
    <w:rsid w:val="49EA0282"/>
    <w:rsid w:val="49EA17C4"/>
    <w:rsid w:val="49EF440A"/>
    <w:rsid w:val="4A1A2F12"/>
    <w:rsid w:val="4A2C7C77"/>
    <w:rsid w:val="4A321C6F"/>
    <w:rsid w:val="4A366D8C"/>
    <w:rsid w:val="4A375709"/>
    <w:rsid w:val="4A475BFC"/>
    <w:rsid w:val="4A4E1094"/>
    <w:rsid w:val="4A561717"/>
    <w:rsid w:val="4A606796"/>
    <w:rsid w:val="4A717D8F"/>
    <w:rsid w:val="4A7D0F83"/>
    <w:rsid w:val="4A834A22"/>
    <w:rsid w:val="4A8815D3"/>
    <w:rsid w:val="4A9454F9"/>
    <w:rsid w:val="4A972DF7"/>
    <w:rsid w:val="4A992274"/>
    <w:rsid w:val="4AA77F21"/>
    <w:rsid w:val="4AAA2276"/>
    <w:rsid w:val="4AB64534"/>
    <w:rsid w:val="4ABD14F2"/>
    <w:rsid w:val="4AC66642"/>
    <w:rsid w:val="4AC87549"/>
    <w:rsid w:val="4AD37353"/>
    <w:rsid w:val="4ADC6651"/>
    <w:rsid w:val="4AE2340C"/>
    <w:rsid w:val="4AE72A13"/>
    <w:rsid w:val="4AFF6999"/>
    <w:rsid w:val="4B0E61F2"/>
    <w:rsid w:val="4B21257E"/>
    <w:rsid w:val="4B290FE3"/>
    <w:rsid w:val="4B322207"/>
    <w:rsid w:val="4B3B5793"/>
    <w:rsid w:val="4B58050B"/>
    <w:rsid w:val="4B5A25F7"/>
    <w:rsid w:val="4B6A0768"/>
    <w:rsid w:val="4B6B0CBD"/>
    <w:rsid w:val="4B705719"/>
    <w:rsid w:val="4B7B47F9"/>
    <w:rsid w:val="4BA563FE"/>
    <w:rsid w:val="4BB77663"/>
    <w:rsid w:val="4BC54DE5"/>
    <w:rsid w:val="4BCB7306"/>
    <w:rsid w:val="4BD52968"/>
    <w:rsid w:val="4BD91D02"/>
    <w:rsid w:val="4BE2600E"/>
    <w:rsid w:val="4BE57820"/>
    <w:rsid w:val="4BF657A1"/>
    <w:rsid w:val="4BFB7B74"/>
    <w:rsid w:val="4C0457A1"/>
    <w:rsid w:val="4C3F2C78"/>
    <w:rsid w:val="4C42244E"/>
    <w:rsid w:val="4C437DCE"/>
    <w:rsid w:val="4C6D3DA8"/>
    <w:rsid w:val="4C727CFA"/>
    <w:rsid w:val="4C88081B"/>
    <w:rsid w:val="4C8872A2"/>
    <w:rsid w:val="4C9C19F3"/>
    <w:rsid w:val="4CA47183"/>
    <w:rsid w:val="4CB7606E"/>
    <w:rsid w:val="4CB91CB1"/>
    <w:rsid w:val="4CF745DE"/>
    <w:rsid w:val="4CFC57E0"/>
    <w:rsid w:val="4D087B01"/>
    <w:rsid w:val="4D0B58BC"/>
    <w:rsid w:val="4D0C050F"/>
    <w:rsid w:val="4D0C2AD5"/>
    <w:rsid w:val="4D2059FA"/>
    <w:rsid w:val="4D2E3574"/>
    <w:rsid w:val="4D451B18"/>
    <w:rsid w:val="4D4D5AFE"/>
    <w:rsid w:val="4D502AF2"/>
    <w:rsid w:val="4D5C07F9"/>
    <w:rsid w:val="4D755736"/>
    <w:rsid w:val="4DAC0A3B"/>
    <w:rsid w:val="4DB92102"/>
    <w:rsid w:val="4DBA3E20"/>
    <w:rsid w:val="4DBC5B64"/>
    <w:rsid w:val="4DC679DB"/>
    <w:rsid w:val="4DE61D12"/>
    <w:rsid w:val="4DF1146E"/>
    <w:rsid w:val="4DF82017"/>
    <w:rsid w:val="4E0E661C"/>
    <w:rsid w:val="4E1E3790"/>
    <w:rsid w:val="4E2E44B5"/>
    <w:rsid w:val="4E4C57ED"/>
    <w:rsid w:val="4E5505A6"/>
    <w:rsid w:val="4E820BD8"/>
    <w:rsid w:val="4E8D729C"/>
    <w:rsid w:val="4E8E1C0C"/>
    <w:rsid w:val="4E9609D8"/>
    <w:rsid w:val="4E98004C"/>
    <w:rsid w:val="4EA5208F"/>
    <w:rsid w:val="4EAE617F"/>
    <w:rsid w:val="4EBC34E2"/>
    <w:rsid w:val="4EBD702F"/>
    <w:rsid w:val="4EC310A1"/>
    <w:rsid w:val="4EC818B0"/>
    <w:rsid w:val="4ECB59F9"/>
    <w:rsid w:val="4ECE1CAC"/>
    <w:rsid w:val="4EE414BB"/>
    <w:rsid w:val="4EE87B84"/>
    <w:rsid w:val="4EFF65C5"/>
    <w:rsid w:val="4F0052D1"/>
    <w:rsid w:val="4F014784"/>
    <w:rsid w:val="4F0431E6"/>
    <w:rsid w:val="4F1B712F"/>
    <w:rsid w:val="4F1C605F"/>
    <w:rsid w:val="4F254824"/>
    <w:rsid w:val="4F2658BE"/>
    <w:rsid w:val="4F4736A7"/>
    <w:rsid w:val="4F7914EF"/>
    <w:rsid w:val="4F9174FD"/>
    <w:rsid w:val="4F9402D2"/>
    <w:rsid w:val="4F9A6D4E"/>
    <w:rsid w:val="4FB10142"/>
    <w:rsid w:val="4FB82BD0"/>
    <w:rsid w:val="4FC643B6"/>
    <w:rsid w:val="4FD1578E"/>
    <w:rsid w:val="4FE10E76"/>
    <w:rsid w:val="4FEE2189"/>
    <w:rsid w:val="4FF71C3D"/>
    <w:rsid w:val="50016856"/>
    <w:rsid w:val="5008518B"/>
    <w:rsid w:val="500B32A2"/>
    <w:rsid w:val="502B6647"/>
    <w:rsid w:val="502B6EFE"/>
    <w:rsid w:val="50324E90"/>
    <w:rsid w:val="50476DF6"/>
    <w:rsid w:val="504C1B11"/>
    <w:rsid w:val="505F48A5"/>
    <w:rsid w:val="506472D4"/>
    <w:rsid w:val="50666C7A"/>
    <w:rsid w:val="507460A4"/>
    <w:rsid w:val="5094445D"/>
    <w:rsid w:val="509C0D4E"/>
    <w:rsid w:val="50A23A1E"/>
    <w:rsid w:val="50AC44E3"/>
    <w:rsid w:val="50B57EA9"/>
    <w:rsid w:val="50BC2B26"/>
    <w:rsid w:val="50BE1984"/>
    <w:rsid w:val="50D141C6"/>
    <w:rsid w:val="50D94FDD"/>
    <w:rsid w:val="50E24568"/>
    <w:rsid w:val="50F115EA"/>
    <w:rsid w:val="50F72C9C"/>
    <w:rsid w:val="50FC0DB6"/>
    <w:rsid w:val="511107EA"/>
    <w:rsid w:val="511F2007"/>
    <w:rsid w:val="51271E2F"/>
    <w:rsid w:val="51342CAA"/>
    <w:rsid w:val="51366F32"/>
    <w:rsid w:val="51406A38"/>
    <w:rsid w:val="514B4E4E"/>
    <w:rsid w:val="516578E1"/>
    <w:rsid w:val="517174DB"/>
    <w:rsid w:val="518049FF"/>
    <w:rsid w:val="51932FAD"/>
    <w:rsid w:val="51A06E66"/>
    <w:rsid w:val="51AF590D"/>
    <w:rsid w:val="51B475E9"/>
    <w:rsid w:val="51C05FF6"/>
    <w:rsid w:val="51D135DE"/>
    <w:rsid w:val="51DF4444"/>
    <w:rsid w:val="51F65295"/>
    <w:rsid w:val="51F872B4"/>
    <w:rsid w:val="51FD3DB6"/>
    <w:rsid w:val="52097713"/>
    <w:rsid w:val="520C3BB6"/>
    <w:rsid w:val="52252174"/>
    <w:rsid w:val="52295AE6"/>
    <w:rsid w:val="522D0E7F"/>
    <w:rsid w:val="523E4D62"/>
    <w:rsid w:val="5243507E"/>
    <w:rsid w:val="525402A0"/>
    <w:rsid w:val="525533AD"/>
    <w:rsid w:val="52554706"/>
    <w:rsid w:val="525F5585"/>
    <w:rsid w:val="528D41E4"/>
    <w:rsid w:val="52BF5C92"/>
    <w:rsid w:val="52C2167A"/>
    <w:rsid w:val="52C7794C"/>
    <w:rsid w:val="52D279CD"/>
    <w:rsid w:val="52D32ADF"/>
    <w:rsid w:val="52E45ACB"/>
    <w:rsid w:val="52E71802"/>
    <w:rsid w:val="52F47AFB"/>
    <w:rsid w:val="53071B37"/>
    <w:rsid w:val="530A5973"/>
    <w:rsid w:val="531169F3"/>
    <w:rsid w:val="531348FB"/>
    <w:rsid w:val="53275D3D"/>
    <w:rsid w:val="533354CF"/>
    <w:rsid w:val="533407C0"/>
    <w:rsid w:val="53346B96"/>
    <w:rsid w:val="535D5DC8"/>
    <w:rsid w:val="537A3167"/>
    <w:rsid w:val="537D2360"/>
    <w:rsid w:val="53811E50"/>
    <w:rsid w:val="53B22465"/>
    <w:rsid w:val="53B72F65"/>
    <w:rsid w:val="53BE3989"/>
    <w:rsid w:val="53D83751"/>
    <w:rsid w:val="53D85151"/>
    <w:rsid w:val="53E844A9"/>
    <w:rsid w:val="53FD2AC2"/>
    <w:rsid w:val="5409404E"/>
    <w:rsid w:val="54134B75"/>
    <w:rsid w:val="54164746"/>
    <w:rsid w:val="541F238F"/>
    <w:rsid w:val="542E2ADC"/>
    <w:rsid w:val="543341B9"/>
    <w:rsid w:val="543415ED"/>
    <w:rsid w:val="5438608E"/>
    <w:rsid w:val="544B7F7E"/>
    <w:rsid w:val="54501D22"/>
    <w:rsid w:val="546146EB"/>
    <w:rsid w:val="54680D66"/>
    <w:rsid w:val="54685AA1"/>
    <w:rsid w:val="547D06FB"/>
    <w:rsid w:val="547D14B1"/>
    <w:rsid w:val="54857DDB"/>
    <w:rsid w:val="548C678B"/>
    <w:rsid w:val="54905199"/>
    <w:rsid w:val="54914216"/>
    <w:rsid w:val="549273A9"/>
    <w:rsid w:val="549405C7"/>
    <w:rsid w:val="549D6C55"/>
    <w:rsid w:val="54CA07F6"/>
    <w:rsid w:val="54E979F3"/>
    <w:rsid w:val="54EF0774"/>
    <w:rsid w:val="54F2448F"/>
    <w:rsid w:val="54FE2E33"/>
    <w:rsid w:val="550B2DC8"/>
    <w:rsid w:val="5540169E"/>
    <w:rsid w:val="55466588"/>
    <w:rsid w:val="5547793A"/>
    <w:rsid w:val="554C32B2"/>
    <w:rsid w:val="55501E76"/>
    <w:rsid w:val="55701D69"/>
    <w:rsid w:val="55731E3E"/>
    <w:rsid w:val="557A0272"/>
    <w:rsid w:val="557E29D7"/>
    <w:rsid w:val="558F2195"/>
    <w:rsid w:val="55900035"/>
    <w:rsid w:val="55AF798B"/>
    <w:rsid w:val="55CA70E8"/>
    <w:rsid w:val="55ED4967"/>
    <w:rsid w:val="55F350C4"/>
    <w:rsid w:val="561019A5"/>
    <w:rsid w:val="561B14C6"/>
    <w:rsid w:val="561B7A15"/>
    <w:rsid w:val="56247722"/>
    <w:rsid w:val="56342FDD"/>
    <w:rsid w:val="56467B64"/>
    <w:rsid w:val="565626F9"/>
    <w:rsid w:val="565671A2"/>
    <w:rsid w:val="56685CA8"/>
    <w:rsid w:val="56740DC7"/>
    <w:rsid w:val="56753961"/>
    <w:rsid w:val="5677558B"/>
    <w:rsid w:val="569C2904"/>
    <w:rsid w:val="56AA3219"/>
    <w:rsid w:val="56CF2574"/>
    <w:rsid w:val="56CF424D"/>
    <w:rsid w:val="56DE4C00"/>
    <w:rsid w:val="570847EE"/>
    <w:rsid w:val="573270B5"/>
    <w:rsid w:val="57331689"/>
    <w:rsid w:val="57443B56"/>
    <w:rsid w:val="57614844"/>
    <w:rsid w:val="57664CC0"/>
    <w:rsid w:val="576A00D2"/>
    <w:rsid w:val="576A530D"/>
    <w:rsid w:val="57971A40"/>
    <w:rsid w:val="579E4D2D"/>
    <w:rsid w:val="57A24175"/>
    <w:rsid w:val="57B75717"/>
    <w:rsid w:val="57C470D2"/>
    <w:rsid w:val="57C77E19"/>
    <w:rsid w:val="57CA488B"/>
    <w:rsid w:val="57DB3900"/>
    <w:rsid w:val="57DB47FB"/>
    <w:rsid w:val="580846BB"/>
    <w:rsid w:val="5816050F"/>
    <w:rsid w:val="581D5CC6"/>
    <w:rsid w:val="58205F1A"/>
    <w:rsid w:val="582468CD"/>
    <w:rsid w:val="582840C5"/>
    <w:rsid w:val="583074F9"/>
    <w:rsid w:val="583515AC"/>
    <w:rsid w:val="584B45E2"/>
    <w:rsid w:val="584C2587"/>
    <w:rsid w:val="585127AA"/>
    <w:rsid w:val="585D5314"/>
    <w:rsid w:val="58603D47"/>
    <w:rsid w:val="58743A0C"/>
    <w:rsid w:val="58BB3CCE"/>
    <w:rsid w:val="58CD3249"/>
    <w:rsid w:val="58DE0E81"/>
    <w:rsid w:val="59125866"/>
    <w:rsid w:val="5915352F"/>
    <w:rsid w:val="591B0458"/>
    <w:rsid w:val="59232E69"/>
    <w:rsid w:val="59304651"/>
    <w:rsid w:val="593E2965"/>
    <w:rsid w:val="594856C1"/>
    <w:rsid w:val="59486EBB"/>
    <w:rsid w:val="59493AFE"/>
    <w:rsid w:val="594C38F9"/>
    <w:rsid w:val="594C4A1E"/>
    <w:rsid w:val="59567838"/>
    <w:rsid w:val="59700D18"/>
    <w:rsid w:val="5970491E"/>
    <w:rsid w:val="597304CA"/>
    <w:rsid w:val="59794C92"/>
    <w:rsid w:val="597A0373"/>
    <w:rsid w:val="598803B1"/>
    <w:rsid w:val="59A5117A"/>
    <w:rsid w:val="59A937D5"/>
    <w:rsid w:val="59BA6CB3"/>
    <w:rsid w:val="59BA6CC4"/>
    <w:rsid w:val="59DB746A"/>
    <w:rsid w:val="59F2154E"/>
    <w:rsid w:val="59F9691A"/>
    <w:rsid w:val="5A012975"/>
    <w:rsid w:val="5A0233C6"/>
    <w:rsid w:val="5A097A39"/>
    <w:rsid w:val="5A112448"/>
    <w:rsid w:val="5A1E417A"/>
    <w:rsid w:val="5A266C4C"/>
    <w:rsid w:val="5A2D3B53"/>
    <w:rsid w:val="5A3B2434"/>
    <w:rsid w:val="5A6457FD"/>
    <w:rsid w:val="5A645A7F"/>
    <w:rsid w:val="5A653116"/>
    <w:rsid w:val="5A7035CD"/>
    <w:rsid w:val="5A873ECB"/>
    <w:rsid w:val="5A934A0F"/>
    <w:rsid w:val="5A957C98"/>
    <w:rsid w:val="5A9E6D6F"/>
    <w:rsid w:val="5AAC50E0"/>
    <w:rsid w:val="5AAD60EA"/>
    <w:rsid w:val="5AB61DE0"/>
    <w:rsid w:val="5ACB527F"/>
    <w:rsid w:val="5AD7761B"/>
    <w:rsid w:val="5B072DB6"/>
    <w:rsid w:val="5B19492B"/>
    <w:rsid w:val="5B233465"/>
    <w:rsid w:val="5B333A51"/>
    <w:rsid w:val="5B506B61"/>
    <w:rsid w:val="5B5F0F2E"/>
    <w:rsid w:val="5B667984"/>
    <w:rsid w:val="5B6B796C"/>
    <w:rsid w:val="5B7C0F56"/>
    <w:rsid w:val="5B9808C1"/>
    <w:rsid w:val="5BB10CB2"/>
    <w:rsid w:val="5BC16A09"/>
    <w:rsid w:val="5C012CC6"/>
    <w:rsid w:val="5C024872"/>
    <w:rsid w:val="5C3B496D"/>
    <w:rsid w:val="5C503DE0"/>
    <w:rsid w:val="5C5435D1"/>
    <w:rsid w:val="5C5C5BA5"/>
    <w:rsid w:val="5C8005D2"/>
    <w:rsid w:val="5C8C4702"/>
    <w:rsid w:val="5C936557"/>
    <w:rsid w:val="5C943DBC"/>
    <w:rsid w:val="5C997625"/>
    <w:rsid w:val="5CA57080"/>
    <w:rsid w:val="5CA77E21"/>
    <w:rsid w:val="5CAF0BE0"/>
    <w:rsid w:val="5CB458BA"/>
    <w:rsid w:val="5CDC782C"/>
    <w:rsid w:val="5CE23DAC"/>
    <w:rsid w:val="5CE73917"/>
    <w:rsid w:val="5D0A73AF"/>
    <w:rsid w:val="5D120F26"/>
    <w:rsid w:val="5D1F603D"/>
    <w:rsid w:val="5D376039"/>
    <w:rsid w:val="5D3E31E9"/>
    <w:rsid w:val="5D436E42"/>
    <w:rsid w:val="5D63667B"/>
    <w:rsid w:val="5D696565"/>
    <w:rsid w:val="5D6F2EDA"/>
    <w:rsid w:val="5D783847"/>
    <w:rsid w:val="5D83037A"/>
    <w:rsid w:val="5D885121"/>
    <w:rsid w:val="5D9941C1"/>
    <w:rsid w:val="5DA92832"/>
    <w:rsid w:val="5DAE502B"/>
    <w:rsid w:val="5DB466F3"/>
    <w:rsid w:val="5DB915F2"/>
    <w:rsid w:val="5DBC60F3"/>
    <w:rsid w:val="5DCB1D21"/>
    <w:rsid w:val="5DCD5A99"/>
    <w:rsid w:val="5DDA5440"/>
    <w:rsid w:val="5DDD5947"/>
    <w:rsid w:val="5DDF393D"/>
    <w:rsid w:val="5DDF6E4E"/>
    <w:rsid w:val="5DFA49E0"/>
    <w:rsid w:val="5E1D0F80"/>
    <w:rsid w:val="5E1F3B6D"/>
    <w:rsid w:val="5E224037"/>
    <w:rsid w:val="5E352C38"/>
    <w:rsid w:val="5E3E40FF"/>
    <w:rsid w:val="5E40706E"/>
    <w:rsid w:val="5E4C1080"/>
    <w:rsid w:val="5E4E1C8A"/>
    <w:rsid w:val="5E5D7A78"/>
    <w:rsid w:val="5E7833A1"/>
    <w:rsid w:val="5E8274BA"/>
    <w:rsid w:val="5EA06D09"/>
    <w:rsid w:val="5EA53C9A"/>
    <w:rsid w:val="5EB822A5"/>
    <w:rsid w:val="5EBC7F37"/>
    <w:rsid w:val="5ECE7D1A"/>
    <w:rsid w:val="5ED36C86"/>
    <w:rsid w:val="5EDA60B0"/>
    <w:rsid w:val="5EE35A57"/>
    <w:rsid w:val="5F1645A7"/>
    <w:rsid w:val="5F522F6C"/>
    <w:rsid w:val="5F6A54DD"/>
    <w:rsid w:val="5F815969"/>
    <w:rsid w:val="5F8B4FA7"/>
    <w:rsid w:val="5F9B72D1"/>
    <w:rsid w:val="5FAB0A44"/>
    <w:rsid w:val="5FB17C29"/>
    <w:rsid w:val="5FB34738"/>
    <w:rsid w:val="5FB95E1C"/>
    <w:rsid w:val="5FC85F82"/>
    <w:rsid w:val="5FCB3FE5"/>
    <w:rsid w:val="5FDC5EDE"/>
    <w:rsid w:val="5FEB2206"/>
    <w:rsid w:val="5FED772C"/>
    <w:rsid w:val="5FF97EAE"/>
    <w:rsid w:val="60155C27"/>
    <w:rsid w:val="60162D11"/>
    <w:rsid w:val="601A6070"/>
    <w:rsid w:val="60226F8B"/>
    <w:rsid w:val="603B4F3C"/>
    <w:rsid w:val="60477ABF"/>
    <w:rsid w:val="604B06AE"/>
    <w:rsid w:val="60526566"/>
    <w:rsid w:val="607F756F"/>
    <w:rsid w:val="60917251"/>
    <w:rsid w:val="60982996"/>
    <w:rsid w:val="60C53D01"/>
    <w:rsid w:val="60C9018D"/>
    <w:rsid w:val="61012C93"/>
    <w:rsid w:val="61053FC5"/>
    <w:rsid w:val="610C088E"/>
    <w:rsid w:val="614A03E6"/>
    <w:rsid w:val="61531A50"/>
    <w:rsid w:val="61532201"/>
    <w:rsid w:val="61651210"/>
    <w:rsid w:val="61666018"/>
    <w:rsid w:val="616B46BB"/>
    <w:rsid w:val="616E5EB6"/>
    <w:rsid w:val="617526CF"/>
    <w:rsid w:val="618560EB"/>
    <w:rsid w:val="618E3791"/>
    <w:rsid w:val="619B5D77"/>
    <w:rsid w:val="61B10243"/>
    <w:rsid w:val="61BB2DD9"/>
    <w:rsid w:val="61C00B2F"/>
    <w:rsid w:val="61C3411F"/>
    <w:rsid w:val="61DD1B9A"/>
    <w:rsid w:val="61E136F6"/>
    <w:rsid w:val="61F4426B"/>
    <w:rsid w:val="61F83805"/>
    <w:rsid w:val="62022776"/>
    <w:rsid w:val="6205764C"/>
    <w:rsid w:val="62256C85"/>
    <w:rsid w:val="623600B0"/>
    <w:rsid w:val="62562501"/>
    <w:rsid w:val="6256299E"/>
    <w:rsid w:val="62574D95"/>
    <w:rsid w:val="62586747"/>
    <w:rsid w:val="626C60B7"/>
    <w:rsid w:val="62746498"/>
    <w:rsid w:val="62922E0D"/>
    <w:rsid w:val="62982A5C"/>
    <w:rsid w:val="62CB6D60"/>
    <w:rsid w:val="62E358B2"/>
    <w:rsid w:val="62EA49F7"/>
    <w:rsid w:val="62F154C5"/>
    <w:rsid w:val="62FD0A5D"/>
    <w:rsid w:val="63162338"/>
    <w:rsid w:val="632036E4"/>
    <w:rsid w:val="63232EB3"/>
    <w:rsid w:val="63267478"/>
    <w:rsid w:val="633D315E"/>
    <w:rsid w:val="63504ABF"/>
    <w:rsid w:val="63517786"/>
    <w:rsid w:val="637052D7"/>
    <w:rsid w:val="6388739F"/>
    <w:rsid w:val="6389099E"/>
    <w:rsid w:val="63954DAA"/>
    <w:rsid w:val="63C74AA3"/>
    <w:rsid w:val="63D87748"/>
    <w:rsid w:val="63DE2EEF"/>
    <w:rsid w:val="63E8362C"/>
    <w:rsid w:val="63F16145"/>
    <w:rsid w:val="64024CFF"/>
    <w:rsid w:val="641D22DD"/>
    <w:rsid w:val="64426DE8"/>
    <w:rsid w:val="645B3151"/>
    <w:rsid w:val="646A170C"/>
    <w:rsid w:val="64701038"/>
    <w:rsid w:val="64722EF6"/>
    <w:rsid w:val="64797A3F"/>
    <w:rsid w:val="647B4B09"/>
    <w:rsid w:val="647B6F79"/>
    <w:rsid w:val="64815AEE"/>
    <w:rsid w:val="648937A8"/>
    <w:rsid w:val="648B1BA9"/>
    <w:rsid w:val="648D0F64"/>
    <w:rsid w:val="649449E8"/>
    <w:rsid w:val="649D5D6D"/>
    <w:rsid w:val="64A9391A"/>
    <w:rsid w:val="64AF7CA6"/>
    <w:rsid w:val="64D77B16"/>
    <w:rsid w:val="64F953C5"/>
    <w:rsid w:val="651B533C"/>
    <w:rsid w:val="651E27DC"/>
    <w:rsid w:val="65206DF6"/>
    <w:rsid w:val="65291D8F"/>
    <w:rsid w:val="65570D94"/>
    <w:rsid w:val="655774EE"/>
    <w:rsid w:val="65795592"/>
    <w:rsid w:val="65A10F4D"/>
    <w:rsid w:val="65A93335"/>
    <w:rsid w:val="65BC5BDE"/>
    <w:rsid w:val="65D3678B"/>
    <w:rsid w:val="65DB69B9"/>
    <w:rsid w:val="65E142CF"/>
    <w:rsid w:val="65F16DEF"/>
    <w:rsid w:val="65FF5B93"/>
    <w:rsid w:val="660540EE"/>
    <w:rsid w:val="66081715"/>
    <w:rsid w:val="661673E0"/>
    <w:rsid w:val="661A1A97"/>
    <w:rsid w:val="661A3845"/>
    <w:rsid w:val="661B00EA"/>
    <w:rsid w:val="661D360B"/>
    <w:rsid w:val="66523C3F"/>
    <w:rsid w:val="66541F53"/>
    <w:rsid w:val="665C126F"/>
    <w:rsid w:val="6660647F"/>
    <w:rsid w:val="66613222"/>
    <w:rsid w:val="667762F5"/>
    <w:rsid w:val="66820F47"/>
    <w:rsid w:val="668A782A"/>
    <w:rsid w:val="66AF1795"/>
    <w:rsid w:val="66B07CC1"/>
    <w:rsid w:val="66B14B24"/>
    <w:rsid w:val="66B27D18"/>
    <w:rsid w:val="66D1442C"/>
    <w:rsid w:val="66D47E7F"/>
    <w:rsid w:val="66D64E5B"/>
    <w:rsid w:val="66DD089D"/>
    <w:rsid w:val="66F0016C"/>
    <w:rsid w:val="66FA0812"/>
    <w:rsid w:val="66FB2BD0"/>
    <w:rsid w:val="66FC2971"/>
    <w:rsid w:val="670008EB"/>
    <w:rsid w:val="67103ED9"/>
    <w:rsid w:val="67262B05"/>
    <w:rsid w:val="672C7CD4"/>
    <w:rsid w:val="674E513F"/>
    <w:rsid w:val="674E6BDA"/>
    <w:rsid w:val="67610E75"/>
    <w:rsid w:val="676F0F89"/>
    <w:rsid w:val="677178CC"/>
    <w:rsid w:val="677977BA"/>
    <w:rsid w:val="67797A29"/>
    <w:rsid w:val="679D31F9"/>
    <w:rsid w:val="679D3BF4"/>
    <w:rsid w:val="679D472E"/>
    <w:rsid w:val="67A41618"/>
    <w:rsid w:val="67AE4749"/>
    <w:rsid w:val="67C56A11"/>
    <w:rsid w:val="67DC3A63"/>
    <w:rsid w:val="67E071EA"/>
    <w:rsid w:val="67FC4971"/>
    <w:rsid w:val="68221BAF"/>
    <w:rsid w:val="682D62D9"/>
    <w:rsid w:val="685143BC"/>
    <w:rsid w:val="68542A0A"/>
    <w:rsid w:val="68555296"/>
    <w:rsid w:val="686C1E80"/>
    <w:rsid w:val="689079C3"/>
    <w:rsid w:val="689A2A1B"/>
    <w:rsid w:val="68D46A71"/>
    <w:rsid w:val="68D56910"/>
    <w:rsid w:val="68EF70C5"/>
    <w:rsid w:val="68F22D9F"/>
    <w:rsid w:val="69162C86"/>
    <w:rsid w:val="69180AD7"/>
    <w:rsid w:val="69214083"/>
    <w:rsid w:val="69456B9A"/>
    <w:rsid w:val="69481344"/>
    <w:rsid w:val="695700E3"/>
    <w:rsid w:val="6980516E"/>
    <w:rsid w:val="698B51FD"/>
    <w:rsid w:val="69960468"/>
    <w:rsid w:val="69A109AD"/>
    <w:rsid w:val="69B875FD"/>
    <w:rsid w:val="69D5796F"/>
    <w:rsid w:val="69E00AE8"/>
    <w:rsid w:val="69E2467A"/>
    <w:rsid w:val="69F101EA"/>
    <w:rsid w:val="69F448E4"/>
    <w:rsid w:val="6A0606AA"/>
    <w:rsid w:val="6A090874"/>
    <w:rsid w:val="6A0F6D29"/>
    <w:rsid w:val="6A1231B1"/>
    <w:rsid w:val="6A1B780C"/>
    <w:rsid w:val="6A206086"/>
    <w:rsid w:val="6A3F0B90"/>
    <w:rsid w:val="6A3F71AB"/>
    <w:rsid w:val="6A407F9F"/>
    <w:rsid w:val="6A4620BF"/>
    <w:rsid w:val="6A4D5F32"/>
    <w:rsid w:val="6A5D65D9"/>
    <w:rsid w:val="6A6908F7"/>
    <w:rsid w:val="6A722F0B"/>
    <w:rsid w:val="6A7A4D5B"/>
    <w:rsid w:val="6A7E7518"/>
    <w:rsid w:val="6A825953"/>
    <w:rsid w:val="6A881C38"/>
    <w:rsid w:val="6A8A11E6"/>
    <w:rsid w:val="6A8B2F63"/>
    <w:rsid w:val="6A9C6F1F"/>
    <w:rsid w:val="6AC034F3"/>
    <w:rsid w:val="6AC96987"/>
    <w:rsid w:val="6AD24017"/>
    <w:rsid w:val="6AD42C61"/>
    <w:rsid w:val="6AE14092"/>
    <w:rsid w:val="6AEA323D"/>
    <w:rsid w:val="6AF07997"/>
    <w:rsid w:val="6AF5032D"/>
    <w:rsid w:val="6AFB2812"/>
    <w:rsid w:val="6AFF182D"/>
    <w:rsid w:val="6B032C8C"/>
    <w:rsid w:val="6B243303"/>
    <w:rsid w:val="6B3569BE"/>
    <w:rsid w:val="6B3A1CE8"/>
    <w:rsid w:val="6B3E4E41"/>
    <w:rsid w:val="6B4D49EF"/>
    <w:rsid w:val="6B556078"/>
    <w:rsid w:val="6B565CD0"/>
    <w:rsid w:val="6B68013D"/>
    <w:rsid w:val="6B7022D0"/>
    <w:rsid w:val="6B7B5422"/>
    <w:rsid w:val="6B852192"/>
    <w:rsid w:val="6B925A32"/>
    <w:rsid w:val="6B9C4F5E"/>
    <w:rsid w:val="6BA92B5A"/>
    <w:rsid w:val="6BB42760"/>
    <w:rsid w:val="6BD37065"/>
    <w:rsid w:val="6BE13B5E"/>
    <w:rsid w:val="6BE31674"/>
    <w:rsid w:val="6BE95EA9"/>
    <w:rsid w:val="6BEA6094"/>
    <w:rsid w:val="6C114575"/>
    <w:rsid w:val="6C3E2214"/>
    <w:rsid w:val="6C427652"/>
    <w:rsid w:val="6C4D48CD"/>
    <w:rsid w:val="6C5E755B"/>
    <w:rsid w:val="6C8202CD"/>
    <w:rsid w:val="6C8639E2"/>
    <w:rsid w:val="6C961621"/>
    <w:rsid w:val="6C9D5038"/>
    <w:rsid w:val="6CBB7DE1"/>
    <w:rsid w:val="6CC445CB"/>
    <w:rsid w:val="6CD042ED"/>
    <w:rsid w:val="6CDA2357"/>
    <w:rsid w:val="6CE8212C"/>
    <w:rsid w:val="6CF01775"/>
    <w:rsid w:val="6CFB62C0"/>
    <w:rsid w:val="6CFD7CAA"/>
    <w:rsid w:val="6D026DE8"/>
    <w:rsid w:val="6D0316B2"/>
    <w:rsid w:val="6D087337"/>
    <w:rsid w:val="6D0E1321"/>
    <w:rsid w:val="6D104BE0"/>
    <w:rsid w:val="6D132371"/>
    <w:rsid w:val="6D1338DD"/>
    <w:rsid w:val="6D153789"/>
    <w:rsid w:val="6D3B4D97"/>
    <w:rsid w:val="6D487B73"/>
    <w:rsid w:val="6D4A2408"/>
    <w:rsid w:val="6D4B1E5A"/>
    <w:rsid w:val="6D5E70E9"/>
    <w:rsid w:val="6D6729D8"/>
    <w:rsid w:val="6D6E09F2"/>
    <w:rsid w:val="6D852386"/>
    <w:rsid w:val="6DBD67AE"/>
    <w:rsid w:val="6DCF3167"/>
    <w:rsid w:val="6DD54C21"/>
    <w:rsid w:val="6DF453C2"/>
    <w:rsid w:val="6DFC1EB9"/>
    <w:rsid w:val="6E25722B"/>
    <w:rsid w:val="6E3363CE"/>
    <w:rsid w:val="6E3C316F"/>
    <w:rsid w:val="6E453429"/>
    <w:rsid w:val="6E456275"/>
    <w:rsid w:val="6E4E36BD"/>
    <w:rsid w:val="6E5E35FF"/>
    <w:rsid w:val="6E6127F4"/>
    <w:rsid w:val="6E631ECC"/>
    <w:rsid w:val="6E860D5E"/>
    <w:rsid w:val="6E880670"/>
    <w:rsid w:val="6E9028F6"/>
    <w:rsid w:val="6EB7522E"/>
    <w:rsid w:val="6EC002E5"/>
    <w:rsid w:val="6EC64ECD"/>
    <w:rsid w:val="6EC71F62"/>
    <w:rsid w:val="6ECD2CED"/>
    <w:rsid w:val="6EE1422E"/>
    <w:rsid w:val="6EE449F0"/>
    <w:rsid w:val="6EF14DB2"/>
    <w:rsid w:val="6EFA06B8"/>
    <w:rsid w:val="6F046E40"/>
    <w:rsid w:val="6F1743AC"/>
    <w:rsid w:val="6F3E2352"/>
    <w:rsid w:val="6F4656AB"/>
    <w:rsid w:val="6F5C1867"/>
    <w:rsid w:val="6F5C3F48"/>
    <w:rsid w:val="6F61462B"/>
    <w:rsid w:val="6F6D6714"/>
    <w:rsid w:val="6F8561D3"/>
    <w:rsid w:val="6F926B42"/>
    <w:rsid w:val="6F9C2017"/>
    <w:rsid w:val="6FB37BE5"/>
    <w:rsid w:val="6FC2450B"/>
    <w:rsid w:val="6FC7059A"/>
    <w:rsid w:val="6FCA64CD"/>
    <w:rsid w:val="6FE112C4"/>
    <w:rsid w:val="6FF069FB"/>
    <w:rsid w:val="6FF36A80"/>
    <w:rsid w:val="6FFB0619"/>
    <w:rsid w:val="6FFD7D02"/>
    <w:rsid w:val="70020E6A"/>
    <w:rsid w:val="701A60AC"/>
    <w:rsid w:val="702149D3"/>
    <w:rsid w:val="7021684B"/>
    <w:rsid w:val="70217D0F"/>
    <w:rsid w:val="7045295A"/>
    <w:rsid w:val="7047527A"/>
    <w:rsid w:val="704E0CBB"/>
    <w:rsid w:val="7056241A"/>
    <w:rsid w:val="707B2CB1"/>
    <w:rsid w:val="70924B19"/>
    <w:rsid w:val="70952588"/>
    <w:rsid w:val="70A34833"/>
    <w:rsid w:val="70B75478"/>
    <w:rsid w:val="70BA7DE6"/>
    <w:rsid w:val="70BF74C3"/>
    <w:rsid w:val="70D56048"/>
    <w:rsid w:val="70DA3248"/>
    <w:rsid w:val="71027F8C"/>
    <w:rsid w:val="712A4901"/>
    <w:rsid w:val="71391F94"/>
    <w:rsid w:val="7148395C"/>
    <w:rsid w:val="715D7335"/>
    <w:rsid w:val="717159EA"/>
    <w:rsid w:val="71777F8A"/>
    <w:rsid w:val="719340CC"/>
    <w:rsid w:val="71946BA2"/>
    <w:rsid w:val="71A412EF"/>
    <w:rsid w:val="71B106B0"/>
    <w:rsid w:val="71B61A42"/>
    <w:rsid w:val="71BB267E"/>
    <w:rsid w:val="71BE59CD"/>
    <w:rsid w:val="71C32243"/>
    <w:rsid w:val="71D94178"/>
    <w:rsid w:val="71E258E0"/>
    <w:rsid w:val="71E450CA"/>
    <w:rsid w:val="71EA7F5E"/>
    <w:rsid w:val="71EE0EE5"/>
    <w:rsid w:val="71F773F9"/>
    <w:rsid w:val="71FB452B"/>
    <w:rsid w:val="72025ED5"/>
    <w:rsid w:val="720A7322"/>
    <w:rsid w:val="72137E38"/>
    <w:rsid w:val="721E571E"/>
    <w:rsid w:val="721F7D69"/>
    <w:rsid w:val="7225336C"/>
    <w:rsid w:val="722E3E35"/>
    <w:rsid w:val="724A7260"/>
    <w:rsid w:val="724B68D9"/>
    <w:rsid w:val="72541E8D"/>
    <w:rsid w:val="725E62FA"/>
    <w:rsid w:val="72860473"/>
    <w:rsid w:val="7299364D"/>
    <w:rsid w:val="72C16C93"/>
    <w:rsid w:val="72D66A82"/>
    <w:rsid w:val="72D67597"/>
    <w:rsid w:val="72E43D31"/>
    <w:rsid w:val="72FF6E9B"/>
    <w:rsid w:val="73027148"/>
    <w:rsid w:val="7305147C"/>
    <w:rsid w:val="731A30F8"/>
    <w:rsid w:val="733A7EE8"/>
    <w:rsid w:val="734D11ED"/>
    <w:rsid w:val="735A55D3"/>
    <w:rsid w:val="73621B80"/>
    <w:rsid w:val="7375174D"/>
    <w:rsid w:val="73795D83"/>
    <w:rsid w:val="737B6EF7"/>
    <w:rsid w:val="73850D73"/>
    <w:rsid w:val="738B56FD"/>
    <w:rsid w:val="738B5D82"/>
    <w:rsid w:val="73993FFB"/>
    <w:rsid w:val="739F2E93"/>
    <w:rsid w:val="73A60FE9"/>
    <w:rsid w:val="73B8143C"/>
    <w:rsid w:val="73C06788"/>
    <w:rsid w:val="73D813D5"/>
    <w:rsid w:val="73DB1F8F"/>
    <w:rsid w:val="73DE1B70"/>
    <w:rsid w:val="73E6120B"/>
    <w:rsid w:val="741378E4"/>
    <w:rsid w:val="74213FF1"/>
    <w:rsid w:val="743138C9"/>
    <w:rsid w:val="74497E8D"/>
    <w:rsid w:val="744F70D5"/>
    <w:rsid w:val="74542618"/>
    <w:rsid w:val="746B1062"/>
    <w:rsid w:val="74836A59"/>
    <w:rsid w:val="74890514"/>
    <w:rsid w:val="74957A1D"/>
    <w:rsid w:val="74976F8C"/>
    <w:rsid w:val="749C28D6"/>
    <w:rsid w:val="74AC2DBE"/>
    <w:rsid w:val="74B03CF2"/>
    <w:rsid w:val="74B4279D"/>
    <w:rsid w:val="74C959EF"/>
    <w:rsid w:val="74D13C69"/>
    <w:rsid w:val="74D226D8"/>
    <w:rsid w:val="74D951DD"/>
    <w:rsid w:val="74E36253"/>
    <w:rsid w:val="74F273DA"/>
    <w:rsid w:val="74F600B5"/>
    <w:rsid w:val="750C6A4F"/>
    <w:rsid w:val="75102AF5"/>
    <w:rsid w:val="751C1B98"/>
    <w:rsid w:val="752E2E69"/>
    <w:rsid w:val="753F1C14"/>
    <w:rsid w:val="75404D65"/>
    <w:rsid w:val="75410DEE"/>
    <w:rsid w:val="754B45FC"/>
    <w:rsid w:val="754C4FE3"/>
    <w:rsid w:val="75780005"/>
    <w:rsid w:val="75846F2D"/>
    <w:rsid w:val="758E56B6"/>
    <w:rsid w:val="759D26FD"/>
    <w:rsid w:val="75BA7DC9"/>
    <w:rsid w:val="75C158E1"/>
    <w:rsid w:val="75D75BBF"/>
    <w:rsid w:val="75F25C45"/>
    <w:rsid w:val="75F8173D"/>
    <w:rsid w:val="75FE15A4"/>
    <w:rsid w:val="76087EFE"/>
    <w:rsid w:val="762F3987"/>
    <w:rsid w:val="763146BA"/>
    <w:rsid w:val="76373F9F"/>
    <w:rsid w:val="763C17CD"/>
    <w:rsid w:val="7651209F"/>
    <w:rsid w:val="765A396A"/>
    <w:rsid w:val="765B5EE0"/>
    <w:rsid w:val="76625186"/>
    <w:rsid w:val="76694515"/>
    <w:rsid w:val="7671183A"/>
    <w:rsid w:val="76795A9A"/>
    <w:rsid w:val="76850BE3"/>
    <w:rsid w:val="768E7AAD"/>
    <w:rsid w:val="769D37DC"/>
    <w:rsid w:val="76AD1FDF"/>
    <w:rsid w:val="76AF483A"/>
    <w:rsid w:val="76C37C6F"/>
    <w:rsid w:val="76C61386"/>
    <w:rsid w:val="76CF1D13"/>
    <w:rsid w:val="76D56664"/>
    <w:rsid w:val="76E81AE6"/>
    <w:rsid w:val="76FD0D45"/>
    <w:rsid w:val="77000835"/>
    <w:rsid w:val="770802F0"/>
    <w:rsid w:val="771025D4"/>
    <w:rsid w:val="77115FC5"/>
    <w:rsid w:val="77196438"/>
    <w:rsid w:val="77326AF1"/>
    <w:rsid w:val="77342D6F"/>
    <w:rsid w:val="77383B2B"/>
    <w:rsid w:val="773B467C"/>
    <w:rsid w:val="775B5775"/>
    <w:rsid w:val="775E0D1F"/>
    <w:rsid w:val="776655B0"/>
    <w:rsid w:val="77685B26"/>
    <w:rsid w:val="777B5097"/>
    <w:rsid w:val="777E55F4"/>
    <w:rsid w:val="777F79AC"/>
    <w:rsid w:val="77820DEB"/>
    <w:rsid w:val="7792671F"/>
    <w:rsid w:val="7797445D"/>
    <w:rsid w:val="77986D62"/>
    <w:rsid w:val="77A015C8"/>
    <w:rsid w:val="77A92E90"/>
    <w:rsid w:val="77B650A0"/>
    <w:rsid w:val="77CE0481"/>
    <w:rsid w:val="77E43CB3"/>
    <w:rsid w:val="77EC7456"/>
    <w:rsid w:val="77EE7D89"/>
    <w:rsid w:val="77EF0483"/>
    <w:rsid w:val="78131205"/>
    <w:rsid w:val="781911C5"/>
    <w:rsid w:val="781A279F"/>
    <w:rsid w:val="782500E0"/>
    <w:rsid w:val="782F5811"/>
    <w:rsid w:val="78384A59"/>
    <w:rsid w:val="783B343E"/>
    <w:rsid w:val="78491B75"/>
    <w:rsid w:val="784A2663"/>
    <w:rsid w:val="784A43B3"/>
    <w:rsid w:val="78511348"/>
    <w:rsid w:val="785250C1"/>
    <w:rsid w:val="78564BB1"/>
    <w:rsid w:val="78581051"/>
    <w:rsid w:val="786228CD"/>
    <w:rsid w:val="786F0FB8"/>
    <w:rsid w:val="78714DF4"/>
    <w:rsid w:val="78721CEF"/>
    <w:rsid w:val="787234C6"/>
    <w:rsid w:val="78756296"/>
    <w:rsid w:val="788334CC"/>
    <w:rsid w:val="78954AB2"/>
    <w:rsid w:val="78A468D5"/>
    <w:rsid w:val="78B20233"/>
    <w:rsid w:val="78D12FAA"/>
    <w:rsid w:val="78D855C6"/>
    <w:rsid w:val="78FC0536"/>
    <w:rsid w:val="78FE7954"/>
    <w:rsid w:val="79315979"/>
    <w:rsid w:val="79424F4F"/>
    <w:rsid w:val="795831E5"/>
    <w:rsid w:val="796E7E54"/>
    <w:rsid w:val="79756315"/>
    <w:rsid w:val="79765CDA"/>
    <w:rsid w:val="798B6ADC"/>
    <w:rsid w:val="79A47621"/>
    <w:rsid w:val="79AA18D2"/>
    <w:rsid w:val="79AB6836"/>
    <w:rsid w:val="79C56A19"/>
    <w:rsid w:val="79D957CA"/>
    <w:rsid w:val="79DA621C"/>
    <w:rsid w:val="79ED729C"/>
    <w:rsid w:val="7A0A78E3"/>
    <w:rsid w:val="7A2465E9"/>
    <w:rsid w:val="7A364577"/>
    <w:rsid w:val="7A54735F"/>
    <w:rsid w:val="7A5A319C"/>
    <w:rsid w:val="7A5B64AE"/>
    <w:rsid w:val="7A5C5D83"/>
    <w:rsid w:val="7A681FA7"/>
    <w:rsid w:val="7A6963D8"/>
    <w:rsid w:val="7A8D6E37"/>
    <w:rsid w:val="7AA21823"/>
    <w:rsid w:val="7AA7070E"/>
    <w:rsid w:val="7AA900DE"/>
    <w:rsid w:val="7AA936C9"/>
    <w:rsid w:val="7AB12D4C"/>
    <w:rsid w:val="7AD37F76"/>
    <w:rsid w:val="7AF32BF3"/>
    <w:rsid w:val="7AF771AA"/>
    <w:rsid w:val="7B063D79"/>
    <w:rsid w:val="7B095F0A"/>
    <w:rsid w:val="7B116B6D"/>
    <w:rsid w:val="7B190BA4"/>
    <w:rsid w:val="7B334D35"/>
    <w:rsid w:val="7B36137C"/>
    <w:rsid w:val="7B3A2568"/>
    <w:rsid w:val="7B51165F"/>
    <w:rsid w:val="7B6F5B5B"/>
    <w:rsid w:val="7B7415FA"/>
    <w:rsid w:val="7B765886"/>
    <w:rsid w:val="7B7C4D25"/>
    <w:rsid w:val="7B893C25"/>
    <w:rsid w:val="7B8B5C40"/>
    <w:rsid w:val="7B90640C"/>
    <w:rsid w:val="7B922E29"/>
    <w:rsid w:val="7BAB0D70"/>
    <w:rsid w:val="7BBC11CF"/>
    <w:rsid w:val="7BBF79A8"/>
    <w:rsid w:val="7BC24F1F"/>
    <w:rsid w:val="7BE129E3"/>
    <w:rsid w:val="7BE23EB3"/>
    <w:rsid w:val="7BE91898"/>
    <w:rsid w:val="7BF72207"/>
    <w:rsid w:val="7C161B08"/>
    <w:rsid w:val="7C3A2FA7"/>
    <w:rsid w:val="7C541407"/>
    <w:rsid w:val="7C5840BF"/>
    <w:rsid w:val="7C6D071B"/>
    <w:rsid w:val="7C84107F"/>
    <w:rsid w:val="7C9909ED"/>
    <w:rsid w:val="7C9C2291"/>
    <w:rsid w:val="7CA46921"/>
    <w:rsid w:val="7CA56991"/>
    <w:rsid w:val="7CA71E0B"/>
    <w:rsid w:val="7CB85E09"/>
    <w:rsid w:val="7CFE3A42"/>
    <w:rsid w:val="7CFF1519"/>
    <w:rsid w:val="7D013878"/>
    <w:rsid w:val="7D0F508E"/>
    <w:rsid w:val="7D17450A"/>
    <w:rsid w:val="7D1943FF"/>
    <w:rsid w:val="7D2557AC"/>
    <w:rsid w:val="7D3F099E"/>
    <w:rsid w:val="7D4B01E2"/>
    <w:rsid w:val="7D533A52"/>
    <w:rsid w:val="7D5B43D0"/>
    <w:rsid w:val="7D6243C6"/>
    <w:rsid w:val="7D76523E"/>
    <w:rsid w:val="7D781E69"/>
    <w:rsid w:val="7D7B5075"/>
    <w:rsid w:val="7D832173"/>
    <w:rsid w:val="7D8A3C14"/>
    <w:rsid w:val="7D8C5B06"/>
    <w:rsid w:val="7D934401"/>
    <w:rsid w:val="7D953960"/>
    <w:rsid w:val="7D961406"/>
    <w:rsid w:val="7DA56991"/>
    <w:rsid w:val="7DA623C2"/>
    <w:rsid w:val="7DA737B9"/>
    <w:rsid w:val="7DB639FC"/>
    <w:rsid w:val="7DFF0E02"/>
    <w:rsid w:val="7E070C8C"/>
    <w:rsid w:val="7E0800A0"/>
    <w:rsid w:val="7E0C521E"/>
    <w:rsid w:val="7E0E7E19"/>
    <w:rsid w:val="7E1840CC"/>
    <w:rsid w:val="7E1964D0"/>
    <w:rsid w:val="7E303249"/>
    <w:rsid w:val="7E525E1A"/>
    <w:rsid w:val="7E555123"/>
    <w:rsid w:val="7E557656"/>
    <w:rsid w:val="7E7538B7"/>
    <w:rsid w:val="7E841CD2"/>
    <w:rsid w:val="7E844BCE"/>
    <w:rsid w:val="7E8D660B"/>
    <w:rsid w:val="7E9433D2"/>
    <w:rsid w:val="7E992085"/>
    <w:rsid w:val="7EB47F46"/>
    <w:rsid w:val="7EB94600"/>
    <w:rsid w:val="7ECF7C45"/>
    <w:rsid w:val="7ED82860"/>
    <w:rsid w:val="7EF45DB1"/>
    <w:rsid w:val="7EFD2358"/>
    <w:rsid w:val="7EFF5324"/>
    <w:rsid w:val="7F03165A"/>
    <w:rsid w:val="7F077A20"/>
    <w:rsid w:val="7F077BC2"/>
    <w:rsid w:val="7F09267A"/>
    <w:rsid w:val="7F2B23E6"/>
    <w:rsid w:val="7F2B4123"/>
    <w:rsid w:val="7F3426C9"/>
    <w:rsid w:val="7F3E0944"/>
    <w:rsid w:val="7F3E5DC7"/>
    <w:rsid w:val="7F5C2ED4"/>
    <w:rsid w:val="7F5E061E"/>
    <w:rsid w:val="7F643B5C"/>
    <w:rsid w:val="7F8A3D01"/>
    <w:rsid w:val="7F8B6823"/>
    <w:rsid w:val="7F9B25D3"/>
    <w:rsid w:val="7F9C4EBD"/>
    <w:rsid w:val="7FAD310E"/>
    <w:rsid w:val="7FCD6742"/>
    <w:rsid w:val="7FE44850"/>
    <w:rsid w:val="7FE546A7"/>
  </w:rsids>
  <m:mathPr>
    <m:mathFont m:val="Cambria Math"/>
    <m:brkBin m:val="before"/>
    <m:brkBinSub m:val="--"/>
    <m:smallFrac m:val="1"/>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qFormat="1"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20"/>
    <w:qFormat/>
    <w:uiPriority w:val="0"/>
    <w:pPr>
      <w:keepNext/>
      <w:keepLines/>
      <w:spacing w:line="440" w:lineRule="exact"/>
      <w:jc w:val="center"/>
      <w:outlineLvl w:val="0"/>
    </w:pPr>
    <w:rPr>
      <w:b/>
      <w:bCs/>
      <w:kern w:val="44"/>
      <w:sz w:val="44"/>
      <w:szCs w:val="44"/>
    </w:rPr>
  </w:style>
  <w:style w:type="paragraph" w:styleId="3">
    <w:name w:val="heading 2"/>
    <w:basedOn w:val="1"/>
    <w:next w:val="1"/>
    <w:link w:val="197"/>
    <w:qFormat/>
    <w:uiPriority w:val="0"/>
    <w:pPr>
      <w:keepNext/>
      <w:keepLines/>
      <w:spacing w:line="440" w:lineRule="exact"/>
      <w:jc w:val="left"/>
      <w:outlineLvl w:val="1"/>
    </w:pPr>
    <w:rPr>
      <w:rFonts w:ascii="Arial" w:hAnsi="Arial" w:eastAsia="黑体"/>
      <w:b/>
      <w:bCs/>
      <w:szCs w:val="32"/>
    </w:rPr>
  </w:style>
  <w:style w:type="paragraph" w:styleId="4">
    <w:name w:val="heading 3"/>
    <w:basedOn w:val="1"/>
    <w:next w:val="1"/>
    <w:link w:val="153"/>
    <w:qFormat/>
    <w:uiPriority w:val="0"/>
    <w:pPr>
      <w:keepNext/>
      <w:keepLines/>
      <w:spacing w:line="415" w:lineRule="auto"/>
      <w:outlineLvl w:val="2"/>
    </w:pPr>
    <w:rPr>
      <w:b/>
      <w:bCs/>
      <w:kern w:val="0"/>
      <w:sz w:val="32"/>
      <w:szCs w:val="32"/>
    </w:rPr>
  </w:style>
  <w:style w:type="paragraph" w:styleId="5">
    <w:name w:val="heading 4"/>
    <w:basedOn w:val="1"/>
    <w:next w:val="1"/>
    <w:qFormat/>
    <w:uiPriority w:val="0"/>
    <w:pPr>
      <w:keepNext/>
      <w:keepLines/>
      <w:spacing w:line="374" w:lineRule="auto"/>
      <w:outlineLvl w:val="3"/>
    </w:pPr>
    <w:rPr>
      <w:rFonts w:ascii="Arial" w:hAnsi="Arial" w:eastAsia="黑体"/>
      <w:b/>
      <w:bCs/>
      <w:sz w:val="28"/>
      <w:szCs w:val="28"/>
    </w:rPr>
  </w:style>
  <w:style w:type="paragraph" w:styleId="6">
    <w:name w:val="heading 5"/>
    <w:basedOn w:val="1"/>
    <w:next w:val="1"/>
    <w:link w:val="129"/>
    <w:qFormat/>
    <w:uiPriority w:val="0"/>
    <w:pPr>
      <w:keepNext/>
      <w:keepLines/>
      <w:spacing w:line="376" w:lineRule="auto"/>
      <w:outlineLvl w:val="4"/>
    </w:pPr>
    <w:rPr>
      <w:b/>
      <w:bCs/>
      <w:sz w:val="28"/>
      <w:szCs w:val="28"/>
    </w:rPr>
  </w:style>
  <w:style w:type="paragraph" w:styleId="7">
    <w:name w:val="heading 6"/>
    <w:basedOn w:val="1"/>
    <w:next w:val="1"/>
    <w:qFormat/>
    <w:uiPriority w:val="0"/>
    <w:pPr>
      <w:keepNext/>
      <w:keepLines/>
      <w:widowControl/>
      <w:tabs>
        <w:tab w:val="left" w:pos="1440"/>
      </w:tabs>
      <w:spacing w:line="319" w:lineRule="auto"/>
      <w:ind w:left="1152" w:hanging="1152"/>
      <w:jc w:val="left"/>
      <w:outlineLvl w:val="5"/>
    </w:pPr>
    <w:rPr>
      <w:rFonts w:ascii="Arial" w:hAnsi="Arial" w:eastAsia="黑体"/>
      <w:b/>
      <w:bCs/>
      <w:kern w:val="0"/>
      <w:sz w:val="24"/>
    </w:rPr>
  </w:style>
  <w:style w:type="paragraph" w:styleId="8">
    <w:name w:val="heading 7"/>
    <w:basedOn w:val="1"/>
    <w:next w:val="1"/>
    <w:qFormat/>
    <w:uiPriority w:val="0"/>
    <w:pPr>
      <w:keepNext/>
      <w:keepLines/>
      <w:widowControl/>
      <w:tabs>
        <w:tab w:val="left" w:pos="2520"/>
      </w:tabs>
      <w:spacing w:line="319" w:lineRule="auto"/>
      <w:ind w:left="1296" w:hanging="1296"/>
      <w:jc w:val="left"/>
      <w:outlineLvl w:val="6"/>
    </w:pPr>
    <w:rPr>
      <w:b/>
      <w:bCs/>
      <w:kern w:val="0"/>
      <w:sz w:val="24"/>
    </w:rPr>
  </w:style>
  <w:style w:type="paragraph" w:styleId="9">
    <w:name w:val="heading 8"/>
    <w:basedOn w:val="1"/>
    <w:next w:val="1"/>
    <w:qFormat/>
    <w:uiPriority w:val="0"/>
    <w:pPr>
      <w:keepNext/>
      <w:keepLines/>
      <w:widowControl/>
      <w:tabs>
        <w:tab w:val="left" w:pos="1440"/>
      </w:tabs>
      <w:spacing w:line="319" w:lineRule="auto"/>
      <w:ind w:left="1440" w:hanging="1440"/>
      <w:jc w:val="left"/>
      <w:outlineLvl w:val="7"/>
    </w:pPr>
    <w:rPr>
      <w:rFonts w:ascii="Arial" w:hAnsi="Arial" w:eastAsia="黑体"/>
      <w:kern w:val="0"/>
      <w:sz w:val="24"/>
    </w:rPr>
  </w:style>
  <w:style w:type="paragraph" w:styleId="10">
    <w:name w:val="heading 9"/>
    <w:basedOn w:val="1"/>
    <w:next w:val="1"/>
    <w:qFormat/>
    <w:uiPriority w:val="0"/>
    <w:pPr>
      <w:keepNext/>
      <w:keepLines/>
      <w:widowControl/>
      <w:tabs>
        <w:tab w:val="left" w:pos="1584"/>
      </w:tabs>
      <w:spacing w:line="319" w:lineRule="auto"/>
      <w:ind w:left="1584" w:hanging="1584"/>
      <w:jc w:val="left"/>
      <w:outlineLvl w:val="8"/>
    </w:pPr>
    <w:rPr>
      <w:rFonts w:ascii="Arial" w:hAnsi="Arial" w:eastAsia="黑体"/>
      <w:kern w:val="0"/>
      <w:szCs w:val="21"/>
    </w:rPr>
  </w:style>
  <w:style w:type="character" w:default="1" w:styleId="49">
    <w:name w:val="Default Paragraph Font"/>
    <w:semiHidden/>
    <w:unhideWhenUsed/>
    <w:qFormat/>
    <w:uiPriority w:val="1"/>
  </w:style>
  <w:style w:type="table" w:default="1" w:styleId="47">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39"/>
    <w:pPr>
      <w:ind w:left="1260"/>
      <w:jc w:val="left"/>
    </w:pPr>
    <w:rPr>
      <w:sz w:val="18"/>
      <w:szCs w:val="18"/>
    </w:rPr>
  </w:style>
  <w:style w:type="paragraph" w:styleId="12">
    <w:name w:val="table of authorities"/>
    <w:basedOn w:val="1"/>
    <w:next w:val="1"/>
    <w:unhideWhenUsed/>
    <w:qFormat/>
    <w:uiPriority w:val="0"/>
    <w:pPr>
      <w:ind w:left="420" w:leftChars="200"/>
    </w:pPr>
  </w:style>
  <w:style w:type="paragraph" w:styleId="13">
    <w:name w:val="Normal Indent"/>
    <w:basedOn w:val="1"/>
    <w:next w:val="14"/>
    <w:qFormat/>
    <w:uiPriority w:val="0"/>
    <w:pPr>
      <w:ind w:firstLine="420" w:firstLineChars="200"/>
    </w:pPr>
  </w:style>
  <w:style w:type="paragraph" w:styleId="14">
    <w:name w:val="Body Text First Indent 2"/>
    <w:basedOn w:val="15"/>
    <w:next w:val="1"/>
    <w:qFormat/>
    <w:uiPriority w:val="0"/>
    <w:pPr>
      <w:spacing w:line="360" w:lineRule="auto"/>
      <w:ind w:firstLine="200" w:firstLineChars="200"/>
    </w:pPr>
    <w:rPr>
      <w:rFonts w:ascii="宋体"/>
      <w:szCs w:val="20"/>
    </w:rPr>
  </w:style>
  <w:style w:type="paragraph" w:styleId="15">
    <w:name w:val="Body Text Indent"/>
    <w:basedOn w:val="1"/>
    <w:next w:val="16"/>
    <w:qFormat/>
    <w:uiPriority w:val="0"/>
    <w:pPr>
      <w:ind w:left="420" w:leftChars="200"/>
    </w:pPr>
  </w:style>
  <w:style w:type="paragraph" w:styleId="16">
    <w:name w:val="envelope return"/>
    <w:basedOn w:val="1"/>
    <w:next w:val="11"/>
    <w:qFormat/>
    <w:uiPriority w:val="0"/>
    <w:pPr>
      <w:snapToGrid w:val="0"/>
    </w:pPr>
    <w:rPr>
      <w:rFonts w:ascii="Arial" w:hAnsi="Arial"/>
    </w:rPr>
  </w:style>
  <w:style w:type="paragraph" w:styleId="17">
    <w:name w:val="Document Map"/>
    <w:basedOn w:val="1"/>
    <w:qFormat/>
    <w:uiPriority w:val="0"/>
    <w:pPr>
      <w:shd w:val="clear" w:color="auto" w:fill="000080"/>
    </w:pPr>
  </w:style>
  <w:style w:type="paragraph" w:styleId="18">
    <w:name w:val="annotation text"/>
    <w:basedOn w:val="1"/>
    <w:link w:val="112"/>
    <w:qFormat/>
    <w:uiPriority w:val="0"/>
    <w:pPr>
      <w:jc w:val="left"/>
    </w:pPr>
  </w:style>
  <w:style w:type="paragraph" w:styleId="19">
    <w:name w:val="Body Text 3"/>
    <w:basedOn w:val="1"/>
    <w:qFormat/>
    <w:uiPriority w:val="0"/>
    <w:rPr>
      <w:rFonts w:ascii="宋体"/>
      <w:sz w:val="24"/>
      <w:szCs w:val="20"/>
    </w:rPr>
  </w:style>
  <w:style w:type="paragraph" w:styleId="20">
    <w:name w:val="Body Text"/>
    <w:basedOn w:val="1"/>
    <w:link w:val="142"/>
    <w:qFormat/>
    <w:uiPriority w:val="0"/>
  </w:style>
  <w:style w:type="paragraph" w:styleId="21">
    <w:name w:val="Block Text"/>
    <w:basedOn w:val="1"/>
    <w:qFormat/>
    <w:uiPriority w:val="0"/>
    <w:pPr>
      <w:spacing w:line="400" w:lineRule="exact"/>
      <w:ind w:left="-359" w:leftChars="-171" w:right="31" w:rightChars="15" w:firstLine="980" w:firstLineChars="350"/>
    </w:pPr>
    <w:rPr>
      <w:rFonts w:ascii="宋体" w:hAnsi="宋体"/>
      <w:sz w:val="28"/>
      <w:szCs w:val="32"/>
    </w:rPr>
  </w:style>
  <w:style w:type="paragraph" w:styleId="22">
    <w:name w:val="toc 5"/>
    <w:basedOn w:val="1"/>
    <w:next w:val="1"/>
    <w:qFormat/>
    <w:uiPriority w:val="39"/>
    <w:pPr>
      <w:ind w:left="840"/>
      <w:jc w:val="left"/>
    </w:pPr>
    <w:rPr>
      <w:sz w:val="18"/>
      <w:szCs w:val="18"/>
    </w:rPr>
  </w:style>
  <w:style w:type="paragraph" w:styleId="23">
    <w:name w:val="toc 3"/>
    <w:basedOn w:val="1"/>
    <w:next w:val="1"/>
    <w:qFormat/>
    <w:uiPriority w:val="39"/>
    <w:pPr>
      <w:ind w:left="420"/>
      <w:jc w:val="left"/>
    </w:pPr>
    <w:rPr>
      <w:i/>
      <w:iCs/>
      <w:sz w:val="20"/>
      <w:szCs w:val="20"/>
    </w:rPr>
  </w:style>
  <w:style w:type="paragraph" w:styleId="24">
    <w:name w:val="Plain Text"/>
    <w:basedOn w:val="1"/>
    <w:next w:val="1"/>
    <w:link w:val="136"/>
    <w:qFormat/>
    <w:uiPriority w:val="0"/>
    <w:rPr>
      <w:rFonts w:ascii="Courier New" w:hAnsi="Courier New"/>
      <w:szCs w:val="20"/>
    </w:rPr>
  </w:style>
  <w:style w:type="paragraph" w:styleId="25">
    <w:name w:val="toc 8"/>
    <w:basedOn w:val="1"/>
    <w:next w:val="1"/>
    <w:qFormat/>
    <w:uiPriority w:val="39"/>
    <w:pPr>
      <w:ind w:left="1470"/>
      <w:jc w:val="left"/>
    </w:pPr>
    <w:rPr>
      <w:sz w:val="18"/>
      <w:szCs w:val="18"/>
    </w:rPr>
  </w:style>
  <w:style w:type="paragraph" w:styleId="26">
    <w:name w:val="Date"/>
    <w:basedOn w:val="1"/>
    <w:next w:val="1"/>
    <w:qFormat/>
    <w:uiPriority w:val="0"/>
    <w:rPr>
      <w:sz w:val="24"/>
      <w:szCs w:val="20"/>
    </w:rPr>
  </w:style>
  <w:style w:type="paragraph" w:styleId="27">
    <w:name w:val="Body Text Indent 2"/>
    <w:basedOn w:val="1"/>
    <w:qFormat/>
    <w:uiPriority w:val="0"/>
    <w:pPr>
      <w:spacing w:line="360" w:lineRule="exact"/>
      <w:ind w:firstLine="600" w:firstLineChars="250"/>
      <w:jc w:val="left"/>
    </w:pPr>
    <w:rPr>
      <w:sz w:val="24"/>
    </w:rPr>
  </w:style>
  <w:style w:type="paragraph" w:styleId="28">
    <w:name w:val="Balloon Text"/>
    <w:basedOn w:val="1"/>
    <w:qFormat/>
    <w:uiPriority w:val="0"/>
    <w:rPr>
      <w:sz w:val="18"/>
      <w:szCs w:val="18"/>
    </w:rPr>
  </w:style>
  <w:style w:type="paragraph" w:styleId="29">
    <w:name w:val="footer"/>
    <w:basedOn w:val="1"/>
    <w:qFormat/>
    <w:uiPriority w:val="0"/>
    <w:pPr>
      <w:tabs>
        <w:tab w:val="center" w:pos="4153"/>
        <w:tab w:val="right" w:pos="8306"/>
      </w:tabs>
      <w:snapToGrid w:val="0"/>
      <w:jc w:val="left"/>
    </w:pPr>
    <w:rPr>
      <w:sz w:val="18"/>
      <w:szCs w:val="18"/>
    </w:rPr>
  </w:style>
  <w:style w:type="paragraph" w:styleId="30">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31">
    <w:name w:val="toc 1"/>
    <w:basedOn w:val="1"/>
    <w:next w:val="1"/>
    <w:qFormat/>
    <w:uiPriority w:val="39"/>
    <w:pPr>
      <w:jc w:val="left"/>
    </w:pPr>
    <w:rPr>
      <w:b/>
      <w:bCs/>
      <w:caps/>
      <w:sz w:val="20"/>
      <w:szCs w:val="20"/>
    </w:rPr>
  </w:style>
  <w:style w:type="paragraph" w:styleId="32">
    <w:name w:val="toc 4"/>
    <w:basedOn w:val="1"/>
    <w:next w:val="1"/>
    <w:qFormat/>
    <w:uiPriority w:val="39"/>
    <w:pPr>
      <w:ind w:left="630"/>
      <w:jc w:val="left"/>
    </w:pPr>
    <w:rPr>
      <w:sz w:val="18"/>
      <w:szCs w:val="18"/>
    </w:rPr>
  </w:style>
  <w:style w:type="paragraph" w:styleId="33">
    <w:name w:val="List"/>
    <w:basedOn w:val="1"/>
    <w:qFormat/>
    <w:uiPriority w:val="0"/>
    <w:pPr>
      <w:ind w:left="420" w:hanging="420"/>
    </w:pPr>
  </w:style>
  <w:style w:type="paragraph" w:styleId="34">
    <w:name w:val="footnote text"/>
    <w:basedOn w:val="1"/>
    <w:qFormat/>
    <w:uiPriority w:val="0"/>
    <w:rPr>
      <w:sz w:val="20"/>
      <w:szCs w:val="20"/>
    </w:rPr>
  </w:style>
  <w:style w:type="paragraph" w:styleId="35">
    <w:name w:val="toc 6"/>
    <w:basedOn w:val="1"/>
    <w:next w:val="1"/>
    <w:qFormat/>
    <w:uiPriority w:val="39"/>
    <w:pPr>
      <w:ind w:left="1050"/>
      <w:jc w:val="left"/>
    </w:pPr>
    <w:rPr>
      <w:sz w:val="18"/>
      <w:szCs w:val="18"/>
    </w:rPr>
  </w:style>
  <w:style w:type="paragraph" w:styleId="36">
    <w:name w:val="Body Text Indent 3"/>
    <w:basedOn w:val="1"/>
    <w:qFormat/>
    <w:uiPriority w:val="0"/>
    <w:pPr>
      <w:ind w:left="420" w:leftChars="200"/>
    </w:pPr>
    <w:rPr>
      <w:sz w:val="16"/>
      <w:szCs w:val="16"/>
    </w:rPr>
  </w:style>
  <w:style w:type="paragraph" w:styleId="37">
    <w:name w:val="table of figures"/>
    <w:basedOn w:val="1"/>
    <w:next w:val="1"/>
    <w:qFormat/>
    <w:uiPriority w:val="0"/>
    <w:pPr>
      <w:ind w:left="200" w:leftChars="200" w:hanging="200" w:hangingChars="200"/>
    </w:pPr>
  </w:style>
  <w:style w:type="paragraph" w:styleId="38">
    <w:name w:val="toc 2"/>
    <w:basedOn w:val="1"/>
    <w:next w:val="1"/>
    <w:qFormat/>
    <w:uiPriority w:val="39"/>
    <w:pPr>
      <w:ind w:left="210"/>
      <w:jc w:val="left"/>
    </w:pPr>
    <w:rPr>
      <w:smallCaps/>
      <w:sz w:val="20"/>
      <w:szCs w:val="20"/>
    </w:rPr>
  </w:style>
  <w:style w:type="paragraph" w:styleId="39">
    <w:name w:val="toc 9"/>
    <w:basedOn w:val="1"/>
    <w:next w:val="1"/>
    <w:qFormat/>
    <w:uiPriority w:val="39"/>
    <w:pPr>
      <w:ind w:left="1680"/>
      <w:jc w:val="left"/>
    </w:pPr>
    <w:rPr>
      <w:sz w:val="18"/>
      <w:szCs w:val="18"/>
    </w:rPr>
  </w:style>
  <w:style w:type="paragraph" w:styleId="40">
    <w:name w:val="Body Text 2"/>
    <w:basedOn w:val="1"/>
    <w:qFormat/>
    <w:uiPriority w:val="0"/>
    <w:pPr>
      <w:spacing w:line="440" w:lineRule="exact"/>
    </w:pPr>
    <w:rPr>
      <w:sz w:val="28"/>
    </w:rPr>
  </w:style>
  <w:style w:type="paragraph" w:styleId="41">
    <w:name w:val="HTML Preformatted"/>
    <w:basedOn w:val="1"/>
    <w:link w:val="114"/>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styleId="42">
    <w:name w:val="Normal (Web)"/>
    <w:basedOn w:val="1"/>
    <w:next w:val="43"/>
    <w:qFormat/>
    <w:uiPriority w:val="99"/>
    <w:pPr>
      <w:widowControl/>
      <w:spacing w:beforeAutospacing="1" w:afterAutospacing="1"/>
      <w:jc w:val="left"/>
    </w:pPr>
    <w:rPr>
      <w:rFonts w:ascii="宋体" w:hAnsi="宋体" w:cs="宋体"/>
      <w:kern w:val="0"/>
      <w:sz w:val="24"/>
    </w:rPr>
  </w:style>
  <w:style w:type="paragraph" w:customStyle="1" w:styleId="43">
    <w:name w:val="正文文字 8"/>
    <w:basedOn w:val="1"/>
    <w:next w:val="1"/>
    <w:qFormat/>
    <w:uiPriority w:val="0"/>
    <w:pPr>
      <w:ind w:left="240"/>
    </w:pPr>
    <w:rPr>
      <w:sz w:val="16"/>
    </w:rPr>
  </w:style>
  <w:style w:type="paragraph" w:styleId="44">
    <w:name w:val="Title"/>
    <w:basedOn w:val="1"/>
    <w:qFormat/>
    <w:uiPriority w:val="0"/>
    <w:pPr>
      <w:adjustRightInd w:val="0"/>
      <w:spacing w:line="420" w:lineRule="atLeast"/>
      <w:jc w:val="center"/>
      <w:textAlignment w:val="baseline"/>
      <w:outlineLvl w:val="0"/>
    </w:pPr>
    <w:rPr>
      <w:rFonts w:ascii="Arial" w:hAnsi="Arial"/>
      <w:b/>
      <w:kern w:val="0"/>
      <w:sz w:val="32"/>
      <w:szCs w:val="20"/>
    </w:rPr>
  </w:style>
  <w:style w:type="paragraph" w:styleId="45">
    <w:name w:val="annotation subject"/>
    <w:basedOn w:val="18"/>
    <w:next w:val="18"/>
    <w:qFormat/>
    <w:uiPriority w:val="0"/>
    <w:rPr>
      <w:b/>
      <w:bCs/>
    </w:rPr>
  </w:style>
  <w:style w:type="paragraph" w:styleId="46">
    <w:name w:val="Body Text First Indent"/>
    <w:basedOn w:val="20"/>
    <w:qFormat/>
    <w:uiPriority w:val="0"/>
    <w:pPr>
      <w:ind w:firstLine="420" w:firstLineChars="100"/>
    </w:pPr>
  </w:style>
  <w:style w:type="table" w:styleId="48">
    <w:name w:val="Table Grid"/>
    <w:basedOn w:val="4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50">
    <w:name w:val="Strong"/>
    <w:basedOn w:val="49"/>
    <w:qFormat/>
    <w:uiPriority w:val="0"/>
    <w:rPr>
      <w:b/>
      <w:bCs/>
    </w:rPr>
  </w:style>
  <w:style w:type="character" w:styleId="51">
    <w:name w:val="page number"/>
    <w:basedOn w:val="49"/>
    <w:qFormat/>
    <w:uiPriority w:val="0"/>
  </w:style>
  <w:style w:type="character" w:styleId="52">
    <w:name w:val="FollowedHyperlink"/>
    <w:qFormat/>
    <w:uiPriority w:val="0"/>
    <w:rPr>
      <w:color w:val="333333"/>
      <w:u w:val="none"/>
    </w:rPr>
  </w:style>
  <w:style w:type="character" w:styleId="53">
    <w:name w:val="Emphasis"/>
    <w:qFormat/>
    <w:uiPriority w:val="0"/>
    <w:rPr>
      <w:color w:val="CC0033"/>
    </w:rPr>
  </w:style>
  <w:style w:type="character" w:styleId="54">
    <w:name w:val="HTML Definition"/>
    <w:qFormat/>
    <w:uiPriority w:val="0"/>
  </w:style>
  <w:style w:type="character" w:styleId="55">
    <w:name w:val="HTML Typewriter"/>
    <w:qFormat/>
    <w:uiPriority w:val="0"/>
    <w:rPr>
      <w:rFonts w:hint="default" w:ascii="monospace" w:hAnsi="monospace" w:eastAsia="monospace" w:cs="monospace"/>
      <w:sz w:val="20"/>
    </w:rPr>
  </w:style>
  <w:style w:type="character" w:styleId="56">
    <w:name w:val="HTML Acronym"/>
    <w:basedOn w:val="49"/>
    <w:qFormat/>
    <w:uiPriority w:val="0"/>
  </w:style>
  <w:style w:type="character" w:styleId="57">
    <w:name w:val="HTML Variable"/>
    <w:qFormat/>
    <w:uiPriority w:val="0"/>
  </w:style>
  <w:style w:type="character" w:styleId="58">
    <w:name w:val="Hyperlink"/>
    <w:basedOn w:val="49"/>
    <w:qFormat/>
    <w:uiPriority w:val="99"/>
    <w:rPr>
      <w:color w:val="333333"/>
      <w:u w:val="none"/>
    </w:rPr>
  </w:style>
  <w:style w:type="character" w:styleId="59">
    <w:name w:val="HTML Code"/>
    <w:qFormat/>
    <w:uiPriority w:val="0"/>
    <w:rPr>
      <w:rFonts w:hint="default" w:ascii="monospace" w:hAnsi="monospace" w:eastAsia="monospace" w:cs="monospace"/>
      <w:sz w:val="20"/>
    </w:rPr>
  </w:style>
  <w:style w:type="character" w:styleId="60">
    <w:name w:val="annotation reference"/>
    <w:qFormat/>
    <w:uiPriority w:val="0"/>
    <w:rPr>
      <w:sz w:val="21"/>
      <w:szCs w:val="21"/>
    </w:rPr>
  </w:style>
  <w:style w:type="character" w:styleId="61">
    <w:name w:val="HTML Cite"/>
    <w:qFormat/>
    <w:uiPriority w:val="0"/>
  </w:style>
  <w:style w:type="character" w:styleId="62">
    <w:name w:val="footnote reference"/>
    <w:qFormat/>
    <w:uiPriority w:val="0"/>
    <w:rPr>
      <w:vertAlign w:val="superscript"/>
    </w:rPr>
  </w:style>
  <w:style w:type="character" w:styleId="63">
    <w:name w:val="HTML Keyboard"/>
    <w:qFormat/>
    <w:uiPriority w:val="0"/>
    <w:rPr>
      <w:rFonts w:ascii="monospace" w:hAnsi="monospace" w:eastAsia="monospace" w:cs="monospace"/>
      <w:sz w:val="20"/>
    </w:rPr>
  </w:style>
  <w:style w:type="character" w:styleId="64">
    <w:name w:val="HTML Sample"/>
    <w:qFormat/>
    <w:uiPriority w:val="0"/>
    <w:rPr>
      <w:rFonts w:hint="default" w:ascii="monospace" w:hAnsi="monospace" w:eastAsia="monospace" w:cs="monospace"/>
    </w:rPr>
  </w:style>
  <w:style w:type="paragraph" w:styleId="65">
    <w:name w:val="List Paragraph"/>
    <w:basedOn w:val="1"/>
    <w:qFormat/>
    <w:uiPriority w:val="34"/>
    <w:pPr>
      <w:ind w:firstLine="420" w:firstLineChars="200"/>
    </w:pPr>
  </w:style>
  <w:style w:type="paragraph" w:customStyle="1" w:styleId="66">
    <w:name w:val="_Style 62"/>
    <w:basedOn w:val="1"/>
    <w:next w:val="1"/>
    <w:qFormat/>
    <w:uiPriority w:val="0"/>
    <w:pPr>
      <w:pBdr>
        <w:top w:val="single" w:color="auto" w:sz="6" w:space="1"/>
      </w:pBdr>
      <w:jc w:val="center"/>
    </w:pPr>
    <w:rPr>
      <w:rFonts w:ascii="Arial"/>
      <w:vanish/>
      <w:sz w:val="16"/>
    </w:rPr>
  </w:style>
  <w:style w:type="paragraph" w:customStyle="1" w:styleId="67">
    <w:name w:val="Blockquote"/>
    <w:basedOn w:val="1"/>
    <w:qFormat/>
    <w:uiPriority w:val="0"/>
    <w:pPr>
      <w:autoSpaceDE w:val="0"/>
      <w:autoSpaceDN w:val="0"/>
      <w:adjustRightInd w:val="0"/>
      <w:ind w:left="360" w:right="360"/>
      <w:jc w:val="left"/>
    </w:pPr>
    <w:rPr>
      <w:kern w:val="0"/>
      <w:sz w:val="24"/>
      <w:szCs w:val="20"/>
    </w:rPr>
  </w:style>
  <w:style w:type="paragraph" w:customStyle="1" w:styleId="68">
    <w:name w:val="表格"/>
    <w:basedOn w:val="1"/>
    <w:qFormat/>
    <w:uiPriority w:val="0"/>
    <w:pPr>
      <w:jc w:val="center"/>
      <w:textAlignment w:val="center"/>
    </w:pPr>
    <w:rPr>
      <w:rFonts w:ascii="华文细黑" w:hAnsi="华文细黑"/>
      <w:kern w:val="0"/>
      <w:szCs w:val="20"/>
    </w:rPr>
  </w:style>
  <w:style w:type="paragraph" w:customStyle="1" w:styleId="69">
    <w:name w:val="表格文字"/>
    <w:basedOn w:val="1"/>
    <w:qFormat/>
    <w:uiPriority w:val="0"/>
    <w:pPr>
      <w:adjustRightInd w:val="0"/>
      <w:spacing w:line="420" w:lineRule="atLeast"/>
      <w:jc w:val="left"/>
      <w:textAlignment w:val="baseline"/>
    </w:pPr>
    <w:rPr>
      <w:kern w:val="0"/>
      <w:szCs w:val="20"/>
    </w:rPr>
  </w:style>
  <w:style w:type="paragraph" w:customStyle="1" w:styleId="70">
    <w:name w:val="Char"/>
    <w:basedOn w:val="1"/>
    <w:next w:val="1"/>
    <w:qFormat/>
    <w:uiPriority w:val="0"/>
    <w:pPr>
      <w:widowControl/>
      <w:spacing w:line="360" w:lineRule="auto"/>
      <w:jc w:val="left"/>
    </w:pPr>
    <w:rPr>
      <w:kern w:val="0"/>
      <w:szCs w:val="20"/>
      <w:lang w:eastAsia="en-US"/>
    </w:rPr>
  </w:style>
  <w:style w:type="paragraph" w:customStyle="1" w:styleId="71">
    <w:name w:val="6'"/>
    <w:basedOn w:val="1"/>
    <w:qFormat/>
    <w:uiPriority w:val="0"/>
    <w:pPr>
      <w:autoSpaceDE w:val="0"/>
      <w:autoSpaceDN w:val="0"/>
      <w:adjustRightInd w:val="0"/>
      <w:snapToGrid w:val="0"/>
      <w:spacing w:line="320" w:lineRule="exact"/>
      <w:jc w:val="center"/>
      <w:textAlignment w:val="baseline"/>
    </w:pPr>
    <w:rPr>
      <w:spacing w:val="20"/>
      <w:kern w:val="28"/>
      <w:szCs w:val="20"/>
    </w:rPr>
  </w:style>
  <w:style w:type="paragraph" w:customStyle="1" w:styleId="72">
    <w:name w:val="样式2"/>
    <w:basedOn w:val="4"/>
    <w:qFormat/>
    <w:uiPriority w:val="0"/>
  </w:style>
  <w:style w:type="paragraph" w:customStyle="1" w:styleId="73">
    <w:name w:val="Default Paragraph Char Char Char Char"/>
    <w:basedOn w:val="1"/>
    <w:next w:val="1"/>
    <w:qFormat/>
    <w:uiPriority w:val="0"/>
    <w:pPr>
      <w:spacing w:line="360" w:lineRule="auto"/>
    </w:pPr>
    <w:rPr>
      <w:szCs w:val="20"/>
    </w:rPr>
  </w:style>
  <w:style w:type="paragraph" w:customStyle="1" w:styleId="74">
    <w:name w:val="节标题"/>
    <w:basedOn w:val="1"/>
    <w:next w:val="1"/>
    <w:qFormat/>
    <w:uiPriority w:val="0"/>
    <w:pPr>
      <w:widowControl/>
      <w:spacing w:line="289" w:lineRule="atLeast"/>
      <w:jc w:val="center"/>
      <w:textAlignment w:val="baseline"/>
    </w:pPr>
    <w:rPr>
      <w:color w:val="000000"/>
      <w:kern w:val="0"/>
      <w:sz w:val="28"/>
      <w:szCs w:val="20"/>
      <w:u w:color="000000"/>
    </w:rPr>
  </w:style>
  <w:style w:type="paragraph" w:customStyle="1" w:styleId="75">
    <w:name w:val="默认段落字体 Para Char Char Char Char"/>
    <w:basedOn w:val="1"/>
    <w:qFormat/>
    <w:uiPriority w:val="0"/>
  </w:style>
  <w:style w:type="paragraph" w:customStyle="1" w:styleId="76">
    <w:name w:val="样式 标题 1 + 黑体 五号"/>
    <w:basedOn w:val="2"/>
    <w:qFormat/>
    <w:uiPriority w:val="0"/>
    <w:pPr>
      <w:jc w:val="left"/>
    </w:pPr>
    <w:rPr>
      <w:rFonts w:ascii="黑体" w:hAnsi="黑体" w:eastAsia="黑体"/>
      <w:sz w:val="21"/>
    </w:rPr>
  </w:style>
  <w:style w:type="paragraph" w:customStyle="1" w:styleId="77">
    <w:name w:val="样式4"/>
    <w:basedOn w:val="4"/>
    <w:qFormat/>
    <w:uiPriority w:val="0"/>
    <w:rPr>
      <w:rFonts w:eastAsia="Arial"/>
    </w:rPr>
  </w:style>
  <w:style w:type="paragraph" w:customStyle="1" w:styleId="78">
    <w:name w:val="正文1"/>
    <w:qFormat/>
    <w:uiPriority w:val="0"/>
    <w:pPr>
      <w:widowControl w:val="0"/>
      <w:adjustRightInd w:val="0"/>
      <w:spacing w:line="312" w:lineRule="atLeast"/>
      <w:jc w:val="both"/>
      <w:textAlignment w:val="baseline"/>
    </w:pPr>
    <w:rPr>
      <w:rFonts w:ascii="宋体" w:hAnsi="Times New Roman" w:eastAsia="宋体" w:cs="宋体"/>
      <w:sz w:val="24"/>
      <w:szCs w:val="24"/>
      <w:lang w:val="en-US" w:eastAsia="zh-CN" w:bidi="ar-SA"/>
    </w:rPr>
  </w:style>
  <w:style w:type="paragraph" w:customStyle="1" w:styleId="79">
    <w:name w:val="列出段落1"/>
    <w:basedOn w:val="1"/>
    <w:qFormat/>
    <w:uiPriority w:val="0"/>
    <w:pPr>
      <w:ind w:firstLine="200" w:firstLineChars="200"/>
    </w:pPr>
  </w:style>
  <w:style w:type="paragraph" w:customStyle="1" w:styleId="80">
    <w:name w:val="p0 New"/>
    <w:basedOn w:val="1"/>
    <w:qFormat/>
    <w:uiPriority w:val="0"/>
    <w:pPr>
      <w:widowControl/>
      <w:jc w:val="left"/>
    </w:pPr>
    <w:rPr>
      <w:rFonts w:ascii="宋体" w:hAnsi="宋体" w:cs="宋体"/>
      <w:kern w:val="0"/>
      <w:sz w:val="18"/>
      <w:szCs w:val="18"/>
    </w:rPr>
  </w:style>
  <w:style w:type="paragraph" w:customStyle="1" w:styleId="81">
    <w:name w:val="样式 标题 1 + 黑体 三号 非加粗 居中 段前: 6 磅 段后: 6 磅 行距: 固定值 20 磅"/>
    <w:basedOn w:val="2"/>
    <w:qFormat/>
    <w:uiPriority w:val="0"/>
    <w:pPr>
      <w:spacing w:line="400" w:lineRule="exact"/>
    </w:pPr>
    <w:rPr>
      <w:rFonts w:ascii="黑体" w:hAnsi="黑体" w:eastAsia="黑体" w:cs="宋体"/>
      <w:b w:val="0"/>
      <w:bCs w:val="0"/>
      <w:sz w:val="32"/>
      <w:szCs w:val="20"/>
    </w:rPr>
  </w:style>
  <w:style w:type="paragraph" w:customStyle="1" w:styleId="82">
    <w:name w:val="_Style 78"/>
    <w:basedOn w:val="2"/>
    <w:next w:val="1"/>
    <w:qFormat/>
    <w:uiPriority w:val="39"/>
    <w:pPr>
      <w:widowControl/>
      <w:spacing w:before="480" w:line="276" w:lineRule="auto"/>
      <w:jc w:val="left"/>
      <w:outlineLvl w:val="9"/>
    </w:pPr>
    <w:rPr>
      <w:rFonts w:ascii="Cambria" w:hAnsi="Cambria"/>
      <w:color w:val="365F91"/>
      <w:kern w:val="0"/>
      <w:sz w:val="28"/>
      <w:szCs w:val="28"/>
    </w:rPr>
  </w:style>
  <w:style w:type="paragraph" w:customStyle="1" w:styleId="83">
    <w:name w:val="Char1"/>
    <w:basedOn w:val="1"/>
    <w:qFormat/>
    <w:uiPriority w:val="0"/>
    <w:pPr>
      <w:tabs>
        <w:tab w:val="left" w:pos="360"/>
      </w:tabs>
    </w:pPr>
    <w:rPr>
      <w:sz w:val="24"/>
    </w:rPr>
  </w:style>
  <w:style w:type="paragraph" w:customStyle="1" w:styleId="84">
    <w:name w:val="样式1"/>
    <w:basedOn w:val="4"/>
    <w:qFormat/>
    <w:uiPriority w:val="0"/>
    <w:rPr>
      <w:rFonts w:eastAsia="Arial"/>
    </w:rPr>
  </w:style>
  <w:style w:type="paragraph" w:customStyle="1" w:styleId="85">
    <w:name w:val="Char Char Char Char Char Char Char Char Char Char Char Char Char"/>
    <w:basedOn w:val="1"/>
    <w:qFormat/>
    <w:uiPriority w:val="0"/>
  </w:style>
  <w:style w:type="paragraph" w:customStyle="1" w:styleId="86">
    <w:name w:val="p"/>
    <w:basedOn w:val="1"/>
    <w:qFormat/>
    <w:uiPriority w:val="0"/>
    <w:rPr>
      <w:rFonts w:ascii="宋体"/>
      <w:sz w:val="24"/>
    </w:rPr>
  </w:style>
  <w:style w:type="paragraph" w:customStyle="1" w:styleId="87">
    <w:name w:val="Char Char Char Char"/>
    <w:basedOn w:val="1"/>
    <w:qFormat/>
    <w:uiPriority w:val="0"/>
  </w:style>
  <w:style w:type="paragraph" w:customStyle="1" w:styleId="88">
    <w:name w:val="_Style 84"/>
    <w:basedOn w:val="1"/>
    <w:next w:val="1"/>
    <w:qFormat/>
    <w:uiPriority w:val="0"/>
    <w:pPr>
      <w:pBdr>
        <w:bottom w:val="single" w:color="auto" w:sz="6" w:space="1"/>
      </w:pBdr>
      <w:jc w:val="center"/>
    </w:pPr>
    <w:rPr>
      <w:rFonts w:ascii="Arial"/>
      <w:vanish/>
      <w:sz w:val="16"/>
    </w:rPr>
  </w:style>
  <w:style w:type="paragraph" w:customStyle="1" w:styleId="89">
    <w:name w:val="1"/>
    <w:basedOn w:val="1"/>
    <w:next w:val="1"/>
    <w:qFormat/>
    <w:uiPriority w:val="0"/>
  </w:style>
  <w:style w:type="paragraph" w:customStyle="1" w:styleId="90">
    <w:name w:val="p15"/>
    <w:qFormat/>
    <w:uiPriority w:val="0"/>
    <w:pPr>
      <w:jc w:val="both"/>
    </w:pPr>
    <w:rPr>
      <w:rFonts w:ascii="宋体" w:hAnsi="Times New Roman" w:eastAsia="宋体" w:cs="宋体"/>
      <w:sz w:val="21"/>
      <w:szCs w:val="21"/>
      <w:lang w:val="en-US" w:eastAsia="zh-CN" w:bidi="ar-SA"/>
    </w:rPr>
  </w:style>
  <w:style w:type="paragraph" w:customStyle="1" w:styleId="91">
    <w:name w:val="样式 标题 2 + Times New Roman 四号 非加粗 段前: 5 磅 段后: 0 磅 行距: 固定值 20..."/>
    <w:basedOn w:val="3"/>
    <w:qFormat/>
    <w:uiPriority w:val="0"/>
    <w:pPr>
      <w:spacing w:line="400" w:lineRule="exact"/>
    </w:pPr>
    <w:rPr>
      <w:rFonts w:ascii="Times New Roman" w:hAnsi="Times New Roman" w:cs="宋体"/>
      <w:b w:val="0"/>
      <w:bCs w:val="0"/>
      <w:sz w:val="28"/>
      <w:szCs w:val="20"/>
    </w:rPr>
  </w:style>
  <w:style w:type="paragraph" w:customStyle="1" w:styleId="92">
    <w:name w:val="Table Paragraph"/>
    <w:basedOn w:val="1"/>
    <w:qFormat/>
    <w:uiPriority w:val="0"/>
    <w:pPr>
      <w:autoSpaceDE w:val="0"/>
      <w:autoSpaceDN w:val="0"/>
      <w:jc w:val="left"/>
    </w:pPr>
    <w:rPr>
      <w:rFonts w:ascii="宋体" w:hAnsi="宋体" w:cs="宋体"/>
      <w:kern w:val="0"/>
      <w:sz w:val="22"/>
      <w:szCs w:val="22"/>
      <w:lang w:val="zh-CN"/>
    </w:rPr>
  </w:style>
  <w:style w:type="paragraph" w:customStyle="1" w:styleId="93">
    <w:name w:val="p0"/>
    <w:basedOn w:val="1"/>
    <w:qFormat/>
    <w:uiPriority w:val="99"/>
    <w:pPr>
      <w:widowControl/>
    </w:pPr>
    <w:rPr>
      <w:kern w:val="0"/>
      <w:szCs w:val="21"/>
    </w:rPr>
  </w:style>
  <w:style w:type="paragraph" w:customStyle="1" w:styleId="94">
    <w:name w:val="样式3"/>
    <w:basedOn w:val="4"/>
    <w:qFormat/>
    <w:uiPriority w:val="0"/>
    <w:rPr>
      <w:rFonts w:eastAsia="Arial"/>
    </w:rPr>
  </w:style>
  <w:style w:type="paragraph" w:customStyle="1" w:styleId="95">
    <w:name w:val="样式 标题 3 + (中文) 黑体 小四 非加粗 段前: 7.8 磅 段后: 0 磅 行距: 固定值 20 磅"/>
    <w:basedOn w:val="4"/>
    <w:qFormat/>
    <w:uiPriority w:val="0"/>
    <w:pPr>
      <w:spacing w:line="400" w:lineRule="exact"/>
    </w:pPr>
    <w:rPr>
      <w:rFonts w:eastAsia="黑体" w:cs="宋体"/>
      <w:b w:val="0"/>
      <w:bCs w:val="0"/>
      <w:sz w:val="24"/>
      <w:szCs w:val="20"/>
    </w:rPr>
  </w:style>
  <w:style w:type="paragraph" w:customStyle="1" w:styleId="96">
    <w:name w:val="Char Char Char Char Char Char Char Char Char Char Char Char Char1"/>
    <w:basedOn w:val="1"/>
    <w:qFormat/>
    <w:uiPriority w:val="0"/>
  </w:style>
  <w:style w:type="paragraph" w:customStyle="1" w:styleId="97">
    <w:name w:val="Char4"/>
    <w:basedOn w:val="1"/>
    <w:qFormat/>
    <w:uiPriority w:val="0"/>
    <w:pPr>
      <w:widowControl/>
      <w:spacing w:line="360" w:lineRule="auto"/>
      <w:ind w:firstLine="200" w:firstLineChars="200"/>
      <w:textAlignment w:val="baseline"/>
    </w:pPr>
    <w:rPr>
      <w:color w:val="000000"/>
      <w:kern w:val="0"/>
      <w:szCs w:val="20"/>
      <w:u w:color="000000"/>
    </w:rPr>
  </w:style>
  <w:style w:type="paragraph" w:customStyle="1" w:styleId="98">
    <w:name w:val="正文2"/>
    <w:qFormat/>
    <w:uiPriority w:val="0"/>
    <w:pPr>
      <w:widowControl w:val="0"/>
      <w:jc w:val="both"/>
    </w:pPr>
    <w:rPr>
      <w:rFonts w:ascii="Times New Roman" w:hAnsi="Times New Roman" w:eastAsia="宋体" w:cs="Times New Roman"/>
      <w:lang w:val="en-US" w:eastAsia="zh-CN" w:bidi="ar-SA"/>
    </w:rPr>
  </w:style>
  <w:style w:type="character" w:customStyle="1" w:styleId="99">
    <w:name w:val="first-child"/>
    <w:basedOn w:val="49"/>
    <w:qFormat/>
    <w:uiPriority w:val="0"/>
  </w:style>
  <w:style w:type="character" w:customStyle="1" w:styleId="100">
    <w:name w:val="Char Char Char Char Char Char"/>
    <w:qFormat/>
    <w:uiPriority w:val="0"/>
    <w:rPr>
      <w:rFonts w:ascii="Arial" w:hAnsi="Arial" w:eastAsia="黑体"/>
      <w:b/>
      <w:bCs/>
      <w:kern w:val="2"/>
      <w:sz w:val="32"/>
      <w:szCs w:val="32"/>
      <w:lang w:val="en-US" w:eastAsia="zh-CN" w:bidi="ar-SA"/>
    </w:rPr>
  </w:style>
  <w:style w:type="character" w:customStyle="1" w:styleId="101">
    <w:name w:val="l11"/>
    <w:qFormat/>
    <w:uiPriority w:val="0"/>
    <w:rPr>
      <w:color w:val="999999"/>
    </w:rPr>
  </w:style>
  <w:style w:type="character" w:customStyle="1" w:styleId="102">
    <w:name w:val="Char Char"/>
    <w:qFormat/>
    <w:uiPriority w:val="0"/>
    <w:rPr>
      <w:rFonts w:ascii="Arial" w:hAnsi="Arial" w:eastAsia="黑体"/>
      <w:b/>
      <w:bCs/>
      <w:kern w:val="2"/>
      <w:sz w:val="32"/>
      <w:szCs w:val="32"/>
      <w:lang w:val="en-US" w:eastAsia="zh-CN" w:bidi="ar-SA"/>
    </w:rPr>
  </w:style>
  <w:style w:type="character" w:customStyle="1" w:styleId="103">
    <w:name w:val="Char Char5"/>
    <w:qFormat/>
    <w:uiPriority w:val="0"/>
    <w:rPr>
      <w:rFonts w:ascii="Arial" w:hAnsi="Arial" w:eastAsia="黑体"/>
      <w:b/>
      <w:bCs/>
      <w:kern w:val="2"/>
      <w:sz w:val="32"/>
      <w:szCs w:val="32"/>
    </w:rPr>
  </w:style>
  <w:style w:type="character" w:customStyle="1" w:styleId="104">
    <w:name w:val="msg-box28"/>
    <w:basedOn w:val="49"/>
    <w:qFormat/>
    <w:uiPriority w:val="0"/>
  </w:style>
  <w:style w:type="character" w:customStyle="1" w:styleId="105">
    <w:name w:val="img_title6"/>
    <w:qFormat/>
    <w:uiPriority w:val="0"/>
    <w:rPr>
      <w:vanish/>
    </w:rPr>
  </w:style>
  <w:style w:type="character" w:customStyle="1" w:styleId="106">
    <w:name w:val="tit12"/>
    <w:qFormat/>
    <w:uiPriority w:val="0"/>
    <w:rPr>
      <w:color w:val="04A06C"/>
    </w:rPr>
  </w:style>
  <w:style w:type="character" w:customStyle="1" w:styleId="107">
    <w:name w:val="Char Char2"/>
    <w:qFormat/>
    <w:uiPriority w:val="0"/>
    <w:rPr>
      <w:rFonts w:eastAsia="宋体"/>
      <w:kern w:val="2"/>
      <w:sz w:val="21"/>
      <w:szCs w:val="24"/>
      <w:lang w:val="en-US" w:eastAsia="zh-CN" w:bidi="ar-SA"/>
    </w:rPr>
  </w:style>
  <w:style w:type="character" w:customStyle="1" w:styleId="108">
    <w:name w:val="nostart"/>
    <w:qFormat/>
    <w:uiPriority w:val="0"/>
    <w:rPr>
      <w:color w:val="FF0000"/>
    </w:rPr>
  </w:style>
  <w:style w:type="character" w:customStyle="1" w:styleId="109">
    <w:name w:val="nostart3"/>
    <w:basedOn w:val="49"/>
    <w:qFormat/>
    <w:uiPriority w:val="0"/>
  </w:style>
  <w:style w:type="character" w:customStyle="1" w:styleId="110">
    <w:name w:val="img4"/>
    <w:basedOn w:val="49"/>
    <w:qFormat/>
    <w:uiPriority w:val="0"/>
  </w:style>
  <w:style w:type="character" w:customStyle="1" w:styleId="111">
    <w:name w:val="tit11"/>
    <w:qFormat/>
    <w:uiPriority w:val="0"/>
    <w:rPr>
      <w:color w:val="B60000"/>
    </w:rPr>
  </w:style>
  <w:style w:type="character" w:customStyle="1" w:styleId="112">
    <w:name w:val="批注文字 Char"/>
    <w:link w:val="18"/>
    <w:qFormat/>
    <w:uiPriority w:val="0"/>
    <w:rPr>
      <w:rFonts w:eastAsia="宋体"/>
      <w:kern w:val="2"/>
      <w:sz w:val="21"/>
      <w:szCs w:val="24"/>
      <w:lang w:val="en-US" w:eastAsia="zh-CN" w:bidi="ar-SA"/>
    </w:rPr>
  </w:style>
  <w:style w:type="character" w:customStyle="1" w:styleId="113">
    <w:name w:val="over"/>
    <w:qFormat/>
    <w:uiPriority w:val="0"/>
    <w:rPr>
      <w:color w:val="B60000"/>
    </w:rPr>
  </w:style>
  <w:style w:type="character" w:customStyle="1" w:styleId="114">
    <w:name w:val="HTML 预设格式 Char"/>
    <w:link w:val="41"/>
    <w:qFormat/>
    <w:uiPriority w:val="0"/>
    <w:rPr>
      <w:rFonts w:ascii="宋体" w:hAnsi="宋体" w:cs="宋体"/>
      <w:sz w:val="24"/>
      <w:szCs w:val="24"/>
    </w:rPr>
  </w:style>
  <w:style w:type="character" w:customStyle="1" w:styleId="115">
    <w:name w:val="l6"/>
    <w:qFormat/>
    <w:uiPriority w:val="0"/>
    <w:rPr>
      <w:color w:val="999999"/>
    </w:rPr>
  </w:style>
  <w:style w:type="character" w:customStyle="1" w:styleId="116">
    <w:name w:val="datetime"/>
    <w:qFormat/>
    <w:uiPriority w:val="0"/>
    <w:rPr>
      <w:rFonts w:hint="default" w:ascii="Arial" w:hAnsi="Arial" w:cs="Arial"/>
      <w:color w:val="999999"/>
      <w:sz w:val="21"/>
      <w:szCs w:val="21"/>
    </w:rPr>
  </w:style>
  <w:style w:type="character" w:customStyle="1" w:styleId="117">
    <w:name w:val="txt1"/>
    <w:basedOn w:val="49"/>
    <w:qFormat/>
    <w:uiPriority w:val="0"/>
  </w:style>
  <w:style w:type="character" w:customStyle="1" w:styleId="118">
    <w:name w:val="starting1"/>
    <w:qFormat/>
    <w:uiPriority w:val="0"/>
    <w:rPr>
      <w:color w:val="339900"/>
    </w:rPr>
  </w:style>
  <w:style w:type="character" w:customStyle="1" w:styleId="119">
    <w:name w:val="starting2"/>
    <w:qFormat/>
    <w:uiPriority w:val="0"/>
    <w:rPr>
      <w:color w:val="B60000"/>
    </w:rPr>
  </w:style>
  <w:style w:type="character" w:customStyle="1" w:styleId="120">
    <w:name w:val="标题 1 Char"/>
    <w:link w:val="2"/>
    <w:qFormat/>
    <w:uiPriority w:val="0"/>
    <w:rPr>
      <w:rFonts w:eastAsia="宋体"/>
      <w:b/>
      <w:bCs/>
      <w:kern w:val="44"/>
      <w:sz w:val="44"/>
      <w:szCs w:val="44"/>
      <w:lang w:val="en-US" w:eastAsia="zh-CN" w:bidi="ar-SA"/>
    </w:rPr>
  </w:style>
  <w:style w:type="character" w:customStyle="1" w:styleId="121">
    <w:name w:val="red"/>
    <w:qFormat/>
    <w:uiPriority w:val="0"/>
    <w:rPr>
      <w:rFonts w:hint="default" w:ascii="Arial" w:hAnsi="Arial" w:cs="Arial"/>
      <w:color w:val="E50000"/>
    </w:rPr>
  </w:style>
  <w:style w:type="character" w:customStyle="1" w:styleId="122">
    <w:name w:val="Char Char4"/>
    <w:qFormat/>
    <w:uiPriority w:val="0"/>
    <w:rPr>
      <w:rFonts w:eastAsia="宋体"/>
      <w:b/>
      <w:bCs/>
      <w:kern w:val="44"/>
      <w:sz w:val="44"/>
      <w:szCs w:val="44"/>
      <w:lang w:val="en-US" w:eastAsia="zh-CN" w:bidi="ar-SA"/>
    </w:rPr>
  </w:style>
  <w:style w:type="character" w:customStyle="1" w:styleId="123">
    <w:name w:val="font161"/>
    <w:qFormat/>
    <w:uiPriority w:val="0"/>
    <w:rPr>
      <w:b/>
      <w:bCs/>
      <w:sz w:val="32"/>
      <w:szCs w:val="32"/>
    </w:rPr>
  </w:style>
  <w:style w:type="character" w:customStyle="1" w:styleId="124">
    <w:name w:val="Char Char8"/>
    <w:qFormat/>
    <w:uiPriority w:val="0"/>
    <w:rPr>
      <w:rFonts w:ascii="Arial" w:hAnsi="Arial" w:eastAsia="黑体"/>
      <w:b/>
      <w:bCs/>
      <w:kern w:val="2"/>
      <w:sz w:val="32"/>
      <w:szCs w:val="32"/>
      <w:lang w:val="en-US" w:eastAsia="zh-CN" w:bidi="ar-SA"/>
    </w:rPr>
  </w:style>
  <w:style w:type="character" w:customStyle="1" w:styleId="125">
    <w:name w:val="msg-box29"/>
    <w:basedOn w:val="49"/>
    <w:qFormat/>
    <w:uiPriority w:val="0"/>
  </w:style>
  <w:style w:type="character" w:customStyle="1" w:styleId="126">
    <w:name w:val="over2"/>
    <w:qFormat/>
    <w:uiPriority w:val="0"/>
    <w:rPr>
      <w:color w:val="999999"/>
    </w:rPr>
  </w:style>
  <w:style w:type="character" w:customStyle="1" w:styleId="127">
    <w:name w:val="img_title7"/>
    <w:qFormat/>
    <w:uiPriority w:val="0"/>
    <w:rPr>
      <w:vanish/>
    </w:rPr>
  </w:style>
  <w:style w:type="character" w:customStyle="1" w:styleId="128">
    <w:name w:val="l7"/>
    <w:qFormat/>
    <w:uiPriority w:val="0"/>
    <w:rPr>
      <w:color w:val="999999"/>
    </w:rPr>
  </w:style>
  <w:style w:type="character" w:customStyle="1" w:styleId="129">
    <w:name w:val="标题 5 Char"/>
    <w:link w:val="6"/>
    <w:qFormat/>
    <w:uiPriority w:val="0"/>
    <w:rPr>
      <w:b/>
      <w:bCs/>
      <w:kern w:val="2"/>
      <w:sz w:val="28"/>
      <w:szCs w:val="28"/>
    </w:rPr>
  </w:style>
  <w:style w:type="character" w:customStyle="1" w:styleId="130">
    <w:name w:val="l51"/>
    <w:qFormat/>
    <w:uiPriority w:val="0"/>
    <w:rPr>
      <w:color w:val="999999"/>
    </w:rPr>
  </w:style>
  <w:style w:type="character" w:customStyle="1" w:styleId="131">
    <w:name w:val="num81"/>
    <w:basedOn w:val="49"/>
    <w:qFormat/>
    <w:uiPriority w:val="0"/>
  </w:style>
  <w:style w:type="character" w:customStyle="1" w:styleId="132">
    <w:name w:val="Char Char1"/>
    <w:qFormat/>
    <w:uiPriority w:val="0"/>
    <w:rPr>
      <w:rFonts w:eastAsia="宋体"/>
      <w:kern w:val="2"/>
      <w:sz w:val="21"/>
      <w:szCs w:val="24"/>
      <w:lang w:val="en-US" w:eastAsia="zh-CN" w:bidi="ar-SA"/>
    </w:rPr>
  </w:style>
  <w:style w:type="character" w:customStyle="1" w:styleId="133">
    <w:name w:val="zs"/>
    <w:qFormat/>
    <w:uiPriority w:val="0"/>
    <w:rPr>
      <w:color w:val="8D744B"/>
      <w:sz w:val="18"/>
      <w:szCs w:val="18"/>
    </w:rPr>
  </w:style>
  <w:style w:type="character" w:customStyle="1" w:styleId="134">
    <w:name w:val="bigfont"/>
    <w:basedOn w:val="49"/>
    <w:qFormat/>
    <w:uiPriority w:val="0"/>
  </w:style>
  <w:style w:type="character" w:customStyle="1" w:styleId="135">
    <w:name w:val="txt"/>
    <w:qFormat/>
    <w:uiPriority w:val="0"/>
    <w:rPr>
      <w:color w:val="C0C0C0"/>
    </w:rPr>
  </w:style>
  <w:style w:type="character" w:customStyle="1" w:styleId="136">
    <w:name w:val="纯文本 Char2"/>
    <w:link w:val="24"/>
    <w:qFormat/>
    <w:uiPriority w:val="0"/>
    <w:rPr>
      <w:rFonts w:ascii="Courier New" w:hAnsi="Courier New" w:eastAsia="宋体"/>
      <w:kern w:val="2"/>
      <w:sz w:val="21"/>
      <w:lang w:val="en-US" w:eastAsia="zh-CN" w:bidi="ar-SA"/>
    </w:rPr>
  </w:style>
  <w:style w:type="character" w:customStyle="1" w:styleId="137">
    <w:name w:val="jg"/>
    <w:basedOn w:val="49"/>
    <w:qFormat/>
    <w:uiPriority w:val="0"/>
  </w:style>
  <w:style w:type="character" w:customStyle="1" w:styleId="138">
    <w:name w:val="17"/>
    <w:qFormat/>
    <w:uiPriority w:val="0"/>
    <w:rPr>
      <w:rFonts w:ascii="仿宋_GB2312" w:eastAsia="仿宋_GB2312"/>
      <w:color w:val="auto"/>
      <w:sz w:val="28"/>
      <w:szCs w:val="28"/>
      <w:u w:val="single"/>
    </w:rPr>
  </w:style>
  <w:style w:type="character" w:customStyle="1" w:styleId="139">
    <w:name w:val="job"/>
    <w:basedOn w:val="49"/>
    <w:qFormat/>
    <w:uiPriority w:val="0"/>
  </w:style>
  <w:style w:type="character" w:customStyle="1" w:styleId="140">
    <w:name w:val="job1"/>
    <w:basedOn w:val="49"/>
    <w:qFormat/>
    <w:uiPriority w:val="0"/>
  </w:style>
  <w:style w:type="character" w:customStyle="1" w:styleId="141">
    <w:name w:val="标题 2 Char"/>
    <w:qFormat/>
    <w:uiPriority w:val="0"/>
    <w:rPr>
      <w:rFonts w:ascii="Arial" w:hAnsi="Arial" w:eastAsia="黑体"/>
      <w:b/>
      <w:bCs/>
      <w:kern w:val="2"/>
      <w:sz w:val="21"/>
      <w:szCs w:val="32"/>
      <w:lang w:val="en-US" w:eastAsia="zh-CN" w:bidi="ar-SA"/>
    </w:rPr>
  </w:style>
  <w:style w:type="character" w:customStyle="1" w:styleId="142">
    <w:name w:val="正文文本 Char"/>
    <w:link w:val="20"/>
    <w:qFormat/>
    <w:uiPriority w:val="0"/>
    <w:rPr>
      <w:rFonts w:eastAsia="宋体"/>
      <w:kern w:val="2"/>
      <w:sz w:val="21"/>
      <w:szCs w:val="24"/>
      <w:lang w:val="en-US" w:eastAsia="zh-CN" w:bidi="ar-SA"/>
    </w:rPr>
  </w:style>
  <w:style w:type="character" w:customStyle="1" w:styleId="143">
    <w:name w:val="p05"/>
    <w:basedOn w:val="49"/>
    <w:qFormat/>
    <w:uiPriority w:val="0"/>
  </w:style>
  <w:style w:type="character" w:customStyle="1" w:styleId="144">
    <w:name w:val="Char Char7"/>
    <w:qFormat/>
    <w:uiPriority w:val="0"/>
    <w:rPr>
      <w:rFonts w:ascii="Arial" w:hAnsi="Arial" w:eastAsia="黑体"/>
      <w:b/>
      <w:bCs/>
      <w:kern w:val="2"/>
      <w:sz w:val="32"/>
      <w:szCs w:val="32"/>
      <w:lang w:val="en-US" w:eastAsia="zh-CN" w:bidi="ar-SA"/>
    </w:rPr>
  </w:style>
  <w:style w:type="character" w:customStyle="1" w:styleId="145">
    <w:name w:val="over3"/>
    <w:basedOn w:val="49"/>
    <w:qFormat/>
    <w:uiPriority w:val="0"/>
  </w:style>
  <w:style w:type="character" w:customStyle="1" w:styleId="146">
    <w:name w:val="Char Char3"/>
    <w:qFormat/>
    <w:uiPriority w:val="0"/>
    <w:rPr>
      <w:rFonts w:ascii="Arial" w:hAnsi="Arial" w:eastAsia="黑体"/>
      <w:b/>
      <w:bCs/>
      <w:kern w:val="2"/>
      <w:sz w:val="32"/>
      <w:szCs w:val="32"/>
      <w:lang w:val="en-US" w:eastAsia="zh-CN" w:bidi="ar-SA"/>
    </w:rPr>
  </w:style>
  <w:style w:type="character" w:customStyle="1" w:styleId="147">
    <w:name w:val="Char Char71"/>
    <w:qFormat/>
    <w:uiPriority w:val="0"/>
    <w:rPr>
      <w:rFonts w:ascii="Arial" w:hAnsi="Arial" w:eastAsia="黑体"/>
      <w:b/>
      <w:bCs/>
      <w:kern w:val="2"/>
      <w:sz w:val="32"/>
      <w:szCs w:val="32"/>
      <w:lang w:val="en-US" w:eastAsia="zh-CN" w:bidi="ar-SA"/>
    </w:rPr>
  </w:style>
  <w:style w:type="character" w:customStyle="1" w:styleId="148">
    <w:name w:val="num51"/>
    <w:basedOn w:val="49"/>
    <w:qFormat/>
    <w:uiPriority w:val="0"/>
  </w:style>
  <w:style w:type="character" w:customStyle="1" w:styleId="149">
    <w:name w:val="Char Char Char"/>
    <w:qFormat/>
    <w:uiPriority w:val="0"/>
    <w:rPr>
      <w:rFonts w:eastAsia="宋体"/>
      <w:b/>
      <w:bCs/>
      <w:kern w:val="44"/>
      <w:sz w:val="44"/>
      <w:szCs w:val="44"/>
      <w:lang w:val="en-US" w:eastAsia="zh-CN" w:bidi="ar-SA"/>
    </w:rPr>
  </w:style>
  <w:style w:type="character" w:customStyle="1" w:styleId="150">
    <w:name w:val="msg-box31"/>
    <w:basedOn w:val="49"/>
    <w:qFormat/>
    <w:uiPriority w:val="0"/>
  </w:style>
  <w:style w:type="character" w:customStyle="1" w:styleId="151">
    <w:name w:val="msg-box30"/>
    <w:basedOn w:val="49"/>
    <w:qFormat/>
    <w:uiPriority w:val="0"/>
  </w:style>
  <w:style w:type="character" w:customStyle="1" w:styleId="152">
    <w:name w:val="标题 1 Char Char"/>
    <w:qFormat/>
    <w:uiPriority w:val="0"/>
    <w:rPr>
      <w:rFonts w:eastAsia="宋体"/>
      <w:b/>
      <w:bCs/>
      <w:kern w:val="44"/>
      <w:sz w:val="44"/>
      <w:szCs w:val="44"/>
      <w:lang w:val="en-US" w:eastAsia="zh-CN" w:bidi="ar-SA"/>
    </w:rPr>
  </w:style>
  <w:style w:type="character" w:customStyle="1" w:styleId="153">
    <w:name w:val="标题 3 Char"/>
    <w:link w:val="4"/>
    <w:qFormat/>
    <w:uiPriority w:val="0"/>
    <w:rPr>
      <w:b/>
      <w:bCs/>
      <w:sz w:val="32"/>
      <w:szCs w:val="32"/>
    </w:rPr>
  </w:style>
  <w:style w:type="character" w:customStyle="1" w:styleId="154">
    <w:name w:val="c1"/>
    <w:basedOn w:val="49"/>
    <w:qFormat/>
    <w:uiPriority w:val="0"/>
  </w:style>
  <w:style w:type="character" w:customStyle="1" w:styleId="155">
    <w:name w:val="纯文本 Char1"/>
    <w:qFormat/>
    <w:uiPriority w:val="0"/>
    <w:rPr>
      <w:rFonts w:ascii="Courier New" w:hAnsi="Courier New" w:eastAsia="宋体"/>
      <w:kern w:val="2"/>
      <w:sz w:val="21"/>
      <w:lang w:val="en-US" w:eastAsia="zh-CN" w:bidi="ar-SA"/>
    </w:rPr>
  </w:style>
  <w:style w:type="character" w:customStyle="1" w:styleId="156">
    <w:name w:val="Char Char Char1"/>
    <w:qFormat/>
    <w:uiPriority w:val="0"/>
    <w:rPr>
      <w:rFonts w:ascii="Arial" w:hAnsi="Arial" w:eastAsia="黑体"/>
      <w:b/>
      <w:bCs/>
      <w:kern w:val="2"/>
      <w:sz w:val="32"/>
      <w:szCs w:val="32"/>
      <w:lang w:val="en-US" w:eastAsia="zh-CN" w:bidi="ar-SA"/>
    </w:rPr>
  </w:style>
  <w:style w:type="character" w:customStyle="1" w:styleId="157">
    <w:name w:val="l3"/>
    <w:qFormat/>
    <w:uiPriority w:val="0"/>
    <w:rPr>
      <w:color w:val="999999"/>
    </w:rPr>
  </w:style>
  <w:style w:type="character" w:customStyle="1" w:styleId="158">
    <w:name w:val="tit14"/>
    <w:qFormat/>
    <w:uiPriority w:val="0"/>
    <w:rPr>
      <w:color w:val="B60000"/>
    </w:rPr>
  </w:style>
  <w:style w:type="character" w:customStyle="1" w:styleId="159">
    <w:name w:val="tit10"/>
    <w:qFormat/>
    <w:uiPriority w:val="0"/>
    <w:rPr>
      <w:color w:val="B60000"/>
    </w:rPr>
  </w:style>
  <w:style w:type="character" w:customStyle="1" w:styleId="160">
    <w:name w:val="l21"/>
    <w:qFormat/>
    <w:uiPriority w:val="0"/>
    <w:rPr>
      <w:color w:val="999999"/>
    </w:rPr>
  </w:style>
  <w:style w:type="character" w:customStyle="1" w:styleId="161">
    <w:name w:val="num71"/>
    <w:basedOn w:val="49"/>
    <w:qFormat/>
    <w:uiPriority w:val="0"/>
  </w:style>
  <w:style w:type="character" w:customStyle="1" w:styleId="162">
    <w:name w:val="标题 2 Char Char"/>
    <w:qFormat/>
    <w:uiPriority w:val="0"/>
    <w:rPr>
      <w:rFonts w:ascii="Arial" w:hAnsi="Arial" w:eastAsia="黑体"/>
      <w:b/>
      <w:bCs/>
      <w:kern w:val="2"/>
      <w:sz w:val="32"/>
      <w:szCs w:val="32"/>
      <w:lang w:val="en-US" w:eastAsia="zh-CN" w:bidi="ar-SA"/>
    </w:rPr>
  </w:style>
  <w:style w:type="character" w:customStyle="1" w:styleId="163">
    <w:name w:val="buvis"/>
    <w:qFormat/>
    <w:uiPriority w:val="0"/>
    <w:rPr>
      <w:color w:val="999999"/>
    </w:rPr>
  </w:style>
  <w:style w:type="character" w:customStyle="1" w:styleId="164">
    <w:name w:val="name"/>
    <w:qFormat/>
    <w:uiPriority w:val="0"/>
    <w:rPr>
      <w:color w:val="444444"/>
      <w:sz w:val="21"/>
      <w:szCs w:val="21"/>
    </w:rPr>
  </w:style>
  <w:style w:type="character" w:customStyle="1" w:styleId="165">
    <w:name w:val="layui-this"/>
    <w:qFormat/>
    <w:uiPriority w:val="0"/>
    <w:rPr>
      <w:bdr w:val="single" w:color="EEEEEE" w:sz="6" w:space="0"/>
      <w:shd w:val="clear" w:color="auto" w:fill="FFFFFF"/>
    </w:rPr>
  </w:style>
  <w:style w:type="character" w:customStyle="1" w:styleId="166">
    <w:name w:val="标题 2 Char1"/>
    <w:qFormat/>
    <w:uiPriority w:val="0"/>
    <w:rPr>
      <w:rFonts w:ascii="Arial" w:hAnsi="Arial" w:eastAsia="黑体"/>
      <w:b/>
      <w:bCs/>
      <w:kern w:val="2"/>
      <w:sz w:val="32"/>
      <w:szCs w:val="32"/>
      <w:lang w:val="en-US" w:eastAsia="zh-CN" w:bidi="ar-SA"/>
    </w:rPr>
  </w:style>
  <w:style w:type="character" w:customStyle="1" w:styleId="167">
    <w:name w:val="zw"/>
    <w:qFormat/>
    <w:uiPriority w:val="0"/>
    <w:rPr>
      <w:color w:val="BD1E22"/>
      <w:sz w:val="22"/>
      <w:szCs w:val="22"/>
    </w:rPr>
  </w:style>
  <w:style w:type="character" w:customStyle="1" w:styleId="168">
    <w:name w:val="name1"/>
    <w:qFormat/>
    <w:uiPriority w:val="0"/>
    <w:rPr>
      <w:color w:val="695435"/>
      <w:sz w:val="24"/>
      <w:szCs w:val="24"/>
    </w:rPr>
  </w:style>
  <w:style w:type="character" w:customStyle="1" w:styleId="169">
    <w:name w:val="num61"/>
    <w:basedOn w:val="49"/>
    <w:qFormat/>
    <w:uiPriority w:val="0"/>
  </w:style>
  <w:style w:type="character" w:customStyle="1" w:styleId="170">
    <w:name w:val="mesg-myd"/>
    <w:qFormat/>
    <w:uiPriority w:val="0"/>
    <w:rPr>
      <w:color w:val="EE0000"/>
    </w:rPr>
  </w:style>
  <w:style w:type="character" w:customStyle="1" w:styleId="171">
    <w:name w:val="c2"/>
    <w:basedOn w:val="49"/>
    <w:qFormat/>
    <w:uiPriority w:val="0"/>
  </w:style>
  <w:style w:type="character" w:customStyle="1" w:styleId="172">
    <w:name w:val="c3"/>
    <w:basedOn w:val="49"/>
    <w:qFormat/>
    <w:uiPriority w:val="0"/>
  </w:style>
  <w:style w:type="character" w:customStyle="1" w:styleId="173">
    <w:name w:val="over1"/>
    <w:qFormat/>
    <w:uiPriority w:val="0"/>
    <w:rPr>
      <w:color w:val="B60000"/>
    </w:rPr>
  </w:style>
  <w:style w:type="character" w:customStyle="1" w:styleId="174">
    <w:name w:val="tit13"/>
    <w:qFormat/>
    <w:uiPriority w:val="0"/>
    <w:rPr>
      <w:color w:val="FFFFFF"/>
    </w:rPr>
  </w:style>
  <w:style w:type="character" w:customStyle="1" w:styleId="175">
    <w:name w:val="Char Char21"/>
    <w:qFormat/>
    <w:uiPriority w:val="0"/>
    <w:rPr>
      <w:rFonts w:eastAsia="宋体"/>
      <w:kern w:val="2"/>
      <w:sz w:val="21"/>
      <w:szCs w:val="24"/>
      <w:lang w:val="en-US" w:eastAsia="zh-CN" w:bidi="ar-SA"/>
    </w:rPr>
  </w:style>
  <w:style w:type="character" w:customStyle="1" w:styleId="176">
    <w:name w:val="l41"/>
    <w:qFormat/>
    <w:uiPriority w:val="0"/>
    <w:rPr>
      <w:color w:val="999999"/>
    </w:rPr>
  </w:style>
  <w:style w:type="character" w:customStyle="1" w:styleId="177">
    <w:name w:val="16"/>
    <w:qFormat/>
    <w:uiPriority w:val="0"/>
    <w:rPr>
      <w:rFonts w:ascii="仿宋_GB2312" w:eastAsia="仿宋_GB2312"/>
      <w:color w:val="auto"/>
      <w:sz w:val="28"/>
      <w:szCs w:val="28"/>
    </w:rPr>
  </w:style>
  <w:style w:type="character" w:customStyle="1" w:styleId="178">
    <w:name w:val="num31"/>
    <w:basedOn w:val="49"/>
    <w:qFormat/>
    <w:uiPriority w:val="0"/>
  </w:style>
  <w:style w:type="character" w:customStyle="1" w:styleId="179">
    <w:name w:val="starting4"/>
    <w:basedOn w:val="49"/>
    <w:qFormat/>
    <w:uiPriority w:val="0"/>
  </w:style>
  <w:style w:type="character" w:customStyle="1" w:styleId="180">
    <w:name w:val="bsharetext"/>
    <w:basedOn w:val="49"/>
    <w:qFormat/>
    <w:uiPriority w:val="0"/>
  </w:style>
  <w:style w:type="character" w:customStyle="1" w:styleId="181">
    <w:name w:val="unit"/>
    <w:qFormat/>
    <w:uiPriority w:val="0"/>
    <w:rPr>
      <w:color w:val="999999"/>
    </w:rPr>
  </w:style>
  <w:style w:type="character" w:customStyle="1" w:styleId="182">
    <w:name w:val="nostart2"/>
    <w:qFormat/>
    <w:uiPriority w:val="0"/>
    <w:rPr>
      <w:color w:val="B60000"/>
    </w:rPr>
  </w:style>
  <w:style w:type="character" w:customStyle="1" w:styleId="183">
    <w:name w:val="纯文本 Char"/>
    <w:qFormat/>
    <w:uiPriority w:val="99"/>
    <w:rPr>
      <w:rFonts w:ascii="Courier New" w:hAnsi="Courier New" w:eastAsia="宋体"/>
      <w:kern w:val="2"/>
      <w:sz w:val="21"/>
      <w:lang w:val="en-US" w:eastAsia="zh-CN" w:bidi="ar-SA"/>
    </w:rPr>
  </w:style>
  <w:style w:type="character" w:customStyle="1" w:styleId="184">
    <w:name w:val="Char Char81"/>
    <w:qFormat/>
    <w:uiPriority w:val="0"/>
    <w:rPr>
      <w:rFonts w:ascii="Arial" w:hAnsi="Arial" w:eastAsia="黑体"/>
      <w:b/>
      <w:bCs/>
      <w:kern w:val="2"/>
      <w:sz w:val="32"/>
      <w:szCs w:val="32"/>
      <w:lang w:val="en-US" w:eastAsia="zh-CN" w:bidi="ar-SA"/>
    </w:rPr>
  </w:style>
  <w:style w:type="character" w:customStyle="1" w:styleId="185">
    <w:name w:val="starting"/>
    <w:qFormat/>
    <w:uiPriority w:val="0"/>
    <w:rPr>
      <w:color w:val="339900"/>
    </w:rPr>
  </w:style>
  <w:style w:type="character" w:customStyle="1" w:styleId="186">
    <w:name w:val="nostart1"/>
    <w:qFormat/>
    <w:uiPriority w:val="0"/>
    <w:rPr>
      <w:color w:val="FF0000"/>
    </w:rPr>
  </w:style>
  <w:style w:type="character" w:customStyle="1" w:styleId="187">
    <w:name w:val="num210"/>
    <w:basedOn w:val="49"/>
    <w:qFormat/>
    <w:uiPriority w:val="0"/>
  </w:style>
  <w:style w:type="character" w:customStyle="1" w:styleId="188">
    <w:name w:val="buvis1"/>
    <w:qFormat/>
    <w:uiPriority w:val="0"/>
    <w:rPr>
      <w:color w:val="CC0000"/>
    </w:rPr>
  </w:style>
  <w:style w:type="character" w:customStyle="1" w:styleId="189">
    <w:name w:val="starting3"/>
    <w:basedOn w:val="49"/>
    <w:qFormat/>
    <w:uiPriority w:val="0"/>
  </w:style>
  <w:style w:type="character" w:customStyle="1" w:styleId="190">
    <w:name w:val="textcontents"/>
    <w:basedOn w:val="49"/>
    <w:qFormat/>
    <w:uiPriority w:val="0"/>
  </w:style>
  <w:style w:type="character" w:customStyle="1" w:styleId="191">
    <w:name w:val="num41"/>
    <w:basedOn w:val="49"/>
    <w:qFormat/>
    <w:uiPriority w:val="0"/>
  </w:style>
  <w:style w:type="character" w:customStyle="1" w:styleId="192">
    <w:name w:val="tit9"/>
    <w:qFormat/>
    <w:uiPriority w:val="0"/>
    <w:rPr>
      <w:color w:val="B60000"/>
      <w:sz w:val="27"/>
      <w:szCs w:val="27"/>
      <w:bdr w:val="single" w:color="DFCEB8" w:sz="6" w:space="0"/>
      <w:shd w:val="clear" w:color="auto" w:fill="FFFFFF"/>
    </w:rPr>
  </w:style>
  <w:style w:type="character" w:customStyle="1" w:styleId="193">
    <w:name w:val="name2"/>
    <w:qFormat/>
    <w:uiPriority w:val="0"/>
    <w:rPr>
      <w:color w:val="000000"/>
      <w:sz w:val="39"/>
      <w:szCs w:val="39"/>
    </w:rPr>
  </w:style>
  <w:style w:type="character" w:customStyle="1" w:styleId="194">
    <w:name w:val="img_title8"/>
    <w:qFormat/>
    <w:uiPriority w:val="0"/>
    <w:rPr>
      <w:vanish/>
    </w:rPr>
  </w:style>
  <w:style w:type="character" w:customStyle="1" w:styleId="195">
    <w:name w:val="tit15"/>
    <w:qFormat/>
    <w:uiPriority w:val="0"/>
    <w:rPr>
      <w:b/>
      <w:color w:val="B60000"/>
    </w:rPr>
  </w:style>
  <w:style w:type="character" w:customStyle="1" w:styleId="196">
    <w:name w:val="img_title9"/>
    <w:qFormat/>
    <w:uiPriority w:val="0"/>
    <w:rPr>
      <w:vanish/>
    </w:rPr>
  </w:style>
  <w:style w:type="character" w:customStyle="1" w:styleId="197">
    <w:name w:val="标题 2 Char2"/>
    <w:link w:val="3"/>
    <w:qFormat/>
    <w:uiPriority w:val="0"/>
    <w:rPr>
      <w:rFonts w:ascii="Arial" w:hAnsi="Arial" w:eastAsia="黑体"/>
      <w:b/>
      <w:bCs/>
      <w:kern w:val="2"/>
      <w:sz w:val="21"/>
      <w:szCs w:val="32"/>
      <w:lang w:val="en-US" w:eastAsia="zh-CN" w:bidi="ar-SA"/>
    </w:rPr>
  </w:style>
  <w:style w:type="paragraph" w:customStyle="1" w:styleId="198">
    <w:name w:val="正文 New"/>
    <w:qFormat/>
    <w:uiPriority w:val="0"/>
    <w:pPr>
      <w:widowControl w:val="0"/>
      <w:spacing w:line="440" w:lineRule="exact"/>
      <w:ind w:left="357" w:hanging="357"/>
      <w:jc w:val="both"/>
    </w:pPr>
    <w:rPr>
      <w:rFonts w:ascii="Calibri" w:hAnsi="Calibri" w:eastAsia="宋体" w:cs="Times New Roman"/>
      <w:kern w:val="2"/>
      <w:sz w:val="21"/>
      <w:szCs w:val="22"/>
      <w:lang w:val="en-US" w:eastAsia="zh-CN" w:bidi="ar-SA"/>
    </w:rPr>
  </w:style>
  <w:style w:type="character" w:customStyle="1" w:styleId="199">
    <w:name w:val="font12"/>
    <w:basedOn w:val="49"/>
    <w:qFormat/>
    <w:uiPriority w:val="0"/>
    <w:rPr>
      <w:rFonts w:hint="eastAsia" w:ascii="仿宋" w:hAnsi="仿宋" w:eastAsia="仿宋" w:cs="仿宋"/>
      <w:b/>
      <w:color w:val="000000"/>
      <w:sz w:val="32"/>
      <w:szCs w:val="32"/>
      <w:u w:val="none"/>
    </w:rPr>
  </w:style>
  <w:style w:type="character" w:customStyle="1" w:styleId="200">
    <w:name w:val="font101"/>
    <w:basedOn w:val="49"/>
    <w:qFormat/>
    <w:uiPriority w:val="0"/>
    <w:rPr>
      <w:rFonts w:hint="default" w:ascii="Times New Roman" w:hAnsi="Times New Roman" w:cs="Times New Roman"/>
      <w:color w:val="000000"/>
      <w:sz w:val="24"/>
      <w:szCs w:val="24"/>
      <w:u w:val="none"/>
    </w:rPr>
  </w:style>
  <w:style w:type="character" w:customStyle="1" w:styleId="201">
    <w:name w:val="font111"/>
    <w:basedOn w:val="49"/>
    <w:qFormat/>
    <w:uiPriority w:val="0"/>
    <w:rPr>
      <w:rFonts w:ascii="仿宋_GB2312" w:eastAsia="仿宋_GB2312" w:cs="仿宋_GB2312"/>
      <w:color w:val="000000"/>
      <w:sz w:val="24"/>
      <w:szCs w:val="24"/>
      <w:u w:val="none"/>
    </w:rPr>
  </w:style>
  <w:style w:type="character" w:customStyle="1" w:styleId="202">
    <w:name w:val="font91"/>
    <w:basedOn w:val="49"/>
    <w:qFormat/>
    <w:uiPriority w:val="0"/>
    <w:rPr>
      <w:rFonts w:hint="eastAsia" w:ascii="仿宋" w:hAnsi="仿宋" w:eastAsia="仿宋" w:cs="仿宋"/>
      <w:color w:val="000000"/>
      <w:sz w:val="24"/>
      <w:szCs w:val="24"/>
      <w:u w:val="single"/>
    </w:rPr>
  </w:style>
  <w:style w:type="character" w:customStyle="1" w:styleId="203">
    <w:name w:val="font81"/>
    <w:basedOn w:val="49"/>
    <w:qFormat/>
    <w:uiPriority w:val="0"/>
    <w:rPr>
      <w:rFonts w:hint="default" w:ascii="Times New Roman" w:hAnsi="Times New Roman" w:cs="Times New Roman"/>
      <w:color w:val="000000"/>
      <w:sz w:val="24"/>
      <w:szCs w:val="24"/>
      <w:u w:val="none"/>
    </w:rPr>
  </w:style>
  <w:style w:type="character" w:customStyle="1" w:styleId="204">
    <w:name w:val="font61"/>
    <w:basedOn w:val="49"/>
    <w:qFormat/>
    <w:uiPriority w:val="0"/>
    <w:rPr>
      <w:rFonts w:hint="eastAsia" w:ascii="仿宋_GB2312" w:eastAsia="仿宋_GB2312" w:cs="仿宋_GB2312"/>
      <w:color w:val="000000"/>
      <w:sz w:val="24"/>
      <w:szCs w:val="24"/>
      <w:u w:val="none"/>
    </w:rPr>
  </w:style>
  <w:style w:type="character" w:customStyle="1" w:styleId="205">
    <w:name w:val="font21"/>
    <w:basedOn w:val="49"/>
    <w:qFormat/>
    <w:uiPriority w:val="0"/>
    <w:rPr>
      <w:rFonts w:hint="default" w:ascii="Times New Roman" w:hAnsi="Times New Roman" w:cs="Times New Roman"/>
      <w:color w:val="000000"/>
      <w:sz w:val="24"/>
      <w:szCs w:val="24"/>
      <w:u w:val="none"/>
    </w:rPr>
  </w:style>
  <w:style w:type="character" w:customStyle="1" w:styleId="206">
    <w:name w:val="NormalCharacter"/>
    <w:semiHidden/>
    <w:qFormat/>
    <w:uiPriority w:val="0"/>
    <w:rPr>
      <w:snapToGrid w:val="0"/>
      <w:kern w:val="0"/>
      <w:sz w:val="32"/>
      <w:szCs w:val="32"/>
      <w:lang w:val="en-US" w:eastAsia="zh-CN" w:bidi="ar-SA"/>
    </w:rPr>
  </w:style>
  <w:style w:type="character" w:customStyle="1" w:styleId="207">
    <w:name w:val="first-child1"/>
    <w:basedOn w:val="49"/>
    <w:qFormat/>
    <w:uiPriority w:val="0"/>
  </w:style>
  <w:style w:type="character" w:customStyle="1" w:styleId="208">
    <w:name w:val="hover1"/>
    <w:basedOn w:val="49"/>
    <w:qFormat/>
    <w:uiPriority w:val="0"/>
    <w:rPr>
      <w:color w:val="2590EB"/>
    </w:rPr>
  </w:style>
  <w:style w:type="character" w:customStyle="1" w:styleId="209">
    <w:name w:val="hover2"/>
    <w:basedOn w:val="49"/>
    <w:qFormat/>
    <w:uiPriority w:val="0"/>
  </w:style>
  <w:style w:type="character" w:customStyle="1" w:styleId="210">
    <w:name w:val="hover3"/>
    <w:basedOn w:val="49"/>
    <w:qFormat/>
    <w:uiPriority w:val="0"/>
    <w:rPr>
      <w:color w:val="2590EB"/>
    </w:rPr>
  </w:style>
  <w:style w:type="character" w:customStyle="1" w:styleId="211">
    <w:name w:val="hover4"/>
    <w:basedOn w:val="49"/>
    <w:qFormat/>
    <w:uiPriority w:val="0"/>
    <w:rPr>
      <w:color w:val="2590EB"/>
      <w:shd w:val="clear" w:fill="E9F4FD"/>
    </w:rPr>
  </w:style>
  <w:style w:type="character" w:customStyle="1" w:styleId="212">
    <w:name w:val="mini-outputtext1"/>
    <w:basedOn w:val="49"/>
    <w:qFormat/>
    <w:uiPriority w:val="0"/>
  </w:style>
  <w:style w:type="character" w:customStyle="1" w:styleId="213">
    <w:name w:val="hover"/>
    <w:basedOn w:val="49"/>
    <w:qFormat/>
    <w:uiPriority w:val="0"/>
    <w:rPr>
      <w:color w:val="2590EB"/>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40</Pages>
  <Words>66</Words>
  <Characters>91</Characters>
  <Lines>411</Lines>
  <Paragraphs>115</Paragraphs>
  <TotalTime>31</TotalTime>
  <ScaleCrop>false</ScaleCrop>
  <LinksUpToDate>false</LinksUpToDate>
  <CharactersWithSpaces>102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2016-05-15T08:29:00Z</dcterms:created>
  <dc:creator>dengxiaochun</dc:creator>
  <cp:lastModifiedBy>傻傻一辈子</cp:lastModifiedBy>
  <cp:lastPrinted>2023-06-08T00:43:00Z</cp:lastPrinted>
  <dcterms:modified xsi:type="dcterms:W3CDTF">2026-10-09T03:17:28Z</dcterms:modified>
  <dc:title>标准交易文件</dc:title>
  <cp:revision>328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3E37166E933D4B56AF059194D704A7C6_13</vt:lpwstr>
  </property>
  <property fmtid="{D5CDD505-2E9C-101B-9397-08002B2CF9AE}" pid="4" name="KSOTemplateDocerSaveRecord">
    <vt:lpwstr>eyJoZGlkIjoiMTljMDcwYWJmYjExZWQzNTVmZDAzZTYwM2JlMzJmZDYiLCJ1c2VySWQiOiIzODU2Mzk2OTQifQ==</vt:lpwstr>
  </property>
</Properties>
</file>